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Ex1.xml" ContentType="application/vnd.ms-office.chartex+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Ex2.xml" ContentType="application/vnd.ms-office.chartex+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charts/chartEx3.xml" ContentType="application/vnd.ms-office.chartex+xml"/>
  <Override PartName="/word/charts/style18.xml" ContentType="application/vnd.ms-office.chartstyle+xml"/>
  <Override PartName="/word/charts/colors18.xml" ContentType="application/vnd.ms-office.chartcolorstyle+xml"/>
  <Override PartName="/word/theme/themeOverride12.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3.xml" ContentType="application/vnd.openxmlformats-officedocument.themeOverrid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4.xml" ContentType="application/vnd.openxmlformats-officedocument.themeOverrid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5.xml" ContentType="application/vnd.openxmlformats-officedocument.themeOverride+xml"/>
  <Override PartName="/word/charts/chartEx4.xml" ContentType="application/vnd.ms-office.chartex+xml"/>
  <Override PartName="/word/charts/style22.xml" ContentType="application/vnd.ms-office.chartstyle+xml"/>
  <Override PartName="/word/charts/colors22.xml" ContentType="application/vnd.ms-office.chartcolorstyle+xml"/>
  <Override PartName="/word/theme/themeOverride16.xml" ContentType="application/vnd.openxmlformats-officedocument.themeOverrid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5.xml" ContentType="application/vnd.openxmlformats-officedocument.drawingml.chart+xml"/>
  <Override PartName="/word/charts/chart4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0.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17.xml" ContentType="application/vnd.openxmlformats-officedocument.themeOverride+xml"/>
  <Override PartName="/word/drawings/drawing2.xml" ContentType="application/vnd.openxmlformats-officedocument.drawingml.chartshapes+xml"/>
  <Override PartName="/word/charts/chart5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2.xml" ContentType="application/vnd.openxmlformats-officedocument.drawingml.chart+xml"/>
  <Override PartName="/word/charts/chart53.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4.xml" ContentType="application/vnd.openxmlformats-officedocument.drawingml.chart+xml"/>
  <Override PartName="/word/charts/chart5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5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6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1.xml" ContentType="application/vnd.openxmlformats-officedocument.drawingml.chart+xml"/>
  <Override PartName="/word/charts/style46.xml" ContentType="application/vnd.ms-office.chartstyle+xml"/>
  <Override PartName="/word/charts/colors46.xml" ContentType="application/vnd.ms-office.chartcolorstyle+xml"/>
  <Override PartName="/word/drawings/drawing3.xml" ContentType="application/vnd.openxmlformats-officedocument.drawingml.chartshapes+xml"/>
  <Override PartName="/word/charts/chart6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6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6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6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69.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70.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71.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72.xml" ContentType="application/vnd.openxmlformats-officedocument.drawingml.chart+xml"/>
  <Override PartName="/word/charts/chart73.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74.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75.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76.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77.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78.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79.xml" ContentType="application/vnd.openxmlformats-officedocument.drawingml.chart+xml"/>
  <Override PartName="/word/charts/style61.xml" ContentType="application/vnd.ms-office.chartstyle+xml"/>
  <Override PartName="/word/charts/colors61.xml" ContentType="application/vnd.ms-office.chartcolorstyle+xml"/>
  <Override PartName="/word/drawings/drawing4.xml" ContentType="application/vnd.openxmlformats-officedocument.drawingml.chartshapes+xml"/>
  <Override PartName="/word/charts/chart80.xml" ContentType="application/vnd.openxmlformats-officedocument.drawingml.chart+xml"/>
  <Override PartName="/word/charts/chart81.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18.xml" ContentType="application/vnd.openxmlformats-officedocument.themeOverride+xml"/>
  <Override PartName="/word/charts/chart82.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83.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84.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19.xml" ContentType="application/vnd.openxmlformats-officedocument.themeOverride+xml"/>
  <Override PartName="/word/charts/chart85.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20.xml" ContentType="application/vnd.openxmlformats-officedocument.themeOverride+xml"/>
  <Override PartName="/word/charts/chart86.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21.xml" ContentType="application/vnd.openxmlformats-officedocument.themeOverride+xml"/>
  <Override PartName="/word/charts/chart87.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88.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89.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90.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91.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92.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93.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22.xml" ContentType="application/vnd.openxmlformats-officedocument.themeOverride+xml"/>
  <Override PartName="/word/charts/chart94.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23.xml" ContentType="application/vnd.openxmlformats-officedocument.themeOverride+xml"/>
  <Override PartName="/word/charts/chart95.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96.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24.xml" ContentType="application/vnd.openxmlformats-officedocument.themeOverride+xml"/>
  <Override PartName="/word/charts/chart97.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25.xml" ContentType="application/vnd.openxmlformats-officedocument.themeOverride+xml"/>
  <Override PartName="/word/charts/chart98.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26.xml" ContentType="application/vnd.openxmlformats-officedocument.themeOverride+xml"/>
  <Override PartName="/word/charts/chart99.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100.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27.xml" ContentType="application/vnd.openxmlformats-officedocument.themeOverride+xml"/>
  <Override PartName="/word/charts/chart101.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28.xml" ContentType="application/vnd.openxmlformats-officedocument.themeOverride+xml"/>
  <Override PartName="/word/charts/chart102.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29.xml" ContentType="application/vnd.openxmlformats-officedocument.themeOverride+xml"/>
  <Override PartName="/word/charts/chart103.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30.xml" ContentType="application/vnd.openxmlformats-officedocument.themeOverride+xml"/>
  <Override PartName="/word/drawings/drawing5.xml" ContentType="application/vnd.openxmlformats-officedocument.drawingml.chartshapes+xml"/>
  <Override PartName="/word/charts/chart104.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31.xml" ContentType="application/vnd.openxmlformats-officedocument.themeOverride+xml"/>
  <Override PartName="/word/charts/chart105.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32.xml" ContentType="application/vnd.openxmlformats-officedocument.themeOverride+xml"/>
  <Override PartName="/word/charts/chart106.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33.xml" ContentType="application/vnd.openxmlformats-officedocument.themeOverride+xml"/>
  <Override PartName="/word/charts/chart107.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108.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109.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110.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111.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112.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113.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114.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115.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34.xml" ContentType="application/vnd.openxmlformats-officedocument.themeOverride+xml"/>
  <Override PartName="/word/charts/chart116.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35.xml" ContentType="application/vnd.openxmlformats-officedocument.themeOverride+xml"/>
  <Override PartName="/word/charts/chart117.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36.xml" ContentType="application/vnd.openxmlformats-officedocument.themeOverride+xml"/>
  <Override PartName="/word/charts/chart118.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37.xml" ContentType="application/vnd.openxmlformats-officedocument.themeOverride+xml"/>
  <Override PartName="/word/charts/chart119.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38.xml" ContentType="application/vnd.openxmlformats-officedocument.themeOverride+xml"/>
  <Override PartName="/word/charts/chart120.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39.xml" ContentType="application/vnd.openxmlformats-officedocument.themeOverride+xml"/>
  <Override PartName="/word/charts/chart121.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22.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23.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24.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40.xml" ContentType="application/vnd.openxmlformats-officedocument.themeOverride+xml"/>
  <Override PartName="/word/charts/chart125.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41.xml" ContentType="application/vnd.openxmlformats-officedocument.themeOverride+xml"/>
  <Override PartName="/word/charts/chart126.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42.xml" ContentType="application/vnd.openxmlformats-officedocument.themeOverride+xml"/>
  <Override PartName="/word/charts/chart127.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43.xml" ContentType="application/vnd.openxmlformats-officedocument.themeOverride+xml"/>
  <Override PartName="/word/charts/chart128.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44.xml" ContentType="application/vnd.openxmlformats-officedocument.themeOverride+xml"/>
  <Override PartName="/word/charts/chart129.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4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30.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31.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style113.xml" ContentType="application/vnd.ms-office.chartstyle+xml"/>
  <Override PartName="/word/charts/colors1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51326600"/>
        <w:docPartObj>
          <w:docPartGallery w:val="Cover Pages"/>
          <w:docPartUnique/>
        </w:docPartObj>
      </w:sdtPr>
      <w:sdtEndPr>
        <w:rPr>
          <w:b/>
          <w:bCs/>
          <w:sz w:val="28"/>
          <w:szCs w:val="28"/>
        </w:rPr>
      </w:sdtEndPr>
      <w:sdtContent>
        <w:p w14:paraId="156E737F" w14:textId="3330FCD9" w:rsidR="00DF59FC" w:rsidRDefault="00DF59FC">
          <w:r>
            <w:rPr>
              <w:noProof/>
            </w:rPr>
            <mc:AlternateContent>
              <mc:Choice Requires="wpg">
                <w:drawing>
                  <wp:anchor distT="0" distB="0" distL="114300" distR="114300" simplePos="0" relativeHeight="251681792" behindDoc="0" locked="0" layoutInCell="1" allowOverlap="1" wp14:anchorId="49518815" wp14:editId="16AA339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FA94E60" id="Grupo 149" o:spid="_x0000_s1026" style="position:absolute;margin-left:0;margin-top:0;width:8in;height:95.7pt;z-index:25168179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79744" behindDoc="0" locked="0" layoutInCell="1" allowOverlap="1" wp14:anchorId="0A79352A" wp14:editId="5966A4CA">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37C2C33" w14:textId="1FA65938" w:rsidR="00DF59FC" w:rsidRDefault="00ED4664">
                                    <w:pPr>
                                      <w:pStyle w:val="Sinespaciado"/>
                                      <w:jc w:val="right"/>
                                      <w:rPr>
                                        <w:color w:val="595959" w:themeColor="text1" w:themeTint="A6"/>
                                        <w:sz w:val="28"/>
                                        <w:szCs w:val="28"/>
                                      </w:rPr>
                                    </w:pPr>
                                    <w:r>
                                      <w:rPr>
                                        <w:color w:val="595959" w:themeColor="text1" w:themeTint="A6"/>
                                        <w:sz w:val="28"/>
                                        <w:szCs w:val="28"/>
                                      </w:rPr>
                                      <w:t>Dirección de Análisis y Política Fiscal</w:t>
                                    </w:r>
                                  </w:p>
                                </w:sdtContent>
                              </w:sdt>
                              <w:p w14:paraId="6DB86070" w14:textId="6434E87E" w:rsidR="00DF59FC" w:rsidRDefault="00805A42">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DE1611" w:rsidRPr="00DE1611">
                                      <w:rPr>
                                        <w:color w:val="595959" w:themeColor="text1" w:themeTint="A6"/>
                                        <w:sz w:val="18"/>
                                        <w:szCs w:val="18"/>
                                      </w:rPr>
                                      <w:t>Septiembre</w:t>
                                    </w:r>
                                    <w:r w:rsidR="00ED4664" w:rsidRPr="00DE1611">
                                      <w:rPr>
                                        <w:color w:val="595959" w:themeColor="text1" w:themeTint="A6"/>
                                        <w:sz w:val="18"/>
                                        <w:szCs w:val="18"/>
                                      </w:rPr>
                                      <w:t xml:space="preserve"> 2023</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A79352A" id="_x0000_t202" coordsize="21600,21600" o:spt="202" path="m,l,21600r21600,l21600,xe">
                    <v:stroke joinstyle="miter"/>
                    <v:path gradientshapeok="t" o:connecttype="rect"/>
                  </v:shapetype>
                  <v:shape id="Cuadro de texto 152" o:spid="_x0000_s1026" type="#_x0000_t202" style="position:absolute;margin-left:0;margin-top:0;width:8in;height:1in;z-index:25167974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37C2C33" w14:textId="1FA65938" w:rsidR="00DF59FC" w:rsidRDefault="00ED4664">
                              <w:pPr>
                                <w:pStyle w:val="Sinespaciado"/>
                                <w:jc w:val="right"/>
                                <w:rPr>
                                  <w:color w:val="595959" w:themeColor="text1" w:themeTint="A6"/>
                                  <w:sz w:val="28"/>
                                  <w:szCs w:val="28"/>
                                </w:rPr>
                              </w:pPr>
                              <w:r>
                                <w:rPr>
                                  <w:color w:val="595959" w:themeColor="text1" w:themeTint="A6"/>
                                  <w:sz w:val="28"/>
                                  <w:szCs w:val="28"/>
                                </w:rPr>
                                <w:t>Dirección de Análisis y Política Fiscal</w:t>
                              </w:r>
                            </w:p>
                          </w:sdtContent>
                        </w:sdt>
                        <w:p w14:paraId="6DB86070" w14:textId="6434E87E" w:rsidR="00DF59FC" w:rsidRDefault="00805A42">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DE1611" w:rsidRPr="00DE1611">
                                <w:rPr>
                                  <w:color w:val="595959" w:themeColor="text1" w:themeTint="A6"/>
                                  <w:sz w:val="18"/>
                                  <w:szCs w:val="18"/>
                                </w:rPr>
                                <w:t>Septiembre</w:t>
                              </w:r>
                              <w:r w:rsidR="00ED4664" w:rsidRPr="00DE1611">
                                <w:rPr>
                                  <w:color w:val="595959" w:themeColor="text1" w:themeTint="A6"/>
                                  <w:sz w:val="18"/>
                                  <w:szCs w:val="18"/>
                                </w:rPr>
                                <w:t xml:space="preserve"> 2023</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1F6424DB" wp14:editId="21D06C6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FD867" w14:textId="3A349E35" w:rsidR="00DF59FC" w:rsidRDefault="00805A42">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ED4664" w:rsidRPr="00ED4664">
                                      <w:rPr>
                                        <w:caps/>
                                        <w:color w:val="4472C4" w:themeColor="accent1"/>
                                        <w:sz w:val="64"/>
                                        <w:szCs w:val="64"/>
                                      </w:rPr>
                                      <w:t>Informe de Riesgos Fiscales 2024-20</w:t>
                                    </w:r>
                                    <w:r w:rsidR="00ED4664">
                                      <w:rPr>
                                        <w:caps/>
                                        <w:color w:val="4472C4" w:themeColor="accent1"/>
                                        <w:sz w:val="64"/>
                                        <w:szCs w:val="64"/>
                                      </w:rPr>
                                      <w:t>28</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70DA5FB" w14:textId="148ACA53" w:rsidR="00DF59FC" w:rsidRDefault="00ED4664">
                                    <w:pPr>
                                      <w:jc w:val="right"/>
                                      <w:rPr>
                                        <w:smallCaps/>
                                        <w:color w:val="404040" w:themeColor="text1" w:themeTint="BF"/>
                                        <w:sz w:val="36"/>
                                        <w:szCs w:val="36"/>
                                      </w:rPr>
                                    </w:pPr>
                                    <w:r>
                                      <w:rPr>
                                        <w:color w:val="404040" w:themeColor="text1" w:themeTint="BF"/>
                                        <w:sz w:val="36"/>
                                        <w:szCs w:val="36"/>
                                      </w:rPr>
                                      <w:t>Ministerio de Finanzas Públicas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F6424DB" id="Cuadro de texto 154" o:spid="_x0000_s1027" type="#_x0000_t202" style="position:absolute;margin-left:0;margin-top:0;width:8in;height:286.5pt;z-index:25167872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9Chw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" filled="f" stroked="f" strokeweight=".5pt">
                    <v:textbox inset="126pt,0,54pt,0">
                      <w:txbxContent>
                        <w:p w14:paraId="1AAFD867" w14:textId="3A349E35" w:rsidR="00DF59FC" w:rsidRDefault="00805A42">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ED4664" w:rsidRPr="00ED4664">
                                <w:rPr>
                                  <w:caps/>
                                  <w:color w:val="4472C4" w:themeColor="accent1"/>
                                  <w:sz w:val="64"/>
                                  <w:szCs w:val="64"/>
                                </w:rPr>
                                <w:t>Informe de Riesgos Fiscales 2024-20</w:t>
                              </w:r>
                              <w:r w:rsidR="00ED4664">
                                <w:rPr>
                                  <w:caps/>
                                  <w:color w:val="4472C4" w:themeColor="accent1"/>
                                  <w:sz w:val="64"/>
                                  <w:szCs w:val="64"/>
                                </w:rPr>
                                <w:t>28</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70DA5FB" w14:textId="148ACA53" w:rsidR="00DF59FC" w:rsidRDefault="00ED4664">
                              <w:pPr>
                                <w:jc w:val="right"/>
                                <w:rPr>
                                  <w:smallCaps/>
                                  <w:color w:val="404040" w:themeColor="text1" w:themeTint="BF"/>
                                  <w:sz w:val="36"/>
                                  <w:szCs w:val="36"/>
                                </w:rPr>
                              </w:pPr>
                              <w:r>
                                <w:rPr>
                                  <w:color w:val="404040" w:themeColor="text1" w:themeTint="BF"/>
                                  <w:sz w:val="36"/>
                                  <w:szCs w:val="36"/>
                                </w:rPr>
                                <w:t>Ministerio de Finanzas Públicas</w:t>
                              </w:r>
                            </w:p>
                          </w:sdtContent>
                        </w:sdt>
                      </w:txbxContent>
                    </v:textbox>
                    <w10:wrap type="square" anchorx="page" anchory="page"/>
                  </v:shape>
                </w:pict>
              </mc:Fallback>
            </mc:AlternateContent>
          </w:r>
        </w:p>
        <w:p w14:paraId="10D005CC" w14:textId="7960EE7D" w:rsidR="00DF59FC" w:rsidRDefault="00BD23FA">
          <w:pPr>
            <w:spacing w:after="160" w:line="259" w:lineRule="auto"/>
            <w:rPr>
              <w:b/>
              <w:bCs/>
              <w:sz w:val="28"/>
              <w:szCs w:val="28"/>
            </w:rPr>
          </w:pPr>
          <w:r>
            <w:rPr>
              <w:noProof/>
            </w:rPr>
            <w:drawing>
              <wp:anchor distT="0" distB="0" distL="114300" distR="114300" simplePos="0" relativeHeight="251683840" behindDoc="1" locked="0" layoutInCell="1" allowOverlap="1" wp14:anchorId="216EEB44" wp14:editId="34F52614">
                <wp:simplePos x="0" y="0"/>
                <wp:positionH relativeFrom="column">
                  <wp:posOffset>2039007</wp:posOffset>
                </wp:positionH>
                <wp:positionV relativeFrom="paragraph">
                  <wp:posOffset>297968</wp:posOffset>
                </wp:positionV>
                <wp:extent cx="1411605" cy="657860"/>
                <wp:effectExtent l="0" t="0" r="0" b="8890"/>
                <wp:wrapTight wrapText="bothSides">
                  <wp:wrapPolygon edited="0">
                    <wp:start x="0" y="0"/>
                    <wp:lineTo x="0" y="21266"/>
                    <wp:lineTo x="21279" y="21266"/>
                    <wp:lineTo x="21279" y="0"/>
                    <wp:lineTo x="0" y="0"/>
                  </wp:wrapPolygon>
                </wp:wrapTight>
                <wp:docPr id="1889938831" name="Imagen 1889938831" descr="Inicio - Ministerio de Finanzas Públicas"/>
                <wp:cNvGraphicFramePr/>
                <a:graphic xmlns:a="http://schemas.openxmlformats.org/drawingml/2006/main">
                  <a:graphicData uri="http://schemas.openxmlformats.org/drawingml/2006/picture">
                    <pic:pic xmlns:pic="http://schemas.openxmlformats.org/drawingml/2006/picture">
                      <pic:nvPicPr>
                        <pic:cNvPr id="224" name="Imagen 224" descr="Inicio - Ministerio de Finanzas Públicas"/>
                        <pic:cNvPicPr/>
                      </pic:nvPicPr>
                      <pic:blipFill rotWithShape="1">
                        <a:blip r:embed="rId11">
                          <a:extLst>
                            <a:ext uri="{28A0092B-C50C-407E-A947-70E740481C1C}">
                              <a14:useLocalDpi xmlns:a14="http://schemas.microsoft.com/office/drawing/2010/main" val="0"/>
                            </a:ext>
                          </a:extLst>
                        </a:blip>
                        <a:srcRect r="36617"/>
                        <a:stretch/>
                      </pic:blipFill>
                      <pic:spPr bwMode="auto">
                        <a:xfrm>
                          <a:off x="0" y="0"/>
                          <a:ext cx="1411605" cy="65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9FC">
            <w:rPr>
              <w:b/>
              <w:bCs/>
              <w:sz w:val="28"/>
              <w:szCs w:val="28"/>
            </w:rPr>
            <w:br w:type="page"/>
          </w:r>
        </w:p>
      </w:sdtContent>
    </w:sdt>
    <w:p w14:paraId="55AB30CE" w14:textId="77777777" w:rsidR="00374091" w:rsidRDefault="00374091" w:rsidP="00024A42">
      <w:pPr>
        <w:spacing w:line="259" w:lineRule="auto"/>
        <w:jc w:val="center"/>
        <w:rPr>
          <w:b/>
          <w:bCs/>
          <w:sz w:val="28"/>
          <w:szCs w:val="28"/>
        </w:rPr>
      </w:pPr>
    </w:p>
    <w:p w14:paraId="68C7F989" w14:textId="77777777" w:rsidR="00374091" w:rsidRDefault="00374091" w:rsidP="00024A42">
      <w:pPr>
        <w:spacing w:line="259" w:lineRule="auto"/>
        <w:jc w:val="center"/>
        <w:rPr>
          <w:b/>
          <w:bCs/>
          <w:sz w:val="28"/>
          <w:szCs w:val="28"/>
        </w:rPr>
      </w:pPr>
    </w:p>
    <w:p w14:paraId="1BE354EE" w14:textId="77777777" w:rsidR="00374091" w:rsidRDefault="00374091" w:rsidP="00024A42">
      <w:pPr>
        <w:spacing w:line="259" w:lineRule="auto"/>
        <w:jc w:val="center"/>
        <w:rPr>
          <w:b/>
          <w:bCs/>
          <w:sz w:val="28"/>
          <w:szCs w:val="28"/>
        </w:rPr>
      </w:pPr>
    </w:p>
    <w:p w14:paraId="419FC6DA" w14:textId="5ABCE67E" w:rsidR="007C78B7" w:rsidRPr="00C36261" w:rsidRDefault="00024A42" w:rsidP="00024A42">
      <w:pPr>
        <w:spacing w:line="259" w:lineRule="auto"/>
        <w:jc w:val="center"/>
        <w:rPr>
          <w:b/>
          <w:bCs/>
          <w:sz w:val="28"/>
          <w:szCs w:val="28"/>
        </w:rPr>
      </w:pPr>
      <w:r w:rsidRPr="00C36261">
        <w:rPr>
          <w:b/>
          <w:bCs/>
          <w:sz w:val="28"/>
          <w:szCs w:val="28"/>
        </w:rPr>
        <w:t>Introducción</w:t>
      </w:r>
    </w:p>
    <w:p w14:paraId="211F9F4C" w14:textId="77777777" w:rsidR="00CB3C2C" w:rsidRDefault="00CB3C2C" w:rsidP="00CB3C2C">
      <w:pPr>
        <w:spacing w:line="259" w:lineRule="auto"/>
        <w:jc w:val="both"/>
      </w:pPr>
    </w:p>
    <w:p w14:paraId="7CDD69D1" w14:textId="6E11FF10" w:rsidR="00024A42" w:rsidRPr="00024A42" w:rsidRDefault="00024A42" w:rsidP="00024A42">
      <w:pPr>
        <w:jc w:val="both"/>
        <w:rPr>
          <w:lang w:val="es-ES" w:eastAsia="en-US"/>
        </w:rPr>
      </w:pPr>
      <w:r w:rsidRPr="00024A42">
        <w:rPr>
          <w:lang w:val="es-ES" w:eastAsia="en-US"/>
        </w:rPr>
        <w:t>Como parte de los avances en materia de transparencia fiscal el Ministerio de Finanzas Públicas ha asumido el compromiso de atender las recomendaciones emanadas del Fondo Monetario Internacional -FMI- que se originaron en la evaluación de transparencia fiscal que se efectuara en 2016 y en la más reciente revisión realizada en 2022. De esa cuenta, se incluye dentro del proceso de Formulación del Proyecto de Presupuesto General de Ingresos y Egresos del Estado para el ejercicio fiscal 2024</w:t>
      </w:r>
      <w:r w:rsidR="005833DD">
        <w:rPr>
          <w:lang w:val="es-ES" w:eastAsia="en-US"/>
        </w:rPr>
        <w:t>, el informe</w:t>
      </w:r>
      <w:r w:rsidRPr="00B32A75">
        <w:rPr>
          <w:lang w:val="es-ES" w:eastAsia="en-US"/>
        </w:rPr>
        <w:t xml:space="preserve"> identifica,</w:t>
      </w:r>
      <w:r w:rsidRPr="00024A42">
        <w:rPr>
          <w:lang w:val="es-ES" w:eastAsia="en-US"/>
        </w:rPr>
        <w:t xml:space="preserve"> analiza y evalúa los principales riesgos fiscales que pueden tener un impacto en el comportamiento de las principales variables económicas y de las finanzas públicas en particular, así como en la sostenibilidad de la deuda pública y por ende en la estabilidad macroeconómica del país en el corto y mediano plazo.</w:t>
      </w:r>
    </w:p>
    <w:p w14:paraId="5531619F" w14:textId="77777777" w:rsidR="00024A42" w:rsidRPr="00024A42" w:rsidRDefault="00024A42" w:rsidP="00024A42">
      <w:pPr>
        <w:jc w:val="both"/>
        <w:rPr>
          <w:lang w:val="es-ES" w:eastAsia="en-US"/>
        </w:rPr>
      </w:pPr>
    </w:p>
    <w:p w14:paraId="627B03C6" w14:textId="12EE71B2" w:rsidR="00024A42" w:rsidRPr="00024A42" w:rsidRDefault="00024A42" w:rsidP="00024A42">
      <w:pPr>
        <w:jc w:val="both"/>
        <w:rPr>
          <w:lang w:val="es-ES" w:eastAsia="en-US"/>
        </w:rPr>
      </w:pPr>
      <w:r w:rsidRPr="00024A42">
        <w:rPr>
          <w:lang w:val="es-ES" w:eastAsia="en-US"/>
        </w:rPr>
        <w:t xml:space="preserve">El análisis de los riesgos fiscales es muy importante para un gobierno para </w:t>
      </w:r>
      <w:r w:rsidRPr="005833DD">
        <w:rPr>
          <w:lang w:val="es-ES" w:eastAsia="en-US"/>
        </w:rPr>
        <w:t>determinar l</w:t>
      </w:r>
      <w:r w:rsidRPr="00024A42">
        <w:rPr>
          <w:lang w:val="es-ES" w:eastAsia="en-US"/>
        </w:rPr>
        <w:t xml:space="preserve">a vulnerabilidad que existe ante la ocurrencia de </w:t>
      </w:r>
      <w:r w:rsidR="005833DD">
        <w:rPr>
          <w:lang w:val="es-ES" w:eastAsia="en-US"/>
        </w:rPr>
        <w:t>algunos</w:t>
      </w:r>
      <w:r w:rsidRPr="00024A42">
        <w:rPr>
          <w:lang w:val="es-ES" w:eastAsia="en-US"/>
        </w:rPr>
        <w:t xml:space="preserve"> eventos que podrían incidir en su desarrollo, los cuales normalmente son de naturaleza exógena como las incidencias en el comercio internacional, la volatilidad de los mercados financieros, la fragilidad de las economías ante desastres climatológicos, así como la posible materialización de algunos pasivos contingentes; estos son la muestra de una gama de sucesos que pueden incidir en la posición fiscal del gobierno en un momento determinado.  </w:t>
      </w:r>
    </w:p>
    <w:p w14:paraId="244CBC2A" w14:textId="77777777" w:rsidR="00024A42" w:rsidRPr="00024A42" w:rsidRDefault="00024A42" w:rsidP="00024A42">
      <w:pPr>
        <w:jc w:val="both"/>
        <w:rPr>
          <w:lang w:val="es-ES" w:eastAsia="en-US"/>
        </w:rPr>
      </w:pPr>
    </w:p>
    <w:p w14:paraId="2EDB6D0D" w14:textId="77777777" w:rsidR="00024A42" w:rsidRPr="00024A42" w:rsidRDefault="00024A42" w:rsidP="00024A42">
      <w:pPr>
        <w:jc w:val="both"/>
        <w:rPr>
          <w:lang w:val="es-ES" w:eastAsia="en-US"/>
        </w:rPr>
      </w:pPr>
      <w:r w:rsidRPr="00024A42">
        <w:rPr>
          <w:lang w:val="es-ES" w:eastAsia="en-US"/>
        </w:rPr>
        <w:t xml:space="preserve">En este sentido, el Ministerio de Finanzas Públicas ha avanzado durante los últimos años en la inclusión de este tipo de análisis ya que se considera importante el adecuado manejo de la gestión de riesgos, desde la identificación de los riesgos fiscales, incluyendo el análisis y cuantificación de sus posibles impactos, así como la inclusión de medidas de política orientadas a la creación de instrumentos que permitan facilitar la toma de decisiones y administrar el riesgo de manera inter temporal identificando las medidas de mitigación, tales como controles directos o los límites de exposición, elaboración de estrategias para la gestión de riesgos, regulaciones, y otras medidas y mecanismos para transferir o compartir el riesgo. </w:t>
      </w:r>
    </w:p>
    <w:p w14:paraId="32F364BD" w14:textId="77777777" w:rsidR="00024A42" w:rsidRPr="00024A42" w:rsidRDefault="00024A42" w:rsidP="00024A42">
      <w:pPr>
        <w:jc w:val="both"/>
        <w:rPr>
          <w:lang w:val="es-ES" w:eastAsia="en-US"/>
        </w:rPr>
      </w:pPr>
    </w:p>
    <w:p w14:paraId="54388A7D" w14:textId="0FC3EFB7" w:rsidR="00750765" w:rsidRDefault="00024A42" w:rsidP="00024A42">
      <w:pPr>
        <w:jc w:val="both"/>
      </w:pPr>
      <w:r w:rsidRPr="00024A42">
        <w:t>Est</w:t>
      </w:r>
      <w:r w:rsidR="005833DD">
        <w:t xml:space="preserve">e informe </w:t>
      </w:r>
      <w:r w:rsidRPr="00024A42">
        <w:t xml:space="preserve">incluye en </w:t>
      </w:r>
      <w:r w:rsidR="00517B35">
        <w:t>varias</w:t>
      </w:r>
      <w:r w:rsidR="00750765">
        <w:t xml:space="preserve"> </w:t>
      </w:r>
      <w:r w:rsidRPr="00024A42">
        <w:t>secciones, el análisis de riesgos macroeconómicos en el sector externo, en la economía doméstica, riesgos fiscales de la deuda pública, un análisis de la sostenibilidad de la deuda; así como los riesgos fiscales específicos provocados por riesgos asociados a las Municipalidades y empresas públicas, exposición del sector financiero, riesgos por garantía, así como a los sistemas provisionales y de pasivos contingentes por demandas judiciales contra el Estado, los asociados a desastres provocados por fenómenos naturales y los riesgos derivados por recursos naturales.</w:t>
      </w:r>
    </w:p>
    <w:p w14:paraId="786CF582" w14:textId="77777777" w:rsidR="00750765" w:rsidRDefault="00750765" w:rsidP="00024A42">
      <w:pPr>
        <w:jc w:val="both"/>
      </w:pPr>
    </w:p>
    <w:p w14:paraId="3EB8EA7D" w14:textId="77777777" w:rsidR="00374091" w:rsidRDefault="00374091" w:rsidP="00024A42">
      <w:pPr>
        <w:jc w:val="both"/>
      </w:pPr>
    </w:p>
    <w:p w14:paraId="7F4EC78A" w14:textId="77777777" w:rsidR="00374091" w:rsidRDefault="00374091" w:rsidP="00024A42">
      <w:pPr>
        <w:jc w:val="both"/>
      </w:pPr>
    </w:p>
    <w:p w14:paraId="0CE96A40" w14:textId="77777777" w:rsidR="00374091" w:rsidRDefault="00374091" w:rsidP="00024A42">
      <w:pPr>
        <w:jc w:val="both"/>
      </w:pPr>
    </w:p>
    <w:p w14:paraId="4FFA13C4" w14:textId="77777777" w:rsidR="00374091" w:rsidRDefault="00374091" w:rsidP="00024A42">
      <w:pPr>
        <w:jc w:val="both"/>
      </w:pPr>
    </w:p>
    <w:p w14:paraId="553E230C" w14:textId="722402D6" w:rsidR="00374091" w:rsidRDefault="00374091" w:rsidP="00024A42">
      <w:pPr>
        <w:jc w:val="both"/>
      </w:pPr>
    </w:p>
    <w:sdt>
      <w:sdtPr>
        <w:rPr>
          <w:rFonts w:ascii="Times New Roman" w:eastAsia="Times New Roman" w:hAnsi="Times New Roman" w:cs="Times New Roman"/>
          <w:b w:val="0"/>
          <w:bCs w:val="0"/>
          <w:color w:val="auto"/>
          <w:sz w:val="22"/>
          <w:szCs w:val="22"/>
          <w:lang w:val="es-ES" w:eastAsia="en-US"/>
        </w:rPr>
        <w:id w:val="1819768631"/>
        <w:docPartObj>
          <w:docPartGallery w:val="Table of Contents"/>
          <w:docPartUnique/>
        </w:docPartObj>
      </w:sdtPr>
      <w:sdtEndPr>
        <w:rPr>
          <w:bCs/>
          <w:lang w:eastAsia="es-GT"/>
        </w:rPr>
      </w:sdtEndPr>
      <w:sdtContent>
        <w:p w14:paraId="77ECEF80" w14:textId="4F3A13CF" w:rsidR="00872FC6" w:rsidRPr="00F615C1" w:rsidRDefault="00872FC6" w:rsidP="00872FC6">
          <w:pPr>
            <w:pStyle w:val="TtuloTDC"/>
            <w:spacing w:before="0" w:line="240" w:lineRule="auto"/>
            <w:jc w:val="center"/>
            <w:rPr>
              <w:rFonts w:ascii="Times New Roman" w:hAnsi="Times New Roman" w:cs="Times New Roman"/>
              <w:color w:val="auto"/>
              <w:sz w:val="22"/>
              <w:szCs w:val="22"/>
              <w:lang w:val="es-ES"/>
            </w:rPr>
          </w:pPr>
          <w:r w:rsidRPr="00F615C1">
            <w:rPr>
              <w:rFonts w:ascii="Times New Roman" w:hAnsi="Times New Roman" w:cs="Times New Roman"/>
              <w:color w:val="auto"/>
              <w:sz w:val="22"/>
              <w:szCs w:val="22"/>
              <w:lang w:val="es-ES"/>
            </w:rPr>
            <w:t>Contenido</w:t>
          </w:r>
        </w:p>
        <w:p w14:paraId="1A29C94C" w14:textId="4C391409" w:rsidR="000D77CC" w:rsidRPr="00A95812" w:rsidRDefault="00872FC6" w:rsidP="000D77CC">
          <w:pPr>
            <w:pStyle w:val="TDC1"/>
            <w:rPr>
              <w:rFonts w:asciiTheme="minorHAnsi" w:eastAsiaTheme="minorEastAsia" w:hAnsiTheme="minorHAnsi" w:cstheme="minorBidi"/>
              <w:bCs w:val="0"/>
              <w:sz w:val="22"/>
              <w:szCs w:val="22"/>
              <w:lang w:eastAsia="es-GT"/>
            </w:rPr>
          </w:pPr>
          <w:r w:rsidRPr="000D77CC">
            <w:rPr>
              <w:sz w:val="22"/>
              <w:szCs w:val="22"/>
            </w:rPr>
            <w:fldChar w:fldCharType="begin"/>
          </w:r>
          <w:r w:rsidRPr="000D77CC">
            <w:rPr>
              <w:sz w:val="22"/>
              <w:szCs w:val="22"/>
            </w:rPr>
            <w:instrText xml:space="preserve"> TOC \o "1-3" \h \z \u </w:instrText>
          </w:r>
          <w:r w:rsidRPr="000D77CC">
            <w:rPr>
              <w:sz w:val="22"/>
              <w:szCs w:val="22"/>
            </w:rPr>
            <w:fldChar w:fldCharType="separate"/>
          </w:r>
          <w:bookmarkStart w:id="0" w:name="_Hlk144880182"/>
          <w:r w:rsidR="00315C8C">
            <w:fldChar w:fldCharType="begin"/>
          </w:r>
          <w:r w:rsidR="00315C8C">
            <w:instrText xml:space="preserve"> HYPERLINK \l "_Toc144114341" </w:instrText>
          </w:r>
          <w:r w:rsidR="00315C8C">
            <w:fldChar w:fldCharType="separate"/>
          </w:r>
          <w:r w:rsidR="000D77CC" w:rsidRPr="00A95812">
            <w:rPr>
              <w:rStyle w:val="Hipervnculo"/>
              <w:b/>
              <w:sz w:val="22"/>
              <w:szCs w:val="22"/>
            </w:rPr>
            <w:t>1.</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Evaluación General del Riesgo Fiscal</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_Toc144114341 \h </w:instrText>
          </w:r>
          <w:r w:rsidR="000D77CC" w:rsidRPr="00A95812">
            <w:rPr>
              <w:webHidden/>
              <w:sz w:val="22"/>
              <w:szCs w:val="22"/>
            </w:rPr>
          </w:r>
          <w:r w:rsidR="000D77CC" w:rsidRPr="00A95812">
            <w:rPr>
              <w:webHidden/>
              <w:sz w:val="22"/>
              <w:szCs w:val="22"/>
            </w:rPr>
            <w:fldChar w:fldCharType="separate"/>
          </w:r>
          <w:r w:rsidR="009E279E">
            <w:rPr>
              <w:webHidden/>
              <w:sz w:val="22"/>
              <w:szCs w:val="22"/>
            </w:rPr>
            <w:t>1</w:t>
          </w:r>
          <w:r w:rsidR="000D77CC" w:rsidRPr="00A95812">
            <w:rPr>
              <w:webHidden/>
              <w:sz w:val="22"/>
              <w:szCs w:val="22"/>
            </w:rPr>
            <w:fldChar w:fldCharType="end"/>
          </w:r>
          <w:r w:rsidR="00315C8C">
            <w:rPr>
              <w:sz w:val="22"/>
              <w:szCs w:val="22"/>
            </w:rPr>
            <w:fldChar w:fldCharType="end"/>
          </w:r>
        </w:p>
        <w:p w14:paraId="501C2347" w14:textId="3A790979"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42" w:history="1">
            <w:r w:rsidR="000D77CC" w:rsidRPr="00A95812">
              <w:rPr>
                <w:rStyle w:val="Hipervnculo"/>
                <w:noProof/>
                <w:sz w:val="22"/>
                <w:szCs w:val="22"/>
              </w:rPr>
              <w:t>1.1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Materialización de riesgos históricos (últimos 5 años)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_Toc144114342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w:t>
            </w:r>
            <w:r w:rsidR="000D77CC" w:rsidRPr="00A95812">
              <w:rPr>
                <w:noProof/>
                <w:webHidden/>
                <w:sz w:val="22"/>
                <w:szCs w:val="22"/>
              </w:rPr>
              <w:fldChar w:fldCharType="end"/>
            </w:r>
          </w:hyperlink>
        </w:p>
        <w:p w14:paraId="62823D3F" w14:textId="43D79E0A"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43" w:history="1">
            <w:r w:rsidR="000D77CC" w:rsidRPr="00A95812">
              <w:rPr>
                <w:rStyle w:val="Hipervnculo"/>
                <w:noProof/>
                <w:sz w:val="22"/>
                <w:szCs w:val="22"/>
              </w:rPr>
              <w:t>1.2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de los riesgos fiscales en los agregados fiscales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_Toc144114343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w:t>
            </w:r>
            <w:r w:rsidR="000D77CC" w:rsidRPr="00A95812">
              <w:rPr>
                <w:noProof/>
                <w:webHidden/>
                <w:sz w:val="22"/>
                <w:szCs w:val="22"/>
              </w:rPr>
              <w:fldChar w:fldCharType="end"/>
            </w:r>
          </w:hyperlink>
        </w:p>
        <w:p w14:paraId="39748DA7" w14:textId="180C93D5"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44" w:history="1">
            <w:r w:rsidR="000D77CC" w:rsidRPr="00A95812">
              <w:rPr>
                <w:rStyle w:val="Hipervnculo"/>
                <w:noProof/>
                <w:sz w:val="22"/>
                <w:szCs w:val="22"/>
              </w:rPr>
              <w:t>1.3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Calificación del Riesgo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_Toc144114344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4</w:t>
            </w:r>
            <w:r w:rsidR="000D77CC" w:rsidRPr="00A95812">
              <w:rPr>
                <w:noProof/>
                <w:webHidden/>
                <w:sz w:val="22"/>
                <w:szCs w:val="22"/>
              </w:rPr>
              <w:fldChar w:fldCharType="end"/>
            </w:r>
          </w:hyperlink>
        </w:p>
        <w:p w14:paraId="476B0B7F" w14:textId="26AC4B8A"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45" w:history="1">
            <w:r w:rsidR="000D77CC" w:rsidRPr="00A95812">
              <w:rPr>
                <w:rStyle w:val="Hipervnculo"/>
                <w:noProof/>
                <w:sz w:val="22"/>
                <w:szCs w:val="22"/>
              </w:rPr>
              <w:t>1.4</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Medidas de Mitigación de Riesgos y Constitución de Provisiones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_Toc144114345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5</w:t>
            </w:r>
            <w:r w:rsidR="000D77CC" w:rsidRPr="00A95812">
              <w:rPr>
                <w:noProof/>
                <w:webHidden/>
                <w:sz w:val="22"/>
                <w:szCs w:val="22"/>
              </w:rPr>
              <w:fldChar w:fldCharType="end"/>
            </w:r>
          </w:hyperlink>
        </w:p>
        <w:p w14:paraId="70A4DA14" w14:textId="04F901D0"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346" w:history="1">
            <w:r w:rsidR="000D77CC" w:rsidRPr="00A95812">
              <w:rPr>
                <w:rStyle w:val="Hipervnculo"/>
                <w:b/>
                <w:sz w:val="22"/>
                <w:szCs w:val="22"/>
              </w:rPr>
              <w:t>2.</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Riesgos</w:t>
            </w:r>
            <w:r w:rsidR="000D77CC" w:rsidRPr="00A95812">
              <w:rPr>
                <w:rStyle w:val="Hipervnculo"/>
                <w:b/>
                <w:sz w:val="22"/>
                <w:szCs w:val="22"/>
              </w:rPr>
              <w:t xml:space="preserve"> </w:t>
            </w:r>
            <w:r w:rsidR="000D77CC" w:rsidRPr="00A95812">
              <w:rPr>
                <w:rStyle w:val="Hipervnculo"/>
                <w:b/>
                <w:sz w:val="22"/>
                <w:szCs w:val="22"/>
              </w:rPr>
              <w:t>Macroeconómicos</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_Toc144114346 \h </w:instrText>
            </w:r>
            <w:r w:rsidR="000D77CC" w:rsidRPr="00A95812">
              <w:rPr>
                <w:webHidden/>
                <w:sz w:val="22"/>
                <w:szCs w:val="22"/>
              </w:rPr>
            </w:r>
            <w:r w:rsidR="000D77CC" w:rsidRPr="00A95812">
              <w:rPr>
                <w:webHidden/>
                <w:sz w:val="22"/>
                <w:szCs w:val="22"/>
              </w:rPr>
              <w:fldChar w:fldCharType="separate"/>
            </w:r>
            <w:r w:rsidR="009E279E">
              <w:rPr>
                <w:webHidden/>
                <w:sz w:val="22"/>
                <w:szCs w:val="22"/>
              </w:rPr>
              <w:t>7</w:t>
            </w:r>
            <w:r w:rsidR="000D77CC" w:rsidRPr="00A95812">
              <w:rPr>
                <w:webHidden/>
                <w:sz w:val="22"/>
                <w:szCs w:val="22"/>
              </w:rPr>
              <w:fldChar w:fldCharType="end"/>
            </w:r>
          </w:hyperlink>
        </w:p>
        <w:p w14:paraId="7F4F3463" w14:textId="13CEEFC5"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48" w:history="1">
            <w:r w:rsidR="000D77CC" w:rsidRPr="00A95812">
              <w:rPr>
                <w:rStyle w:val="Hipervnculo"/>
                <w:noProof/>
                <w:sz w:val="22"/>
                <w:szCs w:val="22"/>
              </w:rPr>
              <w:t>2.1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Riesgos en el sector externo. Desviaciones en los pronósticos de la economía mundial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_Toc144114348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7</w:t>
            </w:r>
            <w:r w:rsidR="000D77CC" w:rsidRPr="00A95812">
              <w:rPr>
                <w:noProof/>
                <w:webHidden/>
                <w:sz w:val="22"/>
                <w:szCs w:val="22"/>
              </w:rPr>
              <w:fldChar w:fldCharType="end"/>
            </w:r>
          </w:hyperlink>
        </w:p>
        <w:p w14:paraId="1C99B560" w14:textId="03DB2E82"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49" w:history="1">
            <w:r w:rsidR="000D77CC" w:rsidRPr="00A95812">
              <w:rPr>
                <w:rStyle w:val="Hipervnculo"/>
                <w:noProof/>
                <w:sz w:val="22"/>
                <w:szCs w:val="22"/>
              </w:rPr>
              <w:t>2.1.1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Volatilidad en los precios de las materias primas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_Toc144114349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9</w:t>
            </w:r>
            <w:r w:rsidR="000D77CC" w:rsidRPr="00A95812">
              <w:rPr>
                <w:noProof/>
                <w:webHidden/>
                <w:sz w:val="22"/>
                <w:szCs w:val="22"/>
              </w:rPr>
              <w:fldChar w:fldCharType="end"/>
            </w:r>
          </w:hyperlink>
        </w:p>
        <w:p w14:paraId="4FCFDDA5" w14:textId="1F14BB2B"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50" w:history="1">
            <w:r w:rsidR="000D77CC" w:rsidRPr="00A95812">
              <w:rPr>
                <w:rStyle w:val="Hipervnculo"/>
                <w:noProof/>
                <w:sz w:val="22"/>
                <w:szCs w:val="22"/>
              </w:rPr>
              <w:t>2.1.2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Alta volatilidad en los mercados financieros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10</w:t>
            </w:r>
            <w:r w:rsidR="000D77CC" w:rsidRPr="00A95812">
              <w:rPr>
                <w:noProof/>
                <w:webHidden/>
                <w:sz w:val="22"/>
                <w:szCs w:val="22"/>
              </w:rPr>
              <w:fldChar w:fldCharType="end"/>
            </w:r>
          </w:hyperlink>
        </w:p>
        <w:p w14:paraId="7476DE80" w14:textId="2E0CB939"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51" w:history="1">
            <w:r w:rsidR="000D77CC" w:rsidRPr="00A95812">
              <w:rPr>
                <w:rStyle w:val="Hipervnculo"/>
                <w:noProof/>
                <w:sz w:val="22"/>
                <w:szCs w:val="22"/>
              </w:rPr>
              <w:t>2.1.3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Riesgos en la economía nacional. Desviaciones de los pronósticos macroeconómicos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w:t>
            </w:r>
            <w:r w:rsidR="000D77CC" w:rsidRPr="00A95812">
              <w:rPr>
                <w:noProof/>
                <w:webHidden/>
                <w:sz w:val="22"/>
                <w:szCs w:val="22"/>
              </w:rPr>
              <w:fldChar w:fldCharType="end"/>
            </w:r>
          </w:hyperlink>
        </w:p>
        <w:p w14:paraId="0F42D35B" w14:textId="7B2581A0"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52" w:history="1">
            <w:r w:rsidR="000D77CC" w:rsidRPr="00A95812">
              <w:rPr>
                <w:rStyle w:val="Hipervnculo"/>
                <w:noProof/>
                <w:sz w:val="22"/>
                <w:szCs w:val="22"/>
              </w:rPr>
              <w:t>2.1.4</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Riesgos en las variables fiscales. Desviaciones de los pronósticos establecidos en los presupuestos multianuales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14</w:t>
            </w:r>
            <w:r w:rsidR="000D77CC" w:rsidRPr="00A95812">
              <w:rPr>
                <w:noProof/>
                <w:webHidden/>
                <w:sz w:val="22"/>
                <w:szCs w:val="22"/>
              </w:rPr>
              <w:fldChar w:fldCharType="end"/>
            </w:r>
          </w:hyperlink>
        </w:p>
        <w:p w14:paraId="11B31178" w14:textId="04CC010C"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53" w:history="1">
            <w:r w:rsidR="000D77CC" w:rsidRPr="00A95812">
              <w:rPr>
                <w:rStyle w:val="Hipervnculo"/>
                <w:bCs/>
                <w:noProof/>
                <w:sz w:val="22"/>
                <w:szCs w:val="22"/>
              </w:rPr>
              <w:t>2.1.4.1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Ingresos Tributarios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15</w:t>
            </w:r>
            <w:r w:rsidR="000D77CC" w:rsidRPr="00A95812">
              <w:rPr>
                <w:noProof/>
                <w:webHidden/>
                <w:sz w:val="22"/>
                <w:szCs w:val="22"/>
              </w:rPr>
              <w:fldChar w:fldCharType="end"/>
            </w:r>
          </w:hyperlink>
        </w:p>
        <w:p w14:paraId="1DB1E00B" w14:textId="4C2DC74F"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54" w:history="1">
            <w:r w:rsidR="000D77CC" w:rsidRPr="00A95812">
              <w:rPr>
                <w:rStyle w:val="Hipervnculo"/>
                <w:bCs/>
                <w:noProof/>
                <w:sz w:val="22"/>
                <w:szCs w:val="22"/>
              </w:rPr>
              <w:t>2.1.4.2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Gasto Público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17</w:t>
            </w:r>
            <w:r w:rsidR="000D77CC" w:rsidRPr="00A95812">
              <w:rPr>
                <w:noProof/>
                <w:webHidden/>
                <w:sz w:val="22"/>
                <w:szCs w:val="22"/>
              </w:rPr>
              <w:fldChar w:fldCharType="end"/>
            </w:r>
          </w:hyperlink>
        </w:p>
        <w:p w14:paraId="4BECC95B" w14:textId="01314335"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55" w:history="1">
            <w:r w:rsidR="000D77CC" w:rsidRPr="00A95812">
              <w:rPr>
                <w:rStyle w:val="Hipervnculo"/>
                <w:bCs/>
                <w:noProof/>
                <w:sz w:val="22"/>
                <w:szCs w:val="22"/>
              </w:rPr>
              <w:t>2.1.4.3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Déficit Fiscal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18</w:t>
            </w:r>
            <w:r w:rsidR="000D77CC" w:rsidRPr="00A95812">
              <w:rPr>
                <w:noProof/>
                <w:webHidden/>
                <w:sz w:val="22"/>
                <w:szCs w:val="22"/>
              </w:rPr>
              <w:fldChar w:fldCharType="end"/>
            </w:r>
          </w:hyperlink>
        </w:p>
        <w:p w14:paraId="55F58D36" w14:textId="6317690B"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56" w:history="1">
            <w:r w:rsidR="000D77CC" w:rsidRPr="00A95812">
              <w:rPr>
                <w:rStyle w:val="Hipervnculo"/>
                <w:bCs/>
                <w:noProof/>
                <w:sz w:val="22"/>
                <w:szCs w:val="22"/>
              </w:rPr>
              <w:t xml:space="preserve">2.1.4.4 </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Techos Indicativos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20</w:t>
            </w:r>
            <w:r w:rsidR="000D77CC" w:rsidRPr="00A95812">
              <w:rPr>
                <w:noProof/>
                <w:webHidden/>
                <w:sz w:val="22"/>
                <w:szCs w:val="22"/>
              </w:rPr>
              <w:fldChar w:fldCharType="end"/>
            </w:r>
          </w:hyperlink>
        </w:p>
        <w:p w14:paraId="483732B3" w14:textId="7FE75AEE"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57" w:history="1">
            <w:r w:rsidR="000D77CC" w:rsidRPr="00A95812">
              <w:rPr>
                <w:rStyle w:val="Hipervnculo"/>
                <w:bCs/>
                <w:noProof/>
                <w:sz w:val="22"/>
                <w:szCs w:val="22"/>
              </w:rPr>
              <w:t>2.1.4.5</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Medidas de aprovisionamiento y mitigación de riesgos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22</w:t>
            </w:r>
            <w:r w:rsidR="000D77CC" w:rsidRPr="00A95812">
              <w:rPr>
                <w:noProof/>
                <w:webHidden/>
                <w:sz w:val="22"/>
                <w:szCs w:val="22"/>
              </w:rPr>
              <w:fldChar w:fldCharType="end"/>
            </w:r>
          </w:hyperlink>
        </w:p>
        <w:p w14:paraId="08A0CDF4" w14:textId="530E9F34"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58" w:history="1">
            <w:r w:rsidR="000D77CC" w:rsidRPr="00A95812">
              <w:rPr>
                <w:rStyle w:val="Hipervnculo"/>
                <w:noProof/>
                <w:sz w:val="22"/>
                <w:szCs w:val="22"/>
              </w:rPr>
              <w:t>2.2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Riesgos asociados crecimiento económico e inflación</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23</w:t>
            </w:r>
            <w:r w:rsidR="000D77CC" w:rsidRPr="00A95812">
              <w:rPr>
                <w:noProof/>
                <w:webHidden/>
                <w:sz w:val="22"/>
                <w:szCs w:val="22"/>
              </w:rPr>
              <w:fldChar w:fldCharType="end"/>
            </w:r>
          </w:hyperlink>
        </w:p>
        <w:p w14:paraId="1C09C3B6" w14:textId="076EBC3C"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59" w:history="1">
            <w:r w:rsidR="000D77CC" w:rsidRPr="00A95812">
              <w:rPr>
                <w:rStyle w:val="Hipervnculo"/>
                <w:noProof/>
                <w:sz w:val="22"/>
                <w:szCs w:val="22"/>
              </w:rPr>
              <w:t>2.2.1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de una disminución del crecimiento económico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_Toc144114359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24</w:t>
            </w:r>
            <w:r w:rsidR="000D77CC" w:rsidRPr="00A95812">
              <w:rPr>
                <w:noProof/>
                <w:webHidden/>
                <w:sz w:val="22"/>
                <w:szCs w:val="22"/>
              </w:rPr>
              <w:fldChar w:fldCharType="end"/>
            </w:r>
          </w:hyperlink>
        </w:p>
        <w:p w14:paraId="3DA5EE31" w14:textId="47226273"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60" w:history="1">
            <w:r w:rsidR="000D77CC" w:rsidRPr="00A95812">
              <w:rPr>
                <w:rStyle w:val="Hipervnculo"/>
                <w:noProof/>
                <w:sz w:val="22"/>
                <w:szCs w:val="22"/>
              </w:rPr>
              <w:t>2.2.2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de una disminución en la inflación en el escenario fiscal de mediano plazo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25</w:t>
            </w:r>
            <w:r w:rsidR="000D77CC" w:rsidRPr="00A95812">
              <w:rPr>
                <w:noProof/>
                <w:webHidden/>
                <w:sz w:val="22"/>
                <w:szCs w:val="22"/>
              </w:rPr>
              <w:fldChar w:fldCharType="end"/>
            </w:r>
          </w:hyperlink>
        </w:p>
        <w:p w14:paraId="21AF95CF" w14:textId="5EB7AAEB"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61" w:history="1">
            <w:r w:rsidR="000D77CC" w:rsidRPr="00A95812">
              <w:rPr>
                <w:rStyle w:val="Hipervnculo"/>
                <w:noProof/>
                <w:sz w:val="22"/>
                <w:szCs w:val="22"/>
              </w:rPr>
              <w:t>2.3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Riesgos asociados al tipo de cambio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26</w:t>
            </w:r>
            <w:r w:rsidR="000D77CC" w:rsidRPr="00A95812">
              <w:rPr>
                <w:noProof/>
                <w:webHidden/>
                <w:sz w:val="22"/>
                <w:szCs w:val="22"/>
              </w:rPr>
              <w:fldChar w:fldCharType="end"/>
            </w:r>
          </w:hyperlink>
        </w:p>
        <w:p w14:paraId="6812EF07" w14:textId="5EC3643D"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62" w:history="1">
            <w:r w:rsidR="000D77CC" w:rsidRPr="00A95812">
              <w:rPr>
                <w:rStyle w:val="Hipervnculo"/>
                <w:noProof/>
                <w:sz w:val="22"/>
                <w:szCs w:val="22"/>
              </w:rPr>
              <w:t>2.3.1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de una apreciación en las cuentas fiscales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27</w:t>
            </w:r>
            <w:r w:rsidR="000D77CC" w:rsidRPr="00A95812">
              <w:rPr>
                <w:noProof/>
                <w:webHidden/>
                <w:sz w:val="22"/>
                <w:szCs w:val="22"/>
              </w:rPr>
              <w:fldChar w:fldCharType="end"/>
            </w:r>
          </w:hyperlink>
        </w:p>
        <w:p w14:paraId="3968CEAA" w14:textId="76FC0163"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63" w:history="1">
            <w:r w:rsidR="000D77CC" w:rsidRPr="00A95812">
              <w:rPr>
                <w:rStyle w:val="Hipervnculo"/>
                <w:bCs/>
                <w:noProof/>
                <w:sz w:val="22"/>
                <w:szCs w:val="22"/>
              </w:rPr>
              <w:t>2.3.1.1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la recaudación</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27</w:t>
            </w:r>
            <w:r w:rsidR="000D77CC" w:rsidRPr="00A95812">
              <w:rPr>
                <w:noProof/>
                <w:webHidden/>
                <w:sz w:val="22"/>
                <w:szCs w:val="22"/>
              </w:rPr>
              <w:fldChar w:fldCharType="end"/>
            </w:r>
          </w:hyperlink>
        </w:p>
        <w:p w14:paraId="04CD118C" w14:textId="460AE1D8"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64" w:history="1">
            <w:r w:rsidR="000D77CC" w:rsidRPr="00A95812">
              <w:rPr>
                <w:rStyle w:val="Hipervnculo"/>
                <w:bCs/>
                <w:noProof/>
                <w:sz w:val="22"/>
                <w:szCs w:val="22"/>
              </w:rPr>
              <w:t>2.3.1.2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el gasto público (intereses y otros gastos)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27</w:t>
            </w:r>
            <w:r w:rsidR="000D77CC" w:rsidRPr="00A95812">
              <w:rPr>
                <w:noProof/>
                <w:webHidden/>
                <w:sz w:val="22"/>
                <w:szCs w:val="22"/>
              </w:rPr>
              <w:fldChar w:fldCharType="end"/>
            </w:r>
          </w:hyperlink>
        </w:p>
        <w:p w14:paraId="4A26EDC4" w14:textId="4DF3DC99"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65" w:history="1">
            <w:r w:rsidR="000D77CC" w:rsidRPr="00A95812">
              <w:rPr>
                <w:rStyle w:val="Hipervnculo"/>
                <w:bCs/>
                <w:noProof/>
                <w:sz w:val="22"/>
                <w:szCs w:val="22"/>
              </w:rPr>
              <w:t>2.3.1.3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el saldo de la deuda pública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28</w:t>
            </w:r>
            <w:r w:rsidR="000D77CC" w:rsidRPr="00A95812">
              <w:rPr>
                <w:noProof/>
                <w:webHidden/>
                <w:sz w:val="22"/>
                <w:szCs w:val="22"/>
              </w:rPr>
              <w:fldChar w:fldCharType="end"/>
            </w:r>
          </w:hyperlink>
        </w:p>
        <w:p w14:paraId="527C6419" w14:textId="54A2640E"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66" w:history="1">
            <w:r w:rsidR="000D77CC" w:rsidRPr="00A95812">
              <w:rPr>
                <w:rStyle w:val="Hipervnculo"/>
                <w:noProof/>
                <w:sz w:val="22"/>
                <w:szCs w:val="22"/>
              </w:rPr>
              <w:t>2.3.2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de una depreciación en las cuentas fiscales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29</w:t>
            </w:r>
            <w:r w:rsidR="000D77CC" w:rsidRPr="00A95812">
              <w:rPr>
                <w:noProof/>
                <w:webHidden/>
                <w:sz w:val="22"/>
                <w:szCs w:val="22"/>
              </w:rPr>
              <w:fldChar w:fldCharType="end"/>
            </w:r>
          </w:hyperlink>
        </w:p>
        <w:p w14:paraId="09190281" w14:textId="4F63D1DD"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67" w:history="1">
            <w:r w:rsidR="000D77CC" w:rsidRPr="00A95812">
              <w:rPr>
                <w:rStyle w:val="Hipervnculo"/>
                <w:bCs/>
                <w:noProof/>
                <w:sz w:val="22"/>
                <w:szCs w:val="22"/>
              </w:rPr>
              <w:t>2.3.2.1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la recaudación</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29</w:t>
            </w:r>
            <w:r w:rsidR="000D77CC" w:rsidRPr="00A95812">
              <w:rPr>
                <w:noProof/>
                <w:webHidden/>
                <w:sz w:val="22"/>
                <w:szCs w:val="22"/>
              </w:rPr>
              <w:fldChar w:fldCharType="end"/>
            </w:r>
          </w:hyperlink>
        </w:p>
        <w:p w14:paraId="1F81C62A" w14:textId="455A017E"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68" w:history="1">
            <w:r w:rsidR="000D77CC" w:rsidRPr="00A95812">
              <w:rPr>
                <w:rStyle w:val="Hipervnculo"/>
                <w:bCs/>
                <w:noProof/>
                <w:sz w:val="22"/>
                <w:szCs w:val="22"/>
              </w:rPr>
              <w:t>2.3.2.2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el gasto público (intereses y otros gastos)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29</w:t>
            </w:r>
            <w:r w:rsidR="000D77CC" w:rsidRPr="00A95812">
              <w:rPr>
                <w:noProof/>
                <w:webHidden/>
                <w:sz w:val="22"/>
                <w:szCs w:val="22"/>
              </w:rPr>
              <w:fldChar w:fldCharType="end"/>
            </w:r>
          </w:hyperlink>
        </w:p>
        <w:p w14:paraId="509BEEAE" w14:textId="4C53C484"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69" w:history="1">
            <w:r w:rsidR="000D77CC" w:rsidRPr="00A95812">
              <w:rPr>
                <w:rStyle w:val="Hipervnculo"/>
                <w:bCs/>
                <w:noProof/>
                <w:sz w:val="22"/>
                <w:szCs w:val="22"/>
              </w:rPr>
              <w:t>2.3.2.3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el saldo de la deuda pública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_Toc144114369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30</w:t>
            </w:r>
            <w:r w:rsidR="000D77CC" w:rsidRPr="00A95812">
              <w:rPr>
                <w:noProof/>
                <w:webHidden/>
                <w:sz w:val="22"/>
                <w:szCs w:val="22"/>
              </w:rPr>
              <w:fldChar w:fldCharType="end"/>
            </w:r>
          </w:hyperlink>
        </w:p>
        <w:p w14:paraId="0920769C" w14:textId="2B48DC16"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70" w:history="1">
            <w:r w:rsidR="000D77CC" w:rsidRPr="00A95812">
              <w:rPr>
                <w:rStyle w:val="Hipervnculo"/>
                <w:noProof/>
                <w:sz w:val="22"/>
                <w:szCs w:val="22"/>
              </w:rPr>
              <w:t>2.4</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Riesgos asociados a la tasa de interés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_Toc144114370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31</w:t>
            </w:r>
            <w:r w:rsidR="000D77CC" w:rsidRPr="00A95812">
              <w:rPr>
                <w:noProof/>
                <w:webHidden/>
                <w:sz w:val="22"/>
                <w:szCs w:val="22"/>
              </w:rPr>
              <w:fldChar w:fldCharType="end"/>
            </w:r>
          </w:hyperlink>
        </w:p>
        <w:p w14:paraId="3D72F9A4" w14:textId="32AE5C31"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71" w:history="1">
            <w:r w:rsidR="000D77CC" w:rsidRPr="00A95812">
              <w:rPr>
                <w:rStyle w:val="Hipervnculo"/>
                <w:noProof/>
                <w:sz w:val="22"/>
                <w:szCs w:val="22"/>
              </w:rPr>
              <w:t>2.4.1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Estimación de los riesgos fiscales de la tasa de interés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_Toc144114371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32</w:t>
            </w:r>
            <w:r w:rsidR="000D77CC" w:rsidRPr="00A95812">
              <w:rPr>
                <w:noProof/>
                <w:webHidden/>
                <w:sz w:val="22"/>
                <w:szCs w:val="22"/>
              </w:rPr>
              <w:fldChar w:fldCharType="end"/>
            </w:r>
          </w:hyperlink>
        </w:p>
        <w:p w14:paraId="7EDFE08A" w14:textId="44C7300C"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72" w:history="1">
            <w:r w:rsidR="000D77CC" w:rsidRPr="00A95812">
              <w:rPr>
                <w:rStyle w:val="Hipervnculo"/>
                <w:noProof/>
                <w:sz w:val="22"/>
                <w:szCs w:val="22"/>
              </w:rPr>
              <w:t>2.4.2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Riegos asociados a las variaciones en los precios internacionales del petróleo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_Toc144114372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34</w:t>
            </w:r>
            <w:r w:rsidR="000D77CC" w:rsidRPr="00A95812">
              <w:rPr>
                <w:noProof/>
                <w:webHidden/>
                <w:sz w:val="22"/>
                <w:szCs w:val="22"/>
              </w:rPr>
              <w:fldChar w:fldCharType="end"/>
            </w:r>
          </w:hyperlink>
        </w:p>
        <w:p w14:paraId="6DB617C6" w14:textId="482B93FA"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73" w:history="1">
            <w:r w:rsidR="000D77CC" w:rsidRPr="00A95812">
              <w:rPr>
                <w:rStyle w:val="Hipervnculo"/>
                <w:noProof/>
                <w:sz w:val="22"/>
                <w:szCs w:val="22"/>
              </w:rPr>
              <w:t>2.4.3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las finanzas públicas por alza en los precios del petróleo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_Toc144114373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34</w:t>
            </w:r>
            <w:r w:rsidR="000D77CC" w:rsidRPr="00A95812">
              <w:rPr>
                <w:noProof/>
                <w:webHidden/>
                <w:sz w:val="22"/>
                <w:szCs w:val="22"/>
              </w:rPr>
              <w:fldChar w:fldCharType="end"/>
            </w:r>
          </w:hyperlink>
        </w:p>
        <w:p w14:paraId="7DBAFAB1" w14:textId="7D9D54B7"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74" w:history="1">
            <w:r w:rsidR="000D77CC" w:rsidRPr="00A95812">
              <w:rPr>
                <w:rStyle w:val="Hipervnculo"/>
                <w:noProof/>
                <w:sz w:val="22"/>
                <w:szCs w:val="22"/>
              </w:rPr>
              <w:t>2.4.4</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fiscal por una disminución en los precios del petróleo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_Toc144114374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38</w:t>
            </w:r>
            <w:r w:rsidR="000D77CC" w:rsidRPr="00A95812">
              <w:rPr>
                <w:noProof/>
                <w:webHidden/>
                <w:sz w:val="22"/>
                <w:szCs w:val="22"/>
              </w:rPr>
              <w:fldChar w:fldCharType="end"/>
            </w:r>
          </w:hyperlink>
        </w:p>
        <w:p w14:paraId="09304A92" w14:textId="2246B9C5"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75" w:history="1">
            <w:r w:rsidR="000D77CC" w:rsidRPr="00A95812">
              <w:rPr>
                <w:rStyle w:val="Hipervnculo"/>
                <w:noProof/>
                <w:sz w:val="22"/>
                <w:szCs w:val="22"/>
              </w:rPr>
              <w:t>2.5</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Riesgos fiscales asociados al surgimiento de las variantes del COVID-19</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_Toc144114375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39</w:t>
            </w:r>
            <w:r w:rsidR="000D77CC" w:rsidRPr="00A95812">
              <w:rPr>
                <w:noProof/>
                <w:webHidden/>
                <w:sz w:val="22"/>
                <w:szCs w:val="22"/>
              </w:rPr>
              <w:fldChar w:fldCharType="end"/>
            </w:r>
          </w:hyperlink>
        </w:p>
        <w:p w14:paraId="1CA976AB" w14:textId="4611689B"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376" w:history="1">
            <w:r w:rsidR="000D77CC" w:rsidRPr="00A95812">
              <w:rPr>
                <w:rStyle w:val="Hipervnculo"/>
                <w:b/>
                <w:sz w:val="22"/>
                <w:szCs w:val="22"/>
              </w:rPr>
              <w:t>3.</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Riesgos Fiscales de la Deuda Pública de Guatemala</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_Toc144114376 \h </w:instrText>
            </w:r>
            <w:r w:rsidR="000D77CC" w:rsidRPr="00A95812">
              <w:rPr>
                <w:webHidden/>
                <w:sz w:val="22"/>
                <w:szCs w:val="22"/>
              </w:rPr>
            </w:r>
            <w:r w:rsidR="000D77CC" w:rsidRPr="00A95812">
              <w:rPr>
                <w:webHidden/>
                <w:sz w:val="22"/>
                <w:szCs w:val="22"/>
              </w:rPr>
              <w:fldChar w:fldCharType="separate"/>
            </w:r>
            <w:r w:rsidR="009E279E">
              <w:rPr>
                <w:webHidden/>
                <w:sz w:val="22"/>
                <w:szCs w:val="22"/>
              </w:rPr>
              <w:t>43</w:t>
            </w:r>
            <w:r w:rsidR="000D77CC" w:rsidRPr="00A95812">
              <w:rPr>
                <w:webHidden/>
                <w:sz w:val="22"/>
                <w:szCs w:val="22"/>
              </w:rPr>
              <w:fldChar w:fldCharType="end"/>
            </w:r>
          </w:hyperlink>
        </w:p>
        <w:p w14:paraId="2C3A375E" w14:textId="479B0623"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80" w:history="1">
            <w:r w:rsidR="000D77CC" w:rsidRPr="00A95812">
              <w:rPr>
                <w:rStyle w:val="Hipervnculo"/>
                <w:noProof/>
                <w:sz w:val="22"/>
                <w:szCs w:val="22"/>
              </w:rPr>
              <w:t>3.1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Estándares internacionales para indicadores de riesgo de la deuda pública para los países con acceso al mercado de capitales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_Toc144114380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45</w:t>
            </w:r>
            <w:r w:rsidR="000D77CC" w:rsidRPr="00A95812">
              <w:rPr>
                <w:noProof/>
                <w:webHidden/>
                <w:sz w:val="22"/>
                <w:szCs w:val="22"/>
              </w:rPr>
              <w:fldChar w:fldCharType="end"/>
            </w:r>
          </w:hyperlink>
        </w:p>
        <w:p w14:paraId="506AE24C" w14:textId="5E85BA6C"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81" w:history="1">
            <w:r w:rsidR="000D77CC" w:rsidRPr="00A95812">
              <w:rPr>
                <w:rStyle w:val="Hipervnculo"/>
                <w:noProof/>
                <w:sz w:val="22"/>
                <w:szCs w:val="22"/>
              </w:rPr>
              <w:t>3.2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Indicadores de la deuda pública para Guatemala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_Toc144114381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45</w:t>
            </w:r>
            <w:r w:rsidR="000D77CC" w:rsidRPr="00A95812">
              <w:rPr>
                <w:noProof/>
                <w:webHidden/>
                <w:sz w:val="22"/>
                <w:szCs w:val="22"/>
              </w:rPr>
              <w:fldChar w:fldCharType="end"/>
            </w:r>
          </w:hyperlink>
        </w:p>
        <w:p w14:paraId="2F784C96" w14:textId="01EC8314"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82" w:history="1">
            <w:r w:rsidR="000D77CC" w:rsidRPr="00A95812">
              <w:rPr>
                <w:rStyle w:val="Hipervnculo"/>
                <w:noProof/>
                <w:sz w:val="22"/>
                <w:szCs w:val="22"/>
              </w:rPr>
              <w:t>3.3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Comparativo con otros países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_Toc144114382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48</w:t>
            </w:r>
            <w:r w:rsidR="000D77CC" w:rsidRPr="00A95812">
              <w:rPr>
                <w:noProof/>
                <w:webHidden/>
                <w:sz w:val="22"/>
                <w:szCs w:val="22"/>
              </w:rPr>
              <w:fldChar w:fldCharType="end"/>
            </w:r>
          </w:hyperlink>
        </w:p>
        <w:p w14:paraId="351EDB34" w14:textId="53EE491D"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383" w:history="1">
            <w:r w:rsidR="000D77CC" w:rsidRPr="00A95812">
              <w:rPr>
                <w:rStyle w:val="Hipervnculo"/>
                <w:b/>
                <w:sz w:val="22"/>
                <w:szCs w:val="22"/>
              </w:rPr>
              <w:t>4.</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Análisis de Sostenibilidad de la Deuda</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_Toc144114383 \h </w:instrText>
            </w:r>
            <w:r w:rsidR="000D77CC" w:rsidRPr="00A95812">
              <w:rPr>
                <w:webHidden/>
                <w:sz w:val="22"/>
                <w:szCs w:val="22"/>
              </w:rPr>
            </w:r>
            <w:r w:rsidR="000D77CC" w:rsidRPr="00A95812">
              <w:rPr>
                <w:webHidden/>
                <w:sz w:val="22"/>
                <w:szCs w:val="22"/>
              </w:rPr>
              <w:fldChar w:fldCharType="separate"/>
            </w:r>
            <w:r w:rsidR="009E279E">
              <w:rPr>
                <w:webHidden/>
                <w:sz w:val="22"/>
                <w:szCs w:val="22"/>
              </w:rPr>
              <w:t>50</w:t>
            </w:r>
            <w:r w:rsidR="000D77CC" w:rsidRPr="00A95812">
              <w:rPr>
                <w:webHidden/>
                <w:sz w:val="22"/>
                <w:szCs w:val="22"/>
              </w:rPr>
              <w:fldChar w:fldCharType="end"/>
            </w:r>
          </w:hyperlink>
        </w:p>
        <w:p w14:paraId="7BCC2304" w14:textId="6D082AE5"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86" w:history="1">
            <w:r w:rsidR="000D77CC" w:rsidRPr="00A95812">
              <w:rPr>
                <w:rStyle w:val="Hipervnculo"/>
                <w:noProof/>
                <w:sz w:val="22"/>
                <w:szCs w:val="22"/>
              </w:rPr>
              <w:t>4.1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Análisis de mediano plazo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_Toc144114386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50</w:t>
            </w:r>
            <w:r w:rsidR="000D77CC" w:rsidRPr="00A95812">
              <w:rPr>
                <w:noProof/>
                <w:webHidden/>
                <w:sz w:val="22"/>
                <w:szCs w:val="22"/>
              </w:rPr>
              <w:fldChar w:fldCharType="end"/>
            </w:r>
          </w:hyperlink>
        </w:p>
        <w:p w14:paraId="61685B72" w14:textId="5EF13C18"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87" w:history="1">
            <w:r w:rsidR="000D77CC" w:rsidRPr="00A95812">
              <w:rPr>
                <w:rStyle w:val="Hipervnculo"/>
                <w:noProof/>
                <w:sz w:val="22"/>
                <w:szCs w:val="22"/>
              </w:rPr>
              <w:t>4.2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Análisis de largo plazo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_Toc144114387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55</w:t>
            </w:r>
            <w:r w:rsidR="000D77CC" w:rsidRPr="00A95812">
              <w:rPr>
                <w:noProof/>
                <w:webHidden/>
                <w:sz w:val="22"/>
                <w:szCs w:val="22"/>
              </w:rPr>
              <w:fldChar w:fldCharType="end"/>
            </w:r>
          </w:hyperlink>
        </w:p>
        <w:p w14:paraId="7B88FC27" w14:textId="5CCF4768"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388" w:history="1">
            <w:r w:rsidR="000D77CC" w:rsidRPr="00A95812">
              <w:rPr>
                <w:rStyle w:val="Hipervnculo"/>
                <w:b/>
                <w:sz w:val="22"/>
                <w:szCs w:val="22"/>
              </w:rPr>
              <w:t>5.</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Riesgos por sistemas previsionales</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_Toc144114388 \h </w:instrText>
            </w:r>
            <w:r w:rsidR="000D77CC" w:rsidRPr="00A95812">
              <w:rPr>
                <w:webHidden/>
                <w:sz w:val="22"/>
                <w:szCs w:val="22"/>
              </w:rPr>
            </w:r>
            <w:r w:rsidR="000D77CC" w:rsidRPr="00A95812">
              <w:rPr>
                <w:webHidden/>
                <w:sz w:val="22"/>
                <w:szCs w:val="22"/>
              </w:rPr>
              <w:fldChar w:fldCharType="separate"/>
            </w:r>
            <w:r w:rsidR="009E279E">
              <w:rPr>
                <w:webHidden/>
                <w:sz w:val="22"/>
                <w:szCs w:val="22"/>
              </w:rPr>
              <w:t>57</w:t>
            </w:r>
            <w:r w:rsidR="000D77CC" w:rsidRPr="00A95812">
              <w:rPr>
                <w:webHidden/>
                <w:sz w:val="22"/>
                <w:szCs w:val="22"/>
              </w:rPr>
              <w:fldChar w:fldCharType="end"/>
            </w:r>
          </w:hyperlink>
        </w:p>
        <w:p w14:paraId="513E58E8" w14:textId="714E3FEE"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90" w:history="1">
            <w:r w:rsidR="000D77CC" w:rsidRPr="00A95812">
              <w:rPr>
                <w:rStyle w:val="Hipervnculo"/>
                <w:noProof/>
                <w:sz w:val="22"/>
                <w:szCs w:val="22"/>
              </w:rPr>
              <w:t>5.1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Régimen de Clases Pasivas del Estado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_Toc144114390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58</w:t>
            </w:r>
            <w:r w:rsidR="000D77CC" w:rsidRPr="00A95812">
              <w:rPr>
                <w:noProof/>
                <w:webHidden/>
                <w:sz w:val="22"/>
                <w:szCs w:val="22"/>
              </w:rPr>
              <w:fldChar w:fldCharType="end"/>
            </w:r>
          </w:hyperlink>
        </w:p>
        <w:p w14:paraId="5FE5961E" w14:textId="6FAA5A2D"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91" w:history="1">
            <w:r w:rsidR="000D77CC" w:rsidRPr="00A95812">
              <w:rPr>
                <w:rStyle w:val="Hipervnculo"/>
                <w:noProof/>
                <w:sz w:val="22"/>
                <w:szCs w:val="22"/>
              </w:rPr>
              <w:t>5.1.1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Afiliados y beneficiarios del régimen</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_Toc144114391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58</w:t>
            </w:r>
            <w:r w:rsidR="000D77CC" w:rsidRPr="00A95812">
              <w:rPr>
                <w:noProof/>
                <w:webHidden/>
                <w:sz w:val="22"/>
                <w:szCs w:val="22"/>
              </w:rPr>
              <w:fldChar w:fldCharType="end"/>
            </w:r>
          </w:hyperlink>
        </w:p>
        <w:p w14:paraId="05BCF4F0" w14:textId="3EBE5453"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92" w:history="1">
            <w:r w:rsidR="000D77CC" w:rsidRPr="00A95812">
              <w:rPr>
                <w:rStyle w:val="Hipervnculo"/>
                <w:noProof/>
                <w:sz w:val="22"/>
                <w:szCs w:val="22"/>
              </w:rPr>
              <w:t>5.1.2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Proyecciones de ingresos y egresos del régimen</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_Toc144114392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60</w:t>
            </w:r>
            <w:r w:rsidR="000D77CC" w:rsidRPr="00A95812">
              <w:rPr>
                <w:noProof/>
                <w:webHidden/>
                <w:sz w:val="22"/>
                <w:szCs w:val="22"/>
              </w:rPr>
              <w:fldChar w:fldCharType="end"/>
            </w:r>
          </w:hyperlink>
        </w:p>
        <w:p w14:paraId="3D0D4E37" w14:textId="58F8230E"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393" w:history="1">
            <w:r w:rsidR="000D77CC" w:rsidRPr="00A95812">
              <w:rPr>
                <w:rStyle w:val="Hipervnculo"/>
                <w:noProof/>
                <w:sz w:val="22"/>
                <w:szCs w:val="22"/>
              </w:rPr>
              <w:t>5.2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Programas del Instituto Guatemalteco de Seguridad Social -IGSS-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_Toc144114393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62</w:t>
            </w:r>
            <w:r w:rsidR="000D77CC" w:rsidRPr="00A95812">
              <w:rPr>
                <w:noProof/>
                <w:webHidden/>
                <w:sz w:val="22"/>
                <w:szCs w:val="22"/>
              </w:rPr>
              <w:fldChar w:fldCharType="end"/>
            </w:r>
          </w:hyperlink>
        </w:p>
        <w:p w14:paraId="427E6235" w14:textId="645376AC"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94" w:history="1">
            <w:r w:rsidR="000D77CC" w:rsidRPr="00A95812">
              <w:rPr>
                <w:rStyle w:val="Hipervnculo"/>
                <w:noProof/>
                <w:sz w:val="22"/>
                <w:szCs w:val="22"/>
              </w:rPr>
              <w:t>5.2.1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Programa sobre Protección relativa a Invalidez, Vejez y Sobrevivencia -IVS-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_Toc144114394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62</w:t>
            </w:r>
            <w:r w:rsidR="000D77CC" w:rsidRPr="00A95812">
              <w:rPr>
                <w:noProof/>
                <w:webHidden/>
                <w:sz w:val="22"/>
                <w:szCs w:val="22"/>
              </w:rPr>
              <w:fldChar w:fldCharType="end"/>
            </w:r>
          </w:hyperlink>
        </w:p>
        <w:p w14:paraId="058A5703" w14:textId="34222A86"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95" w:history="1">
            <w:r w:rsidR="000D77CC" w:rsidRPr="00A95812">
              <w:rPr>
                <w:rStyle w:val="Hipervnculo"/>
                <w:bCs/>
                <w:noProof/>
                <w:sz w:val="22"/>
                <w:szCs w:val="22"/>
              </w:rPr>
              <w:t>5.2.1.1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Situación actual: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_Toc144114395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63</w:t>
            </w:r>
            <w:r w:rsidR="000D77CC" w:rsidRPr="00A95812">
              <w:rPr>
                <w:noProof/>
                <w:webHidden/>
                <w:sz w:val="22"/>
                <w:szCs w:val="22"/>
              </w:rPr>
              <w:fldChar w:fldCharType="end"/>
            </w:r>
          </w:hyperlink>
        </w:p>
        <w:p w14:paraId="2738B3B5" w14:textId="48B72698"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396" w:history="1">
            <w:r w:rsidR="000D77CC" w:rsidRPr="00A95812">
              <w:rPr>
                <w:rStyle w:val="Hipervnculo"/>
                <w:noProof/>
                <w:sz w:val="22"/>
                <w:szCs w:val="22"/>
              </w:rPr>
              <w:t>5.2.2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Programa de Enfermedad, Maternidad y Accidentes -EMA- 2022</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_Toc144114396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66</w:t>
            </w:r>
            <w:r w:rsidR="000D77CC" w:rsidRPr="00A95812">
              <w:rPr>
                <w:noProof/>
                <w:webHidden/>
                <w:sz w:val="22"/>
                <w:szCs w:val="22"/>
              </w:rPr>
              <w:fldChar w:fldCharType="end"/>
            </w:r>
          </w:hyperlink>
        </w:p>
        <w:p w14:paraId="4552E146" w14:textId="487B0F19"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97" w:history="1">
            <w:r w:rsidR="000D77CC" w:rsidRPr="00A95812">
              <w:rPr>
                <w:rStyle w:val="Hipervnculo"/>
                <w:bCs/>
                <w:noProof/>
                <w:sz w:val="22"/>
                <w:szCs w:val="22"/>
              </w:rPr>
              <w:t>5.2.2.1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Programa de Enfermedad y Maternidad -EM- 2022</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_Toc144114397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66</w:t>
            </w:r>
            <w:r w:rsidR="000D77CC" w:rsidRPr="00A95812">
              <w:rPr>
                <w:noProof/>
                <w:webHidden/>
                <w:sz w:val="22"/>
                <w:szCs w:val="22"/>
              </w:rPr>
              <w:fldChar w:fldCharType="end"/>
            </w:r>
          </w:hyperlink>
        </w:p>
        <w:p w14:paraId="17990EF4" w14:textId="48841034" w:rsidR="000D77CC" w:rsidRPr="00A95812" w:rsidRDefault="00805A42" w:rsidP="00A95812">
          <w:pPr>
            <w:pStyle w:val="TDC2"/>
            <w:tabs>
              <w:tab w:val="left" w:pos="1320"/>
            </w:tabs>
            <w:spacing w:after="0"/>
            <w:ind w:left="851"/>
            <w:rPr>
              <w:rFonts w:asciiTheme="minorHAnsi" w:eastAsiaTheme="minorEastAsia" w:hAnsiTheme="minorHAnsi" w:cstheme="minorBidi"/>
              <w:noProof/>
              <w:sz w:val="22"/>
              <w:szCs w:val="22"/>
              <w:lang w:eastAsia="es-GT"/>
            </w:rPr>
          </w:pPr>
          <w:hyperlink w:anchor="_Toc144114398" w:history="1">
            <w:r w:rsidR="000D77CC" w:rsidRPr="00A95812">
              <w:rPr>
                <w:rStyle w:val="Hipervnculo"/>
                <w:bCs/>
                <w:noProof/>
                <w:sz w:val="22"/>
                <w:szCs w:val="22"/>
              </w:rPr>
              <w:t>5.2.2.2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Programa -EMA- 2022</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_Toc144114398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67</w:t>
            </w:r>
            <w:r w:rsidR="000D77CC" w:rsidRPr="00A95812">
              <w:rPr>
                <w:noProof/>
                <w:webHidden/>
                <w:sz w:val="22"/>
                <w:szCs w:val="22"/>
              </w:rPr>
              <w:fldChar w:fldCharType="end"/>
            </w:r>
          </w:hyperlink>
        </w:p>
        <w:p w14:paraId="65DF55EB" w14:textId="0464BCD2"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399" w:history="1">
            <w:r w:rsidR="000D77CC" w:rsidRPr="00A95812">
              <w:rPr>
                <w:rStyle w:val="Hipervnculo"/>
                <w:b/>
                <w:sz w:val="22"/>
                <w:szCs w:val="22"/>
              </w:rPr>
              <w:t>6.</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Introducción a la Sostenibilidad Fiscal</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_Toc144114399 \h </w:instrText>
            </w:r>
            <w:r w:rsidR="000D77CC" w:rsidRPr="00A95812">
              <w:rPr>
                <w:webHidden/>
                <w:sz w:val="22"/>
                <w:szCs w:val="22"/>
              </w:rPr>
            </w:r>
            <w:r w:rsidR="000D77CC" w:rsidRPr="00A95812">
              <w:rPr>
                <w:webHidden/>
                <w:sz w:val="22"/>
                <w:szCs w:val="22"/>
              </w:rPr>
              <w:fldChar w:fldCharType="separate"/>
            </w:r>
            <w:r w:rsidR="009E279E">
              <w:rPr>
                <w:webHidden/>
                <w:sz w:val="22"/>
                <w:szCs w:val="22"/>
              </w:rPr>
              <w:t>69</w:t>
            </w:r>
            <w:r w:rsidR="000D77CC" w:rsidRPr="00A95812">
              <w:rPr>
                <w:webHidden/>
                <w:sz w:val="22"/>
                <w:szCs w:val="22"/>
              </w:rPr>
              <w:fldChar w:fldCharType="end"/>
            </w:r>
          </w:hyperlink>
        </w:p>
        <w:p w14:paraId="43F009D0" w14:textId="5A4DFF44"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400" w:history="1">
            <w:r w:rsidR="000D77CC" w:rsidRPr="00A95812">
              <w:rPr>
                <w:rStyle w:val="Hipervnculo"/>
                <w:b/>
                <w:sz w:val="22"/>
                <w:szCs w:val="22"/>
              </w:rPr>
              <w:t>7.</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Riesgos Fiscales Asociados a las Municipalidades</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_Toc144114400 \h </w:instrText>
            </w:r>
            <w:r w:rsidR="000D77CC" w:rsidRPr="00A95812">
              <w:rPr>
                <w:webHidden/>
                <w:sz w:val="22"/>
                <w:szCs w:val="22"/>
              </w:rPr>
            </w:r>
            <w:r w:rsidR="000D77CC" w:rsidRPr="00A95812">
              <w:rPr>
                <w:webHidden/>
                <w:sz w:val="22"/>
                <w:szCs w:val="22"/>
              </w:rPr>
              <w:fldChar w:fldCharType="separate"/>
            </w:r>
            <w:r w:rsidR="009E279E">
              <w:rPr>
                <w:webHidden/>
                <w:sz w:val="22"/>
                <w:szCs w:val="22"/>
              </w:rPr>
              <w:t>71</w:t>
            </w:r>
            <w:r w:rsidR="000D77CC" w:rsidRPr="00A95812">
              <w:rPr>
                <w:webHidden/>
                <w:sz w:val="22"/>
                <w:szCs w:val="22"/>
              </w:rPr>
              <w:fldChar w:fldCharType="end"/>
            </w:r>
          </w:hyperlink>
        </w:p>
        <w:p w14:paraId="6AB54A8D" w14:textId="118BDC8E"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04" w:history="1">
            <w:r w:rsidR="000D77CC" w:rsidRPr="00A95812">
              <w:rPr>
                <w:rStyle w:val="Hipervnculo"/>
                <w:noProof/>
                <w:sz w:val="22"/>
                <w:szCs w:val="22"/>
              </w:rPr>
              <w:t>7.1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Importancia del riesgo fiscal en las Municipalidades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_Toc144114404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71</w:t>
            </w:r>
            <w:r w:rsidR="000D77CC" w:rsidRPr="00A95812">
              <w:rPr>
                <w:noProof/>
                <w:webHidden/>
                <w:sz w:val="22"/>
                <w:szCs w:val="22"/>
              </w:rPr>
              <w:fldChar w:fldCharType="end"/>
            </w:r>
          </w:hyperlink>
        </w:p>
        <w:p w14:paraId="47F9E2D5" w14:textId="6BD5F37B"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405" w:history="1">
            <w:r w:rsidR="000D77CC" w:rsidRPr="00A95812">
              <w:rPr>
                <w:rStyle w:val="Hipervnculo"/>
                <w:noProof/>
                <w:sz w:val="22"/>
                <w:szCs w:val="22"/>
              </w:rPr>
              <w:t>7.1.1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Identificación y evaluación</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_Toc144114405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71</w:t>
            </w:r>
            <w:r w:rsidR="000D77CC" w:rsidRPr="00A95812">
              <w:rPr>
                <w:noProof/>
                <w:webHidden/>
                <w:sz w:val="22"/>
                <w:szCs w:val="22"/>
              </w:rPr>
              <w:fldChar w:fldCharType="end"/>
            </w:r>
          </w:hyperlink>
        </w:p>
        <w:p w14:paraId="587FD686" w14:textId="6D458D29"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406" w:history="1">
            <w:r w:rsidR="000D77CC" w:rsidRPr="00A95812">
              <w:rPr>
                <w:rStyle w:val="Hipervnculo"/>
                <w:noProof/>
                <w:sz w:val="22"/>
                <w:szCs w:val="22"/>
              </w:rPr>
              <w:t>7.1.2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Autonomía financiera de las Municipalidades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_Toc144114406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72</w:t>
            </w:r>
            <w:r w:rsidR="000D77CC" w:rsidRPr="00A95812">
              <w:rPr>
                <w:noProof/>
                <w:webHidden/>
                <w:sz w:val="22"/>
                <w:szCs w:val="22"/>
              </w:rPr>
              <w:fldChar w:fldCharType="end"/>
            </w:r>
          </w:hyperlink>
        </w:p>
        <w:p w14:paraId="3B55C805" w14:textId="0B298945"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07" w:history="1">
            <w:r w:rsidR="000D77CC" w:rsidRPr="00A95812">
              <w:rPr>
                <w:rStyle w:val="Hipervnculo"/>
                <w:noProof/>
                <w:sz w:val="22"/>
                <w:szCs w:val="22"/>
              </w:rPr>
              <w:t>7.2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Inversión Real Directa por habitante de las municipalidades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_Toc144114407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74</w:t>
            </w:r>
            <w:r w:rsidR="000D77CC" w:rsidRPr="00A95812">
              <w:rPr>
                <w:noProof/>
                <w:webHidden/>
                <w:sz w:val="22"/>
                <w:szCs w:val="22"/>
              </w:rPr>
              <w:fldChar w:fldCharType="end"/>
            </w:r>
          </w:hyperlink>
        </w:p>
        <w:p w14:paraId="64E72C86" w14:textId="57784085"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408" w:history="1">
            <w:r w:rsidR="000D77CC" w:rsidRPr="00A95812">
              <w:rPr>
                <w:rStyle w:val="Hipervnculo"/>
                <w:noProof/>
                <w:sz w:val="22"/>
                <w:szCs w:val="22"/>
              </w:rPr>
              <w:t>7.2.1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Liquidez Financiera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_Toc144114408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76</w:t>
            </w:r>
            <w:r w:rsidR="000D77CC" w:rsidRPr="00A95812">
              <w:rPr>
                <w:noProof/>
                <w:webHidden/>
                <w:sz w:val="22"/>
                <w:szCs w:val="22"/>
              </w:rPr>
              <w:fldChar w:fldCharType="end"/>
            </w:r>
          </w:hyperlink>
        </w:p>
        <w:p w14:paraId="13A4002D" w14:textId="495271BE"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409" w:history="1">
            <w:r w:rsidR="000D77CC" w:rsidRPr="00A95812">
              <w:rPr>
                <w:rStyle w:val="Hipervnculo"/>
                <w:noProof/>
                <w:sz w:val="22"/>
                <w:szCs w:val="22"/>
              </w:rPr>
              <w:t>7.2.2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Obligaciones Financieras por Pagar de las Municipalidades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_Toc144114409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78</w:t>
            </w:r>
            <w:r w:rsidR="000D77CC" w:rsidRPr="00A95812">
              <w:rPr>
                <w:noProof/>
                <w:webHidden/>
                <w:sz w:val="22"/>
                <w:szCs w:val="22"/>
              </w:rPr>
              <w:fldChar w:fldCharType="end"/>
            </w:r>
          </w:hyperlink>
        </w:p>
        <w:p w14:paraId="15A77C9E" w14:textId="0FE3189F"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10" w:history="1">
            <w:r w:rsidR="000D77CC" w:rsidRPr="00A95812">
              <w:rPr>
                <w:rStyle w:val="Hipervnculo"/>
                <w:noProof/>
                <w:sz w:val="22"/>
                <w:szCs w:val="22"/>
              </w:rPr>
              <w:t>7.3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Acciones realizadas para mitigar el riesgo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_Toc144114410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81</w:t>
            </w:r>
            <w:r w:rsidR="000D77CC" w:rsidRPr="00A95812">
              <w:rPr>
                <w:noProof/>
                <w:webHidden/>
                <w:sz w:val="22"/>
                <w:szCs w:val="22"/>
              </w:rPr>
              <w:fldChar w:fldCharType="end"/>
            </w:r>
          </w:hyperlink>
        </w:p>
        <w:p w14:paraId="55646AB3" w14:textId="46DFEED0"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411" w:history="1">
            <w:r w:rsidR="000D77CC" w:rsidRPr="00A95812">
              <w:rPr>
                <w:rStyle w:val="Hipervnculo"/>
                <w:b/>
                <w:sz w:val="22"/>
                <w:szCs w:val="22"/>
              </w:rPr>
              <w:t>8.</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Riesgos Fiscales Asociados a las Empresas Públicas No Financieras Nacionales y Municipales</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_Toc144114411 \h </w:instrText>
            </w:r>
            <w:r w:rsidR="000D77CC" w:rsidRPr="00A95812">
              <w:rPr>
                <w:webHidden/>
                <w:sz w:val="22"/>
                <w:szCs w:val="22"/>
              </w:rPr>
            </w:r>
            <w:r w:rsidR="000D77CC" w:rsidRPr="00A95812">
              <w:rPr>
                <w:webHidden/>
                <w:sz w:val="22"/>
                <w:szCs w:val="22"/>
              </w:rPr>
              <w:fldChar w:fldCharType="separate"/>
            </w:r>
            <w:r w:rsidR="009E279E">
              <w:rPr>
                <w:webHidden/>
                <w:sz w:val="22"/>
                <w:szCs w:val="22"/>
              </w:rPr>
              <w:t>83</w:t>
            </w:r>
            <w:r w:rsidR="000D77CC" w:rsidRPr="00A95812">
              <w:rPr>
                <w:webHidden/>
                <w:sz w:val="22"/>
                <w:szCs w:val="22"/>
              </w:rPr>
              <w:fldChar w:fldCharType="end"/>
            </w:r>
          </w:hyperlink>
        </w:p>
        <w:p w14:paraId="085E42CD" w14:textId="4BD9A0F0"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13" w:history="1">
            <w:r w:rsidR="000D77CC" w:rsidRPr="00A95812">
              <w:rPr>
                <w:rStyle w:val="Hipervnculo"/>
                <w:noProof/>
                <w:sz w:val="22"/>
                <w:szCs w:val="22"/>
              </w:rPr>
              <w:t>8.1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Rentabilidad de las empresas como grupo institucional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_Toc144114413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85</w:t>
            </w:r>
            <w:r w:rsidR="000D77CC" w:rsidRPr="00A95812">
              <w:rPr>
                <w:noProof/>
                <w:webHidden/>
                <w:sz w:val="22"/>
                <w:szCs w:val="22"/>
              </w:rPr>
              <w:fldChar w:fldCharType="end"/>
            </w:r>
          </w:hyperlink>
        </w:p>
        <w:p w14:paraId="233569EC" w14:textId="5409CB58"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414" w:history="1">
            <w:r w:rsidR="000D77CC" w:rsidRPr="00A95812">
              <w:rPr>
                <w:rStyle w:val="Hipervnculo"/>
                <w:noProof/>
                <w:sz w:val="22"/>
                <w:szCs w:val="22"/>
              </w:rPr>
              <w:t>8.1.1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Rentabilidad de las empresas de forma individual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_Toc144114414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85</w:t>
            </w:r>
            <w:r w:rsidR="000D77CC" w:rsidRPr="00A95812">
              <w:rPr>
                <w:noProof/>
                <w:webHidden/>
                <w:sz w:val="22"/>
                <w:szCs w:val="22"/>
              </w:rPr>
              <w:fldChar w:fldCharType="end"/>
            </w:r>
          </w:hyperlink>
        </w:p>
        <w:p w14:paraId="532D4618" w14:textId="2F75FDA2"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15" w:history="1">
            <w:r w:rsidR="000D77CC" w:rsidRPr="00A95812">
              <w:rPr>
                <w:rStyle w:val="Hipervnculo"/>
                <w:noProof/>
                <w:sz w:val="22"/>
                <w:szCs w:val="22"/>
              </w:rPr>
              <w:t>8.2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Obligaciones financieras por pagar de las empresas públicas como grupo institucional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_Toc144114415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88</w:t>
            </w:r>
            <w:r w:rsidR="000D77CC" w:rsidRPr="00A95812">
              <w:rPr>
                <w:noProof/>
                <w:webHidden/>
                <w:sz w:val="22"/>
                <w:szCs w:val="22"/>
              </w:rPr>
              <w:fldChar w:fldCharType="end"/>
            </w:r>
          </w:hyperlink>
        </w:p>
        <w:p w14:paraId="0AE6EBE0" w14:textId="35EC40F7"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416" w:history="1">
            <w:r w:rsidR="000D77CC" w:rsidRPr="00A95812">
              <w:rPr>
                <w:rStyle w:val="Hipervnculo"/>
                <w:noProof/>
                <w:sz w:val="22"/>
                <w:szCs w:val="22"/>
              </w:rPr>
              <w:t>8.2.1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Obligaciones financieras de las empresas públicas de forma individual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_Toc144114416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89</w:t>
            </w:r>
            <w:r w:rsidR="000D77CC" w:rsidRPr="00A95812">
              <w:rPr>
                <w:noProof/>
                <w:webHidden/>
                <w:sz w:val="22"/>
                <w:szCs w:val="22"/>
              </w:rPr>
              <w:fldChar w:fldCharType="end"/>
            </w:r>
          </w:hyperlink>
        </w:p>
        <w:p w14:paraId="57F3AC17" w14:textId="3A101912"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17" w:history="1">
            <w:r w:rsidR="000D77CC" w:rsidRPr="00A95812">
              <w:rPr>
                <w:rStyle w:val="Hipervnculo"/>
                <w:noProof/>
                <w:sz w:val="22"/>
                <w:szCs w:val="22"/>
              </w:rPr>
              <w:t>8.3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Liquidez financiera como grupo institucional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_Toc144114417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90</w:t>
            </w:r>
            <w:r w:rsidR="000D77CC" w:rsidRPr="00A95812">
              <w:rPr>
                <w:noProof/>
                <w:webHidden/>
                <w:sz w:val="22"/>
                <w:szCs w:val="22"/>
              </w:rPr>
              <w:fldChar w:fldCharType="end"/>
            </w:r>
          </w:hyperlink>
        </w:p>
        <w:p w14:paraId="3A1DE5A4" w14:textId="605896E1" w:rsidR="000D77CC" w:rsidRPr="00A95812" w:rsidRDefault="00805A42" w:rsidP="00A95812">
          <w:pPr>
            <w:pStyle w:val="TDC2"/>
            <w:spacing w:after="0"/>
            <w:ind w:left="567"/>
            <w:rPr>
              <w:rFonts w:asciiTheme="minorHAnsi" w:eastAsiaTheme="minorEastAsia" w:hAnsiTheme="minorHAnsi" w:cstheme="minorBidi"/>
              <w:noProof/>
              <w:sz w:val="22"/>
              <w:szCs w:val="22"/>
              <w:lang w:eastAsia="es-GT"/>
            </w:rPr>
          </w:pPr>
          <w:hyperlink w:anchor="_Toc144114418" w:history="1">
            <w:r w:rsidR="000D77CC" w:rsidRPr="00A95812">
              <w:rPr>
                <w:rStyle w:val="Hipervnculo"/>
                <w:noProof/>
                <w:sz w:val="22"/>
                <w:szCs w:val="22"/>
              </w:rPr>
              <w:t>8.3.1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Liquidez financiera de forma individual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_Toc144114418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91</w:t>
            </w:r>
            <w:r w:rsidR="000D77CC" w:rsidRPr="00A95812">
              <w:rPr>
                <w:noProof/>
                <w:webHidden/>
                <w:sz w:val="22"/>
                <w:szCs w:val="22"/>
              </w:rPr>
              <w:fldChar w:fldCharType="end"/>
            </w:r>
          </w:hyperlink>
        </w:p>
        <w:p w14:paraId="27FFA503" w14:textId="5CD68640"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419" w:history="1">
            <w:r w:rsidR="000D77CC" w:rsidRPr="00A95812">
              <w:rPr>
                <w:rStyle w:val="Hipervnculo"/>
                <w:b/>
                <w:sz w:val="22"/>
                <w:szCs w:val="22"/>
              </w:rPr>
              <w:t>9.</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Pasivos contingentes por Demandas Judiciales Contra el Estado</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_Toc144114419 \h </w:instrText>
            </w:r>
            <w:r w:rsidR="000D77CC" w:rsidRPr="00A95812">
              <w:rPr>
                <w:webHidden/>
                <w:sz w:val="22"/>
                <w:szCs w:val="22"/>
              </w:rPr>
            </w:r>
            <w:r w:rsidR="000D77CC" w:rsidRPr="00A95812">
              <w:rPr>
                <w:webHidden/>
                <w:sz w:val="22"/>
                <w:szCs w:val="22"/>
              </w:rPr>
              <w:fldChar w:fldCharType="separate"/>
            </w:r>
            <w:r w:rsidR="009E279E">
              <w:rPr>
                <w:webHidden/>
                <w:sz w:val="22"/>
                <w:szCs w:val="22"/>
              </w:rPr>
              <w:t>94</w:t>
            </w:r>
            <w:r w:rsidR="000D77CC" w:rsidRPr="00A95812">
              <w:rPr>
                <w:webHidden/>
                <w:sz w:val="22"/>
                <w:szCs w:val="22"/>
              </w:rPr>
              <w:fldChar w:fldCharType="end"/>
            </w:r>
          </w:hyperlink>
        </w:p>
        <w:p w14:paraId="156A352A" w14:textId="777B36BE"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28" w:history="1">
            <w:r w:rsidR="000D77CC" w:rsidRPr="00A95812">
              <w:rPr>
                <w:rStyle w:val="Hipervnculo"/>
                <w:noProof/>
                <w:sz w:val="22"/>
                <w:szCs w:val="22"/>
              </w:rPr>
              <w:t>9.1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Aspectos generales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_Toc144114428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94</w:t>
            </w:r>
            <w:r w:rsidR="000D77CC" w:rsidRPr="00A95812">
              <w:rPr>
                <w:noProof/>
                <w:webHidden/>
                <w:sz w:val="22"/>
                <w:szCs w:val="22"/>
              </w:rPr>
              <w:fldChar w:fldCharType="end"/>
            </w:r>
          </w:hyperlink>
        </w:p>
        <w:p w14:paraId="26865444" w14:textId="44A1DB6D"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29" w:history="1">
            <w:r w:rsidR="000D77CC" w:rsidRPr="00A95812">
              <w:rPr>
                <w:rStyle w:val="Hipervnculo"/>
                <w:noProof/>
                <w:sz w:val="22"/>
                <w:szCs w:val="22"/>
              </w:rPr>
              <w:t>9.2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Evolución del gasto en sentencias judiciales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_Toc144114429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94</w:t>
            </w:r>
            <w:r w:rsidR="000D77CC" w:rsidRPr="00A95812">
              <w:rPr>
                <w:noProof/>
                <w:webHidden/>
                <w:sz w:val="22"/>
                <w:szCs w:val="22"/>
              </w:rPr>
              <w:fldChar w:fldCharType="end"/>
            </w:r>
          </w:hyperlink>
        </w:p>
        <w:p w14:paraId="0A5B7D89" w14:textId="5E23ADD8"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30" w:history="1">
            <w:r w:rsidR="000D77CC" w:rsidRPr="00A95812">
              <w:rPr>
                <w:rStyle w:val="Hipervnculo"/>
                <w:noProof/>
                <w:sz w:val="22"/>
                <w:szCs w:val="22"/>
              </w:rPr>
              <w:t>9.3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Arbitraje internacional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_Toc144114430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98</w:t>
            </w:r>
            <w:r w:rsidR="000D77CC" w:rsidRPr="00A95812">
              <w:rPr>
                <w:noProof/>
                <w:webHidden/>
                <w:sz w:val="22"/>
                <w:szCs w:val="22"/>
              </w:rPr>
              <w:fldChar w:fldCharType="end"/>
            </w:r>
          </w:hyperlink>
        </w:p>
        <w:p w14:paraId="72EBB986" w14:textId="41D6F105"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31" w:history="1">
            <w:r w:rsidR="000D77CC" w:rsidRPr="00A95812">
              <w:rPr>
                <w:rStyle w:val="Hipervnculo"/>
                <w:noProof/>
                <w:sz w:val="22"/>
                <w:szCs w:val="22"/>
              </w:rPr>
              <w:t>9.4</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Cuantificación del pasivo contingente por demandas judiciales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_Toc144114431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101</w:t>
            </w:r>
            <w:r w:rsidR="000D77CC" w:rsidRPr="00A95812">
              <w:rPr>
                <w:noProof/>
                <w:webHidden/>
                <w:sz w:val="22"/>
                <w:szCs w:val="22"/>
              </w:rPr>
              <w:fldChar w:fldCharType="end"/>
            </w:r>
          </w:hyperlink>
        </w:p>
        <w:p w14:paraId="583931D4" w14:textId="3D2DA46F"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32" w:history="1">
            <w:r w:rsidR="000D77CC" w:rsidRPr="00A95812">
              <w:rPr>
                <w:rStyle w:val="Hipervnculo"/>
                <w:noProof/>
                <w:sz w:val="22"/>
                <w:szCs w:val="22"/>
              </w:rPr>
              <w:t>9.5</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Medidas de aprovisionamiento y mitigación del riesgo y recomendaciones generales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_Toc144114432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103</w:t>
            </w:r>
            <w:r w:rsidR="000D77CC" w:rsidRPr="00A95812">
              <w:rPr>
                <w:noProof/>
                <w:webHidden/>
                <w:sz w:val="22"/>
                <w:szCs w:val="22"/>
              </w:rPr>
              <w:fldChar w:fldCharType="end"/>
            </w:r>
          </w:hyperlink>
        </w:p>
        <w:p w14:paraId="25397E70" w14:textId="71B9D5F5"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433" w:history="1">
            <w:r w:rsidR="000D77CC" w:rsidRPr="00A95812">
              <w:rPr>
                <w:rStyle w:val="Hipervnculo"/>
                <w:b/>
                <w:sz w:val="22"/>
                <w:szCs w:val="22"/>
              </w:rPr>
              <w:t>10.</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Exposición al Sector Financiero</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_Toc144114433 \h </w:instrText>
            </w:r>
            <w:r w:rsidR="000D77CC" w:rsidRPr="00A95812">
              <w:rPr>
                <w:webHidden/>
                <w:sz w:val="22"/>
                <w:szCs w:val="22"/>
              </w:rPr>
            </w:r>
            <w:r w:rsidR="000D77CC" w:rsidRPr="00A95812">
              <w:rPr>
                <w:webHidden/>
                <w:sz w:val="22"/>
                <w:szCs w:val="22"/>
              </w:rPr>
              <w:fldChar w:fldCharType="separate"/>
            </w:r>
            <w:r w:rsidR="009E279E">
              <w:rPr>
                <w:webHidden/>
                <w:sz w:val="22"/>
                <w:szCs w:val="22"/>
              </w:rPr>
              <w:t>103</w:t>
            </w:r>
            <w:r w:rsidR="000D77CC" w:rsidRPr="00A95812">
              <w:rPr>
                <w:webHidden/>
                <w:sz w:val="22"/>
                <w:szCs w:val="22"/>
              </w:rPr>
              <w:fldChar w:fldCharType="end"/>
            </w:r>
          </w:hyperlink>
        </w:p>
        <w:p w14:paraId="29B46229" w14:textId="27B460DB"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35" w:history="1">
            <w:r w:rsidR="000D77CC" w:rsidRPr="00A95812">
              <w:rPr>
                <w:rStyle w:val="Hipervnculo"/>
                <w:noProof/>
                <w:sz w:val="22"/>
                <w:szCs w:val="22"/>
              </w:rPr>
              <w:t>10.1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Descripción del sistema financiero y de su marco de supervisión</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_Toc144114435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103</w:t>
            </w:r>
            <w:r w:rsidR="000D77CC" w:rsidRPr="00A95812">
              <w:rPr>
                <w:noProof/>
                <w:webHidden/>
                <w:sz w:val="22"/>
                <w:szCs w:val="22"/>
              </w:rPr>
              <w:fldChar w:fldCharType="end"/>
            </w:r>
          </w:hyperlink>
        </w:p>
        <w:p w14:paraId="08267FB6" w14:textId="77F599AE"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36" w:history="1">
            <w:r w:rsidR="000D77CC" w:rsidRPr="00A95812">
              <w:rPr>
                <w:rStyle w:val="Hipervnculo"/>
                <w:noProof/>
                <w:sz w:val="22"/>
                <w:szCs w:val="22"/>
              </w:rPr>
              <w:t>10.2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Riesgos e indicadores del sistema financiero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_Toc144114436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106</w:t>
            </w:r>
            <w:r w:rsidR="000D77CC" w:rsidRPr="00A95812">
              <w:rPr>
                <w:noProof/>
                <w:webHidden/>
                <w:sz w:val="22"/>
                <w:szCs w:val="22"/>
              </w:rPr>
              <w:fldChar w:fldCharType="end"/>
            </w:r>
          </w:hyperlink>
        </w:p>
        <w:p w14:paraId="47FE212A" w14:textId="32A69F96"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37" w:history="1">
            <w:r w:rsidR="000D77CC" w:rsidRPr="00A95812">
              <w:rPr>
                <w:rStyle w:val="Hipervnculo"/>
                <w:noProof/>
                <w:sz w:val="22"/>
                <w:szCs w:val="22"/>
              </w:rPr>
              <w:t>10.3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 de liquidez.</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_Toc144114437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106</w:t>
            </w:r>
            <w:r w:rsidR="000D77CC" w:rsidRPr="00A95812">
              <w:rPr>
                <w:noProof/>
                <w:webHidden/>
                <w:sz w:val="22"/>
                <w:szCs w:val="22"/>
              </w:rPr>
              <w:fldChar w:fldCharType="end"/>
            </w:r>
          </w:hyperlink>
        </w:p>
        <w:p w14:paraId="7B4B1D00" w14:textId="4C59A6B1"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38" w:history="1">
            <w:r w:rsidR="000D77CC" w:rsidRPr="00A95812">
              <w:rPr>
                <w:rStyle w:val="Hipervnculo"/>
                <w:noProof/>
                <w:sz w:val="22"/>
                <w:szCs w:val="22"/>
              </w:rPr>
              <w:t>10.4</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 de crédito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_Toc144114438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107</w:t>
            </w:r>
            <w:r w:rsidR="000D77CC" w:rsidRPr="00A95812">
              <w:rPr>
                <w:noProof/>
                <w:webHidden/>
                <w:sz w:val="22"/>
                <w:szCs w:val="22"/>
              </w:rPr>
              <w:fldChar w:fldCharType="end"/>
            </w:r>
          </w:hyperlink>
        </w:p>
        <w:p w14:paraId="0BA4738D" w14:textId="56D8018F"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39" w:history="1">
            <w:r w:rsidR="000D77CC" w:rsidRPr="00A95812">
              <w:rPr>
                <w:rStyle w:val="Hipervnculo"/>
                <w:noProof/>
                <w:sz w:val="22"/>
                <w:szCs w:val="22"/>
              </w:rPr>
              <w:t>10.5</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Riesgo de solvencia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_Toc144114439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108</w:t>
            </w:r>
            <w:r w:rsidR="000D77CC" w:rsidRPr="00A95812">
              <w:rPr>
                <w:noProof/>
                <w:webHidden/>
                <w:sz w:val="22"/>
                <w:szCs w:val="22"/>
              </w:rPr>
              <w:fldChar w:fldCharType="end"/>
            </w:r>
          </w:hyperlink>
        </w:p>
        <w:p w14:paraId="3EF1A716" w14:textId="2AC17C8A"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40" w:history="1">
            <w:r w:rsidR="000D77CC" w:rsidRPr="00A95812">
              <w:rPr>
                <w:rStyle w:val="Hipervnculo"/>
                <w:noProof/>
                <w:sz w:val="22"/>
                <w:szCs w:val="22"/>
              </w:rPr>
              <w:t>10.6</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Indicadores de Rentabilidad</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_Toc144114440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109</w:t>
            </w:r>
            <w:r w:rsidR="000D77CC" w:rsidRPr="00A95812">
              <w:rPr>
                <w:noProof/>
                <w:webHidden/>
                <w:sz w:val="22"/>
                <w:szCs w:val="22"/>
              </w:rPr>
              <w:fldChar w:fldCharType="end"/>
            </w:r>
          </w:hyperlink>
        </w:p>
        <w:p w14:paraId="57A3E00A" w14:textId="421BF486"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41" w:history="1">
            <w:r w:rsidR="000D77CC" w:rsidRPr="00A95812">
              <w:rPr>
                <w:rStyle w:val="Hipervnculo"/>
                <w:noProof/>
                <w:sz w:val="22"/>
                <w:szCs w:val="22"/>
              </w:rPr>
              <w:t>10.7</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Mecanismos gubernamentales de apoyo existentes para el sector financiero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_Toc144114441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110</w:t>
            </w:r>
            <w:r w:rsidR="000D77CC" w:rsidRPr="00A95812">
              <w:rPr>
                <w:noProof/>
                <w:webHidden/>
                <w:sz w:val="22"/>
                <w:szCs w:val="22"/>
              </w:rPr>
              <w:fldChar w:fldCharType="end"/>
            </w:r>
          </w:hyperlink>
        </w:p>
        <w:p w14:paraId="44D6D2CC" w14:textId="67B3F807"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42" w:history="1">
            <w:r w:rsidR="000D77CC" w:rsidRPr="00A95812">
              <w:rPr>
                <w:rStyle w:val="Hipervnculo"/>
                <w:noProof/>
                <w:sz w:val="22"/>
                <w:szCs w:val="22"/>
              </w:rPr>
              <w:t>10.7.1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Fondo para la Protección del Ahorro -FOPA-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_Toc144114442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110</w:t>
            </w:r>
            <w:r w:rsidR="000D77CC" w:rsidRPr="00A95812">
              <w:rPr>
                <w:noProof/>
                <w:webHidden/>
                <w:sz w:val="22"/>
                <w:szCs w:val="22"/>
              </w:rPr>
              <w:fldChar w:fldCharType="end"/>
            </w:r>
          </w:hyperlink>
        </w:p>
        <w:p w14:paraId="0061BCEC" w14:textId="50D6039C"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43" w:history="1">
            <w:r w:rsidR="000D77CC" w:rsidRPr="00A95812">
              <w:rPr>
                <w:rStyle w:val="Hipervnculo"/>
                <w:noProof/>
                <w:sz w:val="22"/>
                <w:szCs w:val="22"/>
              </w:rPr>
              <w:t>10.7.2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Fondo Fiduciario de Capitalización Bancaria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_Toc144114443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112</w:t>
            </w:r>
            <w:r w:rsidR="000D77CC" w:rsidRPr="00A95812">
              <w:rPr>
                <w:noProof/>
                <w:webHidden/>
                <w:sz w:val="22"/>
                <w:szCs w:val="22"/>
              </w:rPr>
              <w:fldChar w:fldCharType="end"/>
            </w:r>
          </w:hyperlink>
        </w:p>
        <w:p w14:paraId="409950EC" w14:textId="3910DE78"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44" w:history="1">
            <w:r w:rsidR="000D77CC" w:rsidRPr="00A95812">
              <w:rPr>
                <w:rStyle w:val="Hipervnculo"/>
                <w:noProof/>
                <w:sz w:val="22"/>
                <w:szCs w:val="22"/>
              </w:rPr>
              <w:t>10.8</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Materialización histórica en el sector financiero en Guatemala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_Toc144114444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113</w:t>
            </w:r>
            <w:r w:rsidR="000D77CC" w:rsidRPr="00A95812">
              <w:rPr>
                <w:noProof/>
                <w:webHidden/>
                <w:sz w:val="22"/>
                <w:szCs w:val="22"/>
              </w:rPr>
              <w:fldChar w:fldCharType="end"/>
            </w:r>
          </w:hyperlink>
        </w:p>
        <w:p w14:paraId="54C24780" w14:textId="18638AA6"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45" w:history="1">
            <w:r w:rsidR="000D77CC" w:rsidRPr="00A95812">
              <w:rPr>
                <w:rStyle w:val="Hipervnculo"/>
                <w:noProof/>
                <w:sz w:val="22"/>
                <w:szCs w:val="22"/>
              </w:rPr>
              <w:t>10.8.1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El Banco del Café, Sociedad Anónima. (Año 2006)</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_Toc144114445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113</w:t>
            </w:r>
            <w:r w:rsidR="000D77CC" w:rsidRPr="00A95812">
              <w:rPr>
                <w:noProof/>
                <w:webHidden/>
                <w:sz w:val="22"/>
                <w:szCs w:val="22"/>
              </w:rPr>
              <w:fldChar w:fldCharType="end"/>
            </w:r>
          </w:hyperlink>
        </w:p>
        <w:p w14:paraId="3C3DD297" w14:textId="6CAB6EE0"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46" w:history="1">
            <w:r w:rsidR="000D77CC" w:rsidRPr="00A95812">
              <w:rPr>
                <w:rStyle w:val="Hipervnculo"/>
                <w:noProof/>
                <w:sz w:val="22"/>
                <w:szCs w:val="22"/>
              </w:rPr>
              <w:t>10.8.2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Banco de Comercio, Sociedad Anónima (Año 2007)</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_Toc144114446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114</w:t>
            </w:r>
            <w:r w:rsidR="000D77CC" w:rsidRPr="00A95812">
              <w:rPr>
                <w:noProof/>
                <w:webHidden/>
                <w:sz w:val="22"/>
                <w:szCs w:val="22"/>
              </w:rPr>
              <w:fldChar w:fldCharType="end"/>
            </w:r>
          </w:hyperlink>
        </w:p>
        <w:p w14:paraId="2AC4C392" w14:textId="616B9E9C"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47" w:history="1">
            <w:r w:rsidR="000D77CC" w:rsidRPr="00A95812">
              <w:rPr>
                <w:rStyle w:val="Hipervnculo"/>
                <w:noProof/>
                <w:sz w:val="22"/>
                <w:szCs w:val="22"/>
              </w:rPr>
              <w:t>10.8.3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Banco de Crédito, Sociedad Anónima (Año 2019)</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_Toc144114447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115</w:t>
            </w:r>
            <w:r w:rsidR="000D77CC" w:rsidRPr="00A95812">
              <w:rPr>
                <w:noProof/>
                <w:webHidden/>
                <w:sz w:val="22"/>
                <w:szCs w:val="22"/>
              </w:rPr>
              <w:fldChar w:fldCharType="end"/>
            </w:r>
          </w:hyperlink>
        </w:p>
        <w:p w14:paraId="598F9446" w14:textId="439C43B4"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48" w:history="1">
            <w:r w:rsidR="000D77CC" w:rsidRPr="00A95812">
              <w:rPr>
                <w:rStyle w:val="Hipervnculo"/>
                <w:noProof/>
                <w:sz w:val="22"/>
                <w:szCs w:val="22"/>
              </w:rPr>
              <w:t>10.9</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Análisis de riesgos relacionados con los bancos públicos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_Toc144114448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115</w:t>
            </w:r>
            <w:r w:rsidR="000D77CC" w:rsidRPr="00A95812">
              <w:rPr>
                <w:noProof/>
                <w:webHidden/>
                <w:sz w:val="22"/>
                <w:szCs w:val="22"/>
              </w:rPr>
              <w:fldChar w:fldCharType="end"/>
            </w:r>
          </w:hyperlink>
        </w:p>
        <w:p w14:paraId="74383245" w14:textId="604C3C00"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449" w:history="1">
            <w:r w:rsidR="000D77CC" w:rsidRPr="00A95812">
              <w:rPr>
                <w:rStyle w:val="Hipervnculo"/>
                <w:b/>
                <w:sz w:val="22"/>
                <w:szCs w:val="22"/>
              </w:rPr>
              <w:t>11.</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Riesgo Fiscales por Garantías</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_Toc144114449 \h </w:instrText>
            </w:r>
            <w:r w:rsidR="000D77CC" w:rsidRPr="00A95812">
              <w:rPr>
                <w:webHidden/>
                <w:sz w:val="22"/>
                <w:szCs w:val="22"/>
              </w:rPr>
            </w:r>
            <w:r w:rsidR="000D77CC" w:rsidRPr="00A95812">
              <w:rPr>
                <w:webHidden/>
                <w:sz w:val="22"/>
                <w:szCs w:val="22"/>
              </w:rPr>
              <w:fldChar w:fldCharType="separate"/>
            </w:r>
            <w:r w:rsidR="009E279E">
              <w:rPr>
                <w:webHidden/>
                <w:sz w:val="22"/>
                <w:szCs w:val="22"/>
              </w:rPr>
              <w:t>117</w:t>
            </w:r>
            <w:r w:rsidR="000D77CC" w:rsidRPr="00A95812">
              <w:rPr>
                <w:webHidden/>
                <w:sz w:val="22"/>
                <w:szCs w:val="22"/>
              </w:rPr>
              <w:fldChar w:fldCharType="end"/>
            </w:r>
          </w:hyperlink>
        </w:p>
        <w:p w14:paraId="2AED7009" w14:textId="163D6FA3"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51" w:history="1">
            <w:r w:rsidR="000D77CC" w:rsidRPr="00A95812">
              <w:rPr>
                <w:rStyle w:val="Hipervnculo"/>
                <w:noProof/>
                <w:sz w:val="22"/>
                <w:szCs w:val="22"/>
              </w:rPr>
              <w:t>11.1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Marco legal relacionado con la concesión de garantías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_Toc144114451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117</w:t>
            </w:r>
            <w:r w:rsidR="000D77CC" w:rsidRPr="00A95812">
              <w:rPr>
                <w:noProof/>
                <w:webHidden/>
                <w:sz w:val="22"/>
                <w:szCs w:val="22"/>
              </w:rPr>
              <w:fldChar w:fldCharType="end"/>
            </w:r>
          </w:hyperlink>
        </w:p>
        <w:p w14:paraId="71EFE38E" w14:textId="7204CCC9"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52" w:history="1">
            <w:r w:rsidR="000D77CC" w:rsidRPr="00A95812">
              <w:rPr>
                <w:rStyle w:val="Hipervnculo"/>
                <w:noProof/>
                <w:sz w:val="22"/>
                <w:szCs w:val="22"/>
              </w:rPr>
              <w:t>11.2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Información relativa a los pasivos contingentes por garantías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_Toc144114452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119</w:t>
            </w:r>
            <w:r w:rsidR="000D77CC" w:rsidRPr="00A95812">
              <w:rPr>
                <w:noProof/>
                <w:webHidden/>
                <w:sz w:val="22"/>
                <w:szCs w:val="22"/>
              </w:rPr>
              <w:fldChar w:fldCharType="end"/>
            </w:r>
          </w:hyperlink>
        </w:p>
        <w:p w14:paraId="1AF9BA12" w14:textId="7BB02090"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53" w:history="1">
            <w:r w:rsidR="000D77CC" w:rsidRPr="00A95812">
              <w:rPr>
                <w:rStyle w:val="Hipervnculo"/>
                <w:noProof/>
                <w:sz w:val="22"/>
                <w:szCs w:val="22"/>
              </w:rPr>
              <w:t>11.2.1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Saldos de los préstamos garantizados por el Estado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_Toc144114453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119</w:t>
            </w:r>
            <w:r w:rsidR="000D77CC" w:rsidRPr="00A95812">
              <w:rPr>
                <w:noProof/>
                <w:webHidden/>
                <w:sz w:val="22"/>
                <w:szCs w:val="22"/>
              </w:rPr>
              <w:fldChar w:fldCharType="end"/>
            </w:r>
          </w:hyperlink>
        </w:p>
        <w:p w14:paraId="79640533" w14:textId="29011A19"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54" w:history="1">
            <w:r w:rsidR="000D77CC" w:rsidRPr="00A95812">
              <w:rPr>
                <w:rStyle w:val="Hipervnculo"/>
                <w:noProof/>
                <w:sz w:val="22"/>
                <w:szCs w:val="22"/>
              </w:rPr>
              <w:t>11.2.2</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Garantías relacionadas con APP y gobiernos subnacionales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_Toc144114454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120</w:t>
            </w:r>
            <w:r w:rsidR="000D77CC" w:rsidRPr="00A95812">
              <w:rPr>
                <w:noProof/>
                <w:webHidden/>
                <w:sz w:val="22"/>
                <w:szCs w:val="22"/>
              </w:rPr>
              <w:fldChar w:fldCharType="end"/>
            </w:r>
          </w:hyperlink>
        </w:p>
        <w:p w14:paraId="0D286C5E" w14:textId="5B4603BB"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55" w:history="1">
            <w:r w:rsidR="000D77CC" w:rsidRPr="00A95812">
              <w:rPr>
                <w:rStyle w:val="Hipervnculo"/>
                <w:noProof/>
                <w:sz w:val="22"/>
                <w:szCs w:val="22"/>
              </w:rPr>
              <w:t>11.2.3</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Fondo de Protección del Ahorro (garantía al sector financiero)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_Toc144114455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121</w:t>
            </w:r>
            <w:r w:rsidR="000D77CC" w:rsidRPr="00A95812">
              <w:rPr>
                <w:noProof/>
                <w:webHidden/>
                <w:sz w:val="22"/>
                <w:szCs w:val="22"/>
              </w:rPr>
              <w:fldChar w:fldCharType="end"/>
            </w:r>
          </w:hyperlink>
        </w:p>
        <w:p w14:paraId="62D208EB" w14:textId="02436D1E"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56" w:history="1">
            <w:r w:rsidR="000D77CC" w:rsidRPr="00A95812">
              <w:rPr>
                <w:rStyle w:val="Hipervnculo"/>
                <w:noProof/>
                <w:sz w:val="22"/>
                <w:szCs w:val="22"/>
              </w:rPr>
              <w:t>11.2.4</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Fideicomisos de garantía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_Toc144114456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122</w:t>
            </w:r>
            <w:r w:rsidR="000D77CC" w:rsidRPr="00A95812">
              <w:rPr>
                <w:noProof/>
                <w:webHidden/>
                <w:sz w:val="22"/>
                <w:szCs w:val="22"/>
              </w:rPr>
              <w:fldChar w:fldCharType="end"/>
            </w:r>
          </w:hyperlink>
        </w:p>
        <w:p w14:paraId="2EAD171C" w14:textId="5EFB711D"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457" w:history="1">
            <w:r w:rsidR="000D77CC" w:rsidRPr="00A95812">
              <w:rPr>
                <w:rStyle w:val="Hipervnculo"/>
                <w:b/>
                <w:sz w:val="22"/>
                <w:szCs w:val="22"/>
              </w:rPr>
              <w:t>12.</w:t>
            </w:r>
            <w:r w:rsidR="000D77CC"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Riesgos fiscales por Recursos Naturales</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_Toc144114457 \h </w:instrText>
            </w:r>
            <w:r w:rsidR="000D77CC" w:rsidRPr="00A95812">
              <w:rPr>
                <w:webHidden/>
                <w:sz w:val="22"/>
                <w:szCs w:val="22"/>
              </w:rPr>
            </w:r>
            <w:r w:rsidR="000D77CC" w:rsidRPr="00A95812">
              <w:rPr>
                <w:webHidden/>
                <w:sz w:val="22"/>
                <w:szCs w:val="22"/>
              </w:rPr>
              <w:fldChar w:fldCharType="separate"/>
            </w:r>
            <w:r w:rsidR="009E279E">
              <w:rPr>
                <w:webHidden/>
                <w:sz w:val="22"/>
                <w:szCs w:val="22"/>
              </w:rPr>
              <w:t>123</w:t>
            </w:r>
            <w:r w:rsidR="000D77CC" w:rsidRPr="00A95812">
              <w:rPr>
                <w:webHidden/>
                <w:sz w:val="22"/>
                <w:szCs w:val="22"/>
              </w:rPr>
              <w:fldChar w:fldCharType="end"/>
            </w:r>
          </w:hyperlink>
        </w:p>
        <w:p w14:paraId="415C4AB0" w14:textId="21FAEF42"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59" w:history="1">
            <w:r w:rsidR="000D77CC" w:rsidRPr="00A95812">
              <w:rPr>
                <w:rStyle w:val="Hipervnculo"/>
                <w:noProof/>
                <w:sz w:val="22"/>
                <w:szCs w:val="22"/>
              </w:rPr>
              <w:t>12.1</w:t>
            </w:r>
            <w:r w:rsidR="000D77CC"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Industria petrolera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_Toc144114459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123</w:t>
            </w:r>
            <w:r w:rsidR="000D77CC" w:rsidRPr="00A95812">
              <w:rPr>
                <w:noProof/>
                <w:webHidden/>
                <w:sz w:val="22"/>
                <w:szCs w:val="22"/>
              </w:rPr>
              <w:fldChar w:fldCharType="end"/>
            </w:r>
          </w:hyperlink>
        </w:p>
        <w:p w14:paraId="0CAA20A6" w14:textId="3B0A505B"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60" w:history="1">
            <w:r w:rsidR="000D77CC" w:rsidRPr="00A95812">
              <w:rPr>
                <w:rStyle w:val="Hipervnculo"/>
                <w:noProof/>
                <w:sz w:val="22"/>
                <w:szCs w:val="22"/>
              </w:rPr>
              <w:t>12.1.1</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Ingresos derivados de la explotación petrolera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_Toc144114460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126</w:t>
            </w:r>
            <w:r w:rsidR="000D77CC" w:rsidRPr="00A95812">
              <w:rPr>
                <w:noProof/>
                <w:webHidden/>
                <w:sz w:val="22"/>
                <w:szCs w:val="22"/>
              </w:rPr>
              <w:fldChar w:fldCharType="end"/>
            </w:r>
          </w:hyperlink>
        </w:p>
        <w:p w14:paraId="75B34A8E" w14:textId="077A3A5C"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61" w:history="1">
            <w:r w:rsidR="000D77CC" w:rsidRPr="00A95812">
              <w:rPr>
                <w:rStyle w:val="Hipervnculo"/>
                <w:noProof/>
                <w:sz w:val="22"/>
                <w:szCs w:val="22"/>
              </w:rPr>
              <w:t>12.2</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Industria minera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_Toc144114461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129</w:t>
            </w:r>
            <w:r w:rsidR="000D77CC" w:rsidRPr="00A95812">
              <w:rPr>
                <w:noProof/>
                <w:webHidden/>
                <w:sz w:val="22"/>
                <w:szCs w:val="22"/>
              </w:rPr>
              <w:fldChar w:fldCharType="end"/>
            </w:r>
          </w:hyperlink>
        </w:p>
        <w:p w14:paraId="7A402A03" w14:textId="55AC0306"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62" w:history="1">
            <w:r w:rsidR="000D77CC" w:rsidRPr="00A95812">
              <w:rPr>
                <w:rStyle w:val="Hipervnculo"/>
                <w:noProof/>
                <w:sz w:val="22"/>
                <w:szCs w:val="22"/>
              </w:rPr>
              <w:t>12.2.1</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Ingresos de la administración central por actividad minera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_Toc144114462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130</w:t>
            </w:r>
            <w:r w:rsidR="000D77CC" w:rsidRPr="00A95812">
              <w:rPr>
                <w:noProof/>
                <w:webHidden/>
                <w:sz w:val="22"/>
                <w:szCs w:val="22"/>
              </w:rPr>
              <w:fldChar w:fldCharType="end"/>
            </w:r>
          </w:hyperlink>
        </w:p>
        <w:p w14:paraId="0A989BD2" w14:textId="169BEF03"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463" w:history="1">
            <w:r w:rsidR="000D77CC" w:rsidRPr="00A95812">
              <w:rPr>
                <w:rStyle w:val="Hipervnculo"/>
                <w:b/>
                <w:sz w:val="22"/>
                <w:szCs w:val="22"/>
              </w:rPr>
              <w:t>13.</w:t>
            </w:r>
            <w:r w:rsidR="00A95812" w:rsidRPr="00A95812">
              <w:rPr>
                <w:rFonts w:asciiTheme="minorHAnsi" w:eastAsiaTheme="minorEastAsia" w:hAnsiTheme="minorHAnsi" w:cstheme="minorBidi"/>
                <w:bCs w:val="0"/>
                <w:sz w:val="22"/>
                <w:szCs w:val="22"/>
                <w:lang w:eastAsia="es-GT"/>
              </w:rPr>
              <w:t xml:space="preserve">  </w:t>
            </w:r>
            <w:r w:rsidR="000D77CC" w:rsidRPr="00A95812">
              <w:rPr>
                <w:rStyle w:val="Hipervnculo"/>
                <w:b/>
                <w:sz w:val="22"/>
                <w:szCs w:val="22"/>
              </w:rPr>
              <w:t>Riesgos de desastres provocados por fenómenos naturales</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_Toc144114463 \h </w:instrText>
            </w:r>
            <w:r w:rsidR="000D77CC" w:rsidRPr="00A95812">
              <w:rPr>
                <w:webHidden/>
                <w:sz w:val="22"/>
                <w:szCs w:val="22"/>
              </w:rPr>
            </w:r>
            <w:r w:rsidR="000D77CC" w:rsidRPr="00A95812">
              <w:rPr>
                <w:webHidden/>
                <w:sz w:val="22"/>
                <w:szCs w:val="22"/>
              </w:rPr>
              <w:fldChar w:fldCharType="separate"/>
            </w:r>
            <w:r w:rsidR="009E279E">
              <w:rPr>
                <w:webHidden/>
                <w:sz w:val="22"/>
                <w:szCs w:val="22"/>
              </w:rPr>
              <w:t>134</w:t>
            </w:r>
            <w:r w:rsidR="000D77CC" w:rsidRPr="00A95812">
              <w:rPr>
                <w:webHidden/>
                <w:sz w:val="22"/>
                <w:szCs w:val="22"/>
              </w:rPr>
              <w:fldChar w:fldCharType="end"/>
            </w:r>
          </w:hyperlink>
        </w:p>
        <w:p w14:paraId="1B9E7BF7" w14:textId="0696D2A2"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66" w:history="1">
            <w:r w:rsidR="000D77CC" w:rsidRPr="00A95812">
              <w:rPr>
                <w:rStyle w:val="Hipervnculo"/>
                <w:noProof/>
                <w:sz w:val="22"/>
                <w:szCs w:val="22"/>
              </w:rPr>
              <w:t>13.1</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Desastres provocados por tipo de fenómenos naturales en Guatemala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_Toc144114466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139</w:t>
            </w:r>
            <w:r w:rsidR="000D77CC" w:rsidRPr="00A95812">
              <w:rPr>
                <w:noProof/>
                <w:webHidden/>
                <w:sz w:val="22"/>
                <w:szCs w:val="22"/>
              </w:rPr>
              <w:fldChar w:fldCharType="end"/>
            </w:r>
          </w:hyperlink>
        </w:p>
        <w:p w14:paraId="2A0680CF" w14:textId="114AD633"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67" w:history="1">
            <w:r w:rsidR="000D77CC" w:rsidRPr="00A95812">
              <w:rPr>
                <w:rStyle w:val="Hipervnculo"/>
                <w:noProof/>
                <w:sz w:val="22"/>
                <w:szCs w:val="22"/>
              </w:rPr>
              <w:t>13.1.1</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Volcanes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_Toc144114467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139</w:t>
            </w:r>
            <w:r w:rsidR="000D77CC" w:rsidRPr="00A95812">
              <w:rPr>
                <w:noProof/>
                <w:webHidden/>
                <w:sz w:val="22"/>
                <w:szCs w:val="22"/>
              </w:rPr>
              <w:fldChar w:fldCharType="end"/>
            </w:r>
          </w:hyperlink>
        </w:p>
        <w:p w14:paraId="56884304" w14:textId="7390008D"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68" w:history="1">
            <w:r w:rsidR="000D77CC" w:rsidRPr="00A95812">
              <w:rPr>
                <w:rStyle w:val="Hipervnculo"/>
                <w:noProof/>
                <w:sz w:val="22"/>
                <w:szCs w:val="22"/>
              </w:rPr>
              <w:t>13.1.2</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Incendios forestales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_Toc144114468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141</w:t>
            </w:r>
            <w:r w:rsidR="000D77CC" w:rsidRPr="00A95812">
              <w:rPr>
                <w:noProof/>
                <w:webHidden/>
                <w:sz w:val="22"/>
                <w:szCs w:val="22"/>
              </w:rPr>
              <w:fldChar w:fldCharType="end"/>
            </w:r>
          </w:hyperlink>
        </w:p>
        <w:p w14:paraId="447FC4AC" w14:textId="590B57A5"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69" w:history="1">
            <w:r w:rsidR="000D77CC" w:rsidRPr="00A95812">
              <w:rPr>
                <w:rStyle w:val="Hipervnculo"/>
                <w:noProof/>
                <w:sz w:val="22"/>
                <w:szCs w:val="22"/>
              </w:rPr>
              <w:t>13.1.3</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Sismos: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_Toc144114469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142</w:t>
            </w:r>
            <w:r w:rsidR="000D77CC" w:rsidRPr="00A95812">
              <w:rPr>
                <w:noProof/>
                <w:webHidden/>
                <w:sz w:val="22"/>
                <w:szCs w:val="22"/>
              </w:rPr>
              <w:fldChar w:fldCharType="end"/>
            </w:r>
          </w:hyperlink>
        </w:p>
        <w:p w14:paraId="74A8DA9D" w14:textId="7E461AF3"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70" w:history="1">
            <w:r w:rsidR="000D77CC" w:rsidRPr="00A95812">
              <w:rPr>
                <w:rStyle w:val="Hipervnculo"/>
                <w:noProof/>
                <w:sz w:val="22"/>
                <w:szCs w:val="22"/>
              </w:rPr>
              <w:t>13.1.4</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Exceso de lluvia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144</w:t>
            </w:r>
            <w:r w:rsidR="000D77CC" w:rsidRPr="00A95812">
              <w:rPr>
                <w:noProof/>
                <w:webHidden/>
                <w:sz w:val="22"/>
                <w:szCs w:val="22"/>
              </w:rPr>
              <w:fldChar w:fldCharType="end"/>
            </w:r>
          </w:hyperlink>
        </w:p>
        <w:p w14:paraId="0CD7BAF7" w14:textId="10341282"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71" w:history="1">
            <w:r w:rsidR="000D77CC" w:rsidRPr="00A95812">
              <w:rPr>
                <w:rStyle w:val="Hipervnculo"/>
                <w:noProof/>
                <w:sz w:val="22"/>
                <w:szCs w:val="22"/>
              </w:rPr>
              <w:t>13.2</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Proyección del impacto fiscal por fenómeno natural</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146</w:t>
            </w:r>
            <w:r w:rsidR="000D77CC" w:rsidRPr="00A95812">
              <w:rPr>
                <w:noProof/>
                <w:webHidden/>
                <w:sz w:val="22"/>
                <w:szCs w:val="22"/>
              </w:rPr>
              <w:fldChar w:fldCharType="end"/>
            </w:r>
          </w:hyperlink>
        </w:p>
        <w:p w14:paraId="4B2C4802" w14:textId="1984041E"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72" w:history="1">
            <w:r w:rsidR="000D77CC" w:rsidRPr="00A95812">
              <w:rPr>
                <w:rStyle w:val="Hipervnculo"/>
                <w:noProof/>
                <w:sz w:val="22"/>
                <w:szCs w:val="22"/>
              </w:rPr>
              <w:t>13.3</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Estimación del impacto fiscal de los desastres naturales en los naturales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_Toc144114472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148</w:t>
            </w:r>
            <w:r w:rsidR="000D77CC" w:rsidRPr="00A95812">
              <w:rPr>
                <w:noProof/>
                <w:webHidden/>
                <w:sz w:val="22"/>
                <w:szCs w:val="22"/>
              </w:rPr>
              <w:fldChar w:fldCharType="end"/>
            </w:r>
          </w:hyperlink>
        </w:p>
        <w:p w14:paraId="7CD349FE" w14:textId="6D31EED2"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73" w:history="1">
            <w:r w:rsidR="000D77CC" w:rsidRPr="00A95812">
              <w:rPr>
                <w:rStyle w:val="Hipervnculo"/>
                <w:noProof/>
                <w:sz w:val="22"/>
                <w:szCs w:val="22"/>
              </w:rPr>
              <w:t>13.3.1</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las finanzas públicas ante una tormenta tropical o huracán</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149</w:t>
            </w:r>
            <w:r w:rsidR="000D77CC" w:rsidRPr="00A95812">
              <w:rPr>
                <w:noProof/>
                <w:webHidden/>
                <w:sz w:val="22"/>
                <w:szCs w:val="22"/>
              </w:rPr>
              <w:fldChar w:fldCharType="end"/>
            </w:r>
          </w:hyperlink>
        </w:p>
        <w:p w14:paraId="50CA8A3C" w14:textId="7243BAC0"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74" w:history="1">
            <w:r w:rsidR="000D77CC" w:rsidRPr="00A95812">
              <w:rPr>
                <w:rStyle w:val="Hipervnculo"/>
                <w:noProof/>
                <w:sz w:val="22"/>
                <w:szCs w:val="22"/>
              </w:rPr>
              <w:t>13.3.2</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las finanzas públicas ante un terremoto</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_Toc144114474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150</w:t>
            </w:r>
            <w:r w:rsidR="000D77CC" w:rsidRPr="00A95812">
              <w:rPr>
                <w:noProof/>
                <w:webHidden/>
                <w:sz w:val="22"/>
                <w:szCs w:val="22"/>
              </w:rPr>
              <w:fldChar w:fldCharType="end"/>
            </w:r>
          </w:hyperlink>
        </w:p>
        <w:p w14:paraId="05260E78" w14:textId="0C2905C2"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75" w:history="1">
            <w:r w:rsidR="000D77CC" w:rsidRPr="00A95812">
              <w:rPr>
                <w:rStyle w:val="Hipervnculo"/>
                <w:noProof/>
                <w:sz w:val="22"/>
                <w:szCs w:val="22"/>
              </w:rPr>
              <w:t>13.3.3</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Impacto en las finanzas públicas ante un desastre ocasionado por un volcán</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_Toc144114475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151</w:t>
            </w:r>
            <w:r w:rsidR="000D77CC" w:rsidRPr="00A95812">
              <w:rPr>
                <w:noProof/>
                <w:webHidden/>
                <w:sz w:val="22"/>
                <w:szCs w:val="22"/>
              </w:rPr>
              <w:fldChar w:fldCharType="end"/>
            </w:r>
          </w:hyperlink>
        </w:p>
        <w:p w14:paraId="2005CFF0" w14:textId="33E2E99D" w:rsidR="000D77CC" w:rsidRPr="00A95812" w:rsidRDefault="00805A42" w:rsidP="000D77CC">
          <w:pPr>
            <w:pStyle w:val="TDC2"/>
            <w:spacing w:after="0"/>
            <w:rPr>
              <w:rFonts w:asciiTheme="minorHAnsi" w:eastAsiaTheme="minorEastAsia" w:hAnsiTheme="minorHAnsi" w:cstheme="minorBidi"/>
              <w:noProof/>
              <w:sz w:val="22"/>
              <w:szCs w:val="22"/>
              <w:lang w:eastAsia="es-GT"/>
            </w:rPr>
          </w:pPr>
          <w:hyperlink w:anchor="_Toc144114476" w:history="1">
            <w:r w:rsidR="000D77CC" w:rsidRPr="00A95812">
              <w:rPr>
                <w:rStyle w:val="Hipervnculo"/>
                <w:noProof/>
                <w:sz w:val="22"/>
                <w:szCs w:val="22"/>
              </w:rPr>
              <w:t>13.4</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Estrategia financiera ante el riesgo de desastres -EFRD-</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_Toc144114476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152</w:t>
            </w:r>
            <w:r w:rsidR="000D77CC" w:rsidRPr="00A95812">
              <w:rPr>
                <w:noProof/>
                <w:webHidden/>
                <w:sz w:val="22"/>
                <w:szCs w:val="22"/>
              </w:rPr>
              <w:fldChar w:fldCharType="end"/>
            </w:r>
          </w:hyperlink>
        </w:p>
        <w:p w14:paraId="1A06E276" w14:textId="5AD5247C"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77" w:history="1">
            <w:r w:rsidR="000D77CC" w:rsidRPr="00A95812">
              <w:rPr>
                <w:rStyle w:val="Hipervnculo"/>
                <w:noProof/>
                <w:sz w:val="22"/>
                <w:szCs w:val="22"/>
              </w:rPr>
              <w:t>13.4.1</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Operativización del plan operativo de la estrategia financiera ante el riesgo de desastres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_Toc144114477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153</w:t>
            </w:r>
            <w:r w:rsidR="000D77CC" w:rsidRPr="00A95812">
              <w:rPr>
                <w:noProof/>
                <w:webHidden/>
                <w:sz w:val="22"/>
                <w:szCs w:val="22"/>
              </w:rPr>
              <w:fldChar w:fldCharType="end"/>
            </w:r>
          </w:hyperlink>
        </w:p>
        <w:p w14:paraId="152A8C28" w14:textId="0A0BD0BF"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78" w:history="1">
            <w:r w:rsidR="000D77CC" w:rsidRPr="00A95812">
              <w:rPr>
                <w:rStyle w:val="Hipervnculo"/>
                <w:noProof/>
                <w:sz w:val="22"/>
                <w:szCs w:val="22"/>
              </w:rPr>
              <w:t>13.4.2</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Mecanismo de seguro contra riesgos de catástrofes del caribe -CCRIF-</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_Toc144114478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153</w:t>
            </w:r>
            <w:r w:rsidR="000D77CC" w:rsidRPr="00A95812">
              <w:rPr>
                <w:noProof/>
                <w:webHidden/>
                <w:sz w:val="22"/>
                <w:szCs w:val="22"/>
              </w:rPr>
              <w:fldChar w:fldCharType="end"/>
            </w:r>
          </w:hyperlink>
        </w:p>
        <w:p w14:paraId="1C4F925B" w14:textId="200CEB7B"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79" w:history="1">
            <w:r w:rsidR="000D77CC" w:rsidRPr="00A95812">
              <w:rPr>
                <w:rStyle w:val="Hipervnculo"/>
                <w:noProof/>
                <w:sz w:val="22"/>
                <w:szCs w:val="22"/>
              </w:rPr>
              <w:t>13.4.3</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Operaciones en gestión de préstamos contingentes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_Toc144114479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154</w:t>
            </w:r>
            <w:r w:rsidR="000D77CC" w:rsidRPr="00A95812">
              <w:rPr>
                <w:noProof/>
                <w:webHidden/>
                <w:sz w:val="22"/>
                <w:szCs w:val="22"/>
              </w:rPr>
              <w:fldChar w:fldCharType="end"/>
            </w:r>
          </w:hyperlink>
        </w:p>
        <w:p w14:paraId="33AE6CE6" w14:textId="00D0C0D8"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80" w:history="1">
            <w:r w:rsidR="000D77CC" w:rsidRPr="00A95812">
              <w:rPr>
                <w:rStyle w:val="Hipervnculo"/>
                <w:noProof/>
                <w:sz w:val="22"/>
                <w:szCs w:val="22"/>
              </w:rPr>
              <w:t>13.4.4</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Fondo de emergencia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_Toc144114480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155</w:t>
            </w:r>
            <w:r w:rsidR="000D77CC" w:rsidRPr="00A95812">
              <w:rPr>
                <w:noProof/>
                <w:webHidden/>
                <w:sz w:val="22"/>
                <w:szCs w:val="22"/>
              </w:rPr>
              <w:fldChar w:fldCharType="end"/>
            </w:r>
          </w:hyperlink>
        </w:p>
        <w:p w14:paraId="4594841A" w14:textId="003C091F" w:rsidR="000D77CC" w:rsidRPr="00A95812" w:rsidRDefault="00805A42" w:rsidP="00A95812">
          <w:pPr>
            <w:pStyle w:val="TDC2"/>
            <w:tabs>
              <w:tab w:val="left" w:pos="1320"/>
            </w:tabs>
            <w:spacing w:after="0"/>
            <w:ind w:left="567"/>
            <w:rPr>
              <w:rFonts w:asciiTheme="minorHAnsi" w:eastAsiaTheme="minorEastAsia" w:hAnsiTheme="minorHAnsi" w:cstheme="minorBidi"/>
              <w:noProof/>
              <w:sz w:val="22"/>
              <w:szCs w:val="22"/>
              <w:lang w:eastAsia="es-GT"/>
            </w:rPr>
          </w:pPr>
          <w:hyperlink w:anchor="_Toc144114481" w:history="1">
            <w:r w:rsidR="000D77CC" w:rsidRPr="00A95812">
              <w:rPr>
                <w:rStyle w:val="Hipervnculo"/>
                <w:noProof/>
                <w:sz w:val="22"/>
                <w:szCs w:val="22"/>
              </w:rPr>
              <w:t>13.4.5</w:t>
            </w:r>
            <w:r w:rsidR="00A95812" w:rsidRPr="00A95812">
              <w:rPr>
                <w:rFonts w:asciiTheme="minorHAnsi" w:eastAsiaTheme="minorEastAsia" w:hAnsiTheme="minorHAnsi" w:cstheme="minorBidi"/>
                <w:noProof/>
                <w:sz w:val="22"/>
                <w:szCs w:val="22"/>
                <w:lang w:eastAsia="es-GT"/>
              </w:rPr>
              <w:t xml:space="preserve">  </w:t>
            </w:r>
            <w:r w:rsidR="000D77CC" w:rsidRPr="00A95812">
              <w:rPr>
                <w:rStyle w:val="Hipervnculo"/>
                <w:bCs/>
                <w:noProof/>
                <w:sz w:val="22"/>
                <w:szCs w:val="22"/>
              </w:rPr>
              <w:t>Otros</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_Toc144114481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156</w:t>
            </w:r>
            <w:r w:rsidR="000D77CC" w:rsidRPr="00A95812">
              <w:rPr>
                <w:noProof/>
                <w:webHidden/>
                <w:sz w:val="22"/>
                <w:szCs w:val="22"/>
              </w:rPr>
              <w:fldChar w:fldCharType="end"/>
            </w:r>
          </w:hyperlink>
        </w:p>
        <w:p w14:paraId="6D9CBD66" w14:textId="5747A533" w:rsidR="000D77CC" w:rsidRPr="00A95812" w:rsidRDefault="00805A42" w:rsidP="000D77CC">
          <w:pPr>
            <w:pStyle w:val="TDC1"/>
            <w:rPr>
              <w:rFonts w:asciiTheme="minorHAnsi" w:eastAsiaTheme="minorEastAsia" w:hAnsiTheme="minorHAnsi" w:cstheme="minorBidi"/>
              <w:bCs w:val="0"/>
              <w:sz w:val="22"/>
              <w:szCs w:val="22"/>
              <w:lang w:eastAsia="es-GT"/>
            </w:rPr>
          </w:pPr>
          <w:hyperlink w:anchor="_Toc144114482" w:history="1">
            <w:r w:rsidR="000D77CC" w:rsidRPr="00A95812">
              <w:rPr>
                <w:rStyle w:val="Hipervnculo"/>
                <w:sz w:val="22"/>
                <w:szCs w:val="22"/>
                <w:lang w:val="es-ES"/>
              </w:rPr>
              <w:t xml:space="preserve">Anexo.  </w:t>
            </w:r>
            <w:r w:rsidR="000D77CC" w:rsidRPr="00A95812">
              <w:rPr>
                <w:rStyle w:val="Hipervnculo"/>
                <w:sz w:val="22"/>
                <w:szCs w:val="22"/>
              </w:rPr>
              <w:t>Licencias de explotación mineras Guatemala</w:t>
            </w:r>
            <w:r w:rsidR="000D77CC" w:rsidRPr="00A95812">
              <w:rPr>
                <w:webHidden/>
                <w:sz w:val="22"/>
                <w:szCs w:val="22"/>
              </w:rPr>
              <w:tab/>
            </w:r>
            <w:r w:rsidR="000D77CC" w:rsidRPr="00A95812">
              <w:rPr>
                <w:webHidden/>
                <w:sz w:val="22"/>
                <w:szCs w:val="22"/>
              </w:rPr>
              <w:fldChar w:fldCharType="begin"/>
            </w:r>
            <w:r w:rsidR="000D77CC" w:rsidRPr="00A95812">
              <w:rPr>
                <w:webHidden/>
                <w:sz w:val="22"/>
                <w:szCs w:val="22"/>
              </w:rPr>
              <w:instrText xml:space="preserve"> PAGEREF _Toc144114482 \h </w:instrText>
            </w:r>
            <w:r w:rsidR="000D77CC" w:rsidRPr="00A95812">
              <w:rPr>
                <w:webHidden/>
                <w:sz w:val="22"/>
                <w:szCs w:val="22"/>
              </w:rPr>
            </w:r>
            <w:r w:rsidR="000D77CC" w:rsidRPr="00A95812">
              <w:rPr>
                <w:webHidden/>
                <w:sz w:val="22"/>
                <w:szCs w:val="22"/>
              </w:rPr>
              <w:fldChar w:fldCharType="separate"/>
            </w:r>
            <w:r w:rsidR="009E279E">
              <w:rPr>
                <w:webHidden/>
                <w:sz w:val="22"/>
                <w:szCs w:val="22"/>
              </w:rPr>
              <w:t>156</w:t>
            </w:r>
            <w:r w:rsidR="000D77CC" w:rsidRPr="00A95812">
              <w:rPr>
                <w:webHidden/>
                <w:sz w:val="22"/>
                <w:szCs w:val="22"/>
              </w:rPr>
              <w:fldChar w:fldCharType="end"/>
            </w:r>
          </w:hyperlink>
        </w:p>
        <w:p w14:paraId="311AD7BC" w14:textId="06CC81F6" w:rsidR="000D77CC" w:rsidRPr="00A95812" w:rsidRDefault="00805A42" w:rsidP="00A95812">
          <w:pPr>
            <w:pStyle w:val="TDC2"/>
            <w:spacing w:after="0"/>
            <w:ind w:left="0"/>
            <w:rPr>
              <w:rFonts w:asciiTheme="minorHAnsi" w:eastAsiaTheme="minorEastAsia" w:hAnsiTheme="minorHAnsi" w:cstheme="minorBidi"/>
              <w:noProof/>
              <w:sz w:val="22"/>
              <w:szCs w:val="22"/>
              <w:lang w:eastAsia="es-GT"/>
            </w:rPr>
          </w:pPr>
          <w:hyperlink w:anchor="_Toc144114483" w:history="1">
            <w:r w:rsidR="000D77CC" w:rsidRPr="00A95812">
              <w:rPr>
                <w:rStyle w:val="Hipervnculo"/>
                <w:bCs/>
                <w:noProof/>
                <w:sz w:val="22"/>
                <w:szCs w:val="22"/>
                <w:lang w:val="es-ES"/>
              </w:rPr>
              <w:t>Bibliografía</w:t>
            </w:r>
            <w:r w:rsidR="000D77CC" w:rsidRPr="00A95812">
              <w:rPr>
                <w:noProof/>
                <w:webHidden/>
                <w:sz w:val="22"/>
                <w:szCs w:val="22"/>
              </w:rPr>
              <w:tab/>
            </w:r>
            <w:r w:rsidR="000D77CC" w:rsidRPr="00A95812">
              <w:rPr>
                <w:noProof/>
                <w:webHidden/>
                <w:sz w:val="22"/>
                <w:szCs w:val="22"/>
              </w:rPr>
              <w:fldChar w:fldCharType="begin"/>
            </w:r>
            <w:r w:rsidR="000D77CC" w:rsidRPr="00A95812">
              <w:rPr>
                <w:noProof/>
                <w:webHidden/>
                <w:sz w:val="22"/>
                <w:szCs w:val="22"/>
              </w:rPr>
              <w:instrText xml:space="preserve"> PAGEREF _Toc144114483 \h </w:instrText>
            </w:r>
            <w:r w:rsidR="000D77CC" w:rsidRPr="00A95812">
              <w:rPr>
                <w:noProof/>
                <w:webHidden/>
                <w:sz w:val="22"/>
                <w:szCs w:val="22"/>
              </w:rPr>
            </w:r>
            <w:r w:rsidR="000D77CC" w:rsidRPr="00A95812">
              <w:rPr>
                <w:noProof/>
                <w:webHidden/>
                <w:sz w:val="22"/>
                <w:szCs w:val="22"/>
              </w:rPr>
              <w:fldChar w:fldCharType="separate"/>
            </w:r>
            <w:r w:rsidR="009E279E">
              <w:rPr>
                <w:noProof/>
                <w:webHidden/>
                <w:sz w:val="22"/>
                <w:szCs w:val="22"/>
              </w:rPr>
              <w:t>166</w:t>
            </w:r>
            <w:r w:rsidR="000D77CC" w:rsidRPr="00A95812">
              <w:rPr>
                <w:noProof/>
                <w:webHidden/>
                <w:sz w:val="22"/>
                <w:szCs w:val="22"/>
              </w:rPr>
              <w:fldChar w:fldCharType="end"/>
            </w:r>
          </w:hyperlink>
        </w:p>
        <w:bookmarkEnd w:id="0"/>
        <w:p w14:paraId="57AD0A3E" w14:textId="6DD30D81" w:rsidR="00872FC6" w:rsidRPr="000D77CC" w:rsidRDefault="00872FC6" w:rsidP="000D77CC">
          <w:pPr>
            <w:rPr>
              <w:rFonts w:eastAsiaTheme="minorHAnsi"/>
              <w:b/>
              <w:color w:val="000000"/>
              <w:sz w:val="16"/>
              <w:lang w:eastAsia="en-US"/>
            </w:rPr>
          </w:pPr>
          <w:r w:rsidRPr="000D77CC">
            <w:rPr>
              <w:bCs/>
              <w:sz w:val="22"/>
              <w:szCs w:val="22"/>
              <w:lang w:val="es-ES"/>
            </w:rPr>
            <w:fldChar w:fldCharType="end"/>
          </w:r>
        </w:p>
        <w:bookmarkStart w:id="1" w:name="_Toc144113892" w:displacedByCustomXml="next"/>
      </w:sdtContent>
    </w:sdt>
    <w:bookmarkEnd w:id="1" w:displacedByCustomXml="prev"/>
    <w:p w14:paraId="2EB33849" w14:textId="77777777" w:rsidR="00B663DC" w:rsidRDefault="00B663DC" w:rsidP="00DF59FC">
      <w:pPr>
        <w:pStyle w:val="Tabladeilustraciones"/>
        <w:tabs>
          <w:tab w:val="right" w:leader="dot" w:pos="8828"/>
        </w:tabs>
        <w:jc w:val="center"/>
        <w:rPr>
          <w:b/>
          <w:bCs/>
          <w:sz w:val="21"/>
          <w:szCs w:val="21"/>
        </w:rPr>
      </w:pPr>
    </w:p>
    <w:p w14:paraId="1E296089" w14:textId="25399FC6" w:rsidR="00DF59FC" w:rsidRPr="00DF59FC" w:rsidRDefault="00DF59FC" w:rsidP="00DF59FC">
      <w:pPr>
        <w:pStyle w:val="Tabladeilustraciones"/>
        <w:tabs>
          <w:tab w:val="right" w:leader="dot" w:pos="8828"/>
        </w:tabs>
        <w:jc w:val="center"/>
        <w:rPr>
          <w:b/>
          <w:bCs/>
          <w:sz w:val="21"/>
          <w:szCs w:val="21"/>
        </w:rPr>
      </w:pPr>
      <w:r w:rsidRPr="00DF59FC">
        <w:rPr>
          <w:b/>
          <w:bCs/>
          <w:sz w:val="21"/>
          <w:szCs w:val="21"/>
        </w:rPr>
        <w:t>Tablas</w:t>
      </w:r>
    </w:p>
    <w:p w14:paraId="1FB4B229" w14:textId="20FAA242" w:rsidR="00DF59FC" w:rsidRPr="00DF59FC" w:rsidRDefault="00DF59FC" w:rsidP="005C56A0">
      <w:pPr>
        <w:pStyle w:val="Tabladeilustraciones"/>
        <w:tabs>
          <w:tab w:val="right" w:leader="dot" w:pos="8828"/>
        </w:tabs>
        <w:spacing w:after="0"/>
        <w:rPr>
          <w:rFonts w:asciiTheme="minorHAnsi" w:hAnsiTheme="minorHAnsi" w:cstheme="minorBidi"/>
          <w:noProof/>
          <w:sz w:val="21"/>
          <w:szCs w:val="21"/>
          <w:lang w:eastAsia="es-GT"/>
        </w:rPr>
      </w:pPr>
      <w:r w:rsidRPr="00DF59FC">
        <w:rPr>
          <w:sz w:val="21"/>
          <w:szCs w:val="21"/>
        </w:rPr>
        <w:fldChar w:fldCharType="begin"/>
      </w:r>
      <w:r w:rsidRPr="00DF59FC">
        <w:rPr>
          <w:sz w:val="21"/>
          <w:szCs w:val="21"/>
        </w:rPr>
        <w:instrText xml:space="preserve"> TOC \h \z \c "Tabla" </w:instrText>
      </w:r>
      <w:r w:rsidRPr="00DF59FC">
        <w:rPr>
          <w:sz w:val="21"/>
          <w:szCs w:val="21"/>
        </w:rPr>
        <w:fldChar w:fldCharType="separate"/>
      </w:r>
      <w:hyperlink w:anchor="_Toc143593503" w:history="1">
        <w:r w:rsidRPr="00DF59FC">
          <w:rPr>
            <w:rStyle w:val="Hipervnculo"/>
            <w:noProof/>
            <w:sz w:val="21"/>
            <w:szCs w:val="21"/>
          </w:rPr>
          <w:t>Tabla 1. Matriz de Materialización de Riesgos Históricos</w:t>
        </w:r>
        <w:r w:rsidRPr="00DF59FC">
          <w:rPr>
            <w:noProof/>
            <w:webHidden/>
            <w:sz w:val="21"/>
            <w:szCs w:val="21"/>
          </w:rPr>
          <w:tab/>
        </w:r>
        <w:r w:rsidRPr="00DF59FC">
          <w:rPr>
            <w:noProof/>
            <w:webHidden/>
            <w:sz w:val="21"/>
            <w:szCs w:val="21"/>
          </w:rPr>
          <w:fldChar w:fldCharType="begin"/>
        </w:r>
        <w:r w:rsidRPr="00DF59FC">
          <w:rPr>
            <w:noProof/>
            <w:webHidden/>
            <w:sz w:val="21"/>
            <w:szCs w:val="21"/>
          </w:rPr>
          <w:instrText xml:space="preserve"> PAGEREF _Toc143593503 \h </w:instrText>
        </w:r>
        <w:r w:rsidRPr="00DF59FC">
          <w:rPr>
            <w:noProof/>
            <w:webHidden/>
            <w:sz w:val="21"/>
            <w:szCs w:val="21"/>
          </w:rPr>
        </w:r>
        <w:r w:rsidRPr="00DF59FC">
          <w:rPr>
            <w:noProof/>
            <w:webHidden/>
            <w:sz w:val="21"/>
            <w:szCs w:val="21"/>
          </w:rPr>
          <w:fldChar w:fldCharType="separate"/>
        </w:r>
        <w:r w:rsidR="009E279E">
          <w:rPr>
            <w:noProof/>
            <w:webHidden/>
            <w:sz w:val="21"/>
            <w:szCs w:val="21"/>
          </w:rPr>
          <w:t>2</w:t>
        </w:r>
        <w:r w:rsidRPr="00DF59FC">
          <w:rPr>
            <w:noProof/>
            <w:webHidden/>
            <w:sz w:val="21"/>
            <w:szCs w:val="21"/>
          </w:rPr>
          <w:fldChar w:fldCharType="end"/>
        </w:r>
      </w:hyperlink>
    </w:p>
    <w:p w14:paraId="72238E6E" w14:textId="457CEB3C"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04" w:history="1">
        <w:r w:rsidR="00DF59FC" w:rsidRPr="00DF59FC">
          <w:rPr>
            <w:rStyle w:val="Hipervnculo"/>
            <w:noProof/>
            <w:sz w:val="21"/>
            <w:szCs w:val="21"/>
          </w:rPr>
          <w:t>Tabla 2. Impacto de los Riesgos Fiscales en los Agregados Fiscales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_Toc143593504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w:t>
        </w:r>
        <w:r w:rsidR="00DF59FC" w:rsidRPr="00DF59FC">
          <w:rPr>
            <w:noProof/>
            <w:webHidden/>
            <w:sz w:val="21"/>
            <w:szCs w:val="21"/>
          </w:rPr>
          <w:fldChar w:fldCharType="end"/>
        </w:r>
      </w:hyperlink>
    </w:p>
    <w:p w14:paraId="591C135C" w14:textId="3862CC2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05" w:history="1">
        <w:r w:rsidR="00DF59FC" w:rsidRPr="00DF59FC">
          <w:rPr>
            <w:rStyle w:val="Hipervnculo"/>
            <w:noProof/>
            <w:sz w:val="21"/>
            <w:szCs w:val="21"/>
          </w:rPr>
          <w:t>Tabla 3. Matriz de impacto x probabilidad</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_Toc143593505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w:t>
        </w:r>
        <w:r w:rsidR="00DF59FC" w:rsidRPr="00DF59FC">
          <w:rPr>
            <w:noProof/>
            <w:webHidden/>
            <w:sz w:val="21"/>
            <w:szCs w:val="21"/>
          </w:rPr>
          <w:fldChar w:fldCharType="end"/>
        </w:r>
      </w:hyperlink>
    </w:p>
    <w:p w14:paraId="251FA4F0" w14:textId="1E9394C1"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06" w:history="1">
        <w:r w:rsidR="00DF59FC" w:rsidRPr="00DF59FC">
          <w:rPr>
            <w:rStyle w:val="Hipervnculo"/>
            <w:noProof/>
            <w:sz w:val="21"/>
            <w:szCs w:val="21"/>
          </w:rPr>
          <w:t>Tabla 4. Impacto de los riesgos fiscales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_Toc143593506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w:t>
        </w:r>
        <w:r w:rsidR="00DF59FC" w:rsidRPr="00DF59FC">
          <w:rPr>
            <w:noProof/>
            <w:webHidden/>
            <w:sz w:val="21"/>
            <w:szCs w:val="21"/>
          </w:rPr>
          <w:fldChar w:fldCharType="end"/>
        </w:r>
      </w:hyperlink>
    </w:p>
    <w:p w14:paraId="4A074FF9" w14:textId="76B4142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07" w:history="1">
        <w:r w:rsidR="00DF59FC" w:rsidRPr="00DF59FC">
          <w:rPr>
            <w:rStyle w:val="Hipervnculo"/>
            <w:noProof/>
            <w:sz w:val="21"/>
            <w:szCs w:val="21"/>
          </w:rPr>
          <w:t>Tabla 5. Evolución de proyecciones de crecimiento económico para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_Toc143593507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7</w:t>
        </w:r>
        <w:r w:rsidR="00DF59FC" w:rsidRPr="00DF59FC">
          <w:rPr>
            <w:noProof/>
            <w:webHidden/>
            <w:sz w:val="21"/>
            <w:szCs w:val="21"/>
          </w:rPr>
          <w:fldChar w:fldCharType="end"/>
        </w:r>
      </w:hyperlink>
    </w:p>
    <w:p w14:paraId="1593D38F" w14:textId="3F8F9762"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08" w:history="1">
        <w:r w:rsidR="00DF59FC" w:rsidRPr="00DF59FC">
          <w:rPr>
            <w:rStyle w:val="Hipervnculo"/>
            <w:noProof/>
            <w:sz w:val="21"/>
            <w:szCs w:val="21"/>
          </w:rPr>
          <w:t xml:space="preserve">Tabla 6. </w:t>
        </w:r>
        <w:r w:rsidR="00DF59FC" w:rsidRPr="00DF59FC">
          <w:rPr>
            <w:rStyle w:val="Hipervnculo"/>
            <w:noProof/>
            <w:sz w:val="21"/>
            <w:szCs w:val="21"/>
            <w:lang w:val="es-ES_tradnl" w:eastAsia="es-ES"/>
          </w:rPr>
          <w:t>Panorama del crecimiento de la economía mundial 2022-2023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_Toc143593508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9</w:t>
        </w:r>
        <w:r w:rsidR="00DF59FC" w:rsidRPr="00DF59FC">
          <w:rPr>
            <w:noProof/>
            <w:webHidden/>
            <w:sz w:val="21"/>
            <w:szCs w:val="21"/>
          </w:rPr>
          <w:fldChar w:fldCharType="end"/>
        </w:r>
      </w:hyperlink>
    </w:p>
    <w:p w14:paraId="6327CF17" w14:textId="534B9EC8"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09" w:history="1">
        <w:r w:rsidR="00DF59FC" w:rsidRPr="00DF59FC">
          <w:rPr>
            <w:rStyle w:val="Hipervnculo"/>
            <w:noProof/>
            <w:sz w:val="21"/>
            <w:szCs w:val="21"/>
          </w:rPr>
          <w:t xml:space="preserve">Tabla 7.  </w:t>
        </w:r>
        <w:r w:rsidR="00DF59FC" w:rsidRPr="00DF59FC">
          <w:rPr>
            <w:rStyle w:val="Hipervnculo"/>
            <w:bCs/>
            <w:noProof/>
            <w:sz w:val="21"/>
            <w:szCs w:val="21"/>
          </w:rPr>
          <w:t>Escenario fiscal base de mediano plazo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_Toc143593509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23</w:t>
        </w:r>
        <w:r w:rsidR="00DF59FC" w:rsidRPr="00DF59FC">
          <w:rPr>
            <w:noProof/>
            <w:webHidden/>
            <w:sz w:val="21"/>
            <w:szCs w:val="21"/>
          </w:rPr>
          <w:fldChar w:fldCharType="end"/>
        </w:r>
      </w:hyperlink>
    </w:p>
    <w:p w14:paraId="0940A3C3" w14:textId="009F3BE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0" w:history="1">
        <w:r w:rsidR="00DF59FC" w:rsidRPr="00DF59FC">
          <w:rPr>
            <w:rStyle w:val="Hipervnculo"/>
            <w:noProof/>
            <w:sz w:val="21"/>
            <w:szCs w:val="21"/>
          </w:rPr>
          <w:t xml:space="preserve">Tabla 8.  </w:t>
        </w:r>
        <w:r w:rsidR="00DF59FC" w:rsidRPr="00DF59FC">
          <w:rPr>
            <w:rStyle w:val="Hipervnculo"/>
            <w:bCs/>
            <w:noProof/>
            <w:sz w:val="21"/>
            <w:szCs w:val="21"/>
          </w:rPr>
          <w:t>Escenario fiscal con una disminución del crecimiento económico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25</w:t>
        </w:r>
        <w:r w:rsidR="00DF59FC" w:rsidRPr="00DF59FC">
          <w:rPr>
            <w:noProof/>
            <w:webHidden/>
            <w:sz w:val="21"/>
            <w:szCs w:val="21"/>
          </w:rPr>
          <w:fldChar w:fldCharType="end"/>
        </w:r>
      </w:hyperlink>
    </w:p>
    <w:p w14:paraId="0FD733BA" w14:textId="60951F1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1" w:history="1">
        <w:r w:rsidR="00DF59FC" w:rsidRPr="00DF59FC">
          <w:rPr>
            <w:rStyle w:val="Hipervnculo"/>
            <w:noProof/>
            <w:sz w:val="21"/>
            <w:szCs w:val="21"/>
          </w:rPr>
          <w:t xml:space="preserve">Tabla 9. </w:t>
        </w:r>
        <w:r w:rsidR="00DF59FC" w:rsidRPr="00DF59FC">
          <w:rPr>
            <w:rStyle w:val="Hipervnculo"/>
            <w:bCs/>
            <w:noProof/>
            <w:sz w:val="21"/>
            <w:szCs w:val="21"/>
          </w:rPr>
          <w:t>Escenario fiscal con una disminución de la inflación</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26</w:t>
        </w:r>
        <w:r w:rsidR="00DF59FC" w:rsidRPr="00DF59FC">
          <w:rPr>
            <w:noProof/>
            <w:webHidden/>
            <w:sz w:val="21"/>
            <w:szCs w:val="21"/>
          </w:rPr>
          <w:fldChar w:fldCharType="end"/>
        </w:r>
      </w:hyperlink>
    </w:p>
    <w:p w14:paraId="4DE82FC6" w14:textId="1931BDCC"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2" w:history="1">
        <w:r w:rsidR="00DF59FC" w:rsidRPr="00DF59FC">
          <w:rPr>
            <w:rStyle w:val="Hipervnculo"/>
            <w:noProof/>
            <w:sz w:val="21"/>
            <w:szCs w:val="21"/>
          </w:rPr>
          <w:t xml:space="preserve">Tabla 10.  </w:t>
        </w:r>
        <w:r w:rsidR="00DF59FC" w:rsidRPr="00DF59FC">
          <w:rPr>
            <w:rStyle w:val="Hipervnculo"/>
            <w:bCs/>
            <w:noProof/>
            <w:sz w:val="21"/>
            <w:szCs w:val="21"/>
          </w:rPr>
          <w:t>Impacto en la recaudación del IVA importaciones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27</w:t>
        </w:r>
        <w:r w:rsidR="00DF59FC" w:rsidRPr="00DF59FC">
          <w:rPr>
            <w:noProof/>
            <w:webHidden/>
            <w:sz w:val="21"/>
            <w:szCs w:val="21"/>
          </w:rPr>
          <w:fldChar w:fldCharType="end"/>
        </w:r>
      </w:hyperlink>
    </w:p>
    <w:p w14:paraId="5F7DAA86" w14:textId="0EDED42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3" w:history="1">
        <w:r w:rsidR="00DF59FC" w:rsidRPr="00DF59FC">
          <w:rPr>
            <w:rStyle w:val="Hipervnculo"/>
            <w:noProof/>
            <w:sz w:val="21"/>
            <w:szCs w:val="21"/>
          </w:rPr>
          <w:t xml:space="preserve">Tabla 11. </w:t>
        </w:r>
        <w:r w:rsidR="00DF59FC" w:rsidRPr="00DF59FC">
          <w:rPr>
            <w:rStyle w:val="Hipervnculo"/>
            <w:bCs/>
            <w:noProof/>
            <w:sz w:val="21"/>
            <w:szCs w:val="21"/>
          </w:rPr>
          <w:t>Impacto en el gasto importado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28</w:t>
        </w:r>
        <w:r w:rsidR="00DF59FC" w:rsidRPr="00DF59FC">
          <w:rPr>
            <w:noProof/>
            <w:webHidden/>
            <w:sz w:val="21"/>
            <w:szCs w:val="21"/>
          </w:rPr>
          <w:fldChar w:fldCharType="end"/>
        </w:r>
      </w:hyperlink>
    </w:p>
    <w:p w14:paraId="7303D096" w14:textId="484D552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4" w:history="1">
        <w:r w:rsidR="00DF59FC" w:rsidRPr="00DF59FC">
          <w:rPr>
            <w:rStyle w:val="Hipervnculo"/>
            <w:noProof/>
            <w:sz w:val="21"/>
            <w:szCs w:val="21"/>
          </w:rPr>
          <w:t xml:space="preserve">Tabla 12.  </w:t>
        </w:r>
        <w:r w:rsidR="00DF59FC" w:rsidRPr="00DF59FC">
          <w:rPr>
            <w:rStyle w:val="Hipervnculo"/>
            <w:bCs/>
            <w:noProof/>
            <w:sz w:val="21"/>
            <w:szCs w:val="21"/>
          </w:rPr>
          <w:t>Impacto en el pago de intereses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28</w:t>
        </w:r>
        <w:r w:rsidR="00DF59FC" w:rsidRPr="00DF59FC">
          <w:rPr>
            <w:noProof/>
            <w:webHidden/>
            <w:sz w:val="21"/>
            <w:szCs w:val="21"/>
          </w:rPr>
          <w:fldChar w:fldCharType="end"/>
        </w:r>
      </w:hyperlink>
    </w:p>
    <w:p w14:paraId="7465F8A2" w14:textId="418ACF9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5" w:history="1">
        <w:r w:rsidR="00DF59FC" w:rsidRPr="00DF59FC">
          <w:rPr>
            <w:rStyle w:val="Hipervnculo"/>
            <w:noProof/>
            <w:sz w:val="21"/>
            <w:szCs w:val="21"/>
          </w:rPr>
          <w:t xml:space="preserve">Tabla 13.  </w:t>
        </w:r>
        <w:r w:rsidR="00DF59FC" w:rsidRPr="00DF59FC">
          <w:rPr>
            <w:rStyle w:val="Hipervnculo"/>
            <w:bCs/>
            <w:noProof/>
            <w:sz w:val="21"/>
            <w:szCs w:val="21"/>
          </w:rPr>
          <w:t>Impacto en la deuda pública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28</w:t>
        </w:r>
        <w:r w:rsidR="00DF59FC" w:rsidRPr="00DF59FC">
          <w:rPr>
            <w:noProof/>
            <w:webHidden/>
            <w:sz w:val="21"/>
            <w:szCs w:val="21"/>
          </w:rPr>
          <w:fldChar w:fldCharType="end"/>
        </w:r>
      </w:hyperlink>
    </w:p>
    <w:p w14:paraId="07005FA8" w14:textId="33491E9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6" w:history="1">
        <w:r w:rsidR="00DF59FC" w:rsidRPr="00DF59FC">
          <w:rPr>
            <w:rStyle w:val="Hipervnculo"/>
            <w:noProof/>
            <w:sz w:val="21"/>
            <w:szCs w:val="21"/>
          </w:rPr>
          <w:t xml:space="preserve">Tabla 14.  </w:t>
        </w:r>
        <w:r w:rsidR="00DF59FC" w:rsidRPr="00DF59FC">
          <w:rPr>
            <w:rStyle w:val="Hipervnculo"/>
            <w:bCs/>
            <w:noProof/>
            <w:sz w:val="21"/>
            <w:szCs w:val="21"/>
          </w:rPr>
          <w:t>Impacto neto de una apreciación del 10.0% en la política fiscal</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29</w:t>
        </w:r>
        <w:r w:rsidR="00DF59FC" w:rsidRPr="00DF59FC">
          <w:rPr>
            <w:noProof/>
            <w:webHidden/>
            <w:sz w:val="21"/>
            <w:szCs w:val="21"/>
          </w:rPr>
          <w:fldChar w:fldCharType="end"/>
        </w:r>
      </w:hyperlink>
    </w:p>
    <w:p w14:paraId="34626CCD" w14:textId="6C61E058"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7" w:history="1">
        <w:r w:rsidR="00DF59FC" w:rsidRPr="00DF59FC">
          <w:rPr>
            <w:rStyle w:val="Hipervnculo"/>
            <w:noProof/>
            <w:sz w:val="21"/>
            <w:szCs w:val="21"/>
          </w:rPr>
          <w:t xml:space="preserve">Tabla 15.  </w:t>
        </w:r>
        <w:r w:rsidR="00DF59FC" w:rsidRPr="00DF59FC">
          <w:rPr>
            <w:rStyle w:val="Hipervnculo"/>
            <w:bCs/>
            <w:noProof/>
            <w:sz w:val="21"/>
            <w:szCs w:val="21"/>
          </w:rPr>
          <w:t>Impacto en la recaudación del IVA importaciones por una depreciación del 10.0%</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29</w:t>
        </w:r>
        <w:r w:rsidR="00DF59FC" w:rsidRPr="00DF59FC">
          <w:rPr>
            <w:noProof/>
            <w:webHidden/>
            <w:sz w:val="21"/>
            <w:szCs w:val="21"/>
          </w:rPr>
          <w:fldChar w:fldCharType="end"/>
        </w:r>
      </w:hyperlink>
    </w:p>
    <w:p w14:paraId="3EF4B3DD" w14:textId="521E9AB1"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8" w:history="1">
        <w:r w:rsidR="00DF59FC" w:rsidRPr="00DF59FC">
          <w:rPr>
            <w:rStyle w:val="Hipervnculo"/>
            <w:noProof/>
            <w:sz w:val="21"/>
            <w:szCs w:val="21"/>
          </w:rPr>
          <w:t xml:space="preserve">Tabla 16.  </w:t>
        </w:r>
        <w:r w:rsidR="00DF59FC" w:rsidRPr="00DF59FC">
          <w:rPr>
            <w:rStyle w:val="Hipervnculo"/>
            <w:bCs/>
            <w:noProof/>
            <w:sz w:val="21"/>
            <w:szCs w:val="21"/>
          </w:rPr>
          <w:t>Impacto de una depreciación del 10.0% en el gasto importado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30</w:t>
        </w:r>
        <w:r w:rsidR="00DF59FC" w:rsidRPr="00DF59FC">
          <w:rPr>
            <w:noProof/>
            <w:webHidden/>
            <w:sz w:val="21"/>
            <w:szCs w:val="21"/>
          </w:rPr>
          <w:fldChar w:fldCharType="end"/>
        </w:r>
      </w:hyperlink>
    </w:p>
    <w:p w14:paraId="4CA4F263" w14:textId="4430045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19" w:history="1">
        <w:r w:rsidR="00DF59FC" w:rsidRPr="00DF59FC">
          <w:rPr>
            <w:rStyle w:val="Hipervnculo"/>
            <w:noProof/>
            <w:sz w:val="21"/>
            <w:szCs w:val="21"/>
          </w:rPr>
          <w:t xml:space="preserve">Tabla 17.  </w:t>
        </w:r>
        <w:r w:rsidR="00DF59FC" w:rsidRPr="00DF59FC">
          <w:rPr>
            <w:rStyle w:val="Hipervnculo"/>
            <w:bCs/>
            <w:noProof/>
            <w:sz w:val="21"/>
            <w:szCs w:val="21"/>
          </w:rPr>
          <w:t>Impacto en el pago de intereses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_Toc143593519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30</w:t>
        </w:r>
        <w:r w:rsidR="00DF59FC" w:rsidRPr="00DF59FC">
          <w:rPr>
            <w:noProof/>
            <w:webHidden/>
            <w:sz w:val="21"/>
            <w:szCs w:val="21"/>
          </w:rPr>
          <w:fldChar w:fldCharType="end"/>
        </w:r>
      </w:hyperlink>
    </w:p>
    <w:p w14:paraId="6EF39648" w14:textId="1DE9D402"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0" w:history="1">
        <w:r w:rsidR="00DF59FC" w:rsidRPr="00DF59FC">
          <w:rPr>
            <w:rStyle w:val="Hipervnculo"/>
            <w:noProof/>
            <w:sz w:val="21"/>
            <w:szCs w:val="21"/>
          </w:rPr>
          <w:t xml:space="preserve">Tabla 18.  </w:t>
        </w:r>
        <w:r w:rsidR="00DF59FC" w:rsidRPr="00DF59FC">
          <w:rPr>
            <w:rStyle w:val="Hipervnculo"/>
            <w:bCs/>
            <w:noProof/>
            <w:sz w:val="21"/>
            <w:szCs w:val="21"/>
          </w:rPr>
          <w:t>Impacto en la deuda pública y el pago de interese ante una depreciación del 10.0%</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30</w:t>
        </w:r>
        <w:r w:rsidR="00DF59FC" w:rsidRPr="00DF59FC">
          <w:rPr>
            <w:noProof/>
            <w:webHidden/>
            <w:sz w:val="21"/>
            <w:szCs w:val="21"/>
          </w:rPr>
          <w:fldChar w:fldCharType="end"/>
        </w:r>
      </w:hyperlink>
    </w:p>
    <w:p w14:paraId="11D92B97" w14:textId="498CC240"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1" w:history="1">
        <w:r w:rsidR="00DF59FC" w:rsidRPr="00DF59FC">
          <w:rPr>
            <w:rStyle w:val="Hipervnculo"/>
            <w:noProof/>
            <w:sz w:val="21"/>
            <w:szCs w:val="21"/>
          </w:rPr>
          <w:t xml:space="preserve">Tabla 19.  </w:t>
        </w:r>
        <w:r w:rsidR="00DF59FC" w:rsidRPr="00DF59FC">
          <w:rPr>
            <w:rStyle w:val="Hipervnculo"/>
            <w:bCs/>
            <w:noProof/>
            <w:sz w:val="21"/>
            <w:szCs w:val="21"/>
          </w:rPr>
          <w:t>Impacto neto de una depreciación del 10.0% en la política fiscal</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31</w:t>
        </w:r>
        <w:r w:rsidR="00DF59FC" w:rsidRPr="00DF59FC">
          <w:rPr>
            <w:noProof/>
            <w:webHidden/>
            <w:sz w:val="21"/>
            <w:szCs w:val="21"/>
          </w:rPr>
          <w:fldChar w:fldCharType="end"/>
        </w:r>
      </w:hyperlink>
    </w:p>
    <w:p w14:paraId="5369F4D4" w14:textId="1556768B"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2" w:history="1">
        <w:r w:rsidR="00DF59FC" w:rsidRPr="00DF59FC">
          <w:rPr>
            <w:rStyle w:val="Hipervnculo"/>
            <w:noProof/>
            <w:sz w:val="21"/>
            <w:szCs w:val="21"/>
          </w:rPr>
          <w:t xml:space="preserve">Tabla 20.  </w:t>
        </w:r>
        <w:r w:rsidR="00DF59FC" w:rsidRPr="00DF59FC">
          <w:rPr>
            <w:rStyle w:val="Hipervnculo"/>
            <w:bCs/>
            <w:noProof/>
            <w:sz w:val="21"/>
            <w:szCs w:val="21"/>
          </w:rPr>
          <w:t>Mecanismos de transmisión de la política monetaria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31</w:t>
        </w:r>
        <w:r w:rsidR="00DF59FC" w:rsidRPr="00DF59FC">
          <w:rPr>
            <w:noProof/>
            <w:webHidden/>
            <w:sz w:val="21"/>
            <w:szCs w:val="21"/>
          </w:rPr>
          <w:fldChar w:fldCharType="end"/>
        </w:r>
      </w:hyperlink>
    </w:p>
    <w:p w14:paraId="22E252F7" w14:textId="2201DD6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3" w:history="1">
        <w:r w:rsidR="00DF59FC" w:rsidRPr="00DF59FC">
          <w:rPr>
            <w:rStyle w:val="Hipervnculo"/>
            <w:noProof/>
            <w:sz w:val="21"/>
            <w:szCs w:val="21"/>
          </w:rPr>
          <w:t xml:space="preserve">Tabla 21.  </w:t>
        </w:r>
        <w:r w:rsidR="00DF59FC" w:rsidRPr="00DF59FC">
          <w:rPr>
            <w:rStyle w:val="Hipervnculo"/>
            <w:bCs/>
            <w:noProof/>
            <w:sz w:val="21"/>
            <w:szCs w:val="21"/>
          </w:rPr>
          <w:t>Impacto en millones en el pago de intereses del nuevo endeudamiento ante un aumento de las tasas de interés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33</w:t>
        </w:r>
        <w:r w:rsidR="00DF59FC" w:rsidRPr="00DF59FC">
          <w:rPr>
            <w:noProof/>
            <w:webHidden/>
            <w:sz w:val="21"/>
            <w:szCs w:val="21"/>
          </w:rPr>
          <w:fldChar w:fldCharType="end"/>
        </w:r>
      </w:hyperlink>
    </w:p>
    <w:p w14:paraId="5F95A16C" w14:textId="2F836690"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4" w:history="1">
        <w:r w:rsidR="00DF59FC" w:rsidRPr="00DF59FC">
          <w:rPr>
            <w:rStyle w:val="Hipervnculo"/>
            <w:noProof/>
            <w:sz w:val="21"/>
            <w:szCs w:val="21"/>
          </w:rPr>
          <w:t xml:space="preserve">Tabla 22.  </w:t>
        </w:r>
        <w:r w:rsidR="00DF59FC" w:rsidRPr="00DF59FC">
          <w:rPr>
            <w:rStyle w:val="Hipervnculo"/>
            <w:bCs/>
            <w:noProof/>
            <w:sz w:val="21"/>
            <w:szCs w:val="21"/>
          </w:rPr>
          <w:t>Estimación de los coeficientes del precio de los combustibles.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35</w:t>
        </w:r>
        <w:r w:rsidR="00DF59FC" w:rsidRPr="00DF59FC">
          <w:rPr>
            <w:noProof/>
            <w:webHidden/>
            <w:sz w:val="21"/>
            <w:szCs w:val="21"/>
          </w:rPr>
          <w:fldChar w:fldCharType="end"/>
        </w:r>
      </w:hyperlink>
    </w:p>
    <w:p w14:paraId="0A5EA852" w14:textId="4E60573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5" w:history="1">
        <w:r w:rsidR="00DF59FC" w:rsidRPr="00DF59FC">
          <w:rPr>
            <w:rStyle w:val="Hipervnculo"/>
            <w:noProof/>
            <w:sz w:val="21"/>
            <w:szCs w:val="21"/>
          </w:rPr>
          <w:t xml:space="preserve">Tabla 23.  </w:t>
        </w:r>
        <w:r w:rsidR="00DF59FC" w:rsidRPr="00DF59FC">
          <w:rPr>
            <w:rStyle w:val="Hipervnculo"/>
            <w:bCs/>
            <w:noProof/>
            <w:sz w:val="21"/>
            <w:szCs w:val="21"/>
          </w:rPr>
          <w:t>Estimación de los coeficientes del consumo de combustibles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36</w:t>
        </w:r>
        <w:r w:rsidR="00DF59FC" w:rsidRPr="00DF59FC">
          <w:rPr>
            <w:noProof/>
            <w:webHidden/>
            <w:sz w:val="21"/>
            <w:szCs w:val="21"/>
          </w:rPr>
          <w:fldChar w:fldCharType="end"/>
        </w:r>
      </w:hyperlink>
    </w:p>
    <w:p w14:paraId="6C6BFD78" w14:textId="7356E22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6" w:history="1">
        <w:r w:rsidR="00DF59FC" w:rsidRPr="00DF59FC">
          <w:rPr>
            <w:rStyle w:val="Hipervnculo"/>
            <w:noProof/>
            <w:sz w:val="21"/>
            <w:szCs w:val="21"/>
          </w:rPr>
          <w:t>Tabla 24. Costo fiscal neto del subsidio en tres meses del 2024</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38</w:t>
        </w:r>
        <w:r w:rsidR="00DF59FC" w:rsidRPr="00DF59FC">
          <w:rPr>
            <w:noProof/>
            <w:webHidden/>
            <w:sz w:val="21"/>
            <w:szCs w:val="21"/>
          </w:rPr>
          <w:fldChar w:fldCharType="end"/>
        </w:r>
      </w:hyperlink>
    </w:p>
    <w:p w14:paraId="05E7E0D4" w14:textId="704E258C"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7" w:history="1">
        <w:r w:rsidR="00DF59FC" w:rsidRPr="00DF59FC">
          <w:rPr>
            <w:rStyle w:val="Hipervnculo"/>
            <w:noProof/>
            <w:sz w:val="21"/>
            <w:szCs w:val="21"/>
          </w:rPr>
          <w:t xml:space="preserve">Tabla 25. </w:t>
        </w:r>
        <w:r w:rsidR="00DF59FC" w:rsidRPr="00DF59FC">
          <w:rPr>
            <w:rStyle w:val="Hipervnculo"/>
            <w:bCs/>
            <w:noProof/>
            <w:sz w:val="21"/>
            <w:szCs w:val="21"/>
          </w:rPr>
          <w:t>Impacto en la recaudación por una disminución del precio del WTI en 2024</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39</w:t>
        </w:r>
        <w:r w:rsidR="00DF59FC" w:rsidRPr="00DF59FC">
          <w:rPr>
            <w:noProof/>
            <w:webHidden/>
            <w:sz w:val="21"/>
            <w:szCs w:val="21"/>
          </w:rPr>
          <w:fldChar w:fldCharType="end"/>
        </w:r>
      </w:hyperlink>
    </w:p>
    <w:p w14:paraId="2BA8DEC9" w14:textId="18BB89BD"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8" w:history="1">
        <w:r w:rsidR="00DF59FC" w:rsidRPr="00DF59FC">
          <w:rPr>
            <w:rStyle w:val="Hipervnculo"/>
            <w:noProof/>
            <w:sz w:val="21"/>
            <w:szCs w:val="21"/>
          </w:rPr>
          <w:t xml:space="preserve">Tabla 26.  </w:t>
        </w:r>
        <w:r w:rsidR="00DF59FC" w:rsidRPr="00DF59FC">
          <w:rPr>
            <w:rStyle w:val="Hipervnculo"/>
            <w:bCs/>
            <w:noProof/>
            <w:sz w:val="21"/>
            <w:szCs w:val="21"/>
            <w:lang w:val="es-MX"/>
          </w:rPr>
          <w:t>Respuesta de las actividades económica en base al índice de rigor en 2024</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41</w:t>
        </w:r>
        <w:r w:rsidR="00DF59FC" w:rsidRPr="00DF59FC">
          <w:rPr>
            <w:noProof/>
            <w:webHidden/>
            <w:sz w:val="21"/>
            <w:szCs w:val="21"/>
          </w:rPr>
          <w:fldChar w:fldCharType="end"/>
        </w:r>
      </w:hyperlink>
    </w:p>
    <w:p w14:paraId="0877A096" w14:textId="28E356D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29" w:history="1">
        <w:r w:rsidR="00DF59FC" w:rsidRPr="00DF59FC">
          <w:rPr>
            <w:rStyle w:val="Hipervnculo"/>
            <w:noProof/>
            <w:sz w:val="21"/>
            <w:szCs w:val="21"/>
          </w:rPr>
          <w:t>Tabla 27. Categorías de ingresos para los países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_Toc143593529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44</w:t>
        </w:r>
        <w:r w:rsidR="00DF59FC" w:rsidRPr="00DF59FC">
          <w:rPr>
            <w:noProof/>
            <w:webHidden/>
            <w:sz w:val="21"/>
            <w:szCs w:val="21"/>
          </w:rPr>
          <w:fldChar w:fldCharType="end"/>
        </w:r>
      </w:hyperlink>
    </w:p>
    <w:p w14:paraId="70584C9E" w14:textId="16C263F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0" w:history="1">
        <w:r w:rsidR="00DF59FC" w:rsidRPr="00DF59FC">
          <w:rPr>
            <w:rStyle w:val="Hipervnculo"/>
            <w:noProof/>
            <w:sz w:val="21"/>
            <w:szCs w:val="21"/>
          </w:rPr>
          <w:t xml:space="preserve">Tabla 28.  </w:t>
        </w:r>
        <w:r w:rsidR="00DF59FC" w:rsidRPr="00DF59FC">
          <w:rPr>
            <w:rStyle w:val="Hipervnculo"/>
            <w:noProof/>
            <w:sz w:val="21"/>
            <w:szCs w:val="21"/>
            <w:lang w:val="es-ES_tradnl" w:eastAsia="es-ES"/>
          </w:rPr>
          <w:t>Puntos de referencia para los indicadores de Deuda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45</w:t>
        </w:r>
        <w:r w:rsidR="00DF59FC" w:rsidRPr="00DF59FC">
          <w:rPr>
            <w:noProof/>
            <w:webHidden/>
            <w:sz w:val="21"/>
            <w:szCs w:val="21"/>
          </w:rPr>
          <w:fldChar w:fldCharType="end"/>
        </w:r>
      </w:hyperlink>
    </w:p>
    <w:p w14:paraId="06803719" w14:textId="2695215B"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1" w:history="1">
        <w:r w:rsidR="00DF59FC" w:rsidRPr="00DF59FC">
          <w:rPr>
            <w:rStyle w:val="Hipervnculo"/>
            <w:noProof/>
            <w:sz w:val="21"/>
            <w:szCs w:val="21"/>
          </w:rPr>
          <w:t xml:space="preserve">Tabla 29. </w:t>
        </w:r>
        <w:r w:rsidR="00DF59FC" w:rsidRPr="00DF59FC">
          <w:rPr>
            <w:rStyle w:val="Hipervnculo"/>
            <w:bCs/>
            <w:noProof/>
            <w:sz w:val="21"/>
            <w:szCs w:val="21"/>
          </w:rPr>
          <w:t>Resultados del riesgo de la deuda pública en el medio plazo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55</w:t>
        </w:r>
        <w:r w:rsidR="00DF59FC" w:rsidRPr="00DF59FC">
          <w:rPr>
            <w:noProof/>
            <w:webHidden/>
            <w:sz w:val="21"/>
            <w:szCs w:val="21"/>
          </w:rPr>
          <w:fldChar w:fldCharType="end"/>
        </w:r>
      </w:hyperlink>
    </w:p>
    <w:p w14:paraId="7FCE6A8F" w14:textId="7ACC5E7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2" w:history="1">
        <w:r w:rsidR="00DF59FC" w:rsidRPr="00DF59FC">
          <w:rPr>
            <w:rStyle w:val="Hipervnculo"/>
            <w:noProof/>
            <w:sz w:val="21"/>
            <w:szCs w:val="21"/>
          </w:rPr>
          <w:t xml:space="preserve">Tabla 30.  </w:t>
        </w:r>
        <w:r w:rsidR="00DF59FC" w:rsidRPr="00DF59FC">
          <w:rPr>
            <w:rStyle w:val="Hipervnculo"/>
            <w:noProof/>
            <w:sz w:val="21"/>
            <w:szCs w:val="21"/>
            <w:lang w:val="es-MX"/>
          </w:rPr>
          <w:t>Ingresos, gastos y Fondo de Reserva del Programa IVS, periodo 2016-2022</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64</w:t>
        </w:r>
        <w:r w:rsidR="00DF59FC" w:rsidRPr="00DF59FC">
          <w:rPr>
            <w:noProof/>
            <w:webHidden/>
            <w:sz w:val="21"/>
            <w:szCs w:val="21"/>
          </w:rPr>
          <w:fldChar w:fldCharType="end"/>
        </w:r>
      </w:hyperlink>
    </w:p>
    <w:p w14:paraId="2CDADDCC" w14:textId="0637C2E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3" w:history="1">
        <w:r w:rsidR="00DF59FC" w:rsidRPr="00DF59FC">
          <w:rPr>
            <w:rStyle w:val="Hipervnculo"/>
            <w:noProof/>
            <w:sz w:val="21"/>
            <w:szCs w:val="21"/>
          </w:rPr>
          <w:t>Tabla 31. Distribución de los gastos de los programas EM</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67</w:t>
        </w:r>
        <w:r w:rsidR="00DF59FC" w:rsidRPr="00DF59FC">
          <w:rPr>
            <w:noProof/>
            <w:webHidden/>
            <w:sz w:val="21"/>
            <w:szCs w:val="21"/>
          </w:rPr>
          <w:fldChar w:fldCharType="end"/>
        </w:r>
      </w:hyperlink>
    </w:p>
    <w:p w14:paraId="637B99AC" w14:textId="42AD1070"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4" w:history="1">
        <w:r w:rsidR="00DF59FC" w:rsidRPr="00DF59FC">
          <w:rPr>
            <w:rStyle w:val="Hipervnculo"/>
            <w:noProof/>
            <w:sz w:val="21"/>
            <w:szCs w:val="21"/>
          </w:rPr>
          <w:t xml:space="preserve">Tabla 32. </w:t>
        </w:r>
        <w:r w:rsidR="00DF59FC" w:rsidRPr="00DF59FC">
          <w:rPr>
            <w:rStyle w:val="Hipervnculo"/>
            <w:bCs/>
            <w:noProof/>
            <w:sz w:val="21"/>
            <w:szCs w:val="21"/>
          </w:rPr>
          <w:t>Ingresos, gastos y Reserva del Programa EMA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67</w:t>
        </w:r>
        <w:r w:rsidR="00DF59FC" w:rsidRPr="00DF59FC">
          <w:rPr>
            <w:noProof/>
            <w:webHidden/>
            <w:sz w:val="21"/>
            <w:szCs w:val="21"/>
          </w:rPr>
          <w:fldChar w:fldCharType="end"/>
        </w:r>
      </w:hyperlink>
    </w:p>
    <w:p w14:paraId="17C34F07" w14:textId="555A5958"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5" w:history="1">
        <w:r w:rsidR="00DF59FC" w:rsidRPr="00DF59FC">
          <w:rPr>
            <w:rStyle w:val="Hipervnculo"/>
            <w:noProof/>
            <w:sz w:val="21"/>
            <w:szCs w:val="21"/>
          </w:rPr>
          <w:t xml:space="preserve">Tabla 33. </w:t>
        </w:r>
        <w:r w:rsidR="00DF59FC" w:rsidRPr="00DF59FC">
          <w:rPr>
            <w:rStyle w:val="Hipervnculo"/>
            <w:rFonts w:eastAsia="Calibri"/>
            <w:noProof/>
            <w:sz w:val="21"/>
            <w:szCs w:val="21"/>
          </w:rPr>
          <w:t>Lista de entidades consideradas para analizar sus riesgos financieros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84</w:t>
        </w:r>
        <w:r w:rsidR="00DF59FC" w:rsidRPr="00DF59FC">
          <w:rPr>
            <w:noProof/>
            <w:webHidden/>
            <w:sz w:val="21"/>
            <w:szCs w:val="21"/>
          </w:rPr>
          <w:fldChar w:fldCharType="end"/>
        </w:r>
      </w:hyperlink>
    </w:p>
    <w:p w14:paraId="3ABB7677" w14:textId="1A5F609B"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6" w:history="1">
        <w:r w:rsidR="00DF59FC" w:rsidRPr="00DF59FC">
          <w:rPr>
            <w:rStyle w:val="Hipervnculo"/>
            <w:noProof/>
            <w:sz w:val="21"/>
            <w:szCs w:val="21"/>
          </w:rPr>
          <w:t xml:space="preserve">Tabla 34.  </w:t>
        </w:r>
        <w:r w:rsidR="00DF59FC" w:rsidRPr="00DF59FC">
          <w:rPr>
            <w:rStyle w:val="Hipervnculo"/>
            <w:rFonts w:eastAsia="Calibri"/>
            <w:bCs/>
            <w:noProof/>
            <w:sz w:val="21"/>
            <w:szCs w:val="21"/>
          </w:rPr>
          <w:t>Préstamos Garantizados por el Gobierno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89</w:t>
        </w:r>
        <w:r w:rsidR="00DF59FC" w:rsidRPr="00DF59FC">
          <w:rPr>
            <w:noProof/>
            <w:webHidden/>
            <w:sz w:val="21"/>
            <w:szCs w:val="21"/>
          </w:rPr>
          <w:fldChar w:fldCharType="end"/>
        </w:r>
      </w:hyperlink>
    </w:p>
    <w:p w14:paraId="44BC928A" w14:textId="282D4A7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7" w:history="1">
        <w:r w:rsidR="00DF59FC" w:rsidRPr="00DF59FC">
          <w:rPr>
            <w:rStyle w:val="Hipervnculo"/>
            <w:noProof/>
            <w:sz w:val="21"/>
            <w:szCs w:val="21"/>
          </w:rPr>
          <w:t xml:space="preserve">Tabla 35.  </w:t>
        </w:r>
        <w:r w:rsidR="00DF59FC" w:rsidRPr="00DF59FC">
          <w:rPr>
            <w:rStyle w:val="Hipervnculo"/>
            <w:bCs/>
            <w:noProof/>
            <w:sz w:val="21"/>
            <w:szCs w:val="21"/>
            <w:lang w:val="es-MX"/>
          </w:rPr>
          <w:t>Arbitrajes internacional activos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100</w:t>
        </w:r>
        <w:r w:rsidR="00DF59FC" w:rsidRPr="00DF59FC">
          <w:rPr>
            <w:noProof/>
            <w:webHidden/>
            <w:sz w:val="21"/>
            <w:szCs w:val="21"/>
          </w:rPr>
          <w:fldChar w:fldCharType="end"/>
        </w:r>
      </w:hyperlink>
    </w:p>
    <w:p w14:paraId="114E93C6" w14:textId="3D1B0E00"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8" w:history="1">
        <w:r w:rsidR="00DF59FC" w:rsidRPr="00DF59FC">
          <w:rPr>
            <w:rStyle w:val="Hipervnculo"/>
            <w:noProof/>
            <w:sz w:val="21"/>
            <w:szCs w:val="21"/>
          </w:rPr>
          <w:t xml:space="preserve">Tabla 36.  </w:t>
        </w:r>
        <w:r w:rsidR="00DF59FC" w:rsidRPr="00DF59FC">
          <w:rPr>
            <w:rStyle w:val="Hipervnculo"/>
            <w:bCs/>
            <w:noProof/>
            <w:sz w:val="21"/>
            <w:szCs w:val="21"/>
            <w:lang w:val="es-MX"/>
          </w:rPr>
          <w:t>Amenazas de arbitrajes internacionales de inversión</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100</w:t>
        </w:r>
        <w:r w:rsidR="00DF59FC" w:rsidRPr="00DF59FC">
          <w:rPr>
            <w:noProof/>
            <w:webHidden/>
            <w:sz w:val="21"/>
            <w:szCs w:val="21"/>
          </w:rPr>
          <w:fldChar w:fldCharType="end"/>
        </w:r>
      </w:hyperlink>
    </w:p>
    <w:p w14:paraId="0E87CC07" w14:textId="5630C9C1"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39" w:history="1">
        <w:r w:rsidR="00DF59FC" w:rsidRPr="00DF59FC">
          <w:rPr>
            <w:rStyle w:val="Hipervnculo"/>
            <w:noProof/>
            <w:sz w:val="21"/>
            <w:szCs w:val="21"/>
          </w:rPr>
          <w:t xml:space="preserve">Tabla 37.  </w:t>
        </w:r>
        <w:r w:rsidR="00DF59FC" w:rsidRPr="00DF59FC">
          <w:rPr>
            <w:rStyle w:val="Hipervnculo"/>
            <w:bCs/>
            <w:noProof/>
            <w:sz w:val="21"/>
            <w:szCs w:val="21"/>
          </w:rPr>
          <w:t>Demandas Judiciales en Contra del Estado de Guatemala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_Toc143593539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102</w:t>
        </w:r>
        <w:r w:rsidR="00DF59FC" w:rsidRPr="00DF59FC">
          <w:rPr>
            <w:noProof/>
            <w:webHidden/>
            <w:sz w:val="21"/>
            <w:szCs w:val="21"/>
          </w:rPr>
          <w:fldChar w:fldCharType="end"/>
        </w:r>
      </w:hyperlink>
    </w:p>
    <w:p w14:paraId="0AAAEBC2" w14:textId="25A977C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0" w:history="1">
        <w:r w:rsidR="00DF59FC" w:rsidRPr="00DF59FC">
          <w:rPr>
            <w:rStyle w:val="Hipervnculo"/>
            <w:noProof/>
            <w:sz w:val="21"/>
            <w:szCs w:val="21"/>
          </w:rPr>
          <w:t xml:space="preserve">Tabla 38.  </w:t>
        </w:r>
        <w:r w:rsidR="00DF59FC" w:rsidRPr="00DF59FC">
          <w:rPr>
            <w:rStyle w:val="Hipervnculo"/>
            <w:bCs/>
            <w:noProof/>
            <w:sz w:val="21"/>
            <w:szCs w:val="21"/>
          </w:rPr>
          <w:t>Entidades Supervisadas por la Superintendencia de Bancos -SIB</w:t>
        </w:r>
        <w:r w:rsidR="00DF59FC">
          <w:rPr>
            <w:rStyle w:val="Hipervnculo"/>
            <w:bCs/>
            <w:noProof/>
            <w:sz w:val="21"/>
            <w:szCs w:val="21"/>
          </w:rPr>
          <w:t>-</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104</w:t>
        </w:r>
        <w:r w:rsidR="00DF59FC" w:rsidRPr="00DF59FC">
          <w:rPr>
            <w:noProof/>
            <w:webHidden/>
            <w:sz w:val="21"/>
            <w:szCs w:val="21"/>
          </w:rPr>
          <w:fldChar w:fldCharType="end"/>
        </w:r>
      </w:hyperlink>
    </w:p>
    <w:p w14:paraId="5A232254" w14:textId="10DA0E70"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1" w:history="1">
        <w:r w:rsidR="00DF59FC" w:rsidRPr="00DF59FC">
          <w:rPr>
            <w:rStyle w:val="Hipervnculo"/>
            <w:noProof/>
            <w:sz w:val="21"/>
            <w:szCs w:val="21"/>
          </w:rPr>
          <w:t xml:space="preserve">Tabla 39.  </w:t>
        </w:r>
        <w:r w:rsidR="00DF59FC" w:rsidRPr="00DF59FC">
          <w:rPr>
            <w:rStyle w:val="Hipervnculo"/>
            <w:bCs/>
            <w:noProof/>
            <w:sz w:val="21"/>
            <w:szCs w:val="21"/>
          </w:rPr>
          <w:t>Balance General 2022</w:t>
        </w:r>
        <w:r w:rsidR="00A62AFA">
          <w:rPr>
            <w:rStyle w:val="Hipervnculo"/>
            <w:bCs/>
            <w:noProof/>
            <w:sz w:val="21"/>
            <w:szCs w:val="21"/>
          </w:rPr>
          <w:t xml:space="preserve"> </w:t>
        </w:r>
        <w:r w:rsidR="00A62AFA" w:rsidRPr="00A62AFA">
          <w:rPr>
            <w:rStyle w:val="Hipervnculo"/>
            <w:bCs/>
            <w:noProof/>
            <w:sz w:val="21"/>
            <w:szCs w:val="21"/>
          </w:rPr>
          <w:t>Fondo para la Protección del Ahorro -FOPA-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111</w:t>
        </w:r>
        <w:r w:rsidR="00DF59FC" w:rsidRPr="00DF59FC">
          <w:rPr>
            <w:noProof/>
            <w:webHidden/>
            <w:sz w:val="21"/>
            <w:szCs w:val="21"/>
          </w:rPr>
          <w:fldChar w:fldCharType="end"/>
        </w:r>
      </w:hyperlink>
    </w:p>
    <w:p w14:paraId="10E8DAD8" w14:textId="5440E0FD"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2" w:history="1">
        <w:r w:rsidR="00DF59FC" w:rsidRPr="00DF59FC">
          <w:rPr>
            <w:rStyle w:val="Hipervnculo"/>
            <w:noProof/>
            <w:sz w:val="21"/>
            <w:szCs w:val="21"/>
          </w:rPr>
          <w:t xml:space="preserve">Tabla 40. </w:t>
        </w:r>
        <w:r w:rsidR="00DF59FC" w:rsidRPr="00DF59FC">
          <w:rPr>
            <w:rStyle w:val="Hipervnculo"/>
            <w:bCs/>
            <w:noProof/>
            <w:sz w:val="21"/>
            <w:szCs w:val="21"/>
          </w:rPr>
          <w:t>Balance General 2022</w:t>
        </w:r>
        <w:r w:rsidR="005C56A0">
          <w:rPr>
            <w:rStyle w:val="Hipervnculo"/>
            <w:bCs/>
            <w:noProof/>
            <w:sz w:val="21"/>
            <w:szCs w:val="21"/>
          </w:rPr>
          <w:t xml:space="preserve"> </w:t>
        </w:r>
        <w:r w:rsidR="005C56A0" w:rsidRPr="005C56A0">
          <w:rPr>
            <w:rStyle w:val="Hipervnculo"/>
            <w:bCs/>
            <w:noProof/>
            <w:sz w:val="21"/>
            <w:szCs w:val="21"/>
          </w:rPr>
          <w:t>Fondo Fiduciario de Capitalización Bancaria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113</w:t>
        </w:r>
        <w:r w:rsidR="00DF59FC" w:rsidRPr="00DF59FC">
          <w:rPr>
            <w:noProof/>
            <w:webHidden/>
            <w:sz w:val="21"/>
            <w:szCs w:val="21"/>
          </w:rPr>
          <w:fldChar w:fldCharType="end"/>
        </w:r>
      </w:hyperlink>
    </w:p>
    <w:p w14:paraId="50203A47" w14:textId="55D4A911"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3" w:history="1">
        <w:r w:rsidR="00DF59FC" w:rsidRPr="00DF59FC">
          <w:rPr>
            <w:rStyle w:val="Hipervnculo"/>
            <w:noProof/>
            <w:sz w:val="21"/>
            <w:szCs w:val="21"/>
          </w:rPr>
          <w:t xml:space="preserve">Tabla 41.  </w:t>
        </w:r>
        <w:r w:rsidR="00DF59FC" w:rsidRPr="00DF59FC">
          <w:rPr>
            <w:rStyle w:val="Hipervnculo"/>
            <w:bCs/>
            <w:noProof/>
            <w:sz w:val="21"/>
            <w:szCs w:val="21"/>
          </w:rPr>
          <w:t>Indicadores Financieros del Crédito Hipotecario Nacional -CHN-</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116</w:t>
        </w:r>
        <w:r w:rsidR="00DF59FC" w:rsidRPr="00DF59FC">
          <w:rPr>
            <w:noProof/>
            <w:webHidden/>
            <w:sz w:val="21"/>
            <w:szCs w:val="21"/>
          </w:rPr>
          <w:fldChar w:fldCharType="end"/>
        </w:r>
      </w:hyperlink>
    </w:p>
    <w:p w14:paraId="7F689D44" w14:textId="017A7628"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4" w:history="1">
        <w:r w:rsidR="00DF59FC" w:rsidRPr="00DF59FC">
          <w:rPr>
            <w:rStyle w:val="Hipervnculo"/>
            <w:noProof/>
            <w:sz w:val="21"/>
            <w:szCs w:val="21"/>
          </w:rPr>
          <w:t>Tabla 42.  Transferencias para fortalecer la solidez patrimonial</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117</w:t>
        </w:r>
        <w:r w:rsidR="00DF59FC" w:rsidRPr="00DF59FC">
          <w:rPr>
            <w:noProof/>
            <w:webHidden/>
            <w:sz w:val="21"/>
            <w:szCs w:val="21"/>
          </w:rPr>
          <w:fldChar w:fldCharType="end"/>
        </w:r>
      </w:hyperlink>
    </w:p>
    <w:p w14:paraId="6B6633FC" w14:textId="418E9A92"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5" w:history="1">
        <w:r w:rsidR="00DF59FC" w:rsidRPr="00DF59FC">
          <w:rPr>
            <w:rStyle w:val="Hipervnculo"/>
            <w:noProof/>
            <w:sz w:val="21"/>
            <w:szCs w:val="21"/>
          </w:rPr>
          <w:t xml:space="preserve">Tabla 43.  </w:t>
        </w:r>
        <w:r w:rsidR="00DF59FC" w:rsidRPr="00DF59FC">
          <w:rPr>
            <w:rStyle w:val="Hipervnculo"/>
            <w:bCs/>
            <w:noProof/>
            <w:sz w:val="21"/>
            <w:szCs w:val="21"/>
          </w:rPr>
          <w:t>Saldo de Préstamos Externos Garantizados por el Gobierno a Empresas Públicas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120</w:t>
        </w:r>
        <w:r w:rsidR="00DF59FC" w:rsidRPr="00DF59FC">
          <w:rPr>
            <w:noProof/>
            <w:webHidden/>
            <w:sz w:val="21"/>
            <w:szCs w:val="21"/>
          </w:rPr>
          <w:fldChar w:fldCharType="end"/>
        </w:r>
      </w:hyperlink>
    </w:p>
    <w:p w14:paraId="4AE5352B" w14:textId="13ED9078"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6" w:history="1">
        <w:r w:rsidR="00DF59FC" w:rsidRPr="00DF59FC">
          <w:rPr>
            <w:rStyle w:val="Hipervnculo"/>
            <w:noProof/>
            <w:sz w:val="21"/>
            <w:szCs w:val="21"/>
          </w:rPr>
          <w:t xml:space="preserve">Tabla 44.  </w:t>
        </w:r>
        <w:r w:rsidR="00DF59FC" w:rsidRPr="00DF59FC">
          <w:rPr>
            <w:rStyle w:val="Hipervnculo"/>
            <w:bCs/>
            <w:noProof/>
            <w:sz w:val="21"/>
            <w:szCs w:val="21"/>
          </w:rPr>
          <w:t>Contratos vigentes de exploración y explotación</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124</w:t>
        </w:r>
        <w:r w:rsidR="00DF59FC" w:rsidRPr="00DF59FC">
          <w:rPr>
            <w:noProof/>
            <w:webHidden/>
            <w:sz w:val="21"/>
            <w:szCs w:val="21"/>
          </w:rPr>
          <w:fldChar w:fldCharType="end"/>
        </w:r>
      </w:hyperlink>
    </w:p>
    <w:p w14:paraId="56359EBE" w14:textId="083860A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7" w:history="1">
        <w:r w:rsidR="00DF59FC" w:rsidRPr="00DF59FC">
          <w:rPr>
            <w:rStyle w:val="Hipervnculo"/>
            <w:noProof/>
            <w:sz w:val="21"/>
            <w:szCs w:val="21"/>
          </w:rPr>
          <w:t xml:space="preserve">Tabla 45.  </w:t>
        </w:r>
        <w:r w:rsidR="00DF59FC" w:rsidRPr="00DF59FC">
          <w:rPr>
            <w:rStyle w:val="Hipervnculo"/>
            <w:bCs/>
            <w:noProof/>
            <w:sz w:val="21"/>
            <w:szCs w:val="21"/>
          </w:rPr>
          <w:t>Producción Nacional del petróleo, condensado y gas natural para los años 2016- 2023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126</w:t>
        </w:r>
        <w:r w:rsidR="00DF59FC" w:rsidRPr="00DF59FC">
          <w:rPr>
            <w:noProof/>
            <w:webHidden/>
            <w:sz w:val="21"/>
            <w:szCs w:val="21"/>
          </w:rPr>
          <w:fldChar w:fldCharType="end"/>
        </w:r>
      </w:hyperlink>
    </w:p>
    <w:p w14:paraId="6217BCFB" w14:textId="10E3F305"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8" w:history="1">
        <w:r w:rsidR="00DF59FC" w:rsidRPr="00DF59FC">
          <w:rPr>
            <w:rStyle w:val="Hipervnculo"/>
            <w:noProof/>
            <w:sz w:val="21"/>
            <w:szCs w:val="21"/>
          </w:rPr>
          <w:t xml:space="preserve">Tabla 46.  </w:t>
        </w:r>
        <w:r w:rsidR="00DF59FC" w:rsidRPr="00DF59FC">
          <w:rPr>
            <w:rStyle w:val="Hipervnculo"/>
            <w:bCs/>
            <w:noProof/>
            <w:sz w:val="21"/>
            <w:szCs w:val="21"/>
          </w:rPr>
          <w:t>Ingresos percibidos por concepto de regalías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126</w:t>
        </w:r>
        <w:r w:rsidR="00DF59FC" w:rsidRPr="00DF59FC">
          <w:rPr>
            <w:noProof/>
            <w:webHidden/>
            <w:sz w:val="21"/>
            <w:szCs w:val="21"/>
          </w:rPr>
          <w:fldChar w:fldCharType="end"/>
        </w:r>
      </w:hyperlink>
    </w:p>
    <w:p w14:paraId="43B9E0D8" w14:textId="24FC810F"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49" w:history="1">
        <w:r w:rsidR="00DF59FC" w:rsidRPr="00DF59FC">
          <w:rPr>
            <w:rStyle w:val="Hipervnculo"/>
            <w:noProof/>
            <w:sz w:val="21"/>
            <w:szCs w:val="21"/>
          </w:rPr>
          <w:t xml:space="preserve">Tabla 47.  </w:t>
        </w:r>
        <w:r w:rsidR="00DF59FC" w:rsidRPr="00DF59FC">
          <w:rPr>
            <w:rStyle w:val="Hipervnculo"/>
            <w:bCs/>
            <w:noProof/>
            <w:sz w:val="21"/>
            <w:szCs w:val="21"/>
          </w:rPr>
          <w:t>Reservas de petróleo crudo estimadas al mes de junio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_Toc143593549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127</w:t>
        </w:r>
        <w:r w:rsidR="00DF59FC" w:rsidRPr="00DF59FC">
          <w:rPr>
            <w:noProof/>
            <w:webHidden/>
            <w:sz w:val="21"/>
            <w:szCs w:val="21"/>
          </w:rPr>
          <w:fldChar w:fldCharType="end"/>
        </w:r>
      </w:hyperlink>
    </w:p>
    <w:p w14:paraId="4CF39B61" w14:textId="5BC4036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50" w:history="1">
        <w:r w:rsidR="00DF59FC" w:rsidRPr="00DF59FC">
          <w:rPr>
            <w:rStyle w:val="Hipervnculo"/>
            <w:noProof/>
            <w:sz w:val="21"/>
            <w:szCs w:val="21"/>
          </w:rPr>
          <w:t xml:space="preserve">Tabla 48.  </w:t>
        </w:r>
        <w:r w:rsidR="00DF59FC" w:rsidRPr="00DF59FC">
          <w:rPr>
            <w:rStyle w:val="Hipervnculo"/>
            <w:bCs/>
            <w:noProof/>
            <w:sz w:val="21"/>
            <w:szCs w:val="21"/>
          </w:rPr>
          <w:t>Reservas de Condensando estimadas al mes de junio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_Toc143593550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127</w:t>
        </w:r>
        <w:r w:rsidR="00DF59FC" w:rsidRPr="00DF59FC">
          <w:rPr>
            <w:noProof/>
            <w:webHidden/>
            <w:sz w:val="21"/>
            <w:szCs w:val="21"/>
          </w:rPr>
          <w:fldChar w:fldCharType="end"/>
        </w:r>
      </w:hyperlink>
    </w:p>
    <w:p w14:paraId="389CBB12" w14:textId="3DD15BD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51" w:history="1">
        <w:r w:rsidR="00DF59FC" w:rsidRPr="00DF59FC">
          <w:rPr>
            <w:rStyle w:val="Hipervnculo"/>
            <w:noProof/>
            <w:sz w:val="21"/>
            <w:szCs w:val="21"/>
          </w:rPr>
          <w:t xml:space="preserve">Tabla 49.  </w:t>
        </w:r>
        <w:r w:rsidR="00DF59FC" w:rsidRPr="00DF59FC">
          <w:rPr>
            <w:rStyle w:val="Hipervnculo"/>
            <w:bCs/>
            <w:noProof/>
            <w:sz w:val="21"/>
            <w:szCs w:val="21"/>
          </w:rPr>
          <w:t>Proyecciones de ingresos según escenario por la producción nacional petrolera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_Toc143593551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128</w:t>
        </w:r>
        <w:r w:rsidR="00DF59FC" w:rsidRPr="00DF59FC">
          <w:rPr>
            <w:noProof/>
            <w:webHidden/>
            <w:sz w:val="21"/>
            <w:szCs w:val="21"/>
          </w:rPr>
          <w:fldChar w:fldCharType="end"/>
        </w:r>
      </w:hyperlink>
    </w:p>
    <w:p w14:paraId="6FC16B6A" w14:textId="7923B586"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52" w:history="1">
        <w:r w:rsidR="00DF59FC" w:rsidRPr="00DF59FC">
          <w:rPr>
            <w:rStyle w:val="Hipervnculo"/>
            <w:noProof/>
            <w:sz w:val="21"/>
            <w:szCs w:val="21"/>
          </w:rPr>
          <w:t xml:space="preserve">Tabla 50.  </w:t>
        </w:r>
        <w:r w:rsidR="00DF59FC" w:rsidRPr="00DF59FC">
          <w:rPr>
            <w:rStyle w:val="Hipervnculo"/>
            <w:bCs/>
            <w:noProof/>
            <w:sz w:val="21"/>
            <w:szCs w:val="21"/>
          </w:rPr>
          <w:t>Regalías pagadas por el sector de minas y canteras 2016-2023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_Toc143593552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133</w:t>
        </w:r>
        <w:r w:rsidR="00DF59FC" w:rsidRPr="00DF59FC">
          <w:rPr>
            <w:noProof/>
            <w:webHidden/>
            <w:sz w:val="21"/>
            <w:szCs w:val="21"/>
          </w:rPr>
          <w:fldChar w:fldCharType="end"/>
        </w:r>
      </w:hyperlink>
    </w:p>
    <w:p w14:paraId="6A42C574" w14:textId="157E734D"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53" w:history="1">
        <w:r w:rsidR="00DF59FC" w:rsidRPr="00DF59FC">
          <w:rPr>
            <w:rStyle w:val="Hipervnculo"/>
            <w:noProof/>
            <w:sz w:val="21"/>
            <w:szCs w:val="21"/>
          </w:rPr>
          <w:t xml:space="preserve">Tabla 51.  </w:t>
        </w:r>
        <w:r w:rsidR="00DF59FC" w:rsidRPr="00DF59FC">
          <w:rPr>
            <w:rStyle w:val="Hipervnculo"/>
            <w:bCs/>
            <w:noProof/>
            <w:sz w:val="21"/>
            <w:szCs w:val="21"/>
            <w:lang w:val="es-ES"/>
          </w:rPr>
          <w:t>Estructura INFORM Guatemala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_Toc143593553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137</w:t>
        </w:r>
        <w:r w:rsidR="00DF59FC" w:rsidRPr="00DF59FC">
          <w:rPr>
            <w:noProof/>
            <w:webHidden/>
            <w:sz w:val="21"/>
            <w:szCs w:val="21"/>
          </w:rPr>
          <w:fldChar w:fldCharType="end"/>
        </w:r>
      </w:hyperlink>
    </w:p>
    <w:p w14:paraId="1E9DEE66" w14:textId="5C192C5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54" w:history="1">
        <w:r w:rsidR="00DF59FC" w:rsidRPr="00DF59FC">
          <w:rPr>
            <w:rStyle w:val="Hipervnculo"/>
            <w:noProof/>
            <w:sz w:val="21"/>
            <w:szCs w:val="21"/>
          </w:rPr>
          <w:t>Tabla 52.  Temporada de incendios forestales y no forestales 2022-2023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_Toc143593554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142</w:t>
        </w:r>
        <w:r w:rsidR="00DF59FC" w:rsidRPr="00DF59FC">
          <w:rPr>
            <w:noProof/>
            <w:webHidden/>
            <w:sz w:val="21"/>
            <w:szCs w:val="21"/>
          </w:rPr>
          <w:fldChar w:fldCharType="end"/>
        </w:r>
      </w:hyperlink>
    </w:p>
    <w:p w14:paraId="2BCF912D" w14:textId="40D40D0D"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55" w:history="1">
        <w:r w:rsidR="00DF59FC" w:rsidRPr="00DF59FC">
          <w:rPr>
            <w:rStyle w:val="Hipervnculo"/>
            <w:noProof/>
            <w:sz w:val="21"/>
            <w:szCs w:val="21"/>
          </w:rPr>
          <w:t>Tabla 53.  Sismos Guatemala 2018-2023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_Toc143593555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143</w:t>
        </w:r>
        <w:r w:rsidR="00DF59FC" w:rsidRPr="00DF59FC">
          <w:rPr>
            <w:noProof/>
            <w:webHidden/>
            <w:sz w:val="21"/>
            <w:szCs w:val="21"/>
          </w:rPr>
          <w:fldChar w:fldCharType="end"/>
        </w:r>
      </w:hyperlink>
    </w:p>
    <w:p w14:paraId="5501482F" w14:textId="0ACC628F"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56" w:history="1">
        <w:r w:rsidR="00DF59FC" w:rsidRPr="00DF59FC">
          <w:rPr>
            <w:rStyle w:val="Hipervnculo"/>
            <w:noProof/>
            <w:sz w:val="21"/>
            <w:szCs w:val="21"/>
          </w:rPr>
          <w:t>Tabla 54.  Sismos primer semestre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_Toc143593556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143</w:t>
        </w:r>
        <w:r w:rsidR="00DF59FC" w:rsidRPr="00DF59FC">
          <w:rPr>
            <w:noProof/>
            <w:webHidden/>
            <w:sz w:val="21"/>
            <w:szCs w:val="21"/>
          </w:rPr>
          <w:fldChar w:fldCharType="end"/>
        </w:r>
      </w:hyperlink>
    </w:p>
    <w:p w14:paraId="2D3B0EF0" w14:textId="2C25E78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57" w:history="1">
        <w:r w:rsidR="00DF59FC" w:rsidRPr="00DF59FC">
          <w:rPr>
            <w:rStyle w:val="Hipervnculo"/>
            <w:noProof/>
            <w:sz w:val="21"/>
            <w:szCs w:val="21"/>
          </w:rPr>
          <w:t xml:space="preserve">Tabla 55.  </w:t>
        </w:r>
        <w:r w:rsidR="00DF59FC" w:rsidRPr="00DF59FC">
          <w:rPr>
            <w:rStyle w:val="Hipervnculo"/>
            <w:bCs/>
            <w:noProof/>
            <w:sz w:val="21"/>
            <w:szCs w:val="21"/>
          </w:rPr>
          <w:t>Resumen de los escenarios de desastre naturales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_Toc143593557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151</w:t>
        </w:r>
        <w:r w:rsidR="00DF59FC" w:rsidRPr="00DF59FC">
          <w:rPr>
            <w:noProof/>
            <w:webHidden/>
            <w:sz w:val="21"/>
            <w:szCs w:val="21"/>
          </w:rPr>
          <w:fldChar w:fldCharType="end"/>
        </w:r>
      </w:hyperlink>
    </w:p>
    <w:p w14:paraId="4DB8DB30" w14:textId="5055D7F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58" w:history="1">
        <w:r w:rsidR="00DF59FC" w:rsidRPr="00DF59FC">
          <w:rPr>
            <w:rStyle w:val="Hipervnculo"/>
            <w:noProof/>
            <w:sz w:val="21"/>
            <w:szCs w:val="21"/>
          </w:rPr>
          <w:t xml:space="preserve">Tabla 56.  </w:t>
        </w:r>
        <w:r w:rsidR="00DF59FC" w:rsidRPr="00DF59FC">
          <w:rPr>
            <w:rStyle w:val="Hipervnculo"/>
            <w:noProof/>
            <w:sz w:val="21"/>
            <w:szCs w:val="21"/>
            <w:lang w:val="es-ES"/>
          </w:rPr>
          <w:t>Resumen instrumentos financieros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_Toc143593558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155</w:t>
        </w:r>
        <w:r w:rsidR="00DF59FC" w:rsidRPr="00DF59FC">
          <w:rPr>
            <w:noProof/>
            <w:webHidden/>
            <w:sz w:val="21"/>
            <w:szCs w:val="21"/>
          </w:rPr>
          <w:fldChar w:fldCharType="end"/>
        </w:r>
      </w:hyperlink>
    </w:p>
    <w:p w14:paraId="6A8DC80C" w14:textId="2F035D39" w:rsidR="00872FC6" w:rsidRPr="00DF59FC" w:rsidRDefault="00DF59FC" w:rsidP="00024A42">
      <w:pPr>
        <w:jc w:val="both"/>
        <w:rPr>
          <w:sz w:val="21"/>
          <w:szCs w:val="21"/>
        </w:rPr>
      </w:pPr>
      <w:r w:rsidRPr="00DF59FC">
        <w:rPr>
          <w:sz w:val="21"/>
          <w:szCs w:val="21"/>
        </w:rPr>
        <w:fldChar w:fldCharType="end"/>
      </w:r>
    </w:p>
    <w:p w14:paraId="2F1C23CF" w14:textId="02F9DFA3" w:rsidR="00DF59FC" w:rsidRPr="00DF59FC" w:rsidRDefault="00DF59FC" w:rsidP="00DF59FC">
      <w:pPr>
        <w:jc w:val="center"/>
        <w:rPr>
          <w:b/>
          <w:bCs/>
          <w:sz w:val="21"/>
          <w:szCs w:val="21"/>
        </w:rPr>
      </w:pPr>
      <w:r w:rsidRPr="00DF59FC">
        <w:rPr>
          <w:b/>
          <w:bCs/>
          <w:sz w:val="21"/>
          <w:szCs w:val="21"/>
        </w:rPr>
        <w:t>Gráficos</w:t>
      </w:r>
    </w:p>
    <w:p w14:paraId="542209DB" w14:textId="50E77AEA" w:rsidR="00DF59FC" w:rsidRPr="00DF59FC" w:rsidRDefault="00DF59FC" w:rsidP="005C56A0">
      <w:pPr>
        <w:pStyle w:val="Tabladeilustraciones"/>
        <w:tabs>
          <w:tab w:val="right" w:leader="dot" w:pos="8828"/>
        </w:tabs>
        <w:spacing w:after="0"/>
        <w:rPr>
          <w:rFonts w:asciiTheme="minorHAnsi" w:hAnsiTheme="minorHAnsi" w:cstheme="minorBidi"/>
          <w:noProof/>
          <w:sz w:val="21"/>
          <w:szCs w:val="21"/>
          <w:lang w:eastAsia="es-GT"/>
        </w:rPr>
      </w:pPr>
      <w:r w:rsidRPr="00DF59FC">
        <w:rPr>
          <w:sz w:val="21"/>
          <w:szCs w:val="21"/>
        </w:rPr>
        <w:fldChar w:fldCharType="begin"/>
      </w:r>
      <w:r w:rsidRPr="00DF59FC">
        <w:rPr>
          <w:sz w:val="21"/>
          <w:szCs w:val="21"/>
        </w:rPr>
        <w:instrText xml:space="preserve"> TOC \h \z \c "Gráfico" </w:instrText>
      </w:r>
      <w:r w:rsidRPr="00DF59FC">
        <w:rPr>
          <w:sz w:val="21"/>
          <w:szCs w:val="21"/>
        </w:rPr>
        <w:fldChar w:fldCharType="separate"/>
      </w:r>
      <w:hyperlink w:anchor="_Toc143593559" w:history="1">
        <w:r w:rsidRPr="00DF59FC">
          <w:rPr>
            <w:rStyle w:val="Hipervnculo"/>
            <w:noProof/>
            <w:sz w:val="21"/>
            <w:szCs w:val="21"/>
          </w:rPr>
          <w:t>Gráfico 1. Panorama del crecimiento inflacionario mundial 2018-2028</w:t>
        </w:r>
        <w:r w:rsidRPr="00DF59FC">
          <w:rPr>
            <w:noProof/>
            <w:webHidden/>
            <w:sz w:val="21"/>
            <w:szCs w:val="21"/>
          </w:rPr>
          <w:tab/>
        </w:r>
        <w:r w:rsidRPr="00DF59FC">
          <w:rPr>
            <w:noProof/>
            <w:webHidden/>
            <w:sz w:val="21"/>
            <w:szCs w:val="21"/>
          </w:rPr>
          <w:fldChar w:fldCharType="begin"/>
        </w:r>
        <w:r w:rsidRPr="00DF59FC">
          <w:rPr>
            <w:noProof/>
            <w:webHidden/>
            <w:sz w:val="21"/>
            <w:szCs w:val="21"/>
          </w:rPr>
          <w:instrText xml:space="preserve"> PAGEREF _Toc143593559 \h </w:instrText>
        </w:r>
        <w:r w:rsidRPr="00DF59FC">
          <w:rPr>
            <w:noProof/>
            <w:webHidden/>
            <w:sz w:val="21"/>
            <w:szCs w:val="21"/>
          </w:rPr>
        </w:r>
        <w:r w:rsidRPr="00DF59FC">
          <w:rPr>
            <w:noProof/>
            <w:webHidden/>
            <w:sz w:val="21"/>
            <w:szCs w:val="21"/>
          </w:rPr>
          <w:fldChar w:fldCharType="separate"/>
        </w:r>
        <w:r w:rsidR="009E279E">
          <w:rPr>
            <w:noProof/>
            <w:webHidden/>
            <w:sz w:val="21"/>
            <w:szCs w:val="21"/>
          </w:rPr>
          <w:t>8</w:t>
        </w:r>
        <w:r w:rsidRPr="00DF59FC">
          <w:rPr>
            <w:noProof/>
            <w:webHidden/>
            <w:sz w:val="21"/>
            <w:szCs w:val="21"/>
          </w:rPr>
          <w:fldChar w:fldCharType="end"/>
        </w:r>
      </w:hyperlink>
    </w:p>
    <w:p w14:paraId="38E0E7EE" w14:textId="1500CA8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0" w:history="1">
        <w:r w:rsidR="00DF59FC" w:rsidRPr="00DF59FC">
          <w:rPr>
            <w:rStyle w:val="Hipervnculo"/>
            <w:noProof/>
            <w:sz w:val="21"/>
            <w:szCs w:val="21"/>
          </w:rPr>
          <w:t>Gráfico 2. Comportamiento de los índices de precios de materias primas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9</w:t>
        </w:r>
        <w:r w:rsidR="00DF59FC" w:rsidRPr="00DF59FC">
          <w:rPr>
            <w:noProof/>
            <w:webHidden/>
            <w:sz w:val="21"/>
            <w:szCs w:val="21"/>
          </w:rPr>
          <w:fldChar w:fldCharType="end"/>
        </w:r>
      </w:hyperlink>
    </w:p>
    <w:p w14:paraId="272E7958" w14:textId="10269CE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1" w:history="1">
        <w:r w:rsidR="00DF59FC" w:rsidRPr="00DF59FC">
          <w:rPr>
            <w:rStyle w:val="Hipervnculo"/>
            <w:noProof/>
            <w:sz w:val="21"/>
            <w:szCs w:val="21"/>
          </w:rPr>
          <w:t>Gráfico 3. Comportamiento del valor del WTI</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w:t>
        </w:r>
        <w:r w:rsidR="00DF59FC" w:rsidRPr="00DF59FC">
          <w:rPr>
            <w:noProof/>
            <w:webHidden/>
            <w:sz w:val="21"/>
            <w:szCs w:val="21"/>
          </w:rPr>
          <w:fldChar w:fldCharType="end"/>
        </w:r>
      </w:hyperlink>
    </w:p>
    <w:p w14:paraId="3CF1DD51" w14:textId="40102D4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2" w:history="1">
        <w:r w:rsidR="00DF59FC" w:rsidRPr="00DF59FC">
          <w:rPr>
            <w:rStyle w:val="Hipervnculo"/>
            <w:noProof/>
            <w:sz w:val="21"/>
            <w:szCs w:val="21"/>
          </w:rPr>
          <w:t>Gráfico 4.</w:t>
        </w:r>
        <w:r w:rsidR="00DF59FC" w:rsidRPr="00DF59FC">
          <w:rPr>
            <w:rStyle w:val="Hipervnculo"/>
            <w:noProof/>
            <w:sz w:val="21"/>
            <w:szCs w:val="21"/>
            <w:lang w:val="en-US"/>
          </w:rPr>
          <w:t xml:space="preserve"> Índice Market Volatility Index</w:t>
        </w:r>
        <w:r w:rsidR="00DF59FC" w:rsidRPr="00DF59FC">
          <w:rPr>
            <w:rStyle w:val="Hipervnculo"/>
            <w:rFonts w:ascii="Arial" w:hAnsi="Arial" w:cs="Arial"/>
            <w:noProof/>
            <w:sz w:val="21"/>
            <w:szCs w:val="21"/>
            <w:shd w:val="clear" w:color="auto" w:fill="FFFFFF"/>
            <w:lang w:val="en-US"/>
          </w:rPr>
          <w:t xml:space="preserve"> -</w:t>
        </w:r>
        <w:r w:rsidR="00DF59FC" w:rsidRPr="00DF59FC">
          <w:rPr>
            <w:rStyle w:val="Hipervnculo"/>
            <w:noProof/>
            <w:sz w:val="21"/>
            <w:szCs w:val="21"/>
            <w:lang w:val="en-US"/>
          </w:rPr>
          <w:t>VIX-</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11</w:t>
        </w:r>
        <w:r w:rsidR="00DF59FC" w:rsidRPr="00DF59FC">
          <w:rPr>
            <w:noProof/>
            <w:webHidden/>
            <w:sz w:val="21"/>
            <w:szCs w:val="21"/>
          </w:rPr>
          <w:fldChar w:fldCharType="end"/>
        </w:r>
      </w:hyperlink>
    </w:p>
    <w:p w14:paraId="25C436AF" w14:textId="7406E6A9"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3" w:history="1">
        <w:r w:rsidR="00DF59FC" w:rsidRPr="00DF59FC">
          <w:rPr>
            <w:rStyle w:val="Hipervnculo"/>
            <w:noProof/>
            <w:sz w:val="21"/>
            <w:szCs w:val="21"/>
          </w:rPr>
          <w:t>Gráfico 5. Errores de pronóstico del PIB real y PIB nominal</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12</w:t>
        </w:r>
        <w:r w:rsidR="00DF59FC" w:rsidRPr="00DF59FC">
          <w:rPr>
            <w:noProof/>
            <w:webHidden/>
            <w:sz w:val="21"/>
            <w:szCs w:val="21"/>
          </w:rPr>
          <w:fldChar w:fldCharType="end"/>
        </w:r>
      </w:hyperlink>
    </w:p>
    <w:p w14:paraId="73728B46" w14:textId="348BEAF8"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4" w:history="1">
        <w:r w:rsidR="00DF59FC" w:rsidRPr="00DF59FC">
          <w:rPr>
            <w:rStyle w:val="Hipervnculo"/>
            <w:noProof/>
            <w:sz w:val="21"/>
            <w:szCs w:val="21"/>
          </w:rPr>
          <w:t>Gráfico 6. Errores de pronóstico de las exportaciones e importaciones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w:t>
        </w:r>
        <w:r w:rsidR="00DF59FC" w:rsidRPr="00DF59FC">
          <w:rPr>
            <w:noProof/>
            <w:webHidden/>
            <w:sz w:val="21"/>
            <w:szCs w:val="21"/>
          </w:rPr>
          <w:fldChar w:fldCharType="end"/>
        </w:r>
      </w:hyperlink>
    </w:p>
    <w:p w14:paraId="0C55E303" w14:textId="228CE09B"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5" w:history="1">
        <w:r w:rsidR="00DF59FC" w:rsidRPr="00DF59FC">
          <w:rPr>
            <w:rStyle w:val="Hipervnculo"/>
            <w:noProof/>
            <w:sz w:val="21"/>
            <w:szCs w:val="21"/>
          </w:rPr>
          <w:t>Gráfico 7. Errores de pronóstico de la inflación</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w:t>
        </w:r>
        <w:r w:rsidR="00DF59FC" w:rsidRPr="00DF59FC">
          <w:rPr>
            <w:noProof/>
            <w:webHidden/>
            <w:sz w:val="21"/>
            <w:szCs w:val="21"/>
          </w:rPr>
          <w:fldChar w:fldCharType="end"/>
        </w:r>
      </w:hyperlink>
    </w:p>
    <w:p w14:paraId="55F290D4" w14:textId="74BD46FD"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6" w:history="1">
        <w:r w:rsidR="00DF59FC" w:rsidRPr="00DF59FC">
          <w:rPr>
            <w:rStyle w:val="Hipervnculo"/>
            <w:noProof/>
            <w:sz w:val="21"/>
            <w:szCs w:val="21"/>
          </w:rPr>
          <w:t xml:space="preserve">Gráfico 8. </w:t>
        </w:r>
        <w:r w:rsidR="00DF59FC" w:rsidRPr="00DF59FC">
          <w:rPr>
            <w:rStyle w:val="Hipervnculo"/>
            <w:noProof/>
            <w:kern w:val="24"/>
            <w:sz w:val="21"/>
            <w:szCs w:val="21"/>
          </w:rPr>
          <w:t>Ingresos Tributarios: Error de pronóstico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15</w:t>
        </w:r>
        <w:r w:rsidR="00DF59FC" w:rsidRPr="00DF59FC">
          <w:rPr>
            <w:noProof/>
            <w:webHidden/>
            <w:sz w:val="21"/>
            <w:szCs w:val="21"/>
          </w:rPr>
          <w:fldChar w:fldCharType="end"/>
        </w:r>
      </w:hyperlink>
    </w:p>
    <w:p w14:paraId="55AAEB55" w14:textId="005F6AF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7" w:history="1">
        <w:r w:rsidR="00DF59FC" w:rsidRPr="00DF59FC">
          <w:rPr>
            <w:rStyle w:val="Hipervnculo"/>
            <w:noProof/>
            <w:sz w:val="21"/>
            <w:szCs w:val="21"/>
          </w:rPr>
          <w:t xml:space="preserve">Gráfico 9. </w:t>
        </w:r>
        <w:r w:rsidR="00DF59FC" w:rsidRPr="00DF59FC">
          <w:rPr>
            <w:rStyle w:val="Hipervnculo"/>
            <w:noProof/>
            <w:sz w:val="21"/>
            <w:szCs w:val="21"/>
            <w:lang w:val="es-ES"/>
          </w:rPr>
          <w:t>Ingresos Tributarios: Error de Pronóstico promedio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16</w:t>
        </w:r>
        <w:r w:rsidR="00DF59FC" w:rsidRPr="00DF59FC">
          <w:rPr>
            <w:noProof/>
            <w:webHidden/>
            <w:sz w:val="21"/>
            <w:szCs w:val="21"/>
          </w:rPr>
          <w:fldChar w:fldCharType="end"/>
        </w:r>
      </w:hyperlink>
    </w:p>
    <w:p w14:paraId="1912FF50" w14:textId="2B6439F5"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8" w:history="1">
        <w:r w:rsidR="00DF59FC" w:rsidRPr="00DF59FC">
          <w:rPr>
            <w:rStyle w:val="Hipervnculo"/>
            <w:noProof/>
            <w:sz w:val="21"/>
            <w:szCs w:val="21"/>
          </w:rPr>
          <w:t xml:space="preserve">Gráfico 10. </w:t>
        </w:r>
        <w:r w:rsidR="00DF59FC" w:rsidRPr="00DF59FC">
          <w:rPr>
            <w:rStyle w:val="Hipervnculo"/>
            <w:noProof/>
            <w:kern w:val="24"/>
            <w:sz w:val="21"/>
            <w:szCs w:val="21"/>
          </w:rPr>
          <w:t>Gasto Público: Error de pronóstico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17</w:t>
        </w:r>
        <w:r w:rsidR="00DF59FC" w:rsidRPr="00DF59FC">
          <w:rPr>
            <w:noProof/>
            <w:webHidden/>
            <w:sz w:val="21"/>
            <w:szCs w:val="21"/>
          </w:rPr>
          <w:fldChar w:fldCharType="end"/>
        </w:r>
      </w:hyperlink>
    </w:p>
    <w:p w14:paraId="08D954F7" w14:textId="7E0DFD3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69" w:history="1">
        <w:r w:rsidR="00DF59FC" w:rsidRPr="00DF59FC">
          <w:rPr>
            <w:rStyle w:val="Hipervnculo"/>
            <w:noProof/>
            <w:sz w:val="21"/>
            <w:szCs w:val="21"/>
          </w:rPr>
          <w:t xml:space="preserve">Gráfico 11. </w:t>
        </w:r>
        <w:r w:rsidR="00DF59FC" w:rsidRPr="00DF59FC">
          <w:rPr>
            <w:rStyle w:val="Hipervnculo"/>
            <w:noProof/>
            <w:sz w:val="21"/>
            <w:szCs w:val="21"/>
            <w:lang w:val="es-ES"/>
          </w:rPr>
          <w:t>Gasto Publico:</w:t>
        </w:r>
        <w:r w:rsidR="005C56A0" w:rsidRPr="005C56A0">
          <w:rPr>
            <w:noProof/>
          </w:rPr>
          <w:t xml:space="preserve"> </w:t>
        </w:r>
        <w:r w:rsidR="005C56A0" w:rsidRPr="005C56A0">
          <w:rPr>
            <w:rStyle w:val="Hipervnculo"/>
            <w:noProof/>
            <w:sz w:val="21"/>
            <w:szCs w:val="21"/>
            <w:lang w:val="es-ES"/>
          </w:rPr>
          <w:t>Distribución de errores de pronóstico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_Toc143593569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18</w:t>
        </w:r>
        <w:r w:rsidR="00DF59FC" w:rsidRPr="00DF59FC">
          <w:rPr>
            <w:noProof/>
            <w:webHidden/>
            <w:sz w:val="21"/>
            <w:szCs w:val="21"/>
          </w:rPr>
          <w:fldChar w:fldCharType="end"/>
        </w:r>
      </w:hyperlink>
    </w:p>
    <w:p w14:paraId="149D445A" w14:textId="0B1E4F46"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0" w:history="1">
        <w:r w:rsidR="00DF59FC" w:rsidRPr="00DF59FC">
          <w:rPr>
            <w:rStyle w:val="Hipervnculo"/>
            <w:noProof/>
            <w:sz w:val="21"/>
            <w:szCs w:val="21"/>
          </w:rPr>
          <w:t xml:space="preserve">Gráfico 12. </w:t>
        </w:r>
        <w:r w:rsidR="00DF59FC" w:rsidRPr="00DF59FC">
          <w:rPr>
            <w:rStyle w:val="Hipervnculo"/>
            <w:noProof/>
            <w:kern w:val="24"/>
            <w:sz w:val="21"/>
            <w:szCs w:val="21"/>
          </w:rPr>
          <w:t>Déficit Fiscal: Error de pronóstico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19</w:t>
        </w:r>
        <w:r w:rsidR="00DF59FC" w:rsidRPr="00DF59FC">
          <w:rPr>
            <w:noProof/>
            <w:webHidden/>
            <w:sz w:val="21"/>
            <w:szCs w:val="21"/>
          </w:rPr>
          <w:fldChar w:fldCharType="end"/>
        </w:r>
      </w:hyperlink>
    </w:p>
    <w:p w14:paraId="7053E225" w14:textId="02611AF6"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1" w:history="1">
        <w:r w:rsidR="00DF59FC" w:rsidRPr="00DF59FC">
          <w:rPr>
            <w:rStyle w:val="Hipervnculo"/>
            <w:noProof/>
            <w:sz w:val="21"/>
            <w:szCs w:val="21"/>
          </w:rPr>
          <w:t xml:space="preserve">Gráfico 13.  </w:t>
        </w:r>
        <w:r w:rsidR="00DF59FC" w:rsidRPr="00DF59FC">
          <w:rPr>
            <w:rStyle w:val="Hipervnculo"/>
            <w:noProof/>
            <w:sz w:val="21"/>
            <w:szCs w:val="21"/>
            <w:lang w:val="es-ES"/>
          </w:rPr>
          <w:t>Déficit Fiscal</w:t>
        </w:r>
        <w:r w:rsidR="005C56A0">
          <w:rPr>
            <w:rStyle w:val="Hipervnculo"/>
            <w:noProof/>
            <w:sz w:val="21"/>
            <w:szCs w:val="21"/>
            <w:lang w:val="es-ES"/>
          </w:rPr>
          <w:t xml:space="preserve">: </w:t>
        </w:r>
        <w:r w:rsidR="005C56A0" w:rsidRPr="005C56A0">
          <w:rPr>
            <w:rStyle w:val="Hipervnculo"/>
            <w:noProof/>
            <w:sz w:val="21"/>
            <w:szCs w:val="21"/>
            <w:lang w:val="es-ES"/>
          </w:rPr>
          <w:t>Error de Pronóstico promedio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20</w:t>
        </w:r>
        <w:r w:rsidR="00DF59FC" w:rsidRPr="00DF59FC">
          <w:rPr>
            <w:noProof/>
            <w:webHidden/>
            <w:sz w:val="21"/>
            <w:szCs w:val="21"/>
          </w:rPr>
          <w:fldChar w:fldCharType="end"/>
        </w:r>
      </w:hyperlink>
    </w:p>
    <w:p w14:paraId="5D17A126" w14:textId="59BC1B06"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2" w:history="1">
        <w:r w:rsidR="00DF59FC" w:rsidRPr="00DF59FC">
          <w:rPr>
            <w:rStyle w:val="Hipervnculo"/>
            <w:noProof/>
            <w:sz w:val="21"/>
            <w:szCs w:val="21"/>
          </w:rPr>
          <w:t xml:space="preserve">Gráfico 14. </w:t>
        </w:r>
        <w:r w:rsidR="00DF59FC" w:rsidRPr="00DF59FC">
          <w:rPr>
            <w:rStyle w:val="Hipervnculo"/>
            <w:noProof/>
            <w:kern w:val="24"/>
            <w:sz w:val="21"/>
            <w:szCs w:val="21"/>
          </w:rPr>
          <w:t>Techos Indicativos: Error de pronóstico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21</w:t>
        </w:r>
        <w:r w:rsidR="00DF59FC" w:rsidRPr="00DF59FC">
          <w:rPr>
            <w:noProof/>
            <w:webHidden/>
            <w:sz w:val="21"/>
            <w:szCs w:val="21"/>
          </w:rPr>
          <w:fldChar w:fldCharType="end"/>
        </w:r>
      </w:hyperlink>
    </w:p>
    <w:p w14:paraId="6E8E0472" w14:textId="0DE388C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3" w:history="1">
        <w:r w:rsidR="00DF59FC" w:rsidRPr="00DF59FC">
          <w:rPr>
            <w:rStyle w:val="Hipervnculo"/>
            <w:noProof/>
            <w:sz w:val="21"/>
            <w:szCs w:val="21"/>
          </w:rPr>
          <w:t xml:space="preserve">Gráfico 15.  </w:t>
        </w:r>
        <w:r w:rsidR="00DF59FC" w:rsidRPr="00DF59FC">
          <w:rPr>
            <w:rStyle w:val="Hipervnculo"/>
            <w:noProof/>
            <w:sz w:val="21"/>
            <w:szCs w:val="21"/>
            <w:lang w:val="es-ES"/>
          </w:rPr>
          <w:t>Techos indicativos</w:t>
        </w:r>
        <w:r w:rsidR="005C56A0">
          <w:rPr>
            <w:rStyle w:val="Hipervnculo"/>
            <w:noProof/>
            <w:sz w:val="21"/>
            <w:szCs w:val="21"/>
            <w:lang w:val="es-ES"/>
          </w:rPr>
          <w:t xml:space="preserve">: </w:t>
        </w:r>
        <w:r w:rsidR="005C56A0" w:rsidRPr="005C56A0">
          <w:rPr>
            <w:rStyle w:val="Hipervnculo"/>
            <w:noProof/>
            <w:sz w:val="21"/>
            <w:szCs w:val="21"/>
            <w:lang w:val="es-ES"/>
          </w:rPr>
          <w:t>Error de Pronóstico promedio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22</w:t>
        </w:r>
        <w:r w:rsidR="00DF59FC" w:rsidRPr="00DF59FC">
          <w:rPr>
            <w:noProof/>
            <w:webHidden/>
            <w:sz w:val="21"/>
            <w:szCs w:val="21"/>
          </w:rPr>
          <w:fldChar w:fldCharType="end"/>
        </w:r>
      </w:hyperlink>
    </w:p>
    <w:p w14:paraId="594D7ADB" w14:textId="59157286"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4" w:history="1">
        <w:r w:rsidR="00DF59FC" w:rsidRPr="00DF59FC">
          <w:rPr>
            <w:rStyle w:val="Hipervnculo"/>
            <w:noProof/>
            <w:sz w:val="21"/>
            <w:szCs w:val="21"/>
          </w:rPr>
          <w:t>Gráfico 16. PIB real: resultados históricos e incertidumbre en torno a los pronósticos actuales.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24</w:t>
        </w:r>
        <w:r w:rsidR="00DF59FC" w:rsidRPr="00DF59FC">
          <w:rPr>
            <w:noProof/>
            <w:webHidden/>
            <w:sz w:val="21"/>
            <w:szCs w:val="21"/>
          </w:rPr>
          <w:fldChar w:fldCharType="end"/>
        </w:r>
      </w:hyperlink>
    </w:p>
    <w:p w14:paraId="0C6EFDB3" w14:textId="1AB9317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5" w:history="1">
        <w:r w:rsidR="00DF59FC" w:rsidRPr="00DF59FC">
          <w:rPr>
            <w:rStyle w:val="Hipervnculo"/>
            <w:noProof/>
            <w:sz w:val="21"/>
            <w:szCs w:val="21"/>
          </w:rPr>
          <w:t>Gráfico 17.  PIB real: resultados históricos</w:t>
        </w:r>
        <w:r w:rsidR="005C56A0">
          <w:rPr>
            <w:rStyle w:val="Hipervnculo"/>
            <w:noProof/>
            <w:sz w:val="21"/>
            <w:szCs w:val="21"/>
          </w:rPr>
          <w:t xml:space="preserve"> </w:t>
        </w:r>
        <w:r w:rsidR="005C56A0" w:rsidRPr="005C56A0">
          <w:rPr>
            <w:rStyle w:val="Hipervnculo"/>
            <w:noProof/>
            <w:sz w:val="21"/>
            <w:szCs w:val="21"/>
          </w:rPr>
          <w:t>resultados históricos en torno a los pronósticos actuales</w:t>
        </w:r>
        <w:r w:rsidR="00DF59FC" w:rsidRPr="00DF59FC">
          <w:rPr>
            <w:rStyle w:val="Hipervnculo"/>
            <w:noProof/>
            <w:sz w:val="21"/>
            <w:szCs w:val="21"/>
          </w:rPr>
          <w:t>.</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25</w:t>
        </w:r>
        <w:r w:rsidR="00DF59FC" w:rsidRPr="00DF59FC">
          <w:rPr>
            <w:noProof/>
            <w:webHidden/>
            <w:sz w:val="21"/>
            <w:szCs w:val="21"/>
          </w:rPr>
          <w:fldChar w:fldCharType="end"/>
        </w:r>
      </w:hyperlink>
    </w:p>
    <w:p w14:paraId="19078336" w14:textId="66AC73D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6" w:history="1">
        <w:r w:rsidR="00DF59FC" w:rsidRPr="00DF59FC">
          <w:rPr>
            <w:rStyle w:val="Hipervnculo"/>
            <w:noProof/>
            <w:sz w:val="21"/>
            <w:szCs w:val="21"/>
          </w:rPr>
          <w:t>Gráfico 18.  Tipo de Cambio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26</w:t>
        </w:r>
        <w:r w:rsidR="00DF59FC" w:rsidRPr="00DF59FC">
          <w:rPr>
            <w:noProof/>
            <w:webHidden/>
            <w:sz w:val="21"/>
            <w:szCs w:val="21"/>
          </w:rPr>
          <w:fldChar w:fldCharType="end"/>
        </w:r>
      </w:hyperlink>
    </w:p>
    <w:p w14:paraId="50417786" w14:textId="5B53860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7" w:history="1">
        <w:r w:rsidR="00DF59FC" w:rsidRPr="00DF59FC">
          <w:rPr>
            <w:rStyle w:val="Hipervnculo"/>
            <w:noProof/>
            <w:sz w:val="21"/>
            <w:szCs w:val="21"/>
          </w:rPr>
          <w:t>Gráfico 19. Tasas de interés de política monetaria, de bonos y SOFR</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32</w:t>
        </w:r>
        <w:r w:rsidR="00DF59FC" w:rsidRPr="00DF59FC">
          <w:rPr>
            <w:noProof/>
            <w:webHidden/>
            <w:sz w:val="21"/>
            <w:szCs w:val="21"/>
          </w:rPr>
          <w:fldChar w:fldCharType="end"/>
        </w:r>
      </w:hyperlink>
    </w:p>
    <w:p w14:paraId="7A931F66" w14:textId="36074E2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8" w:history="1">
        <w:r w:rsidR="00DF59FC" w:rsidRPr="00DF59FC">
          <w:rPr>
            <w:rStyle w:val="Hipervnculo"/>
            <w:noProof/>
            <w:sz w:val="21"/>
            <w:szCs w:val="21"/>
          </w:rPr>
          <w:t>Gráfico 20.  Impacto en las tasas de colocación ante un aumento de las tasas de política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33</w:t>
        </w:r>
        <w:r w:rsidR="00DF59FC" w:rsidRPr="00DF59FC">
          <w:rPr>
            <w:noProof/>
            <w:webHidden/>
            <w:sz w:val="21"/>
            <w:szCs w:val="21"/>
          </w:rPr>
          <w:fldChar w:fldCharType="end"/>
        </w:r>
      </w:hyperlink>
    </w:p>
    <w:p w14:paraId="79289672" w14:textId="671F92B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79" w:history="1">
        <w:r w:rsidR="00DF59FC" w:rsidRPr="00DF59FC">
          <w:rPr>
            <w:rStyle w:val="Hipervnculo"/>
            <w:noProof/>
            <w:sz w:val="21"/>
            <w:szCs w:val="21"/>
          </w:rPr>
          <w:t>Gráfico 21. Costos de refinería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_Toc143593579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36</w:t>
        </w:r>
        <w:r w:rsidR="00DF59FC" w:rsidRPr="00DF59FC">
          <w:rPr>
            <w:noProof/>
            <w:webHidden/>
            <w:sz w:val="21"/>
            <w:szCs w:val="21"/>
          </w:rPr>
          <w:fldChar w:fldCharType="end"/>
        </w:r>
      </w:hyperlink>
    </w:p>
    <w:p w14:paraId="25208023" w14:textId="27988B9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0" w:history="1">
        <w:r w:rsidR="00DF59FC" w:rsidRPr="00DF59FC">
          <w:rPr>
            <w:rStyle w:val="Hipervnculo"/>
            <w:noProof/>
            <w:sz w:val="21"/>
            <w:szCs w:val="21"/>
          </w:rPr>
          <w:t xml:space="preserve">Gráfico 22. </w:t>
        </w:r>
        <w:r w:rsidR="00DF59FC" w:rsidRPr="00DF59FC">
          <w:rPr>
            <w:rStyle w:val="Hipervnculo"/>
            <w:bCs/>
            <w:noProof/>
            <w:sz w:val="21"/>
            <w:szCs w:val="21"/>
          </w:rPr>
          <w:t>Precios proyectados del crudo y de combustibles nacionales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37</w:t>
        </w:r>
        <w:r w:rsidR="00DF59FC" w:rsidRPr="00DF59FC">
          <w:rPr>
            <w:noProof/>
            <w:webHidden/>
            <w:sz w:val="21"/>
            <w:szCs w:val="21"/>
          </w:rPr>
          <w:fldChar w:fldCharType="end"/>
        </w:r>
      </w:hyperlink>
    </w:p>
    <w:p w14:paraId="6AE087C5" w14:textId="5A8F13A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1" w:history="1">
        <w:r w:rsidR="00DF59FC" w:rsidRPr="00DF59FC">
          <w:rPr>
            <w:rStyle w:val="Hipervnculo"/>
            <w:noProof/>
            <w:sz w:val="21"/>
            <w:szCs w:val="21"/>
          </w:rPr>
          <w:t>Gráfico 23.</w:t>
        </w:r>
        <w:r w:rsidR="00DF59FC" w:rsidRPr="00DF59FC">
          <w:rPr>
            <w:rStyle w:val="Hipervnculo"/>
            <w:bCs/>
            <w:noProof/>
            <w:sz w:val="21"/>
            <w:szCs w:val="21"/>
          </w:rPr>
          <w:t xml:space="preserve"> Variación interanual del WTI</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38</w:t>
        </w:r>
        <w:r w:rsidR="00DF59FC" w:rsidRPr="00DF59FC">
          <w:rPr>
            <w:noProof/>
            <w:webHidden/>
            <w:sz w:val="21"/>
            <w:szCs w:val="21"/>
          </w:rPr>
          <w:fldChar w:fldCharType="end"/>
        </w:r>
      </w:hyperlink>
    </w:p>
    <w:p w14:paraId="42C56E3A" w14:textId="5D1D36B2"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2" w:history="1">
        <w:r w:rsidR="00DF59FC" w:rsidRPr="00DF59FC">
          <w:rPr>
            <w:rStyle w:val="Hipervnculo"/>
            <w:noProof/>
            <w:sz w:val="21"/>
            <w:szCs w:val="21"/>
          </w:rPr>
          <w:t xml:space="preserve">Gráfico 24. </w:t>
        </w:r>
        <w:r w:rsidR="00DF59FC" w:rsidRPr="00DF59FC">
          <w:rPr>
            <w:rStyle w:val="Hipervnculo"/>
            <w:bCs/>
            <w:noProof/>
            <w:sz w:val="21"/>
            <w:szCs w:val="21"/>
          </w:rPr>
          <w:t>Población vacunada con primera dosis como proporción del total.</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40</w:t>
        </w:r>
        <w:r w:rsidR="00DF59FC" w:rsidRPr="00DF59FC">
          <w:rPr>
            <w:noProof/>
            <w:webHidden/>
            <w:sz w:val="21"/>
            <w:szCs w:val="21"/>
          </w:rPr>
          <w:fldChar w:fldCharType="end"/>
        </w:r>
      </w:hyperlink>
    </w:p>
    <w:p w14:paraId="2B228302" w14:textId="3148EC1C"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3" w:history="1">
        <w:r w:rsidR="00DF59FC" w:rsidRPr="00DF59FC">
          <w:rPr>
            <w:rStyle w:val="Hipervnculo"/>
            <w:noProof/>
            <w:sz w:val="21"/>
            <w:szCs w:val="21"/>
          </w:rPr>
          <w:t>Gráfico 25. Crecimiento económico en 2020 e índice de rigor promedio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40</w:t>
        </w:r>
        <w:r w:rsidR="00DF59FC" w:rsidRPr="00DF59FC">
          <w:rPr>
            <w:noProof/>
            <w:webHidden/>
            <w:sz w:val="21"/>
            <w:szCs w:val="21"/>
          </w:rPr>
          <w:fldChar w:fldCharType="end"/>
        </w:r>
      </w:hyperlink>
    </w:p>
    <w:p w14:paraId="6608B8B1" w14:textId="6794B5DC"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4" w:history="1">
        <w:r w:rsidR="00DF59FC" w:rsidRPr="00DF59FC">
          <w:rPr>
            <w:rStyle w:val="Hipervnculo"/>
            <w:noProof/>
            <w:sz w:val="21"/>
            <w:szCs w:val="21"/>
          </w:rPr>
          <w:t>Gráfico 26. Índice de rigor para Guatemala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40</w:t>
        </w:r>
        <w:r w:rsidR="00DF59FC" w:rsidRPr="00DF59FC">
          <w:rPr>
            <w:noProof/>
            <w:webHidden/>
            <w:sz w:val="21"/>
            <w:szCs w:val="21"/>
          </w:rPr>
          <w:fldChar w:fldCharType="end"/>
        </w:r>
      </w:hyperlink>
    </w:p>
    <w:p w14:paraId="77A25DC0" w14:textId="659E8022"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5" w:history="1">
        <w:r w:rsidR="00DF59FC" w:rsidRPr="00DF59FC">
          <w:rPr>
            <w:rStyle w:val="Hipervnculo"/>
            <w:noProof/>
            <w:sz w:val="21"/>
            <w:szCs w:val="21"/>
          </w:rPr>
          <w:t xml:space="preserve">Gráfico 27. </w:t>
        </w:r>
        <w:r w:rsidR="00DF59FC" w:rsidRPr="00DF59FC">
          <w:rPr>
            <w:rStyle w:val="Hipervnculo"/>
            <w:bCs/>
            <w:noProof/>
            <w:sz w:val="21"/>
            <w:szCs w:val="21"/>
            <w:lang w:val="es-MX"/>
          </w:rPr>
          <w:t>Escenarios de las tasas de crecimiento de las variables macroeconómicas ante un rebrote de Pandemia en 2024</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42</w:t>
        </w:r>
        <w:r w:rsidR="00DF59FC" w:rsidRPr="00DF59FC">
          <w:rPr>
            <w:noProof/>
            <w:webHidden/>
            <w:sz w:val="21"/>
            <w:szCs w:val="21"/>
          </w:rPr>
          <w:fldChar w:fldCharType="end"/>
        </w:r>
      </w:hyperlink>
    </w:p>
    <w:p w14:paraId="2AF38DD4" w14:textId="049B3CF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6" w:history="1">
        <w:r w:rsidR="00DF59FC" w:rsidRPr="00DF59FC">
          <w:rPr>
            <w:rStyle w:val="Hipervnculo"/>
            <w:noProof/>
            <w:sz w:val="21"/>
            <w:szCs w:val="21"/>
          </w:rPr>
          <w:t xml:space="preserve">Gráfico 28. </w:t>
        </w:r>
        <w:r w:rsidR="00DF59FC" w:rsidRPr="00DF59FC">
          <w:rPr>
            <w:rStyle w:val="Hipervnculo"/>
            <w:bCs/>
            <w:noProof/>
            <w:sz w:val="21"/>
            <w:szCs w:val="21"/>
            <w:lang w:val="es-MX"/>
          </w:rPr>
          <w:t>Carga tributaria de 2024</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43</w:t>
        </w:r>
        <w:r w:rsidR="00DF59FC" w:rsidRPr="00DF59FC">
          <w:rPr>
            <w:noProof/>
            <w:webHidden/>
            <w:sz w:val="21"/>
            <w:szCs w:val="21"/>
          </w:rPr>
          <w:fldChar w:fldCharType="end"/>
        </w:r>
      </w:hyperlink>
    </w:p>
    <w:p w14:paraId="5C94DA40" w14:textId="4ED39C9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7" w:history="1">
        <w:r w:rsidR="00DF59FC" w:rsidRPr="00DF59FC">
          <w:rPr>
            <w:rStyle w:val="Hipervnculo"/>
            <w:noProof/>
            <w:sz w:val="21"/>
            <w:szCs w:val="21"/>
          </w:rPr>
          <w:t>Gráfico 29. INB bruto per cápita según metodología Atlas para 2022</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44</w:t>
        </w:r>
        <w:r w:rsidR="00DF59FC" w:rsidRPr="00DF59FC">
          <w:rPr>
            <w:noProof/>
            <w:webHidden/>
            <w:sz w:val="21"/>
            <w:szCs w:val="21"/>
          </w:rPr>
          <w:fldChar w:fldCharType="end"/>
        </w:r>
      </w:hyperlink>
    </w:p>
    <w:p w14:paraId="5585BA17" w14:textId="2E973D7D"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8" w:history="1">
        <w:r w:rsidR="00DF59FC" w:rsidRPr="00DF59FC">
          <w:rPr>
            <w:rStyle w:val="Hipervnculo"/>
            <w:noProof/>
            <w:sz w:val="21"/>
            <w:szCs w:val="21"/>
          </w:rPr>
          <w:t xml:space="preserve">Gráfico 30. </w:t>
        </w:r>
        <w:r w:rsidR="00DF59FC" w:rsidRPr="00DF59FC">
          <w:rPr>
            <w:rStyle w:val="Hipervnculo"/>
            <w:bCs/>
            <w:noProof/>
            <w:sz w:val="21"/>
            <w:szCs w:val="21"/>
          </w:rPr>
          <w:t>Indicadores de deuda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46</w:t>
        </w:r>
        <w:r w:rsidR="00DF59FC" w:rsidRPr="00DF59FC">
          <w:rPr>
            <w:noProof/>
            <w:webHidden/>
            <w:sz w:val="21"/>
            <w:szCs w:val="21"/>
          </w:rPr>
          <w:fldChar w:fldCharType="end"/>
        </w:r>
      </w:hyperlink>
    </w:p>
    <w:p w14:paraId="0640F354" w14:textId="51ABD035"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89" w:history="1">
        <w:r w:rsidR="00DF59FC" w:rsidRPr="00DF59FC">
          <w:rPr>
            <w:rStyle w:val="Hipervnculo"/>
            <w:noProof/>
            <w:sz w:val="21"/>
            <w:szCs w:val="21"/>
          </w:rPr>
          <w:t xml:space="preserve">Gráfico 31. </w:t>
        </w:r>
        <w:r w:rsidR="00DF59FC" w:rsidRPr="00DF59FC">
          <w:rPr>
            <w:rStyle w:val="Hipervnculo"/>
            <w:bCs/>
            <w:noProof/>
            <w:sz w:val="21"/>
            <w:szCs w:val="21"/>
          </w:rPr>
          <w:t>Indicadores del servicio de deuda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_Toc143593589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47</w:t>
        </w:r>
        <w:r w:rsidR="00DF59FC" w:rsidRPr="00DF59FC">
          <w:rPr>
            <w:noProof/>
            <w:webHidden/>
            <w:sz w:val="21"/>
            <w:szCs w:val="21"/>
          </w:rPr>
          <w:fldChar w:fldCharType="end"/>
        </w:r>
      </w:hyperlink>
    </w:p>
    <w:p w14:paraId="04C3915F" w14:textId="3AAF940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0" w:history="1">
        <w:r w:rsidR="00DF59FC" w:rsidRPr="00DF59FC">
          <w:rPr>
            <w:rStyle w:val="Hipervnculo"/>
            <w:noProof/>
            <w:sz w:val="21"/>
            <w:szCs w:val="21"/>
          </w:rPr>
          <w:t xml:space="preserve">Gráfico 32. </w:t>
        </w:r>
        <w:r w:rsidR="00DF59FC" w:rsidRPr="00DF59FC">
          <w:rPr>
            <w:rStyle w:val="Hipervnculo"/>
            <w:bCs/>
            <w:noProof/>
            <w:sz w:val="21"/>
            <w:szCs w:val="21"/>
          </w:rPr>
          <w:t>Indicadores de intereses e indicador reservas/deuda externa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47</w:t>
        </w:r>
        <w:r w:rsidR="00DF59FC" w:rsidRPr="00DF59FC">
          <w:rPr>
            <w:noProof/>
            <w:webHidden/>
            <w:sz w:val="21"/>
            <w:szCs w:val="21"/>
          </w:rPr>
          <w:fldChar w:fldCharType="end"/>
        </w:r>
      </w:hyperlink>
    </w:p>
    <w:p w14:paraId="5DAC914C" w14:textId="2306275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1" w:history="1">
        <w:r w:rsidR="00DF59FC" w:rsidRPr="00DF59FC">
          <w:rPr>
            <w:rStyle w:val="Hipervnculo"/>
            <w:noProof/>
            <w:sz w:val="21"/>
            <w:szCs w:val="21"/>
          </w:rPr>
          <w:t xml:space="preserve">Gráfico 33. </w:t>
        </w:r>
        <w:r w:rsidR="00DF59FC" w:rsidRPr="00DF59FC">
          <w:rPr>
            <w:rStyle w:val="Hipervnculo"/>
            <w:bCs/>
            <w:noProof/>
            <w:sz w:val="21"/>
            <w:szCs w:val="21"/>
          </w:rPr>
          <w:t>Vulnerabilidad del Perfil de la Deuda Pública de Guatemala para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48</w:t>
        </w:r>
        <w:r w:rsidR="00DF59FC" w:rsidRPr="00DF59FC">
          <w:rPr>
            <w:noProof/>
            <w:webHidden/>
            <w:sz w:val="21"/>
            <w:szCs w:val="21"/>
          </w:rPr>
          <w:fldChar w:fldCharType="end"/>
        </w:r>
      </w:hyperlink>
    </w:p>
    <w:p w14:paraId="404EFBC2" w14:textId="776A883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2" w:history="1">
        <w:r w:rsidR="00DF59FC" w:rsidRPr="00DF59FC">
          <w:rPr>
            <w:rStyle w:val="Hipervnculo"/>
            <w:noProof/>
            <w:sz w:val="21"/>
            <w:szCs w:val="21"/>
          </w:rPr>
          <w:t xml:space="preserve">Gráfico 34. </w:t>
        </w:r>
        <w:r w:rsidR="00DF59FC" w:rsidRPr="00DF59FC">
          <w:rPr>
            <w:rStyle w:val="Hipervnculo"/>
            <w:bCs/>
            <w:noProof/>
            <w:sz w:val="21"/>
            <w:szCs w:val="21"/>
          </w:rPr>
          <w:t>Indicador Deuda /PIB para países seleccionados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48</w:t>
        </w:r>
        <w:r w:rsidR="00DF59FC" w:rsidRPr="00DF59FC">
          <w:rPr>
            <w:noProof/>
            <w:webHidden/>
            <w:sz w:val="21"/>
            <w:szCs w:val="21"/>
          </w:rPr>
          <w:fldChar w:fldCharType="end"/>
        </w:r>
      </w:hyperlink>
    </w:p>
    <w:p w14:paraId="311D1193" w14:textId="64680EA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3" w:history="1">
        <w:r w:rsidR="00DF59FC" w:rsidRPr="00DF59FC">
          <w:rPr>
            <w:rStyle w:val="Hipervnculo"/>
            <w:noProof/>
            <w:sz w:val="21"/>
            <w:szCs w:val="21"/>
          </w:rPr>
          <w:t xml:space="preserve">Gráfico 35. </w:t>
        </w:r>
        <w:r w:rsidR="00DF59FC" w:rsidRPr="00DF59FC">
          <w:rPr>
            <w:rStyle w:val="Hipervnculo"/>
            <w:bCs/>
            <w:noProof/>
            <w:sz w:val="21"/>
            <w:szCs w:val="21"/>
          </w:rPr>
          <w:t>Indicadores de deuda para Latinoamérica para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49</w:t>
        </w:r>
        <w:r w:rsidR="00DF59FC" w:rsidRPr="00DF59FC">
          <w:rPr>
            <w:noProof/>
            <w:webHidden/>
            <w:sz w:val="21"/>
            <w:szCs w:val="21"/>
          </w:rPr>
          <w:fldChar w:fldCharType="end"/>
        </w:r>
      </w:hyperlink>
    </w:p>
    <w:p w14:paraId="433814E9" w14:textId="5A5B318C"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4" w:history="1">
        <w:r w:rsidR="00DF59FC" w:rsidRPr="00DF59FC">
          <w:rPr>
            <w:rStyle w:val="Hipervnculo"/>
            <w:noProof/>
            <w:sz w:val="21"/>
            <w:szCs w:val="21"/>
          </w:rPr>
          <w:t xml:space="preserve">Gráfico 36.  </w:t>
        </w:r>
        <w:r w:rsidR="00DF59FC" w:rsidRPr="00DF59FC">
          <w:rPr>
            <w:rStyle w:val="Hipervnculo"/>
            <w:bCs/>
            <w:noProof/>
            <w:sz w:val="21"/>
            <w:szCs w:val="21"/>
          </w:rPr>
          <w:t>EMBI Calculado para Países de América Latina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50</w:t>
        </w:r>
        <w:r w:rsidR="00DF59FC" w:rsidRPr="00DF59FC">
          <w:rPr>
            <w:noProof/>
            <w:webHidden/>
            <w:sz w:val="21"/>
            <w:szCs w:val="21"/>
          </w:rPr>
          <w:fldChar w:fldCharType="end"/>
        </w:r>
      </w:hyperlink>
    </w:p>
    <w:p w14:paraId="598706AF" w14:textId="255C15B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5" w:history="1">
        <w:r w:rsidR="00DF59FC" w:rsidRPr="00DF59FC">
          <w:rPr>
            <w:rStyle w:val="Hipervnculo"/>
            <w:noProof/>
            <w:sz w:val="21"/>
            <w:szCs w:val="21"/>
          </w:rPr>
          <w:t xml:space="preserve">Gráfico 37. </w:t>
        </w:r>
        <w:r w:rsidR="00DF59FC" w:rsidRPr="00DF59FC">
          <w:rPr>
            <w:rStyle w:val="Hipervnculo"/>
            <w:bCs/>
            <w:noProof/>
            <w:sz w:val="21"/>
            <w:szCs w:val="21"/>
          </w:rPr>
          <w:t>Flujos creados de Deuda Pública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51</w:t>
        </w:r>
        <w:r w:rsidR="00DF59FC" w:rsidRPr="00DF59FC">
          <w:rPr>
            <w:noProof/>
            <w:webHidden/>
            <w:sz w:val="21"/>
            <w:szCs w:val="21"/>
          </w:rPr>
          <w:fldChar w:fldCharType="end"/>
        </w:r>
      </w:hyperlink>
    </w:p>
    <w:p w14:paraId="2C1851D3" w14:textId="1CCA8642"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6" w:history="1">
        <w:r w:rsidR="00DF59FC" w:rsidRPr="00DF59FC">
          <w:rPr>
            <w:rStyle w:val="Hipervnculo"/>
            <w:noProof/>
            <w:sz w:val="21"/>
            <w:szCs w:val="21"/>
          </w:rPr>
          <w:t xml:space="preserve">Gráfico 38.  </w:t>
        </w:r>
        <w:r w:rsidR="00DF59FC" w:rsidRPr="00DF59FC">
          <w:rPr>
            <w:rStyle w:val="Hipervnculo"/>
            <w:bCs/>
            <w:noProof/>
            <w:sz w:val="21"/>
            <w:szCs w:val="21"/>
          </w:rPr>
          <w:t>Pruebas de tensión para el Análisis de Sostenibilidad de la Deuda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53</w:t>
        </w:r>
        <w:r w:rsidR="00DF59FC" w:rsidRPr="00DF59FC">
          <w:rPr>
            <w:noProof/>
            <w:webHidden/>
            <w:sz w:val="21"/>
            <w:szCs w:val="21"/>
          </w:rPr>
          <w:fldChar w:fldCharType="end"/>
        </w:r>
      </w:hyperlink>
    </w:p>
    <w:p w14:paraId="3C07D4DC" w14:textId="3294E776"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7" w:history="1">
        <w:r w:rsidR="00DF59FC" w:rsidRPr="00DF59FC">
          <w:rPr>
            <w:rStyle w:val="Hipervnculo"/>
            <w:noProof/>
            <w:sz w:val="21"/>
            <w:szCs w:val="21"/>
          </w:rPr>
          <w:t xml:space="preserve">Gráfico 39. </w:t>
        </w:r>
        <w:r w:rsidR="00DF59FC" w:rsidRPr="00DF59FC">
          <w:rPr>
            <w:rStyle w:val="Hipervnculo"/>
            <w:bCs/>
            <w:noProof/>
            <w:sz w:val="21"/>
            <w:szCs w:val="21"/>
          </w:rPr>
          <w:t>Trayectoria de la Deuda Pública (Fan chart)</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54</w:t>
        </w:r>
        <w:r w:rsidR="00DF59FC" w:rsidRPr="00DF59FC">
          <w:rPr>
            <w:noProof/>
            <w:webHidden/>
            <w:sz w:val="21"/>
            <w:szCs w:val="21"/>
          </w:rPr>
          <w:fldChar w:fldCharType="end"/>
        </w:r>
      </w:hyperlink>
    </w:p>
    <w:p w14:paraId="137DC129" w14:textId="27E8426D"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8" w:history="1">
        <w:r w:rsidR="00DF59FC" w:rsidRPr="00DF59FC">
          <w:rPr>
            <w:rStyle w:val="Hipervnculo"/>
            <w:noProof/>
            <w:sz w:val="21"/>
            <w:szCs w:val="21"/>
          </w:rPr>
          <w:t xml:space="preserve">Gráfico 40. </w:t>
        </w:r>
        <w:r w:rsidR="00DF59FC" w:rsidRPr="00DF59FC">
          <w:rPr>
            <w:rStyle w:val="Hipervnculo"/>
            <w:bCs/>
            <w:noProof/>
            <w:sz w:val="21"/>
            <w:szCs w:val="21"/>
          </w:rPr>
          <w:t>Escenarios del comportamiento de la Deuda Pública en el Largo Plazo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56</w:t>
        </w:r>
        <w:r w:rsidR="00DF59FC" w:rsidRPr="00DF59FC">
          <w:rPr>
            <w:noProof/>
            <w:webHidden/>
            <w:sz w:val="21"/>
            <w:szCs w:val="21"/>
          </w:rPr>
          <w:fldChar w:fldCharType="end"/>
        </w:r>
      </w:hyperlink>
    </w:p>
    <w:p w14:paraId="5A67EF13" w14:textId="616DC5CF"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599" w:history="1">
        <w:r w:rsidR="00DF59FC" w:rsidRPr="00DF59FC">
          <w:rPr>
            <w:rStyle w:val="Hipervnculo"/>
            <w:noProof/>
            <w:sz w:val="21"/>
            <w:szCs w:val="21"/>
          </w:rPr>
          <w:t xml:space="preserve">Gráfico 41. </w:t>
        </w:r>
        <w:r w:rsidR="00DF59FC" w:rsidRPr="00DF59FC">
          <w:rPr>
            <w:rStyle w:val="Hipervnculo"/>
            <w:bCs/>
            <w:noProof/>
            <w:sz w:val="21"/>
            <w:szCs w:val="21"/>
          </w:rPr>
          <w:t>Escenarios de Ajuste Fiscal para Atenuar Choques Adversos en la Deuda Pública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_Toc143593599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56</w:t>
        </w:r>
        <w:r w:rsidR="00DF59FC" w:rsidRPr="00DF59FC">
          <w:rPr>
            <w:noProof/>
            <w:webHidden/>
            <w:sz w:val="21"/>
            <w:szCs w:val="21"/>
          </w:rPr>
          <w:fldChar w:fldCharType="end"/>
        </w:r>
      </w:hyperlink>
    </w:p>
    <w:p w14:paraId="604B9A0C" w14:textId="79A591B0"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0" w:history="1">
        <w:r w:rsidR="00DF59FC" w:rsidRPr="00DF59FC">
          <w:rPr>
            <w:rStyle w:val="Hipervnculo"/>
            <w:noProof/>
            <w:sz w:val="21"/>
            <w:szCs w:val="21"/>
          </w:rPr>
          <w:t xml:space="preserve">Gráfico 42. </w:t>
        </w:r>
        <w:r w:rsidR="00DF59FC" w:rsidRPr="00DF59FC">
          <w:rPr>
            <w:rStyle w:val="Hipervnculo"/>
            <w:bCs/>
            <w:noProof/>
            <w:sz w:val="21"/>
            <w:szCs w:val="21"/>
          </w:rPr>
          <w:t>Perspectivas de la estructura porcentual de la población por grupo etario.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57</w:t>
        </w:r>
        <w:r w:rsidR="00DF59FC" w:rsidRPr="00DF59FC">
          <w:rPr>
            <w:noProof/>
            <w:webHidden/>
            <w:sz w:val="21"/>
            <w:szCs w:val="21"/>
          </w:rPr>
          <w:fldChar w:fldCharType="end"/>
        </w:r>
      </w:hyperlink>
    </w:p>
    <w:p w14:paraId="4F6198A6" w14:textId="62F733BB"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1" w:history="1">
        <w:r w:rsidR="00DF59FC" w:rsidRPr="00DF59FC">
          <w:rPr>
            <w:rStyle w:val="Hipervnculo"/>
            <w:noProof/>
            <w:sz w:val="21"/>
            <w:szCs w:val="21"/>
          </w:rPr>
          <w:t xml:space="preserve">Gráfico 43. </w:t>
        </w:r>
        <w:r w:rsidR="00DF59FC" w:rsidRPr="00DF59FC">
          <w:rPr>
            <w:rStyle w:val="Hipervnculo"/>
            <w:bCs/>
            <w:noProof/>
            <w:sz w:val="21"/>
            <w:szCs w:val="21"/>
          </w:rPr>
          <w:t>Afiliados al Régimen de Clases Pasivas en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59</w:t>
        </w:r>
        <w:r w:rsidR="00DF59FC" w:rsidRPr="00DF59FC">
          <w:rPr>
            <w:noProof/>
            <w:webHidden/>
            <w:sz w:val="21"/>
            <w:szCs w:val="21"/>
          </w:rPr>
          <w:fldChar w:fldCharType="end"/>
        </w:r>
      </w:hyperlink>
    </w:p>
    <w:p w14:paraId="6E29ED6C" w14:textId="400AF7E8"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2" w:history="1">
        <w:r w:rsidR="00DF59FC" w:rsidRPr="00DF59FC">
          <w:rPr>
            <w:rStyle w:val="Hipervnculo"/>
            <w:noProof/>
            <w:sz w:val="21"/>
            <w:szCs w:val="21"/>
          </w:rPr>
          <w:t xml:space="preserve">Gráfico 44. </w:t>
        </w:r>
        <w:r w:rsidR="00DF59FC" w:rsidRPr="00DF59FC">
          <w:rPr>
            <w:rStyle w:val="Hipervnculo"/>
            <w:bCs/>
            <w:noProof/>
            <w:sz w:val="21"/>
            <w:szCs w:val="21"/>
          </w:rPr>
          <w:t>Beneficiarios del Régimen de Clases Pasivas en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59</w:t>
        </w:r>
        <w:r w:rsidR="00DF59FC" w:rsidRPr="00DF59FC">
          <w:rPr>
            <w:noProof/>
            <w:webHidden/>
            <w:sz w:val="21"/>
            <w:szCs w:val="21"/>
          </w:rPr>
          <w:fldChar w:fldCharType="end"/>
        </w:r>
      </w:hyperlink>
    </w:p>
    <w:p w14:paraId="59862F42" w14:textId="6F8C760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3" w:history="1">
        <w:r w:rsidR="00DF59FC" w:rsidRPr="00DF59FC">
          <w:rPr>
            <w:rStyle w:val="Hipervnculo"/>
            <w:noProof/>
            <w:sz w:val="21"/>
            <w:szCs w:val="21"/>
          </w:rPr>
          <w:t xml:space="preserve">Gráfico 45. </w:t>
        </w:r>
        <w:r w:rsidR="00DF59FC" w:rsidRPr="00DF59FC">
          <w:rPr>
            <w:rStyle w:val="Hipervnculo"/>
            <w:bCs/>
            <w:noProof/>
            <w:sz w:val="21"/>
            <w:szCs w:val="21"/>
          </w:rPr>
          <w:t>Financiamiento del régimen</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60</w:t>
        </w:r>
        <w:r w:rsidR="00DF59FC" w:rsidRPr="00DF59FC">
          <w:rPr>
            <w:noProof/>
            <w:webHidden/>
            <w:sz w:val="21"/>
            <w:szCs w:val="21"/>
          </w:rPr>
          <w:fldChar w:fldCharType="end"/>
        </w:r>
      </w:hyperlink>
    </w:p>
    <w:p w14:paraId="0BCFEDE4" w14:textId="110BEA68"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4" w:history="1">
        <w:r w:rsidR="00DF59FC" w:rsidRPr="00DF59FC">
          <w:rPr>
            <w:rStyle w:val="Hipervnculo"/>
            <w:noProof/>
            <w:sz w:val="21"/>
            <w:szCs w:val="21"/>
          </w:rPr>
          <w:t xml:space="preserve">Gráfico 46. </w:t>
        </w:r>
        <w:r w:rsidR="00DF59FC" w:rsidRPr="00DF59FC">
          <w:rPr>
            <w:rStyle w:val="Hipervnculo"/>
            <w:bCs/>
            <w:noProof/>
            <w:sz w:val="21"/>
            <w:szCs w:val="21"/>
          </w:rPr>
          <w:t>Tasa promedio ponderada en base a la masa salarial</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60</w:t>
        </w:r>
        <w:r w:rsidR="00DF59FC" w:rsidRPr="00DF59FC">
          <w:rPr>
            <w:noProof/>
            <w:webHidden/>
            <w:sz w:val="21"/>
            <w:szCs w:val="21"/>
          </w:rPr>
          <w:fldChar w:fldCharType="end"/>
        </w:r>
      </w:hyperlink>
    </w:p>
    <w:p w14:paraId="42E6016B" w14:textId="24C835FC"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5" w:history="1">
        <w:r w:rsidR="00DF59FC" w:rsidRPr="00DF59FC">
          <w:rPr>
            <w:rStyle w:val="Hipervnculo"/>
            <w:noProof/>
            <w:sz w:val="21"/>
            <w:szCs w:val="21"/>
          </w:rPr>
          <w:t>Gráfico 47. Proyección de la f</w:t>
        </w:r>
        <w:r w:rsidR="00DF59FC" w:rsidRPr="00DF59FC">
          <w:rPr>
            <w:rStyle w:val="Hipervnculo"/>
            <w:bCs/>
            <w:noProof/>
            <w:sz w:val="21"/>
            <w:szCs w:val="21"/>
          </w:rPr>
          <w:t>recuencia de la edad de los activos actuales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61</w:t>
        </w:r>
        <w:r w:rsidR="00DF59FC" w:rsidRPr="00DF59FC">
          <w:rPr>
            <w:noProof/>
            <w:webHidden/>
            <w:sz w:val="21"/>
            <w:szCs w:val="21"/>
          </w:rPr>
          <w:fldChar w:fldCharType="end"/>
        </w:r>
      </w:hyperlink>
    </w:p>
    <w:p w14:paraId="0CD14B8D" w14:textId="1DB03402"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6" w:history="1">
        <w:r w:rsidR="00DF59FC" w:rsidRPr="00DF59FC">
          <w:rPr>
            <w:rStyle w:val="Hipervnculo"/>
            <w:noProof/>
            <w:sz w:val="21"/>
            <w:szCs w:val="21"/>
          </w:rPr>
          <w:t xml:space="preserve">Gráfico 48. </w:t>
        </w:r>
        <w:r w:rsidR="00DF59FC" w:rsidRPr="00DF59FC">
          <w:rPr>
            <w:rStyle w:val="Hipervnculo"/>
            <w:bCs/>
            <w:noProof/>
            <w:sz w:val="21"/>
            <w:szCs w:val="21"/>
          </w:rPr>
          <w:t>Cantidad de activos que ingresan al régimen y pasivos que fallecen.</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61</w:t>
        </w:r>
        <w:r w:rsidR="00DF59FC" w:rsidRPr="00DF59FC">
          <w:rPr>
            <w:noProof/>
            <w:webHidden/>
            <w:sz w:val="21"/>
            <w:szCs w:val="21"/>
          </w:rPr>
          <w:fldChar w:fldCharType="end"/>
        </w:r>
      </w:hyperlink>
    </w:p>
    <w:p w14:paraId="544C265B" w14:textId="32C856B1"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7" w:history="1">
        <w:r w:rsidR="00DF59FC" w:rsidRPr="00DF59FC">
          <w:rPr>
            <w:rStyle w:val="Hipervnculo"/>
            <w:noProof/>
            <w:sz w:val="21"/>
            <w:szCs w:val="21"/>
          </w:rPr>
          <w:t xml:space="preserve">Gráfico 49. </w:t>
        </w:r>
        <w:r w:rsidR="00DF59FC" w:rsidRPr="00DF59FC">
          <w:rPr>
            <w:rStyle w:val="Hipervnculo"/>
            <w:bCs/>
            <w:noProof/>
            <w:sz w:val="21"/>
            <w:szCs w:val="21"/>
          </w:rPr>
          <w:t>Proyección del financiamiento del régimen</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61</w:t>
        </w:r>
        <w:r w:rsidR="00DF59FC" w:rsidRPr="00DF59FC">
          <w:rPr>
            <w:noProof/>
            <w:webHidden/>
            <w:sz w:val="21"/>
            <w:szCs w:val="21"/>
          </w:rPr>
          <w:fldChar w:fldCharType="end"/>
        </w:r>
      </w:hyperlink>
    </w:p>
    <w:p w14:paraId="08684B80" w14:textId="07E1830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8" w:history="1">
        <w:r w:rsidR="00DF59FC" w:rsidRPr="00DF59FC">
          <w:rPr>
            <w:rStyle w:val="Hipervnculo"/>
            <w:noProof/>
            <w:sz w:val="21"/>
            <w:szCs w:val="21"/>
          </w:rPr>
          <w:t xml:space="preserve">Gráfico 50.  </w:t>
        </w:r>
        <w:r w:rsidR="00DF59FC" w:rsidRPr="00DF59FC">
          <w:rPr>
            <w:rStyle w:val="Hipervnculo"/>
            <w:bCs/>
            <w:noProof/>
            <w:sz w:val="21"/>
            <w:szCs w:val="21"/>
          </w:rPr>
          <w:t>Proyección de las tasas promedio ponderadas de contribución</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61</w:t>
        </w:r>
        <w:r w:rsidR="00DF59FC" w:rsidRPr="00DF59FC">
          <w:rPr>
            <w:noProof/>
            <w:webHidden/>
            <w:sz w:val="21"/>
            <w:szCs w:val="21"/>
          </w:rPr>
          <w:fldChar w:fldCharType="end"/>
        </w:r>
      </w:hyperlink>
    </w:p>
    <w:p w14:paraId="24252A32" w14:textId="748FFB2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09" w:history="1">
        <w:r w:rsidR="00DF59FC" w:rsidRPr="00DF59FC">
          <w:rPr>
            <w:rStyle w:val="Hipervnculo"/>
            <w:noProof/>
            <w:sz w:val="21"/>
            <w:szCs w:val="21"/>
          </w:rPr>
          <w:t xml:space="preserve">Gráfico 51. </w:t>
        </w:r>
        <w:r w:rsidR="00DF59FC" w:rsidRPr="00DF59FC">
          <w:rPr>
            <w:rStyle w:val="Hipervnculo"/>
            <w:noProof/>
            <w:sz w:val="21"/>
            <w:szCs w:val="21"/>
            <w:lang w:val="es-MX"/>
          </w:rPr>
          <w:t>Afiliados al Programa IVS por sexo y grupo de edad, año 2022</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_Toc143593609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63</w:t>
        </w:r>
        <w:r w:rsidR="00DF59FC" w:rsidRPr="00DF59FC">
          <w:rPr>
            <w:noProof/>
            <w:webHidden/>
            <w:sz w:val="21"/>
            <w:szCs w:val="21"/>
          </w:rPr>
          <w:fldChar w:fldCharType="end"/>
        </w:r>
      </w:hyperlink>
    </w:p>
    <w:p w14:paraId="40D07896" w14:textId="1D840791"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0" w:history="1">
        <w:r w:rsidR="00DF59FC" w:rsidRPr="00DF59FC">
          <w:rPr>
            <w:rStyle w:val="Hipervnculo"/>
            <w:noProof/>
            <w:sz w:val="21"/>
            <w:szCs w:val="21"/>
          </w:rPr>
          <w:t xml:space="preserve">Gráfico 52. </w:t>
        </w:r>
        <w:r w:rsidR="00DF59FC" w:rsidRPr="00DF59FC">
          <w:rPr>
            <w:rStyle w:val="Hipervnculo"/>
            <w:noProof/>
            <w:sz w:val="21"/>
            <w:szCs w:val="21"/>
            <w:lang w:val="es-MX"/>
          </w:rPr>
          <w:t>Pensionados al Programa</w:t>
        </w:r>
        <w:r w:rsidR="00DF59FC">
          <w:rPr>
            <w:rStyle w:val="Hipervnculo"/>
            <w:noProof/>
            <w:sz w:val="21"/>
            <w:szCs w:val="21"/>
            <w:lang w:val="es-MX"/>
          </w:rPr>
          <w:t xml:space="preserve"> </w:t>
        </w:r>
        <w:r w:rsidR="00DF59FC" w:rsidRPr="00DF59FC">
          <w:rPr>
            <w:rStyle w:val="Hipervnculo"/>
            <w:noProof/>
            <w:sz w:val="21"/>
            <w:szCs w:val="21"/>
            <w:lang w:val="es-MX"/>
          </w:rPr>
          <w:t>IVS según riesgo y variación interanual, años 2011-2022</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_Toc143593610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63</w:t>
        </w:r>
        <w:r w:rsidR="00DF59FC" w:rsidRPr="00DF59FC">
          <w:rPr>
            <w:noProof/>
            <w:webHidden/>
            <w:sz w:val="21"/>
            <w:szCs w:val="21"/>
          </w:rPr>
          <w:fldChar w:fldCharType="end"/>
        </w:r>
      </w:hyperlink>
    </w:p>
    <w:p w14:paraId="18AEE3B8" w14:textId="1A33AA9B"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1" w:history="1">
        <w:r w:rsidR="00DF59FC" w:rsidRPr="00DF59FC">
          <w:rPr>
            <w:rStyle w:val="Hipervnculo"/>
            <w:noProof/>
            <w:sz w:val="21"/>
            <w:szCs w:val="21"/>
          </w:rPr>
          <w:t xml:space="preserve">Gráfico 53.  </w:t>
        </w:r>
        <w:r w:rsidR="00DF59FC" w:rsidRPr="00DF59FC">
          <w:rPr>
            <w:rStyle w:val="Hipervnculo"/>
            <w:noProof/>
            <w:sz w:val="21"/>
            <w:szCs w:val="21"/>
            <w:lang w:val="es-MX"/>
          </w:rPr>
          <w:t>Proyección de ingresos, gastos y reservas del Programa -IVS-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_Toc143593611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65</w:t>
        </w:r>
        <w:r w:rsidR="00DF59FC" w:rsidRPr="00DF59FC">
          <w:rPr>
            <w:noProof/>
            <w:webHidden/>
            <w:sz w:val="21"/>
            <w:szCs w:val="21"/>
          </w:rPr>
          <w:fldChar w:fldCharType="end"/>
        </w:r>
      </w:hyperlink>
    </w:p>
    <w:p w14:paraId="0862B96D" w14:textId="08E36B0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2" w:history="1">
        <w:r w:rsidR="00DF59FC" w:rsidRPr="00DF59FC">
          <w:rPr>
            <w:rStyle w:val="Hipervnculo"/>
            <w:noProof/>
            <w:sz w:val="21"/>
            <w:szCs w:val="21"/>
          </w:rPr>
          <w:t xml:space="preserve">Gráfico 54. Número y variación interanual de los Pensionados por </w:t>
        </w:r>
        <w:r w:rsidR="00DF59FC" w:rsidRPr="00DF59FC">
          <w:rPr>
            <w:rStyle w:val="Hipervnculo"/>
            <w:noProof/>
            <w:sz w:val="21"/>
            <w:szCs w:val="21"/>
            <w:lang w:val="es-MX"/>
          </w:rPr>
          <w:t>riesgos de vejez del -IVS-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_Toc143593612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65</w:t>
        </w:r>
        <w:r w:rsidR="00DF59FC" w:rsidRPr="00DF59FC">
          <w:rPr>
            <w:noProof/>
            <w:webHidden/>
            <w:sz w:val="21"/>
            <w:szCs w:val="21"/>
          </w:rPr>
          <w:fldChar w:fldCharType="end"/>
        </w:r>
      </w:hyperlink>
    </w:p>
    <w:p w14:paraId="4E704B2F" w14:textId="4AEF593F"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3" w:history="1">
        <w:r w:rsidR="00DF59FC" w:rsidRPr="00DF59FC">
          <w:rPr>
            <w:rStyle w:val="Hipervnculo"/>
            <w:noProof/>
            <w:sz w:val="21"/>
            <w:szCs w:val="21"/>
          </w:rPr>
          <w:t>Gráfico 55.  Evolución histórica del gasto en pensiones y atenciones en salud del EMA por enfermedades catastróficas y no catastróficas 2001-2022 con proyecciones al 2027</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_Toc143593613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68</w:t>
        </w:r>
        <w:r w:rsidR="00DF59FC" w:rsidRPr="00DF59FC">
          <w:rPr>
            <w:noProof/>
            <w:webHidden/>
            <w:sz w:val="21"/>
            <w:szCs w:val="21"/>
          </w:rPr>
          <w:fldChar w:fldCharType="end"/>
        </w:r>
      </w:hyperlink>
    </w:p>
    <w:p w14:paraId="450139F1" w14:textId="39A17D72"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4" w:history="1">
        <w:r w:rsidR="00DF59FC" w:rsidRPr="00ED4664">
          <w:rPr>
            <w:rStyle w:val="Hipervnculo"/>
            <w:noProof/>
            <w:sz w:val="21"/>
            <w:szCs w:val="21"/>
          </w:rPr>
          <w:t xml:space="preserve">Gráfico 56. </w:t>
        </w:r>
        <w:r w:rsidR="00DF59FC" w:rsidRPr="00ED4664">
          <w:rPr>
            <w:rStyle w:val="Hipervnculo"/>
            <w:noProof/>
            <w:sz w:val="21"/>
            <w:szCs w:val="21"/>
            <w:lang w:val="es-MX"/>
          </w:rPr>
          <w:t>Sostenibilidad financiera de aportes de los Programas EMA Periodo 2021-2028</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_Toc143593614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68</w:t>
        </w:r>
        <w:r w:rsidR="00DF59FC" w:rsidRPr="00ED4664">
          <w:rPr>
            <w:noProof/>
            <w:webHidden/>
            <w:sz w:val="21"/>
            <w:szCs w:val="21"/>
          </w:rPr>
          <w:fldChar w:fldCharType="end"/>
        </w:r>
      </w:hyperlink>
    </w:p>
    <w:p w14:paraId="5B18B3A8" w14:textId="6563C382"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5" w:history="1">
        <w:r w:rsidR="00DF59FC" w:rsidRPr="00ED4664">
          <w:rPr>
            <w:rStyle w:val="Hipervnculo"/>
            <w:noProof/>
            <w:sz w:val="21"/>
            <w:szCs w:val="21"/>
          </w:rPr>
          <w:t>Gráfico 57. Tasa de Crecimiento económico y Deuda/PIB de largo plazo</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_Toc143593615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69</w:t>
        </w:r>
        <w:r w:rsidR="00DF59FC" w:rsidRPr="00ED4664">
          <w:rPr>
            <w:noProof/>
            <w:webHidden/>
            <w:sz w:val="21"/>
            <w:szCs w:val="21"/>
          </w:rPr>
          <w:fldChar w:fldCharType="end"/>
        </w:r>
      </w:hyperlink>
    </w:p>
    <w:p w14:paraId="5DB11D74" w14:textId="3868973B"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6" w:history="1">
        <w:r w:rsidR="00DF59FC" w:rsidRPr="00ED4664">
          <w:rPr>
            <w:rStyle w:val="Hipervnculo"/>
            <w:noProof/>
            <w:sz w:val="21"/>
            <w:szCs w:val="21"/>
          </w:rPr>
          <w:t>Gráfico 58. Relación de las proyecciones demográficas, macroeconómicas y fiscales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_Toc143593616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69</w:t>
        </w:r>
        <w:r w:rsidR="00DF59FC" w:rsidRPr="00ED4664">
          <w:rPr>
            <w:noProof/>
            <w:webHidden/>
            <w:sz w:val="21"/>
            <w:szCs w:val="21"/>
          </w:rPr>
          <w:fldChar w:fldCharType="end"/>
        </w:r>
      </w:hyperlink>
    </w:p>
    <w:p w14:paraId="6EC3DAC8" w14:textId="05C224CC"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7" w:history="1">
        <w:r w:rsidR="00DF59FC" w:rsidRPr="00ED4664">
          <w:rPr>
            <w:rStyle w:val="Hipervnculo"/>
            <w:noProof/>
            <w:sz w:val="21"/>
            <w:szCs w:val="21"/>
          </w:rPr>
          <w:t>Gráfico 59. Evolución demográfica hasta 2050</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_Toc143593617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70</w:t>
        </w:r>
        <w:r w:rsidR="00DF59FC" w:rsidRPr="00ED4664">
          <w:rPr>
            <w:noProof/>
            <w:webHidden/>
            <w:sz w:val="21"/>
            <w:szCs w:val="21"/>
          </w:rPr>
          <w:fldChar w:fldCharType="end"/>
        </w:r>
      </w:hyperlink>
    </w:p>
    <w:p w14:paraId="6AAD1D38" w14:textId="22739F5D"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8" w:history="1">
        <w:r w:rsidR="00DF59FC" w:rsidRPr="00ED4664">
          <w:rPr>
            <w:rStyle w:val="Hipervnculo"/>
            <w:noProof/>
            <w:sz w:val="21"/>
            <w:szCs w:val="21"/>
          </w:rPr>
          <w:t xml:space="preserve">Gráfico 60. </w:t>
        </w:r>
        <w:r w:rsidR="00DF59FC" w:rsidRPr="00ED4664">
          <w:rPr>
            <w:rStyle w:val="Hipervnculo"/>
            <w:noProof/>
            <w:sz w:val="21"/>
            <w:szCs w:val="21"/>
            <w:lang w:val="es-MX"/>
          </w:rPr>
          <w:t>Proyecciones de los principales sistemas de pensiones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_Toc143593618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71</w:t>
        </w:r>
        <w:r w:rsidR="00DF59FC" w:rsidRPr="00ED4664">
          <w:rPr>
            <w:noProof/>
            <w:webHidden/>
            <w:sz w:val="21"/>
            <w:szCs w:val="21"/>
          </w:rPr>
          <w:fldChar w:fldCharType="end"/>
        </w:r>
      </w:hyperlink>
    </w:p>
    <w:p w14:paraId="0E46E336" w14:textId="5DF8B607"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19" w:history="1">
        <w:r w:rsidR="00DF59FC" w:rsidRPr="00ED4664">
          <w:rPr>
            <w:rStyle w:val="Hipervnculo"/>
            <w:noProof/>
            <w:sz w:val="21"/>
            <w:szCs w:val="21"/>
          </w:rPr>
          <w:t>Gráfico 61.</w:t>
        </w:r>
        <w:r w:rsidR="00ED4664">
          <w:rPr>
            <w:rStyle w:val="Hipervnculo"/>
            <w:noProof/>
            <w:sz w:val="21"/>
            <w:szCs w:val="21"/>
          </w:rPr>
          <w:t xml:space="preserve"> </w:t>
        </w:r>
        <w:r w:rsidR="00DF59FC" w:rsidRPr="00ED4664">
          <w:rPr>
            <w:rStyle w:val="Hipervnculo"/>
            <w:noProof/>
            <w:sz w:val="21"/>
            <w:szCs w:val="21"/>
            <w:lang w:val="es-MX"/>
          </w:rPr>
          <w:t>Autonomía Financiera de las Municipalidades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_Toc143593619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72</w:t>
        </w:r>
        <w:r w:rsidR="00DF59FC" w:rsidRPr="00ED4664">
          <w:rPr>
            <w:noProof/>
            <w:webHidden/>
            <w:sz w:val="21"/>
            <w:szCs w:val="21"/>
          </w:rPr>
          <w:fldChar w:fldCharType="end"/>
        </w:r>
      </w:hyperlink>
    </w:p>
    <w:p w14:paraId="50873761" w14:textId="18804084"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0" w:history="1">
        <w:r w:rsidR="00DF59FC" w:rsidRPr="00ED4664">
          <w:rPr>
            <w:rStyle w:val="Hipervnculo"/>
            <w:noProof/>
            <w:sz w:val="21"/>
            <w:szCs w:val="21"/>
          </w:rPr>
          <w:t>Gráfico 62.</w:t>
        </w:r>
        <w:r w:rsidR="00ED4664">
          <w:rPr>
            <w:rStyle w:val="Hipervnculo"/>
            <w:noProof/>
            <w:sz w:val="21"/>
            <w:szCs w:val="21"/>
          </w:rPr>
          <w:t xml:space="preserve"> </w:t>
        </w:r>
        <w:r w:rsidR="00DF59FC" w:rsidRPr="00ED4664">
          <w:rPr>
            <w:rStyle w:val="Hipervnculo"/>
            <w:noProof/>
            <w:sz w:val="21"/>
            <w:szCs w:val="21"/>
          </w:rPr>
          <w:t>Autonomía por Municipalidad</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_Toc143593620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73</w:t>
        </w:r>
        <w:r w:rsidR="00DF59FC" w:rsidRPr="00ED4664">
          <w:rPr>
            <w:noProof/>
            <w:webHidden/>
            <w:sz w:val="21"/>
            <w:szCs w:val="21"/>
          </w:rPr>
          <w:fldChar w:fldCharType="end"/>
        </w:r>
      </w:hyperlink>
    </w:p>
    <w:p w14:paraId="6E6456E2" w14:textId="7E1C92A1"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1" w:history="1">
        <w:r w:rsidR="00DF59FC" w:rsidRPr="00ED4664">
          <w:rPr>
            <w:rStyle w:val="Hipervnculo"/>
            <w:noProof/>
            <w:sz w:val="21"/>
            <w:szCs w:val="21"/>
          </w:rPr>
          <w:t>Gráfico 63. Inversión por Habitantes de las Municipalidades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_Toc143593621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75</w:t>
        </w:r>
        <w:r w:rsidR="00DF59FC" w:rsidRPr="00ED4664">
          <w:rPr>
            <w:noProof/>
            <w:webHidden/>
            <w:sz w:val="21"/>
            <w:szCs w:val="21"/>
          </w:rPr>
          <w:fldChar w:fldCharType="end"/>
        </w:r>
      </w:hyperlink>
    </w:p>
    <w:p w14:paraId="1A66035B" w14:textId="321B9568"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2" w:history="1">
        <w:r w:rsidR="00DF59FC" w:rsidRPr="00ED4664">
          <w:rPr>
            <w:rStyle w:val="Hipervnculo"/>
            <w:noProof/>
            <w:sz w:val="21"/>
            <w:szCs w:val="21"/>
          </w:rPr>
          <w:t>Gráfico 64. Inversión por Habitante por Municipalidad</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_Toc143593622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75</w:t>
        </w:r>
        <w:r w:rsidR="00DF59FC" w:rsidRPr="00ED4664">
          <w:rPr>
            <w:noProof/>
            <w:webHidden/>
            <w:sz w:val="21"/>
            <w:szCs w:val="21"/>
          </w:rPr>
          <w:fldChar w:fldCharType="end"/>
        </w:r>
      </w:hyperlink>
    </w:p>
    <w:p w14:paraId="569B7939" w14:textId="38E1711D"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3" w:history="1">
        <w:r w:rsidR="00DF59FC" w:rsidRPr="00ED4664">
          <w:rPr>
            <w:rStyle w:val="Hipervnculo"/>
            <w:noProof/>
            <w:sz w:val="21"/>
            <w:szCs w:val="21"/>
          </w:rPr>
          <w:t xml:space="preserve">Gráfico 65. </w:t>
        </w:r>
        <w:r w:rsidR="00DF59FC" w:rsidRPr="00ED4664">
          <w:rPr>
            <w:rStyle w:val="Hipervnculo"/>
            <w:noProof/>
            <w:sz w:val="21"/>
            <w:szCs w:val="21"/>
            <w:lang w:val="es-MX"/>
          </w:rPr>
          <w:t>Liquidez Financiera de las Municipalidades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_Toc143593623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76</w:t>
        </w:r>
        <w:r w:rsidR="00DF59FC" w:rsidRPr="00ED4664">
          <w:rPr>
            <w:noProof/>
            <w:webHidden/>
            <w:sz w:val="21"/>
            <w:szCs w:val="21"/>
          </w:rPr>
          <w:fldChar w:fldCharType="end"/>
        </w:r>
      </w:hyperlink>
    </w:p>
    <w:p w14:paraId="25865E45" w14:textId="6090683C"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4" w:history="1">
        <w:r w:rsidR="00DF59FC" w:rsidRPr="00ED4664">
          <w:rPr>
            <w:rStyle w:val="Hipervnculo"/>
            <w:noProof/>
            <w:sz w:val="21"/>
            <w:szCs w:val="21"/>
          </w:rPr>
          <w:t>Gráfico 66. Liquidez Financiera de la Municipalidades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_Toc143593624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77</w:t>
        </w:r>
        <w:r w:rsidR="00DF59FC" w:rsidRPr="00ED4664">
          <w:rPr>
            <w:noProof/>
            <w:webHidden/>
            <w:sz w:val="21"/>
            <w:szCs w:val="21"/>
          </w:rPr>
          <w:fldChar w:fldCharType="end"/>
        </w:r>
      </w:hyperlink>
    </w:p>
    <w:p w14:paraId="2EDB3963" w14:textId="40E33ABF"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5" w:history="1">
        <w:r w:rsidR="00DF59FC" w:rsidRPr="00ED4664">
          <w:rPr>
            <w:rStyle w:val="Hipervnculo"/>
            <w:noProof/>
            <w:sz w:val="21"/>
            <w:szCs w:val="21"/>
          </w:rPr>
          <w:t>Gráfico 67. Liquidez financiera por Municipalidad</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_Toc143593625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77</w:t>
        </w:r>
        <w:r w:rsidR="00DF59FC" w:rsidRPr="00ED4664">
          <w:rPr>
            <w:noProof/>
            <w:webHidden/>
            <w:sz w:val="21"/>
            <w:szCs w:val="21"/>
          </w:rPr>
          <w:fldChar w:fldCharType="end"/>
        </w:r>
      </w:hyperlink>
    </w:p>
    <w:p w14:paraId="2B3546E9" w14:textId="291771BE"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6" w:history="1">
        <w:r w:rsidR="00DF59FC" w:rsidRPr="00ED4664">
          <w:rPr>
            <w:rStyle w:val="Hipervnculo"/>
            <w:noProof/>
            <w:sz w:val="21"/>
            <w:szCs w:val="21"/>
          </w:rPr>
          <w:t xml:space="preserve">Gráfico 68. </w:t>
        </w:r>
        <w:r w:rsidR="00DF59FC" w:rsidRPr="00ED4664">
          <w:rPr>
            <w:rStyle w:val="Hipervnculo"/>
            <w:noProof/>
            <w:sz w:val="21"/>
            <w:szCs w:val="21"/>
            <w:lang w:val="es-MX"/>
          </w:rPr>
          <w:t>Obligaciones financieras de las Municipalidades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_Toc143593626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78</w:t>
        </w:r>
        <w:r w:rsidR="00DF59FC" w:rsidRPr="00ED4664">
          <w:rPr>
            <w:noProof/>
            <w:webHidden/>
            <w:sz w:val="21"/>
            <w:szCs w:val="21"/>
          </w:rPr>
          <w:fldChar w:fldCharType="end"/>
        </w:r>
      </w:hyperlink>
    </w:p>
    <w:p w14:paraId="35EE181C" w14:textId="5551A8FB"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7" w:history="1">
        <w:r w:rsidR="00DF59FC" w:rsidRPr="00ED4664">
          <w:rPr>
            <w:rStyle w:val="Hipervnculo"/>
            <w:noProof/>
            <w:sz w:val="21"/>
            <w:szCs w:val="21"/>
          </w:rPr>
          <w:t xml:space="preserve">Gráfico 69. </w:t>
        </w:r>
        <w:r w:rsidR="00DF59FC" w:rsidRPr="00ED4664">
          <w:rPr>
            <w:rStyle w:val="Hipervnculo"/>
            <w:noProof/>
            <w:sz w:val="21"/>
            <w:szCs w:val="21"/>
            <w:lang w:val="es-MX"/>
          </w:rPr>
          <w:t>Municipalidades según sus niveles de Obligaciones Financieras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_Toc143593627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78</w:t>
        </w:r>
        <w:r w:rsidR="00DF59FC" w:rsidRPr="00ED4664">
          <w:rPr>
            <w:noProof/>
            <w:webHidden/>
            <w:sz w:val="21"/>
            <w:szCs w:val="21"/>
          </w:rPr>
          <w:fldChar w:fldCharType="end"/>
        </w:r>
      </w:hyperlink>
    </w:p>
    <w:p w14:paraId="0A1FBE3F" w14:textId="6925FC65"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8" w:history="1">
        <w:r w:rsidR="00DF59FC" w:rsidRPr="00ED4664">
          <w:rPr>
            <w:rStyle w:val="Hipervnculo"/>
            <w:noProof/>
            <w:sz w:val="21"/>
            <w:szCs w:val="21"/>
          </w:rPr>
          <w:t>Gráfico 70. Obligaciones financieras por Municipalidad</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_Toc143593628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80</w:t>
        </w:r>
        <w:r w:rsidR="00DF59FC" w:rsidRPr="00ED4664">
          <w:rPr>
            <w:noProof/>
            <w:webHidden/>
            <w:sz w:val="21"/>
            <w:szCs w:val="21"/>
          </w:rPr>
          <w:fldChar w:fldCharType="end"/>
        </w:r>
      </w:hyperlink>
    </w:p>
    <w:p w14:paraId="7ED222B7" w14:textId="24072FC4"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29" w:history="1">
        <w:r w:rsidR="00DF59FC" w:rsidRPr="00ED4664">
          <w:rPr>
            <w:rStyle w:val="Hipervnculo"/>
            <w:noProof/>
            <w:sz w:val="21"/>
            <w:szCs w:val="21"/>
          </w:rPr>
          <w:t>Gráfico 71. Obligaciones financieras de las Municipalidades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_Toc143593629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81</w:t>
        </w:r>
        <w:r w:rsidR="00DF59FC" w:rsidRPr="00ED4664">
          <w:rPr>
            <w:noProof/>
            <w:webHidden/>
            <w:sz w:val="21"/>
            <w:szCs w:val="21"/>
          </w:rPr>
          <w:fldChar w:fldCharType="end"/>
        </w:r>
      </w:hyperlink>
    </w:p>
    <w:p w14:paraId="5E8AD0A6" w14:textId="7F77FB5B"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0" w:history="1">
        <w:r w:rsidR="00DF59FC" w:rsidRPr="00ED4664">
          <w:rPr>
            <w:rStyle w:val="Hipervnculo"/>
            <w:noProof/>
            <w:sz w:val="21"/>
            <w:szCs w:val="21"/>
          </w:rPr>
          <w:t xml:space="preserve">Gráfico 72. </w:t>
        </w:r>
        <w:r w:rsidR="00DF59FC" w:rsidRPr="00ED4664">
          <w:rPr>
            <w:rStyle w:val="Hipervnculo"/>
            <w:rFonts w:eastAsia="Calibri"/>
            <w:noProof/>
            <w:sz w:val="21"/>
            <w:szCs w:val="21"/>
          </w:rPr>
          <w:t>Resultado Presupuestario de las Empresas Públicas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_Toc143593630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85</w:t>
        </w:r>
        <w:r w:rsidR="00DF59FC" w:rsidRPr="00ED4664">
          <w:rPr>
            <w:noProof/>
            <w:webHidden/>
            <w:sz w:val="21"/>
            <w:szCs w:val="21"/>
          </w:rPr>
          <w:fldChar w:fldCharType="end"/>
        </w:r>
      </w:hyperlink>
    </w:p>
    <w:p w14:paraId="0E73480D" w14:textId="0D193B98"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1" w:history="1">
        <w:r w:rsidR="00DF59FC" w:rsidRPr="00ED4664">
          <w:rPr>
            <w:rStyle w:val="Hipervnculo"/>
            <w:noProof/>
            <w:sz w:val="21"/>
            <w:szCs w:val="21"/>
          </w:rPr>
          <w:t xml:space="preserve">Gráfico 73. </w:t>
        </w:r>
        <w:r w:rsidR="00DF59FC" w:rsidRPr="00ED4664">
          <w:rPr>
            <w:rStyle w:val="Hipervnculo"/>
            <w:rFonts w:eastAsia="Calibri"/>
            <w:noProof/>
            <w:sz w:val="21"/>
            <w:szCs w:val="21"/>
          </w:rPr>
          <w:t>Resultado Presupuestario</w:t>
        </w:r>
        <w:r w:rsidR="005C56A0">
          <w:rPr>
            <w:rStyle w:val="Hipervnculo"/>
            <w:rFonts w:eastAsia="Calibri"/>
            <w:noProof/>
            <w:sz w:val="21"/>
            <w:szCs w:val="21"/>
          </w:rPr>
          <w:t xml:space="preserve"> d</w:t>
        </w:r>
        <w:r w:rsidR="005C56A0" w:rsidRPr="005C56A0">
          <w:rPr>
            <w:rStyle w:val="Hipervnculo"/>
            <w:rFonts w:eastAsia="Calibri"/>
            <w:noProof/>
            <w:sz w:val="21"/>
            <w:szCs w:val="21"/>
          </w:rPr>
          <w:t>e las Empresas Públicas No Financieras Nacionales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_Toc143593631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86</w:t>
        </w:r>
        <w:r w:rsidR="00DF59FC" w:rsidRPr="00ED4664">
          <w:rPr>
            <w:noProof/>
            <w:webHidden/>
            <w:sz w:val="21"/>
            <w:szCs w:val="21"/>
          </w:rPr>
          <w:fldChar w:fldCharType="end"/>
        </w:r>
      </w:hyperlink>
    </w:p>
    <w:p w14:paraId="779FC2BB" w14:textId="624D34D7"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2" w:history="1">
        <w:r w:rsidR="00DF59FC" w:rsidRPr="00ED4664">
          <w:rPr>
            <w:rStyle w:val="Hipervnculo"/>
            <w:noProof/>
            <w:sz w:val="21"/>
            <w:szCs w:val="21"/>
          </w:rPr>
          <w:t xml:space="preserve">Gráfico 74. </w:t>
        </w:r>
        <w:r w:rsidR="00DF59FC" w:rsidRPr="00ED4664">
          <w:rPr>
            <w:rStyle w:val="Hipervnculo"/>
            <w:rFonts w:eastAsia="Calibri"/>
            <w:noProof/>
            <w:sz w:val="21"/>
            <w:szCs w:val="21"/>
          </w:rPr>
          <w:t>Resultado Presupuestario</w:t>
        </w:r>
        <w:r w:rsidR="005C56A0">
          <w:rPr>
            <w:rStyle w:val="Hipervnculo"/>
            <w:rFonts w:eastAsia="Calibri"/>
            <w:noProof/>
            <w:sz w:val="21"/>
            <w:szCs w:val="21"/>
          </w:rPr>
          <w:t xml:space="preserve"> d</w:t>
        </w:r>
        <w:r w:rsidR="005C56A0" w:rsidRPr="005C56A0">
          <w:rPr>
            <w:rStyle w:val="Hipervnculo"/>
            <w:rFonts w:eastAsia="Calibri"/>
            <w:noProof/>
            <w:sz w:val="21"/>
            <w:szCs w:val="21"/>
          </w:rPr>
          <w:t>e las Empresas Públicas No Financieras Municipales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_Toc143593632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87</w:t>
        </w:r>
        <w:r w:rsidR="00DF59FC" w:rsidRPr="00ED4664">
          <w:rPr>
            <w:noProof/>
            <w:webHidden/>
            <w:sz w:val="21"/>
            <w:szCs w:val="21"/>
          </w:rPr>
          <w:fldChar w:fldCharType="end"/>
        </w:r>
      </w:hyperlink>
    </w:p>
    <w:p w14:paraId="46FE7FFC" w14:textId="333352F2"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3" w:history="1">
        <w:r w:rsidR="00DF59FC" w:rsidRPr="00ED4664">
          <w:rPr>
            <w:rStyle w:val="Hipervnculo"/>
            <w:noProof/>
            <w:sz w:val="21"/>
            <w:szCs w:val="21"/>
          </w:rPr>
          <w:t xml:space="preserve">Gráfico 75. </w:t>
        </w:r>
        <w:r w:rsidR="00DF59FC" w:rsidRPr="00ED4664">
          <w:rPr>
            <w:rStyle w:val="Hipervnculo"/>
            <w:noProof/>
            <w:sz w:val="21"/>
            <w:szCs w:val="21"/>
            <w:lang w:val="es-MX"/>
          </w:rPr>
          <w:t>Obligaciones financieras de las Empresas Públicas No Financieras</w:t>
        </w:r>
        <w:r w:rsidR="005C56A0">
          <w:rPr>
            <w:rStyle w:val="Hipervnculo"/>
            <w:noProof/>
            <w:sz w:val="21"/>
            <w:szCs w:val="21"/>
            <w:lang w:val="es-MX"/>
          </w:rPr>
          <w:t xml:space="preserve"> 2017-2022</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_Toc143593633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88</w:t>
        </w:r>
        <w:r w:rsidR="00DF59FC" w:rsidRPr="00ED4664">
          <w:rPr>
            <w:noProof/>
            <w:webHidden/>
            <w:sz w:val="21"/>
            <w:szCs w:val="21"/>
          </w:rPr>
          <w:fldChar w:fldCharType="end"/>
        </w:r>
      </w:hyperlink>
    </w:p>
    <w:p w14:paraId="2C80D0B9" w14:textId="57B6C897"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4" w:history="1">
        <w:r w:rsidR="00DF59FC" w:rsidRPr="00ED4664">
          <w:rPr>
            <w:rStyle w:val="Hipervnculo"/>
            <w:noProof/>
            <w:sz w:val="21"/>
            <w:szCs w:val="21"/>
          </w:rPr>
          <w:t xml:space="preserve">Gráfico 76. </w:t>
        </w:r>
        <w:r w:rsidR="00DF59FC" w:rsidRPr="00ED4664">
          <w:rPr>
            <w:rStyle w:val="Hipervnculo"/>
            <w:noProof/>
            <w:sz w:val="21"/>
            <w:szCs w:val="21"/>
            <w:lang w:val="es-MX"/>
          </w:rPr>
          <w:t>Obligaciones financieras de las Empresas Públicas No Financieras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_Toc143593634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89</w:t>
        </w:r>
        <w:r w:rsidR="00DF59FC" w:rsidRPr="00ED4664">
          <w:rPr>
            <w:noProof/>
            <w:webHidden/>
            <w:sz w:val="21"/>
            <w:szCs w:val="21"/>
          </w:rPr>
          <w:fldChar w:fldCharType="end"/>
        </w:r>
      </w:hyperlink>
    </w:p>
    <w:p w14:paraId="64D40B71" w14:textId="47609087"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5" w:history="1">
        <w:r w:rsidR="00DF59FC" w:rsidRPr="00ED4664">
          <w:rPr>
            <w:rStyle w:val="Hipervnculo"/>
            <w:noProof/>
            <w:sz w:val="21"/>
            <w:szCs w:val="21"/>
          </w:rPr>
          <w:t xml:space="preserve">Gráfico 77. </w:t>
        </w:r>
        <w:r w:rsidR="00DF59FC" w:rsidRPr="00ED4664">
          <w:rPr>
            <w:rStyle w:val="Hipervnculo"/>
            <w:noProof/>
            <w:sz w:val="21"/>
            <w:szCs w:val="21"/>
            <w:lang w:val="es-MX"/>
          </w:rPr>
          <w:t>Liquidez Financiera Empresas Públicas No Financieras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_Toc143593635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91</w:t>
        </w:r>
        <w:r w:rsidR="00DF59FC" w:rsidRPr="00ED4664">
          <w:rPr>
            <w:noProof/>
            <w:webHidden/>
            <w:sz w:val="21"/>
            <w:szCs w:val="21"/>
          </w:rPr>
          <w:fldChar w:fldCharType="end"/>
        </w:r>
      </w:hyperlink>
    </w:p>
    <w:p w14:paraId="35C7DDC5" w14:textId="192C82BA"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6" w:history="1">
        <w:r w:rsidR="00DF59FC" w:rsidRPr="00ED4664">
          <w:rPr>
            <w:rStyle w:val="Hipervnculo"/>
            <w:noProof/>
            <w:sz w:val="21"/>
            <w:szCs w:val="21"/>
          </w:rPr>
          <w:t>Gráfico 78. Liquidez Financiera</w:t>
        </w:r>
        <w:r w:rsidR="005C56A0">
          <w:rPr>
            <w:rStyle w:val="Hipervnculo"/>
            <w:noProof/>
            <w:sz w:val="21"/>
            <w:szCs w:val="21"/>
          </w:rPr>
          <w:t xml:space="preserve"> d</w:t>
        </w:r>
        <w:r w:rsidR="005C56A0" w:rsidRPr="005C56A0">
          <w:rPr>
            <w:rStyle w:val="Hipervnculo"/>
            <w:noProof/>
            <w:sz w:val="21"/>
            <w:szCs w:val="21"/>
          </w:rPr>
          <w:t>e las Empresas Públicas No Financieras Nacionales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_Toc143593636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91</w:t>
        </w:r>
        <w:r w:rsidR="00DF59FC" w:rsidRPr="00ED4664">
          <w:rPr>
            <w:noProof/>
            <w:webHidden/>
            <w:sz w:val="21"/>
            <w:szCs w:val="21"/>
          </w:rPr>
          <w:fldChar w:fldCharType="end"/>
        </w:r>
      </w:hyperlink>
    </w:p>
    <w:p w14:paraId="4F93A1BC" w14:textId="5E92924A"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7" w:history="1">
        <w:r w:rsidR="00DF59FC" w:rsidRPr="00ED4664">
          <w:rPr>
            <w:rStyle w:val="Hipervnculo"/>
            <w:noProof/>
            <w:sz w:val="21"/>
            <w:szCs w:val="21"/>
          </w:rPr>
          <w:t>Gráfico 79. Liquidez Financiera</w:t>
        </w:r>
        <w:r w:rsidR="005C56A0">
          <w:rPr>
            <w:rStyle w:val="Hipervnculo"/>
            <w:noProof/>
            <w:sz w:val="21"/>
            <w:szCs w:val="21"/>
          </w:rPr>
          <w:t xml:space="preserve"> </w:t>
        </w:r>
        <w:r w:rsidR="005C56A0" w:rsidRPr="005C56A0">
          <w:rPr>
            <w:rStyle w:val="Hipervnculo"/>
            <w:noProof/>
            <w:sz w:val="21"/>
            <w:szCs w:val="21"/>
          </w:rPr>
          <w:t>De las Empresas Públicas No Financieras Municipales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_Toc143593637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92</w:t>
        </w:r>
        <w:r w:rsidR="00DF59FC" w:rsidRPr="00ED4664">
          <w:rPr>
            <w:noProof/>
            <w:webHidden/>
            <w:sz w:val="21"/>
            <w:szCs w:val="21"/>
          </w:rPr>
          <w:fldChar w:fldCharType="end"/>
        </w:r>
      </w:hyperlink>
    </w:p>
    <w:p w14:paraId="6DB09AF6" w14:textId="4FB42701"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8" w:history="1">
        <w:r w:rsidR="00DF59FC" w:rsidRPr="00ED4664">
          <w:rPr>
            <w:rStyle w:val="Hipervnculo"/>
            <w:noProof/>
            <w:sz w:val="21"/>
            <w:szCs w:val="21"/>
          </w:rPr>
          <w:t>Gráfico 80. Obligaciones financieras de las Empresas Públicas No Financieras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_Toc143593638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93</w:t>
        </w:r>
        <w:r w:rsidR="00DF59FC" w:rsidRPr="00ED4664">
          <w:rPr>
            <w:noProof/>
            <w:webHidden/>
            <w:sz w:val="21"/>
            <w:szCs w:val="21"/>
          </w:rPr>
          <w:fldChar w:fldCharType="end"/>
        </w:r>
      </w:hyperlink>
    </w:p>
    <w:p w14:paraId="2B35BE43" w14:textId="215A9109"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39" w:history="1">
        <w:r w:rsidR="00DF59FC" w:rsidRPr="00ED4664">
          <w:rPr>
            <w:rStyle w:val="Hipervnculo"/>
            <w:noProof/>
            <w:sz w:val="21"/>
            <w:szCs w:val="21"/>
          </w:rPr>
          <w:t>Gráfico 81. Gasto en Sentencias Judiciales</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_Toc143593639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96</w:t>
        </w:r>
        <w:r w:rsidR="00DF59FC" w:rsidRPr="00ED4664">
          <w:rPr>
            <w:noProof/>
            <w:webHidden/>
            <w:sz w:val="21"/>
            <w:szCs w:val="21"/>
          </w:rPr>
          <w:fldChar w:fldCharType="end"/>
        </w:r>
      </w:hyperlink>
    </w:p>
    <w:p w14:paraId="47D0E396" w14:textId="1119CF74" w:rsidR="00DF59FC" w:rsidRPr="00ED4664"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0" w:history="1">
        <w:r w:rsidR="00DF59FC" w:rsidRPr="00ED4664">
          <w:rPr>
            <w:rStyle w:val="Hipervnculo"/>
            <w:noProof/>
            <w:sz w:val="21"/>
            <w:szCs w:val="21"/>
          </w:rPr>
          <w:t>Gráfico 82. Casos administrados por CIADI</w:t>
        </w:r>
        <w:r w:rsidR="00DF59FC" w:rsidRPr="00ED4664">
          <w:rPr>
            <w:noProof/>
            <w:webHidden/>
            <w:sz w:val="21"/>
            <w:szCs w:val="21"/>
          </w:rPr>
          <w:tab/>
        </w:r>
        <w:r w:rsidR="00DF59FC" w:rsidRPr="00ED4664">
          <w:rPr>
            <w:noProof/>
            <w:webHidden/>
            <w:sz w:val="21"/>
            <w:szCs w:val="21"/>
          </w:rPr>
          <w:fldChar w:fldCharType="begin"/>
        </w:r>
        <w:r w:rsidR="00DF59FC" w:rsidRPr="00ED4664">
          <w:rPr>
            <w:noProof/>
            <w:webHidden/>
            <w:sz w:val="21"/>
            <w:szCs w:val="21"/>
          </w:rPr>
          <w:instrText xml:space="preserve"> PAGEREF _Toc143593640 \h </w:instrText>
        </w:r>
        <w:r w:rsidR="00DF59FC" w:rsidRPr="00ED4664">
          <w:rPr>
            <w:noProof/>
            <w:webHidden/>
            <w:sz w:val="21"/>
            <w:szCs w:val="21"/>
          </w:rPr>
        </w:r>
        <w:r w:rsidR="00DF59FC" w:rsidRPr="00ED4664">
          <w:rPr>
            <w:noProof/>
            <w:webHidden/>
            <w:sz w:val="21"/>
            <w:szCs w:val="21"/>
          </w:rPr>
          <w:fldChar w:fldCharType="separate"/>
        </w:r>
        <w:r w:rsidR="009E279E">
          <w:rPr>
            <w:noProof/>
            <w:webHidden/>
            <w:sz w:val="21"/>
            <w:szCs w:val="21"/>
          </w:rPr>
          <w:t>99</w:t>
        </w:r>
        <w:r w:rsidR="00DF59FC" w:rsidRPr="00ED4664">
          <w:rPr>
            <w:noProof/>
            <w:webHidden/>
            <w:sz w:val="21"/>
            <w:szCs w:val="21"/>
          </w:rPr>
          <w:fldChar w:fldCharType="end"/>
        </w:r>
      </w:hyperlink>
    </w:p>
    <w:p w14:paraId="33B7C3C4" w14:textId="7BF304D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1" w:history="1">
        <w:r w:rsidR="00DF59FC" w:rsidRPr="00DF59FC">
          <w:rPr>
            <w:rStyle w:val="Hipervnculo"/>
            <w:noProof/>
            <w:sz w:val="21"/>
            <w:szCs w:val="21"/>
          </w:rPr>
          <w:t>Gráfico 83. Gastos del Ministerio de Economía en temas de controversias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_Toc143593641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101</w:t>
        </w:r>
        <w:r w:rsidR="00DF59FC" w:rsidRPr="00DF59FC">
          <w:rPr>
            <w:noProof/>
            <w:webHidden/>
            <w:sz w:val="21"/>
            <w:szCs w:val="21"/>
          </w:rPr>
          <w:fldChar w:fldCharType="end"/>
        </w:r>
      </w:hyperlink>
    </w:p>
    <w:p w14:paraId="2BDDFA9D" w14:textId="20EA8266"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2" w:history="1">
        <w:r w:rsidR="00DF59FC" w:rsidRPr="00DF59FC">
          <w:rPr>
            <w:rStyle w:val="Hipervnculo"/>
            <w:noProof/>
            <w:sz w:val="21"/>
            <w:szCs w:val="21"/>
          </w:rPr>
          <w:t>Gráfico 84. Indicadores de Liquidez</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_Toc143593642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106</w:t>
        </w:r>
        <w:r w:rsidR="00DF59FC" w:rsidRPr="00DF59FC">
          <w:rPr>
            <w:noProof/>
            <w:webHidden/>
            <w:sz w:val="21"/>
            <w:szCs w:val="21"/>
          </w:rPr>
          <w:fldChar w:fldCharType="end"/>
        </w:r>
      </w:hyperlink>
    </w:p>
    <w:p w14:paraId="7DE42CA7" w14:textId="36295F39"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3" w:history="1">
        <w:r w:rsidR="00DF59FC" w:rsidRPr="00DF59FC">
          <w:rPr>
            <w:rStyle w:val="Hipervnculo"/>
            <w:noProof/>
            <w:sz w:val="21"/>
            <w:szCs w:val="21"/>
          </w:rPr>
          <w:t>Gráfico 85. Ratio de Cobertura de Liquidez (LCR) del Sistema Bancario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_Toc143593643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107</w:t>
        </w:r>
        <w:r w:rsidR="00DF59FC" w:rsidRPr="00DF59FC">
          <w:rPr>
            <w:noProof/>
            <w:webHidden/>
            <w:sz w:val="21"/>
            <w:szCs w:val="21"/>
          </w:rPr>
          <w:fldChar w:fldCharType="end"/>
        </w:r>
      </w:hyperlink>
    </w:p>
    <w:p w14:paraId="3591F7C8" w14:textId="4F69D0A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4" w:history="1">
        <w:r w:rsidR="00DF59FC" w:rsidRPr="00DF59FC">
          <w:rPr>
            <w:rStyle w:val="Hipervnculo"/>
            <w:noProof/>
            <w:sz w:val="21"/>
            <w:szCs w:val="21"/>
          </w:rPr>
          <w:t>Gráfico 86. Indicadores de Riesgo de Crédito</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_Toc143593644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108</w:t>
        </w:r>
        <w:r w:rsidR="00DF59FC" w:rsidRPr="00DF59FC">
          <w:rPr>
            <w:noProof/>
            <w:webHidden/>
            <w:sz w:val="21"/>
            <w:szCs w:val="21"/>
          </w:rPr>
          <w:fldChar w:fldCharType="end"/>
        </w:r>
      </w:hyperlink>
    </w:p>
    <w:p w14:paraId="3BDB89E6" w14:textId="53E39D79"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5" w:history="1">
        <w:r w:rsidR="00DF59FC" w:rsidRPr="00DF59FC">
          <w:rPr>
            <w:rStyle w:val="Hipervnculo"/>
            <w:noProof/>
            <w:sz w:val="21"/>
            <w:szCs w:val="21"/>
          </w:rPr>
          <w:t>Gráfico 87. Concentración en el financiamiento a hogares y empresas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_Toc143593645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108</w:t>
        </w:r>
        <w:r w:rsidR="00DF59FC" w:rsidRPr="00DF59FC">
          <w:rPr>
            <w:noProof/>
            <w:webHidden/>
            <w:sz w:val="21"/>
            <w:szCs w:val="21"/>
          </w:rPr>
          <w:fldChar w:fldCharType="end"/>
        </w:r>
      </w:hyperlink>
    </w:p>
    <w:p w14:paraId="70461903" w14:textId="1426FB0B"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6" w:history="1">
        <w:r w:rsidR="00DF59FC" w:rsidRPr="00DF59FC">
          <w:rPr>
            <w:rStyle w:val="Hipervnculo"/>
            <w:noProof/>
            <w:sz w:val="21"/>
            <w:szCs w:val="21"/>
          </w:rPr>
          <w:t>Gráfico 88. Indicadores de Riesgo de Solvencia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_Toc143593646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109</w:t>
        </w:r>
        <w:r w:rsidR="00DF59FC" w:rsidRPr="00DF59FC">
          <w:rPr>
            <w:noProof/>
            <w:webHidden/>
            <w:sz w:val="21"/>
            <w:szCs w:val="21"/>
          </w:rPr>
          <w:fldChar w:fldCharType="end"/>
        </w:r>
      </w:hyperlink>
    </w:p>
    <w:p w14:paraId="4C3A8DD6" w14:textId="2945C1D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7" w:history="1">
        <w:r w:rsidR="00DF59FC" w:rsidRPr="00DF59FC">
          <w:rPr>
            <w:rStyle w:val="Hipervnculo"/>
            <w:noProof/>
            <w:sz w:val="21"/>
            <w:szCs w:val="21"/>
          </w:rPr>
          <w:t>Gráfico 89. Indicadores de Rentabilidad</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_Toc143593647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110</w:t>
        </w:r>
        <w:r w:rsidR="00DF59FC" w:rsidRPr="00DF59FC">
          <w:rPr>
            <w:noProof/>
            <w:webHidden/>
            <w:sz w:val="21"/>
            <w:szCs w:val="21"/>
          </w:rPr>
          <w:fldChar w:fldCharType="end"/>
        </w:r>
      </w:hyperlink>
    </w:p>
    <w:p w14:paraId="7D602D6B" w14:textId="275CD688"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8" w:history="1">
        <w:r w:rsidR="00DF59FC" w:rsidRPr="00DF59FC">
          <w:rPr>
            <w:rStyle w:val="Hipervnculo"/>
            <w:noProof/>
            <w:sz w:val="21"/>
            <w:szCs w:val="21"/>
          </w:rPr>
          <w:t>Gráfico 90. Mapa de ubicación de contratos de exploración y explotación petrolera vigentes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_Toc143593648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125</w:t>
        </w:r>
        <w:r w:rsidR="00DF59FC" w:rsidRPr="00DF59FC">
          <w:rPr>
            <w:noProof/>
            <w:webHidden/>
            <w:sz w:val="21"/>
            <w:szCs w:val="21"/>
          </w:rPr>
          <w:fldChar w:fldCharType="end"/>
        </w:r>
      </w:hyperlink>
    </w:p>
    <w:p w14:paraId="6DBB6A8A" w14:textId="372F6672"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49" w:history="1">
        <w:r w:rsidR="00DF59FC" w:rsidRPr="00DF59FC">
          <w:rPr>
            <w:rStyle w:val="Hipervnculo"/>
            <w:noProof/>
            <w:sz w:val="21"/>
            <w:szCs w:val="21"/>
          </w:rPr>
          <w:t>Gráfico 91. Variación Interanual de IVA doméstico aportado por la actividad de minas y canteras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_Toc143593649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130</w:t>
        </w:r>
        <w:r w:rsidR="00DF59FC" w:rsidRPr="00DF59FC">
          <w:rPr>
            <w:noProof/>
            <w:webHidden/>
            <w:sz w:val="21"/>
            <w:szCs w:val="21"/>
          </w:rPr>
          <w:fldChar w:fldCharType="end"/>
        </w:r>
      </w:hyperlink>
    </w:p>
    <w:p w14:paraId="49F315F6" w14:textId="1EDD4166"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0" w:history="1">
        <w:r w:rsidR="00DF59FC" w:rsidRPr="00DF59FC">
          <w:rPr>
            <w:rStyle w:val="Hipervnculo"/>
            <w:noProof/>
            <w:sz w:val="21"/>
            <w:szCs w:val="21"/>
          </w:rPr>
          <w:t>Gráfico 92. Variación Interanual de ISR aportado por la actividad de minas y canteras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131</w:t>
        </w:r>
        <w:r w:rsidR="00DF59FC" w:rsidRPr="00DF59FC">
          <w:rPr>
            <w:noProof/>
            <w:webHidden/>
            <w:sz w:val="21"/>
            <w:szCs w:val="21"/>
          </w:rPr>
          <w:fldChar w:fldCharType="end"/>
        </w:r>
      </w:hyperlink>
    </w:p>
    <w:p w14:paraId="0D9E5284" w14:textId="0469E121"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1" w:history="1">
        <w:r w:rsidR="00DF59FC" w:rsidRPr="00DF59FC">
          <w:rPr>
            <w:rStyle w:val="Hipervnculo"/>
            <w:noProof/>
            <w:sz w:val="21"/>
            <w:szCs w:val="21"/>
          </w:rPr>
          <w:t>Gráfico 93. Variación Interanual de otros impuestos aportado por la actividad de minas y canteras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131</w:t>
        </w:r>
        <w:r w:rsidR="00DF59FC" w:rsidRPr="00DF59FC">
          <w:rPr>
            <w:noProof/>
            <w:webHidden/>
            <w:sz w:val="21"/>
            <w:szCs w:val="21"/>
          </w:rPr>
          <w:fldChar w:fldCharType="end"/>
        </w:r>
      </w:hyperlink>
    </w:p>
    <w:p w14:paraId="0DD044C2" w14:textId="5A885C8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2" w:history="1">
        <w:r w:rsidR="00DF59FC" w:rsidRPr="00DF59FC">
          <w:rPr>
            <w:rStyle w:val="Hipervnculo"/>
            <w:noProof/>
            <w:sz w:val="21"/>
            <w:szCs w:val="21"/>
          </w:rPr>
          <w:t>Gráfico 94. Aporte de la actividad de minas y canteras al total de la recaudación por actividad</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132</w:t>
        </w:r>
        <w:r w:rsidR="00DF59FC" w:rsidRPr="00DF59FC">
          <w:rPr>
            <w:noProof/>
            <w:webHidden/>
            <w:sz w:val="21"/>
            <w:szCs w:val="21"/>
          </w:rPr>
          <w:fldChar w:fldCharType="end"/>
        </w:r>
      </w:hyperlink>
    </w:p>
    <w:p w14:paraId="09EA7FCD" w14:textId="7302B55E"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3" w:history="1">
        <w:r w:rsidR="00DF59FC" w:rsidRPr="00DF59FC">
          <w:rPr>
            <w:rStyle w:val="Hipervnculo"/>
            <w:noProof/>
            <w:sz w:val="21"/>
            <w:szCs w:val="21"/>
          </w:rPr>
          <w:t>Gráfico 95. Peso por actividad económica respecto a la recaudación total</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132</w:t>
        </w:r>
        <w:r w:rsidR="00DF59FC" w:rsidRPr="00DF59FC">
          <w:rPr>
            <w:noProof/>
            <w:webHidden/>
            <w:sz w:val="21"/>
            <w:szCs w:val="21"/>
          </w:rPr>
          <w:fldChar w:fldCharType="end"/>
        </w:r>
      </w:hyperlink>
    </w:p>
    <w:p w14:paraId="04358D3B" w14:textId="1DECA09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4" w:history="1">
        <w:r w:rsidR="00DF59FC" w:rsidRPr="00DF59FC">
          <w:rPr>
            <w:rStyle w:val="Hipervnculo"/>
            <w:noProof/>
            <w:sz w:val="21"/>
            <w:szCs w:val="21"/>
          </w:rPr>
          <w:t>Gráfico 96.  Regalías Municipales a nivel Nacional 2016-2023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134</w:t>
        </w:r>
        <w:r w:rsidR="00DF59FC" w:rsidRPr="00DF59FC">
          <w:rPr>
            <w:noProof/>
            <w:webHidden/>
            <w:sz w:val="21"/>
            <w:szCs w:val="21"/>
          </w:rPr>
          <w:fldChar w:fldCharType="end"/>
        </w:r>
      </w:hyperlink>
    </w:p>
    <w:p w14:paraId="1577B4ED" w14:textId="6E1E7C96"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5" w:history="1">
        <w:r w:rsidR="00DF59FC" w:rsidRPr="00DF59FC">
          <w:rPr>
            <w:rStyle w:val="Hipervnculo"/>
            <w:noProof/>
            <w:sz w:val="21"/>
            <w:szCs w:val="21"/>
          </w:rPr>
          <w:t>Gráfico 97.  Índice de Exposición Climática a Nivel Nacional</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135</w:t>
        </w:r>
        <w:r w:rsidR="00DF59FC" w:rsidRPr="00DF59FC">
          <w:rPr>
            <w:noProof/>
            <w:webHidden/>
            <w:sz w:val="21"/>
            <w:szCs w:val="21"/>
          </w:rPr>
          <w:fldChar w:fldCharType="end"/>
        </w:r>
      </w:hyperlink>
    </w:p>
    <w:p w14:paraId="2C64AD2F" w14:textId="5D4A82DB"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6" w:history="1">
        <w:r w:rsidR="00DF59FC" w:rsidRPr="00DF59FC">
          <w:rPr>
            <w:rStyle w:val="Hipervnculo"/>
            <w:noProof/>
            <w:sz w:val="21"/>
            <w:szCs w:val="21"/>
          </w:rPr>
          <w:t>Gráfico 98.  Amenazas a las que se expone Guatemala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136</w:t>
        </w:r>
        <w:r w:rsidR="00DF59FC" w:rsidRPr="00DF59FC">
          <w:rPr>
            <w:noProof/>
            <w:webHidden/>
            <w:sz w:val="21"/>
            <w:szCs w:val="21"/>
          </w:rPr>
          <w:fldChar w:fldCharType="end"/>
        </w:r>
      </w:hyperlink>
    </w:p>
    <w:p w14:paraId="2D54A9AF" w14:textId="08E6575F"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7" w:history="1">
        <w:r w:rsidR="00DF59FC" w:rsidRPr="00DF59FC">
          <w:rPr>
            <w:rStyle w:val="Hipervnculo"/>
            <w:noProof/>
            <w:sz w:val="21"/>
            <w:szCs w:val="21"/>
          </w:rPr>
          <w:t>Gráfico 99.  Índice INFORM 2022</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137</w:t>
        </w:r>
        <w:r w:rsidR="00DF59FC" w:rsidRPr="00DF59FC">
          <w:rPr>
            <w:noProof/>
            <w:webHidden/>
            <w:sz w:val="21"/>
            <w:szCs w:val="21"/>
          </w:rPr>
          <w:fldChar w:fldCharType="end"/>
        </w:r>
      </w:hyperlink>
    </w:p>
    <w:p w14:paraId="23FE6E9A" w14:textId="09F652D2"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8" w:history="1">
        <w:r w:rsidR="00DF59FC" w:rsidRPr="00DF59FC">
          <w:rPr>
            <w:rStyle w:val="Hipervnculo"/>
            <w:noProof/>
            <w:sz w:val="21"/>
            <w:szCs w:val="21"/>
          </w:rPr>
          <w:t xml:space="preserve">Gráfico 100. Volcanes de Guatemala </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140</w:t>
        </w:r>
        <w:r w:rsidR="00DF59FC" w:rsidRPr="00DF59FC">
          <w:rPr>
            <w:noProof/>
            <w:webHidden/>
            <w:sz w:val="21"/>
            <w:szCs w:val="21"/>
          </w:rPr>
          <w:fldChar w:fldCharType="end"/>
        </w:r>
      </w:hyperlink>
    </w:p>
    <w:p w14:paraId="72E5BD1E" w14:textId="7E7DC5AD"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59" w:history="1">
        <w:r w:rsidR="00DF59FC" w:rsidRPr="00DF59FC">
          <w:rPr>
            <w:rStyle w:val="Hipervnculo"/>
            <w:noProof/>
            <w:sz w:val="21"/>
            <w:szCs w:val="21"/>
          </w:rPr>
          <w:t>Gráfico 101. Mapa de Guatemala con los eventos sísmicos registrados 2018-2023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_Toc143593659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143</w:t>
        </w:r>
        <w:r w:rsidR="00DF59FC" w:rsidRPr="00DF59FC">
          <w:rPr>
            <w:noProof/>
            <w:webHidden/>
            <w:sz w:val="21"/>
            <w:szCs w:val="21"/>
          </w:rPr>
          <w:fldChar w:fldCharType="end"/>
        </w:r>
      </w:hyperlink>
    </w:p>
    <w:p w14:paraId="72952A6C" w14:textId="4F00F64D"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60" w:history="1">
        <w:r w:rsidR="00DF59FC" w:rsidRPr="00DF59FC">
          <w:rPr>
            <w:rStyle w:val="Hipervnculo"/>
            <w:noProof/>
            <w:sz w:val="21"/>
            <w:szCs w:val="21"/>
          </w:rPr>
          <w:t>Gráfico 102. Localización geográfica sismos primer semestre 2023</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_Toc143593660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144</w:t>
        </w:r>
        <w:r w:rsidR="00DF59FC" w:rsidRPr="00DF59FC">
          <w:rPr>
            <w:noProof/>
            <w:webHidden/>
            <w:sz w:val="21"/>
            <w:szCs w:val="21"/>
          </w:rPr>
          <w:fldChar w:fldCharType="end"/>
        </w:r>
      </w:hyperlink>
    </w:p>
    <w:p w14:paraId="5F895B42" w14:textId="2768B69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61" w:history="1">
        <w:r w:rsidR="00DF59FC" w:rsidRPr="00DF59FC">
          <w:rPr>
            <w:rStyle w:val="Hipervnculo"/>
            <w:noProof/>
            <w:sz w:val="21"/>
            <w:szCs w:val="21"/>
          </w:rPr>
          <w:t>Gráfico 103. Incidentes de tipo hidrometeorológico registrados en CONRED a nivel municipa</w:t>
        </w:r>
        <w:r w:rsidR="00ED4664">
          <w:rPr>
            <w:rStyle w:val="Hipervnculo"/>
            <w:noProof/>
            <w:sz w:val="21"/>
            <w:szCs w:val="21"/>
          </w:rPr>
          <w:t>l</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_Toc143593661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145</w:t>
        </w:r>
        <w:r w:rsidR="00DF59FC" w:rsidRPr="00DF59FC">
          <w:rPr>
            <w:noProof/>
            <w:webHidden/>
            <w:sz w:val="21"/>
            <w:szCs w:val="21"/>
          </w:rPr>
          <w:fldChar w:fldCharType="end"/>
        </w:r>
      </w:hyperlink>
    </w:p>
    <w:p w14:paraId="337ECDB7" w14:textId="7E3AA8AF"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62" w:history="1">
        <w:r w:rsidR="00DF59FC" w:rsidRPr="00DF59FC">
          <w:rPr>
            <w:rStyle w:val="Hipervnculo"/>
            <w:noProof/>
            <w:sz w:val="21"/>
            <w:szCs w:val="21"/>
          </w:rPr>
          <w:t>Gráfico 104. Gasto del Gobierno Central destinado a desastres provocados por fenómenos naturales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_Toc143593662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147</w:t>
        </w:r>
        <w:r w:rsidR="00DF59FC" w:rsidRPr="00DF59FC">
          <w:rPr>
            <w:noProof/>
            <w:webHidden/>
            <w:sz w:val="21"/>
            <w:szCs w:val="21"/>
          </w:rPr>
          <w:fldChar w:fldCharType="end"/>
        </w:r>
      </w:hyperlink>
    </w:p>
    <w:p w14:paraId="22A6BE0C" w14:textId="7B8845D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63" w:history="1">
        <w:r w:rsidR="00DF59FC" w:rsidRPr="00DF59FC">
          <w:rPr>
            <w:rStyle w:val="Hipervnculo"/>
            <w:noProof/>
            <w:sz w:val="21"/>
            <w:szCs w:val="21"/>
          </w:rPr>
          <w:t>Gráfico 105. Impacto en el déficit fiscal de los desastres provocados por fenómenos naturales</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_Toc143593663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147</w:t>
        </w:r>
        <w:r w:rsidR="00DF59FC" w:rsidRPr="00DF59FC">
          <w:rPr>
            <w:noProof/>
            <w:webHidden/>
            <w:sz w:val="21"/>
            <w:szCs w:val="21"/>
          </w:rPr>
          <w:fldChar w:fldCharType="end"/>
        </w:r>
      </w:hyperlink>
    </w:p>
    <w:p w14:paraId="71D5A0A8" w14:textId="698E1527"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64" w:history="1">
        <w:r w:rsidR="00DF59FC" w:rsidRPr="00DF59FC">
          <w:rPr>
            <w:rStyle w:val="Hipervnculo"/>
            <w:noProof/>
            <w:sz w:val="21"/>
            <w:szCs w:val="21"/>
          </w:rPr>
          <w:t>Gráfico 106. Impacto de un desastre natural severo en el sector real y la economía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_Toc143593664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148</w:t>
        </w:r>
        <w:r w:rsidR="00DF59FC" w:rsidRPr="00DF59FC">
          <w:rPr>
            <w:noProof/>
            <w:webHidden/>
            <w:sz w:val="21"/>
            <w:szCs w:val="21"/>
          </w:rPr>
          <w:fldChar w:fldCharType="end"/>
        </w:r>
      </w:hyperlink>
    </w:p>
    <w:p w14:paraId="2B81461E" w14:textId="15822EC4"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65" w:history="1">
        <w:r w:rsidR="00DF59FC" w:rsidRPr="00DF59FC">
          <w:rPr>
            <w:rStyle w:val="Hipervnculo"/>
            <w:noProof/>
            <w:sz w:val="21"/>
            <w:szCs w:val="21"/>
          </w:rPr>
          <w:t>Gráfico 107. Impacto en las finanzas públicas ante una tormenta tropical o huracán en 2024.</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_Toc143593665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150</w:t>
        </w:r>
        <w:r w:rsidR="00DF59FC" w:rsidRPr="00DF59FC">
          <w:rPr>
            <w:noProof/>
            <w:webHidden/>
            <w:sz w:val="21"/>
            <w:szCs w:val="21"/>
          </w:rPr>
          <w:fldChar w:fldCharType="end"/>
        </w:r>
      </w:hyperlink>
    </w:p>
    <w:p w14:paraId="196BB4C2" w14:textId="1F069701"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66" w:history="1">
        <w:r w:rsidR="00DF59FC" w:rsidRPr="00DF59FC">
          <w:rPr>
            <w:rStyle w:val="Hipervnculo"/>
            <w:noProof/>
            <w:sz w:val="21"/>
            <w:szCs w:val="21"/>
          </w:rPr>
          <w:t>Gráfico 108. Impacto en las finanzas públicas ante terremoto en 2024.</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_Toc143593666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150</w:t>
        </w:r>
        <w:r w:rsidR="00DF59FC" w:rsidRPr="00DF59FC">
          <w:rPr>
            <w:noProof/>
            <w:webHidden/>
            <w:sz w:val="21"/>
            <w:szCs w:val="21"/>
          </w:rPr>
          <w:fldChar w:fldCharType="end"/>
        </w:r>
      </w:hyperlink>
    </w:p>
    <w:p w14:paraId="5402315F" w14:textId="73A0C93A"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67" w:history="1">
        <w:r w:rsidR="00DF59FC" w:rsidRPr="00DF59FC">
          <w:rPr>
            <w:rStyle w:val="Hipervnculo"/>
            <w:noProof/>
            <w:sz w:val="21"/>
            <w:szCs w:val="21"/>
          </w:rPr>
          <w:t xml:space="preserve">Gráfico 109. Impacto en las finanzas públicas </w:t>
        </w:r>
        <w:r w:rsidR="005C56A0" w:rsidRPr="005C56A0">
          <w:rPr>
            <w:rStyle w:val="Hipervnculo"/>
            <w:noProof/>
            <w:sz w:val="21"/>
            <w:szCs w:val="21"/>
          </w:rPr>
          <w:t>ante un desastre natural ocasionado por un volcan</w:t>
        </w:r>
        <w:r w:rsidR="00DF59FC" w:rsidRPr="00DF59FC">
          <w:rPr>
            <w:rStyle w:val="Hipervnculo"/>
            <w:noProof/>
            <w:sz w:val="21"/>
            <w:szCs w:val="21"/>
          </w:rPr>
          <w:t>.</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_Toc143593667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151</w:t>
        </w:r>
        <w:r w:rsidR="00DF59FC" w:rsidRPr="00DF59FC">
          <w:rPr>
            <w:noProof/>
            <w:webHidden/>
            <w:sz w:val="21"/>
            <w:szCs w:val="21"/>
          </w:rPr>
          <w:fldChar w:fldCharType="end"/>
        </w:r>
      </w:hyperlink>
    </w:p>
    <w:p w14:paraId="732CDA82" w14:textId="12157143" w:rsidR="00DF59FC" w:rsidRPr="00DF59FC" w:rsidRDefault="00805A42" w:rsidP="005C56A0">
      <w:pPr>
        <w:pStyle w:val="Tabladeilustraciones"/>
        <w:tabs>
          <w:tab w:val="right" w:leader="dot" w:pos="8828"/>
        </w:tabs>
        <w:spacing w:after="0"/>
        <w:rPr>
          <w:rFonts w:asciiTheme="minorHAnsi" w:hAnsiTheme="minorHAnsi" w:cstheme="minorBidi"/>
          <w:noProof/>
          <w:sz w:val="21"/>
          <w:szCs w:val="21"/>
          <w:lang w:eastAsia="es-GT"/>
        </w:rPr>
      </w:pPr>
      <w:hyperlink w:anchor="_Toc143593668" w:history="1">
        <w:r w:rsidR="00DF59FC" w:rsidRPr="00DF59FC">
          <w:rPr>
            <w:rStyle w:val="Hipervnculo"/>
            <w:noProof/>
            <w:sz w:val="21"/>
            <w:szCs w:val="21"/>
          </w:rPr>
          <w:t>Gráfico 110. Distribución del Fondo de Emergencia</w:t>
        </w:r>
        <w:r w:rsidR="00DF59FC" w:rsidRPr="00DF59FC">
          <w:rPr>
            <w:noProof/>
            <w:webHidden/>
            <w:sz w:val="21"/>
            <w:szCs w:val="21"/>
          </w:rPr>
          <w:tab/>
        </w:r>
        <w:r w:rsidR="00DF59FC" w:rsidRPr="00DF59FC">
          <w:rPr>
            <w:noProof/>
            <w:webHidden/>
            <w:sz w:val="21"/>
            <w:szCs w:val="21"/>
          </w:rPr>
          <w:fldChar w:fldCharType="begin"/>
        </w:r>
        <w:r w:rsidR="00DF59FC" w:rsidRPr="00DF59FC">
          <w:rPr>
            <w:noProof/>
            <w:webHidden/>
            <w:sz w:val="21"/>
            <w:szCs w:val="21"/>
          </w:rPr>
          <w:instrText xml:space="preserve"> PAGEREF _Toc143593668 \h </w:instrText>
        </w:r>
        <w:r w:rsidR="00DF59FC" w:rsidRPr="00DF59FC">
          <w:rPr>
            <w:noProof/>
            <w:webHidden/>
            <w:sz w:val="21"/>
            <w:szCs w:val="21"/>
          </w:rPr>
        </w:r>
        <w:r w:rsidR="00DF59FC" w:rsidRPr="00DF59FC">
          <w:rPr>
            <w:noProof/>
            <w:webHidden/>
            <w:sz w:val="21"/>
            <w:szCs w:val="21"/>
          </w:rPr>
          <w:fldChar w:fldCharType="separate"/>
        </w:r>
        <w:r w:rsidR="009E279E">
          <w:rPr>
            <w:noProof/>
            <w:webHidden/>
            <w:sz w:val="21"/>
            <w:szCs w:val="21"/>
          </w:rPr>
          <w:t>155</w:t>
        </w:r>
        <w:r w:rsidR="00DF59FC" w:rsidRPr="00DF59FC">
          <w:rPr>
            <w:noProof/>
            <w:webHidden/>
            <w:sz w:val="21"/>
            <w:szCs w:val="21"/>
          </w:rPr>
          <w:fldChar w:fldCharType="end"/>
        </w:r>
      </w:hyperlink>
    </w:p>
    <w:p w14:paraId="5846E602" w14:textId="1AC794A1" w:rsidR="00DF59FC" w:rsidRDefault="00DF59FC" w:rsidP="00024A42">
      <w:pPr>
        <w:jc w:val="both"/>
      </w:pPr>
      <w:r w:rsidRPr="00DF59FC">
        <w:rPr>
          <w:sz w:val="21"/>
          <w:szCs w:val="21"/>
        </w:rPr>
        <w:fldChar w:fldCharType="end"/>
      </w:r>
    </w:p>
    <w:p w14:paraId="575738E4" w14:textId="482E74F2" w:rsidR="00DF59FC" w:rsidRDefault="00DF59FC" w:rsidP="00024A42">
      <w:pPr>
        <w:jc w:val="both"/>
      </w:pPr>
    </w:p>
    <w:p w14:paraId="562B5FE3" w14:textId="77777777" w:rsidR="00DF59FC" w:rsidRDefault="00DF59FC" w:rsidP="00024A42">
      <w:pPr>
        <w:jc w:val="both"/>
      </w:pPr>
    </w:p>
    <w:p w14:paraId="2BFEB570" w14:textId="695CB142" w:rsidR="00A62AFA" w:rsidRDefault="00A62AFA">
      <w:pPr>
        <w:spacing w:after="160" w:line="259" w:lineRule="auto"/>
      </w:pPr>
      <w:r>
        <w:br w:type="page"/>
      </w:r>
    </w:p>
    <w:p w14:paraId="1D72328E" w14:textId="77777777" w:rsidR="00A62AFA" w:rsidRDefault="00A62AFA" w:rsidP="00CC7591">
      <w:pPr>
        <w:pStyle w:val="Prrafodelista"/>
        <w:numPr>
          <w:ilvl w:val="0"/>
          <w:numId w:val="44"/>
        </w:numPr>
        <w:spacing w:line="259" w:lineRule="auto"/>
        <w:ind w:left="284" w:hanging="284"/>
        <w:jc w:val="both"/>
        <w:outlineLvl w:val="0"/>
        <w:rPr>
          <w:b/>
          <w:bCs/>
        </w:rPr>
        <w:sectPr w:rsidR="00A62AFA" w:rsidSect="00A62AFA">
          <w:headerReference w:type="default" r:id="rId12"/>
          <w:footerReference w:type="even" r:id="rId13"/>
          <w:footerReference w:type="default" r:id="rId14"/>
          <w:type w:val="continuous"/>
          <w:pgSz w:w="12240" w:h="15840" w:code="1"/>
          <w:pgMar w:top="1418" w:right="1701" w:bottom="1418" w:left="1701" w:header="397" w:footer="590" w:gutter="0"/>
          <w:pgNumType w:fmt="lowerLetter" w:start="0"/>
          <w:cols w:space="720"/>
          <w:titlePg/>
          <w:docGrid w:linePitch="326"/>
        </w:sectPr>
      </w:pPr>
    </w:p>
    <w:p w14:paraId="7EE1EF7B" w14:textId="373C400E" w:rsidR="00750765" w:rsidRPr="00AF445F" w:rsidRDefault="00750765" w:rsidP="00CC7591">
      <w:pPr>
        <w:pStyle w:val="Prrafodelista"/>
        <w:numPr>
          <w:ilvl w:val="0"/>
          <w:numId w:val="44"/>
        </w:numPr>
        <w:spacing w:line="259" w:lineRule="auto"/>
        <w:ind w:left="284" w:hanging="284"/>
        <w:jc w:val="both"/>
        <w:outlineLvl w:val="0"/>
        <w:rPr>
          <w:b/>
          <w:bCs/>
        </w:rPr>
      </w:pPr>
      <w:bookmarkStart w:id="2" w:name="_Toc144114341"/>
      <w:r w:rsidRPr="00AF445F">
        <w:rPr>
          <w:b/>
          <w:bCs/>
        </w:rPr>
        <w:lastRenderedPageBreak/>
        <w:t>Evaluación General del Riesgo Fiscal</w:t>
      </w:r>
      <w:bookmarkEnd w:id="2"/>
      <w:r w:rsidRPr="00AF445F">
        <w:rPr>
          <w:b/>
          <w:bCs/>
        </w:rPr>
        <w:t xml:space="preserve"> </w:t>
      </w:r>
    </w:p>
    <w:p w14:paraId="3CAD3214" w14:textId="77777777" w:rsidR="00750765" w:rsidRPr="00750765" w:rsidRDefault="00750765" w:rsidP="00D60783">
      <w:pPr>
        <w:jc w:val="both"/>
      </w:pPr>
    </w:p>
    <w:p w14:paraId="5B66F9F6" w14:textId="77777777" w:rsidR="00750765" w:rsidRPr="00750765" w:rsidRDefault="00750765" w:rsidP="00D60783">
      <w:pPr>
        <w:jc w:val="both"/>
      </w:pPr>
      <w:r w:rsidRPr="00750765">
        <w:t xml:space="preserve">Para efectos de contar con una visión general de los diferentes riesgos fiscales analizados en este documento, se procedió a evaluar la materialización de estos riesgos en los últimos años en Guatemala, el impacto sobre los agregados fiscales, así como la probabilidad e impacto previsto en las cuentas fiscales de ocurrir un determinado evento en el corto o mediano plazo.  Esto se hizo mediante la utilización de la Herramienta de Evaluación de Riesgo Fiscal (Fiscal </w:t>
      </w:r>
      <w:proofErr w:type="spellStart"/>
      <w:r w:rsidRPr="00750765">
        <w:t>Risks</w:t>
      </w:r>
      <w:proofErr w:type="spellEnd"/>
      <w:r w:rsidRPr="00750765">
        <w:t xml:space="preserve"> </w:t>
      </w:r>
      <w:proofErr w:type="spellStart"/>
      <w:r w:rsidRPr="00750765">
        <w:t>Toolkit</w:t>
      </w:r>
      <w:proofErr w:type="spellEnd"/>
      <w:r w:rsidRPr="00750765">
        <w:t xml:space="preserve"> -FRAT-, por sus siglas en inglés) diseñada por el Fondo Monetario Internacional (FMI).</w:t>
      </w:r>
    </w:p>
    <w:p w14:paraId="3E6C7868" w14:textId="1825AD10" w:rsidR="00024A42" w:rsidRPr="00024A42" w:rsidRDefault="00024A42" w:rsidP="00D60783">
      <w:pPr>
        <w:jc w:val="both"/>
        <w:rPr>
          <w:noProof/>
        </w:rPr>
      </w:pPr>
      <w:r w:rsidRPr="00024A42">
        <w:t xml:space="preserve"> </w:t>
      </w:r>
    </w:p>
    <w:p w14:paraId="39356A2D" w14:textId="497B3882" w:rsidR="00A26A0D" w:rsidRPr="00750765" w:rsidRDefault="00675270" w:rsidP="005F07F9">
      <w:pPr>
        <w:pStyle w:val="Ttulo2"/>
        <w:numPr>
          <w:ilvl w:val="1"/>
          <w:numId w:val="35"/>
        </w:numPr>
        <w:tabs>
          <w:tab w:val="left" w:pos="567"/>
        </w:tabs>
        <w:ind w:left="426" w:hanging="284"/>
        <w:rPr>
          <w:b w:val="0"/>
          <w:bCs/>
        </w:rPr>
      </w:pPr>
      <w:bookmarkStart w:id="3" w:name="_Toc144114342"/>
      <w:r w:rsidRPr="00750765">
        <w:rPr>
          <w:bCs/>
        </w:rPr>
        <w:t>Materialización de riesgos históricos (últimos 5 años)</w:t>
      </w:r>
      <w:bookmarkEnd w:id="3"/>
    </w:p>
    <w:p w14:paraId="676F52BB" w14:textId="77777777" w:rsidR="00CB3C2C" w:rsidRPr="00A26A0D" w:rsidRDefault="00CB3C2C" w:rsidP="00D60783">
      <w:pPr>
        <w:jc w:val="both"/>
        <w:rPr>
          <w:b/>
          <w:bCs/>
        </w:rPr>
      </w:pPr>
    </w:p>
    <w:p w14:paraId="477651D2" w14:textId="042EF206" w:rsidR="00A26A0D" w:rsidRDefault="00A26A0D" w:rsidP="00D60783">
      <w:pPr>
        <w:jc w:val="both"/>
      </w:pPr>
      <w:r>
        <w:t>De acuerdo a la matriz de materialización de riesgos históricos, en 2020 se dio una materialización</w:t>
      </w:r>
      <w:r w:rsidR="009866CE">
        <w:t xml:space="preserve"> con impacto </w:t>
      </w:r>
      <w:r>
        <w:t>alt</w:t>
      </w:r>
      <w:r w:rsidR="009866CE">
        <w:t>o</w:t>
      </w:r>
      <w:r>
        <w:t>, explic</w:t>
      </w:r>
      <w:r w:rsidR="009866CE">
        <w:t>ada</w:t>
      </w:r>
      <w:r>
        <w:t xml:space="preserve"> por la pandemia del COVID-19</w:t>
      </w:r>
      <w:r w:rsidR="009866CE">
        <w:t>,</w:t>
      </w:r>
      <w:r>
        <w:t xml:space="preserve"> la cual de acuerdo a lo analizado tuvo un efecto en los riesgos macroeconómicos y los riesgos ambientales. </w:t>
      </w:r>
      <w:r w:rsidR="00AF4BA0">
        <w:t xml:space="preserve">En 2022 </w:t>
      </w:r>
      <w:r w:rsidR="005917FC">
        <w:t>también</w:t>
      </w:r>
      <w:r w:rsidR="00AF4BA0">
        <w:t xml:space="preserve"> se reporta una materialización en los riesgos macroeconómicos, aunque esta</w:t>
      </w:r>
      <w:r w:rsidR="009866CE">
        <w:t xml:space="preserve"> tuvo un impacto </w:t>
      </w:r>
      <w:r w:rsidR="00AF4BA0">
        <w:t>baj</w:t>
      </w:r>
      <w:r w:rsidR="009866CE">
        <w:t>o</w:t>
      </w:r>
      <w:r w:rsidR="00AF4BA0">
        <w:t>, asociada a la inflación</w:t>
      </w:r>
      <w:r w:rsidR="005917FC">
        <w:t>, precios de materias primas y crisis geopolítica.</w:t>
      </w:r>
    </w:p>
    <w:p w14:paraId="40A8E2C5" w14:textId="77777777" w:rsidR="00CB3C2C" w:rsidRDefault="00CB3C2C" w:rsidP="00D60783">
      <w:pPr>
        <w:jc w:val="both"/>
      </w:pPr>
    </w:p>
    <w:p w14:paraId="273FA5DC" w14:textId="069959ED" w:rsidR="00A26A0D" w:rsidRDefault="00A26A0D" w:rsidP="00D60783">
      <w:pPr>
        <w:jc w:val="both"/>
      </w:pPr>
      <w:r>
        <w:t xml:space="preserve">El riesgo ambiental es </w:t>
      </w:r>
      <w:r w:rsidR="009866CE">
        <w:t>el</w:t>
      </w:r>
      <w:r w:rsidR="00433A63">
        <w:t xml:space="preserve"> segundo</w:t>
      </w:r>
      <w:r w:rsidR="009866CE">
        <w:t xml:space="preserve"> más </w:t>
      </w:r>
      <w:r>
        <w:t>recurrente en los últimos años</w:t>
      </w:r>
      <w:r w:rsidR="009866CE">
        <w:t>,</w:t>
      </w:r>
      <w:r>
        <w:t xml:space="preserve"> en 2018 derivado de la erupción del volcán de Fuego, en 2020 además del COVID-19 se dieron las tormentas tropicales Amanda y Cristóbal, en 2021 se dieron las tormentas tropicales ETA e IOTA y en 2022 se tuvo un invierno más copioso con exceso de lluvias e impactos en la infraestructura vial. </w:t>
      </w:r>
    </w:p>
    <w:p w14:paraId="52457C86" w14:textId="77777777" w:rsidR="00CB3C2C" w:rsidRDefault="00CB3C2C" w:rsidP="00D60783">
      <w:pPr>
        <w:jc w:val="both"/>
      </w:pPr>
    </w:p>
    <w:p w14:paraId="6F9D6976" w14:textId="3CCD7E0F" w:rsidR="00A26A0D" w:rsidRDefault="00AF4BA0" w:rsidP="00D60783">
      <w:pPr>
        <w:jc w:val="both"/>
      </w:pPr>
      <w:r>
        <w:t xml:space="preserve">Luego se tiene que </w:t>
      </w:r>
      <w:r w:rsidR="00A26A0D">
        <w:t xml:space="preserve">las empresas públicas reportan una materialización baja en 2020 y 2022, explicado principalmente por los subsidios que </w:t>
      </w:r>
      <w:r w:rsidR="008E6901">
        <w:t xml:space="preserve">se dieron al </w:t>
      </w:r>
      <w:r w:rsidR="008E6901" w:rsidRPr="008E6901">
        <w:t>Instituto Nacional de Electrificación (INDE)</w:t>
      </w:r>
      <w:r w:rsidR="008E6901">
        <w:t xml:space="preserve"> para apoyar a los hogares guatemaltecos, tanto por la crisis del COVID-19</w:t>
      </w:r>
      <w:r w:rsidR="00721715">
        <w:t>,</w:t>
      </w:r>
      <w:r w:rsidR="008E6901">
        <w:t xml:space="preserve"> como para ampliar la tarifa social ante el incremento de precios y alta inflación.</w:t>
      </w:r>
    </w:p>
    <w:p w14:paraId="1FD66C05" w14:textId="77777777" w:rsidR="00721715" w:rsidRDefault="00721715" w:rsidP="00D60783">
      <w:pPr>
        <w:jc w:val="both"/>
      </w:pPr>
    </w:p>
    <w:p w14:paraId="3163E97D" w14:textId="40D0CBF7" w:rsidR="00CB3C2C" w:rsidRDefault="00610819" w:rsidP="00D60783">
      <w:pPr>
        <w:jc w:val="both"/>
      </w:pPr>
      <w:r w:rsidRPr="00610819">
        <w:t>Las acciones legales contra el Estado, es el riesgo más recurrente, con materializaciones en todos los años, y con una mayor erogación</w:t>
      </w:r>
      <w:r>
        <w:t xml:space="preserve"> de recursos</w:t>
      </w:r>
      <w:r w:rsidRPr="00610819">
        <w:t xml:space="preserve"> en 2020 y 2022 asociado al pago de arbitraje internacional por el caso TECO, para ambos años, aunque su impacto siempre se mantiene bajo.</w:t>
      </w:r>
    </w:p>
    <w:p w14:paraId="2994F7B9" w14:textId="77777777" w:rsidR="00610819" w:rsidRDefault="00610819" w:rsidP="00D60783">
      <w:pPr>
        <w:jc w:val="both"/>
      </w:pPr>
    </w:p>
    <w:p w14:paraId="2B1D2823" w14:textId="17377DA2" w:rsidR="00FD0580" w:rsidRDefault="00FD0580" w:rsidP="00D60783">
      <w:pPr>
        <w:jc w:val="both"/>
      </w:pPr>
      <w:bookmarkStart w:id="4" w:name="_Hlk141273005"/>
      <w:r>
        <w:t xml:space="preserve">Por último, en el sector financiero se tuvo una materialización en 2019, con la suspensión de operaciones del Banco de Crédito, Sociedad Anónima, </w:t>
      </w:r>
      <w:r w:rsidRPr="00FD0580">
        <w:t>por incumplimiento al plan de regularización aprobado por el órgano supervisor</w:t>
      </w:r>
      <w:r w:rsidR="0002396C">
        <w:t>, por lo cual se realizó un aporte al FOPA.</w:t>
      </w:r>
    </w:p>
    <w:bookmarkEnd w:id="4"/>
    <w:p w14:paraId="70D50B83" w14:textId="77777777" w:rsidR="00FD0580" w:rsidRDefault="00FD0580" w:rsidP="00D60783">
      <w:pPr>
        <w:jc w:val="both"/>
      </w:pPr>
    </w:p>
    <w:p w14:paraId="092013AD" w14:textId="0A9EC9F3" w:rsidR="005917FC" w:rsidRDefault="005917FC" w:rsidP="00D60783">
      <w:pPr>
        <w:jc w:val="both"/>
      </w:pPr>
      <w:r>
        <w:t xml:space="preserve">En el resto de los riesgos analizados (garantías de gobierno, gobiernos subnacionales y recursos naturales) no se reporta una materialización que sea de consideración en los últimos 5 años. </w:t>
      </w:r>
    </w:p>
    <w:p w14:paraId="718C4B2B" w14:textId="35817DAB" w:rsidR="00D60783" w:rsidRDefault="00D60783" w:rsidP="00D60783"/>
    <w:p w14:paraId="43BEE2A9" w14:textId="0D0A498F" w:rsidR="00ED4664" w:rsidRDefault="00ED4664" w:rsidP="00D60783"/>
    <w:p w14:paraId="5EB4B675" w14:textId="77777777" w:rsidR="00ED4664" w:rsidRDefault="00ED4664" w:rsidP="00D60783"/>
    <w:p w14:paraId="1BE2B30C" w14:textId="62F18A4B" w:rsidR="00D60783" w:rsidRPr="00D60783" w:rsidRDefault="00D60783" w:rsidP="00D60783">
      <w:pPr>
        <w:pStyle w:val="Descripcin"/>
        <w:keepNext/>
        <w:jc w:val="left"/>
        <w:rPr>
          <w:color w:val="auto"/>
        </w:rPr>
      </w:pPr>
      <w:bookmarkStart w:id="5" w:name="_Toc143593503"/>
      <w:r w:rsidRPr="00D60783">
        <w:rPr>
          <w:color w:val="auto"/>
        </w:rPr>
        <w:lastRenderedPageBreak/>
        <w:t xml:space="preserve">Tabla </w:t>
      </w:r>
      <w:r w:rsidRPr="00D60783">
        <w:rPr>
          <w:color w:val="auto"/>
        </w:rPr>
        <w:fldChar w:fldCharType="begin"/>
      </w:r>
      <w:r w:rsidRPr="00D60783">
        <w:rPr>
          <w:color w:val="auto"/>
        </w:rPr>
        <w:instrText xml:space="preserve"> SEQ Tabla \* ARABIC </w:instrText>
      </w:r>
      <w:r w:rsidRPr="00D60783">
        <w:rPr>
          <w:color w:val="auto"/>
        </w:rPr>
        <w:fldChar w:fldCharType="separate"/>
      </w:r>
      <w:r w:rsidR="00A62AFA">
        <w:rPr>
          <w:noProof/>
          <w:color w:val="auto"/>
        </w:rPr>
        <w:t>1</w:t>
      </w:r>
      <w:r w:rsidRPr="00D60783">
        <w:rPr>
          <w:color w:val="auto"/>
        </w:rPr>
        <w:fldChar w:fldCharType="end"/>
      </w:r>
      <w:r w:rsidRPr="00D60783">
        <w:rPr>
          <w:color w:val="auto"/>
        </w:rPr>
        <w:t>. Matriz de Materialización de Riesgos Históricos</w:t>
      </w:r>
      <w:bookmarkEnd w:id="5"/>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3686"/>
        <w:gridCol w:w="567"/>
        <w:gridCol w:w="567"/>
        <w:gridCol w:w="567"/>
        <w:gridCol w:w="567"/>
        <w:gridCol w:w="601"/>
      </w:tblGrid>
      <w:tr w:rsidR="00750765" w:rsidRPr="00750765" w14:paraId="4EC8C1E4" w14:textId="77777777" w:rsidTr="00ED4664">
        <w:trPr>
          <w:trHeight w:val="458"/>
          <w:jc w:val="center"/>
        </w:trPr>
        <w:tc>
          <w:tcPr>
            <w:tcW w:w="8818" w:type="dxa"/>
            <w:gridSpan w:val="7"/>
            <w:vMerge w:val="restart"/>
            <w:shd w:val="clear" w:color="000000" w:fill="4B82AD"/>
            <w:vAlign w:val="center"/>
            <w:hideMark/>
          </w:tcPr>
          <w:p w14:paraId="5D70E331" w14:textId="77777777" w:rsidR="00750765" w:rsidRPr="00750765" w:rsidRDefault="00750765" w:rsidP="00750765">
            <w:pPr>
              <w:jc w:val="center"/>
              <w:rPr>
                <w:rFonts w:ascii="Segoe UI Light" w:hAnsi="Segoe UI Light" w:cs="Segoe UI Light"/>
                <w:b/>
                <w:bCs/>
                <w:color w:val="FFFFFF"/>
                <w:sz w:val="20"/>
                <w:szCs w:val="20"/>
              </w:rPr>
            </w:pPr>
            <w:r w:rsidRPr="00750765">
              <w:rPr>
                <w:rFonts w:ascii="Segoe UI Light" w:hAnsi="Segoe UI Light" w:cs="Segoe UI Light"/>
                <w:b/>
                <w:bCs/>
                <w:color w:val="FFFFFF"/>
                <w:sz w:val="20"/>
                <w:szCs w:val="20"/>
              </w:rPr>
              <w:t>MATRIZ DE MATERIALIZACIÓN DE RIESGOS HISTÓRICOS</w:t>
            </w:r>
          </w:p>
        </w:tc>
      </w:tr>
      <w:tr w:rsidR="00750765" w:rsidRPr="00750765" w14:paraId="06EF6ECC" w14:textId="77777777" w:rsidTr="00ED4664">
        <w:trPr>
          <w:trHeight w:val="458"/>
          <w:jc w:val="center"/>
        </w:trPr>
        <w:tc>
          <w:tcPr>
            <w:tcW w:w="8818" w:type="dxa"/>
            <w:gridSpan w:val="7"/>
            <w:vMerge/>
            <w:vAlign w:val="center"/>
            <w:hideMark/>
          </w:tcPr>
          <w:p w14:paraId="06C321AC" w14:textId="77777777" w:rsidR="00750765" w:rsidRPr="00750765" w:rsidRDefault="00750765" w:rsidP="00750765">
            <w:pPr>
              <w:rPr>
                <w:rFonts w:ascii="Segoe UI Light" w:hAnsi="Segoe UI Light" w:cs="Segoe UI Light"/>
                <w:b/>
                <w:bCs/>
                <w:color w:val="FFFFFF"/>
                <w:sz w:val="20"/>
                <w:szCs w:val="20"/>
              </w:rPr>
            </w:pPr>
          </w:p>
        </w:tc>
      </w:tr>
      <w:tr w:rsidR="00750765" w:rsidRPr="00750765" w14:paraId="3B0E984E" w14:textId="77777777" w:rsidTr="00ED4664">
        <w:trPr>
          <w:trHeight w:val="250"/>
          <w:jc w:val="center"/>
        </w:trPr>
        <w:tc>
          <w:tcPr>
            <w:tcW w:w="5949" w:type="dxa"/>
            <w:gridSpan w:val="2"/>
            <w:vAlign w:val="center"/>
            <w:hideMark/>
          </w:tcPr>
          <w:p w14:paraId="2A7A3B23" w14:textId="77777777" w:rsidR="00750765" w:rsidRPr="00750765" w:rsidRDefault="00750765" w:rsidP="00750765">
            <w:pPr>
              <w:jc w:val="center"/>
              <w:rPr>
                <w:rFonts w:ascii="Segoe UI Light" w:hAnsi="Segoe UI Light" w:cs="Segoe UI Light"/>
                <w:b/>
                <w:bCs/>
                <w:color w:val="000000"/>
                <w:sz w:val="20"/>
                <w:szCs w:val="20"/>
              </w:rPr>
            </w:pPr>
            <w:r w:rsidRPr="00750765">
              <w:rPr>
                <w:rFonts w:ascii="Segoe UI Light" w:hAnsi="Segoe UI Light" w:cs="Segoe UI Light"/>
                <w:b/>
                <w:bCs/>
                <w:color w:val="000000"/>
                <w:sz w:val="20"/>
                <w:szCs w:val="20"/>
              </w:rPr>
              <w:t>Riesgos fiscales</w:t>
            </w:r>
          </w:p>
        </w:tc>
        <w:tc>
          <w:tcPr>
            <w:tcW w:w="2869" w:type="dxa"/>
            <w:gridSpan w:val="5"/>
            <w:noWrap/>
            <w:vAlign w:val="center"/>
            <w:hideMark/>
          </w:tcPr>
          <w:p w14:paraId="2E3B7BF1" w14:textId="77777777" w:rsidR="00750765" w:rsidRPr="00750765" w:rsidRDefault="00750765" w:rsidP="00750765">
            <w:pPr>
              <w:jc w:val="center"/>
              <w:rPr>
                <w:rFonts w:ascii="Segoe UI Light" w:hAnsi="Segoe UI Light" w:cs="Segoe UI Light"/>
                <w:b/>
                <w:bCs/>
                <w:color w:val="000000"/>
                <w:sz w:val="20"/>
                <w:szCs w:val="20"/>
              </w:rPr>
            </w:pPr>
            <w:r w:rsidRPr="00750765">
              <w:rPr>
                <w:rFonts w:ascii="Segoe UI Light" w:hAnsi="Segoe UI Light" w:cs="Segoe UI Light"/>
                <w:b/>
                <w:bCs/>
                <w:color w:val="000000"/>
                <w:sz w:val="20"/>
                <w:szCs w:val="20"/>
              </w:rPr>
              <w:t>Ejercicios</w:t>
            </w:r>
          </w:p>
        </w:tc>
      </w:tr>
      <w:tr w:rsidR="00750765" w:rsidRPr="00750765" w14:paraId="7F310752" w14:textId="77777777" w:rsidTr="00ED4664">
        <w:trPr>
          <w:trHeight w:val="255"/>
          <w:jc w:val="center"/>
        </w:trPr>
        <w:tc>
          <w:tcPr>
            <w:tcW w:w="2263" w:type="dxa"/>
            <w:shd w:val="clear" w:color="000000" w:fill="F2F2F2"/>
            <w:vAlign w:val="center"/>
            <w:hideMark/>
          </w:tcPr>
          <w:p w14:paraId="39F5B450" w14:textId="77777777" w:rsidR="00750765" w:rsidRPr="00750765" w:rsidRDefault="00750765" w:rsidP="00750765">
            <w:pPr>
              <w:jc w:val="center"/>
              <w:rPr>
                <w:rFonts w:ascii="Segoe UI Light" w:hAnsi="Segoe UI Light" w:cs="Segoe UI Light"/>
                <w:b/>
                <w:bCs/>
                <w:color w:val="000000"/>
                <w:sz w:val="20"/>
                <w:szCs w:val="20"/>
              </w:rPr>
            </w:pPr>
            <w:r w:rsidRPr="00750765">
              <w:rPr>
                <w:rFonts w:ascii="Segoe UI Light" w:hAnsi="Segoe UI Light" w:cs="Segoe UI Light"/>
                <w:b/>
                <w:bCs/>
                <w:color w:val="000000"/>
                <w:sz w:val="20"/>
                <w:szCs w:val="20"/>
              </w:rPr>
              <w:t>Categoría de riesgo fiscal</w:t>
            </w:r>
          </w:p>
        </w:tc>
        <w:tc>
          <w:tcPr>
            <w:tcW w:w="3686" w:type="dxa"/>
            <w:vAlign w:val="center"/>
            <w:hideMark/>
          </w:tcPr>
          <w:p w14:paraId="221341F2" w14:textId="77777777" w:rsidR="00750765" w:rsidRPr="00750765" w:rsidRDefault="00750765" w:rsidP="00750765">
            <w:pPr>
              <w:jc w:val="center"/>
              <w:rPr>
                <w:rFonts w:ascii="Segoe UI Light" w:hAnsi="Segoe UI Light" w:cs="Segoe UI Light"/>
                <w:b/>
                <w:bCs/>
                <w:color w:val="000000"/>
                <w:sz w:val="20"/>
                <w:szCs w:val="20"/>
              </w:rPr>
            </w:pPr>
            <w:r w:rsidRPr="00750765">
              <w:rPr>
                <w:rFonts w:ascii="Segoe UI Light" w:hAnsi="Segoe UI Light" w:cs="Segoe UI Light"/>
                <w:b/>
                <w:bCs/>
                <w:color w:val="000000"/>
                <w:sz w:val="20"/>
                <w:szCs w:val="20"/>
              </w:rPr>
              <w:t>Fuentes de riesgo fiscal</w:t>
            </w:r>
          </w:p>
        </w:tc>
        <w:tc>
          <w:tcPr>
            <w:tcW w:w="567" w:type="dxa"/>
            <w:noWrap/>
            <w:vAlign w:val="center"/>
            <w:hideMark/>
          </w:tcPr>
          <w:p w14:paraId="57D5B56F" w14:textId="77777777" w:rsidR="00750765" w:rsidRPr="00750765" w:rsidRDefault="00750765" w:rsidP="00750765">
            <w:pPr>
              <w:jc w:val="center"/>
              <w:rPr>
                <w:rFonts w:ascii="Segoe UI Light" w:hAnsi="Segoe UI Light" w:cs="Segoe UI Light"/>
                <w:b/>
                <w:bCs/>
                <w:sz w:val="20"/>
                <w:szCs w:val="20"/>
              </w:rPr>
            </w:pPr>
            <w:r w:rsidRPr="00750765">
              <w:rPr>
                <w:rFonts w:ascii="Segoe UI Light" w:hAnsi="Segoe UI Light" w:cs="Segoe UI Light"/>
                <w:b/>
                <w:bCs/>
                <w:sz w:val="20"/>
                <w:szCs w:val="20"/>
              </w:rPr>
              <w:t>2018</w:t>
            </w:r>
          </w:p>
        </w:tc>
        <w:tc>
          <w:tcPr>
            <w:tcW w:w="567" w:type="dxa"/>
            <w:noWrap/>
            <w:vAlign w:val="center"/>
            <w:hideMark/>
          </w:tcPr>
          <w:p w14:paraId="3C9E38F8" w14:textId="77777777" w:rsidR="00750765" w:rsidRPr="00750765" w:rsidRDefault="00750765" w:rsidP="00750765">
            <w:pPr>
              <w:jc w:val="center"/>
              <w:rPr>
                <w:rFonts w:ascii="Segoe UI Light" w:hAnsi="Segoe UI Light" w:cs="Segoe UI Light"/>
                <w:b/>
                <w:bCs/>
                <w:sz w:val="20"/>
                <w:szCs w:val="20"/>
              </w:rPr>
            </w:pPr>
            <w:r w:rsidRPr="00750765">
              <w:rPr>
                <w:rFonts w:ascii="Segoe UI Light" w:hAnsi="Segoe UI Light" w:cs="Segoe UI Light"/>
                <w:b/>
                <w:bCs/>
                <w:sz w:val="20"/>
                <w:szCs w:val="20"/>
              </w:rPr>
              <w:t>2019</w:t>
            </w:r>
          </w:p>
        </w:tc>
        <w:tc>
          <w:tcPr>
            <w:tcW w:w="567" w:type="dxa"/>
            <w:noWrap/>
            <w:vAlign w:val="center"/>
            <w:hideMark/>
          </w:tcPr>
          <w:p w14:paraId="1CFC4D2D" w14:textId="77777777" w:rsidR="00750765" w:rsidRPr="00750765" w:rsidRDefault="00750765" w:rsidP="00750765">
            <w:pPr>
              <w:jc w:val="center"/>
              <w:rPr>
                <w:rFonts w:ascii="Segoe UI Light" w:hAnsi="Segoe UI Light" w:cs="Segoe UI Light"/>
                <w:b/>
                <w:bCs/>
                <w:sz w:val="20"/>
                <w:szCs w:val="20"/>
              </w:rPr>
            </w:pPr>
            <w:r w:rsidRPr="00750765">
              <w:rPr>
                <w:rFonts w:ascii="Segoe UI Light" w:hAnsi="Segoe UI Light" w:cs="Segoe UI Light"/>
                <w:b/>
                <w:bCs/>
                <w:sz w:val="20"/>
                <w:szCs w:val="20"/>
              </w:rPr>
              <w:t>2020</w:t>
            </w:r>
          </w:p>
        </w:tc>
        <w:tc>
          <w:tcPr>
            <w:tcW w:w="567" w:type="dxa"/>
            <w:noWrap/>
            <w:vAlign w:val="center"/>
            <w:hideMark/>
          </w:tcPr>
          <w:p w14:paraId="16296AFA" w14:textId="77777777" w:rsidR="00750765" w:rsidRPr="00750765" w:rsidRDefault="00750765" w:rsidP="00750765">
            <w:pPr>
              <w:jc w:val="center"/>
              <w:rPr>
                <w:rFonts w:ascii="Segoe UI Light" w:hAnsi="Segoe UI Light" w:cs="Segoe UI Light"/>
                <w:b/>
                <w:bCs/>
                <w:sz w:val="20"/>
                <w:szCs w:val="20"/>
              </w:rPr>
            </w:pPr>
            <w:r w:rsidRPr="00750765">
              <w:rPr>
                <w:rFonts w:ascii="Segoe UI Light" w:hAnsi="Segoe UI Light" w:cs="Segoe UI Light"/>
                <w:b/>
                <w:bCs/>
                <w:sz w:val="20"/>
                <w:szCs w:val="20"/>
              </w:rPr>
              <w:t>2021</w:t>
            </w:r>
          </w:p>
        </w:tc>
        <w:tc>
          <w:tcPr>
            <w:tcW w:w="601" w:type="dxa"/>
            <w:noWrap/>
            <w:vAlign w:val="center"/>
            <w:hideMark/>
          </w:tcPr>
          <w:p w14:paraId="4DF9B211" w14:textId="77777777" w:rsidR="00750765" w:rsidRPr="00750765" w:rsidRDefault="00750765" w:rsidP="00750765">
            <w:pPr>
              <w:jc w:val="center"/>
              <w:rPr>
                <w:rFonts w:ascii="Segoe UI Light" w:hAnsi="Segoe UI Light" w:cs="Segoe UI Light"/>
                <w:b/>
                <w:bCs/>
                <w:sz w:val="20"/>
                <w:szCs w:val="20"/>
              </w:rPr>
            </w:pPr>
            <w:r w:rsidRPr="00750765">
              <w:rPr>
                <w:rFonts w:ascii="Segoe UI Light" w:hAnsi="Segoe UI Light" w:cs="Segoe UI Light"/>
                <w:b/>
                <w:bCs/>
                <w:sz w:val="20"/>
                <w:szCs w:val="20"/>
              </w:rPr>
              <w:t>2022</w:t>
            </w:r>
          </w:p>
        </w:tc>
      </w:tr>
      <w:tr w:rsidR="00750765" w:rsidRPr="00750765" w14:paraId="34AD1939" w14:textId="77777777" w:rsidTr="00C15373">
        <w:trPr>
          <w:trHeight w:val="336"/>
          <w:jc w:val="center"/>
        </w:trPr>
        <w:tc>
          <w:tcPr>
            <w:tcW w:w="2263" w:type="dxa"/>
            <w:shd w:val="clear" w:color="000000" w:fill="F2F2F2"/>
            <w:vAlign w:val="center"/>
            <w:hideMark/>
          </w:tcPr>
          <w:p w14:paraId="16F2CA21" w14:textId="77777777" w:rsidR="00750765" w:rsidRPr="00750765" w:rsidRDefault="00750765" w:rsidP="00750765">
            <w:pPr>
              <w:jc w:val="center"/>
              <w:rPr>
                <w:rFonts w:ascii="Segoe UI Light" w:hAnsi="Segoe UI Light" w:cs="Segoe UI Light"/>
                <w:color w:val="000000"/>
                <w:sz w:val="20"/>
                <w:szCs w:val="20"/>
              </w:rPr>
            </w:pPr>
            <w:r w:rsidRPr="00750765">
              <w:rPr>
                <w:rFonts w:ascii="Segoe UI Light" w:hAnsi="Segoe UI Light" w:cs="Segoe UI Light"/>
                <w:color w:val="000000"/>
                <w:sz w:val="20"/>
                <w:szCs w:val="20"/>
              </w:rPr>
              <w:t>Riesgos macroeconómicos</w:t>
            </w:r>
          </w:p>
        </w:tc>
        <w:tc>
          <w:tcPr>
            <w:tcW w:w="3686" w:type="dxa"/>
            <w:noWrap/>
            <w:vAlign w:val="center"/>
            <w:hideMark/>
          </w:tcPr>
          <w:p w14:paraId="7B4118D8" w14:textId="77777777" w:rsidR="00750765" w:rsidRPr="00750765" w:rsidRDefault="00750765" w:rsidP="00750765">
            <w:pPr>
              <w:ind w:firstLineChars="100" w:firstLine="200"/>
              <w:rPr>
                <w:rFonts w:ascii="Segoe UI Light" w:hAnsi="Segoe UI Light" w:cs="Segoe UI Light"/>
                <w:color w:val="000000"/>
                <w:sz w:val="20"/>
                <w:szCs w:val="20"/>
              </w:rPr>
            </w:pPr>
            <w:r w:rsidRPr="00750765">
              <w:rPr>
                <w:rFonts w:ascii="Segoe UI Light" w:hAnsi="Segoe UI Light" w:cs="Segoe UI Light"/>
                <w:color w:val="000000"/>
                <w:sz w:val="20"/>
                <w:szCs w:val="20"/>
              </w:rPr>
              <w:t>Riesgos macroeconómicos</w:t>
            </w:r>
          </w:p>
        </w:tc>
        <w:tc>
          <w:tcPr>
            <w:tcW w:w="567" w:type="dxa"/>
            <w:shd w:val="clear" w:color="000000" w:fill="F2F2F2"/>
            <w:noWrap/>
            <w:vAlign w:val="center"/>
          </w:tcPr>
          <w:p w14:paraId="0B6313E7"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72FF3B17"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F0000"/>
            <w:noWrap/>
            <w:vAlign w:val="center"/>
          </w:tcPr>
          <w:p w14:paraId="448AC7B5" w14:textId="77777777" w:rsidR="00750765" w:rsidRPr="00750765" w:rsidRDefault="00750765" w:rsidP="00750765">
            <w:pPr>
              <w:jc w:val="center"/>
              <w:rPr>
                <w:rFonts w:ascii="Segoe UI Light" w:hAnsi="Segoe UI Light" w:cs="Segoe UI Light"/>
                <w:color w:val="FF0000"/>
                <w:sz w:val="20"/>
                <w:szCs w:val="20"/>
              </w:rPr>
            </w:pPr>
          </w:p>
        </w:tc>
        <w:tc>
          <w:tcPr>
            <w:tcW w:w="567" w:type="dxa"/>
            <w:shd w:val="clear" w:color="auto" w:fill="auto"/>
            <w:noWrap/>
            <w:vAlign w:val="center"/>
          </w:tcPr>
          <w:p w14:paraId="1B1C4964" w14:textId="77777777" w:rsidR="00750765" w:rsidRPr="00750765" w:rsidRDefault="00750765" w:rsidP="00750765">
            <w:pPr>
              <w:jc w:val="center"/>
              <w:rPr>
                <w:rFonts w:ascii="Segoe UI Light" w:hAnsi="Segoe UI Light" w:cs="Segoe UI Light"/>
                <w:color w:val="92D050"/>
                <w:sz w:val="20"/>
                <w:szCs w:val="20"/>
              </w:rPr>
            </w:pPr>
          </w:p>
        </w:tc>
        <w:tc>
          <w:tcPr>
            <w:tcW w:w="601" w:type="dxa"/>
            <w:shd w:val="clear" w:color="000000" w:fill="92D050"/>
            <w:noWrap/>
            <w:vAlign w:val="center"/>
          </w:tcPr>
          <w:p w14:paraId="2738449E" w14:textId="77777777" w:rsidR="00750765" w:rsidRPr="00750765" w:rsidRDefault="00750765" w:rsidP="00750765">
            <w:pPr>
              <w:jc w:val="center"/>
              <w:rPr>
                <w:rFonts w:ascii="Segoe UI Light" w:hAnsi="Segoe UI Light" w:cs="Segoe UI Light"/>
                <w:color w:val="92D050"/>
                <w:sz w:val="20"/>
                <w:szCs w:val="20"/>
              </w:rPr>
            </w:pPr>
          </w:p>
        </w:tc>
      </w:tr>
      <w:tr w:rsidR="00750765" w:rsidRPr="00750765" w14:paraId="47D4387B" w14:textId="77777777" w:rsidTr="00C15373">
        <w:trPr>
          <w:trHeight w:val="88"/>
          <w:jc w:val="center"/>
        </w:trPr>
        <w:tc>
          <w:tcPr>
            <w:tcW w:w="2263" w:type="dxa"/>
            <w:vMerge w:val="restart"/>
            <w:vAlign w:val="center"/>
            <w:hideMark/>
          </w:tcPr>
          <w:p w14:paraId="6FAD5F8B" w14:textId="77777777" w:rsidR="00750765" w:rsidRPr="00750765" w:rsidRDefault="00750765" w:rsidP="00750765">
            <w:pPr>
              <w:jc w:val="center"/>
              <w:rPr>
                <w:rFonts w:ascii="Segoe UI Light" w:hAnsi="Segoe UI Light" w:cs="Segoe UI Light"/>
                <w:color w:val="000000"/>
                <w:sz w:val="20"/>
                <w:szCs w:val="20"/>
              </w:rPr>
            </w:pPr>
            <w:r w:rsidRPr="00750765">
              <w:rPr>
                <w:rFonts w:ascii="Segoe UI Light" w:hAnsi="Segoe UI Light" w:cs="Segoe UI Light"/>
                <w:color w:val="000000"/>
                <w:sz w:val="20"/>
                <w:szCs w:val="20"/>
              </w:rPr>
              <w:t>Riesgos Específicos</w:t>
            </w:r>
          </w:p>
        </w:tc>
        <w:tc>
          <w:tcPr>
            <w:tcW w:w="3686" w:type="dxa"/>
            <w:noWrap/>
            <w:vAlign w:val="center"/>
            <w:hideMark/>
          </w:tcPr>
          <w:p w14:paraId="69374E68" w14:textId="77777777" w:rsidR="00750765" w:rsidRPr="00750765" w:rsidRDefault="00750765" w:rsidP="00750765">
            <w:pPr>
              <w:ind w:firstLineChars="100" w:firstLine="200"/>
              <w:rPr>
                <w:rFonts w:ascii="Segoe UI Light" w:hAnsi="Segoe UI Light" w:cs="Segoe UI Light"/>
                <w:sz w:val="20"/>
                <w:szCs w:val="20"/>
              </w:rPr>
            </w:pPr>
            <w:r w:rsidRPr="00750765">
              <w:rPr>
                <w:rFonts w:ascii="Segoe UI Light" w:hAnsi="Segoe UI Light" w:cs="Segoe UI Light"/>
                <w:sz w:val="20"/>
                <w:szCs w:val="20"/>
              </w:rPr>
              <w:t>Empresas públicas</w:t>
            </w:r>
          </w:p>
        </w:tc>
        <w:tc>
          <w:tcPr>
            <w:tcW w:w="567" w:type="dxa"/>
            <w:shd w:val="clear" w:color="000000" w:fill="F2F2F2"/>
            <w:noWrap/>
            <w:vAlign w:val="center"/>
          </w:tcPr>
          <w:p w14:paraId="09C7CFD0"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517C24D8"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92D050"/>
            <w:noWrap/>
            <w:vAlign w:val="center"/>
          </w:tcPr>
          <w:p w14:paraId="229E5AD9" w14:textId="77777777" w:rsidR="00750765" w:rsidRPr="00750765" w:rsidRDefault="00750765" w:rsidP="00750765">
            <w:pPr>
              <w:jc w:val="center"/>
              <w:rPr>
                <w:rFonts w:ascii="Segoe UI Light" w:hAnsi="Segoe UI Light" w:cs="Segoe UI Light"/>
                <w:color w:val="92D050"/>
                <w:sz w:val="20"/>
                <w:szCs w:val="20"/>
              </w:rPr>
            </w:pPr>
          </w:p>
        </w:tc>
        <w:tc>
          <w:tcPr>
            <w:tcW w:w="567" w:type="dxa"/>
            <w:shd w:val="clear" w:color="000000" w:fill="F2F2F2"/>
            <w:noWrap/>
            <w:vAlign w:val="center"/>
          </w:tcPr>
          <w:p w14:paraId="300FEB48" w14:textId="77777777" w:rsidR="00750765" w:rsidRPr="00750765" w:rsidRDefault="00750765" w:rsidP="00750765">
            <w:pPr>
              <w:jc w:val="center"/>
              <w:rPr>
                <w:rFonts w:ascii="Segoe UI Light" w:hAnsi="Segoe UI Light" w:cs="Segoe UI Light"/>
                <w:color w:val="000000"/>
                <w:sz w:val="20"/>
                <w:szCs w:val="20"/>
              </w:rPr>
            </w:pPr>
          </w:p>
        </w:tc>
        <w:tc>
          <w:tcPr>
            <w:tcW w:w="601" w:type="dxa"/>
            <w:shd w:val="clear" w:color="000000" w:fill="92D050"/>
            <w:noWrap/>
            <w:vAlign w:val="center"/>
          </w:tcPr>
          <w:p w14:paraId="6DC208B0" w14:textId="77777777" w:rsidR="00750765" w:rsidRPr="00750765" w:rsidRDefault="00750765" w:rsidP="00750765">
            <w:pPr>
              <w:jc w:val="center"/>
              <w:rPr>
                <w:rFonts w:ascii="Segoe UI Light" w:hAnsi="Segoe UI Light" w:cs="Segoe UI Light"/>
                <w:color w:val="92D050"/>
                <w:sz w:val="20"/>
                <w:szCs w:val="20"/>
              </w:rPr>
            </w:pPr>
          </w:p>
        </w:tc>
      </w:tr>
      <w:tr w:rsidR="00750765" w:rsidRPr="00750765" w14:paraId="60D71888" w14:textId="77777777" w:rsidTr="00ED4664">
        <w:trPr>
          <w:trHeight w:val="234"/>
          <w:jc w:val="center"/>
        </w:trPr>
        <w:tc>
          <w:tcPr>
            <w:tcW w:w="2263" w:type="dxa"/>
            <w:vMerge/>
            <w:vAlign w:val="center"/>
            <w:hideMark/>
          </w:tcPr>
          <w:p w14:paraId="338799EE" w14:textId="77777777" w:rsidR="00750765" w:rsidRPr="00750765" w:rsidRDefault="00750765" w:rsidP="00750765">
            <w:pPr>
              <w:rPr>
                <w:rFonts w:ascii="Segoe UI Light" w:hAnsi="Segoe UI Light" w:cs="Segoe UI Light"/>
                <w:color w:val="000000"/>
                <w:sz w:val="20"/>
                <w:szCs w:val="20"/>
              </w:rPr>
            </w:pPr>
          </w:p>
        </w:tc>
        <w:tc>
          <w:tcPr>
            <w:tcW w:w="3686" w:type="dxa"/>
            <w:noWrap/>
            <w:vAlign w:val="center"/>
            <w:hideMark/>
          </w:tcPr>
          <w:p w14:paraId="742911BB" w14:textId="77777777" w:rsidR="00750765" w:rsidRPr="00750765" w:rsidRDefault="00750765" w:rsidP="00750765">
            <w:pPr>
              <w:ind w:firstLineChars="100" w:firstLine="200"/>
              <w:rPr>
                <w:rFonts w:ascii="Segoe UI Light" w:hAnsi="Segoe UI Light" w:cs="Segoe UI Light"/>
                <w:sz w:val="20"/>
                <w:szCs w:val="20"/>
              </w:rPr>
            </w:pPr>
            <w:r w:rsidRPr="00750765">
              <w:rPr>
                <w:rFonts w:ascii="Segoe UI Light" w:hAnsi="Segoe UI Light" w:cs="Segoe UI Light"/>
                <w:sz w:val="20"/>
                <w:szCs w:val="20"/>
              </w:rPr>
              <w:t>Garantías del gobierno</w:t>
            </w:r>
          </w:p>
        </w:tc>
        <w:tc>
          <w:tcPr>
            <w:tcW w:w="567" w:type="dxa"/>
            <w:shd w:val="clear" w:color="000000" w:fill="F2F2F2"/>
            <w:noWrap/>
            <w:vAlign w:val="center"/>
          </w:tcPr>
          <w:p w14:paraId="669A1DB4"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41727C73"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601D1D7E"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5801632F" w14:textId="77777777" w:rsidR="00750765" w:rsidRPr="00750765" w:rsidRDefault="00750765" w:rsidP="00750765">
            <w:pPr>
              <w:jc w:val="center"/>
              <w:rPr>
                <w:rFonts w:ascii="Segoe UI Light" w:hAnsi="Segoe UI Light" w:cs="Segoe UI Light"/>
                <w:color w:val="000000"/>
                <w:sz w:val="20"/>
                <w:szCs w:val="20"/>
              </w:rPr>
            </w:pPr>
          </w:p>
        </w:tc>
        <w:tc>
          <w:tcPr>
            <w:tcW w:w="601" w:type="dxa"/>
            <w:shd w:val="clear" w:color="000000" w:fill="F2F2F2"/>
            <w:noWrap/>
            <w:vAlign w:val="center"/>
          </w:tcPr>
          <w:p w14:paraId="4846D7F1" w14:textId="77777777" w:rsidR="00750765" w:rsidRPr="00750765" w:rsidRDefault="00750765" w:rsidP="00750765">
            <w:pPr>
              <w:jc w:val="center"/>
              <w:rPr>
                <w:rFonts w:ascii="Segoe UI Light" w:hAnsi="Segoe UI Light" w:cs="Segoe UI Light"/>
                <w:color w:val="000000"/>
                <w:sz w:val="20"/>
                <w:szCs w:val="20"/>
              </w:rPr>
            </w:pPr>
          </w:p>
        </w:tc>
      </w:tr>
      <w:tr w:rsidR="00750765" w:rsidRPr="00750765" w14:paraId="1B5750BD" w14:textId="77777777" w:rsidTr="00ED4664">
        <w:trPr>
          <w:trHeight w:val="234"/>
          <w:jc w:val="center"/>
        </w:trPr>
        <w:tc>
          <w:tcPr>
            <w:tcW w:w="2263" w:type="dxa"/>
            <w:vMerge/>
            <w:vAlign w:val="center"/>
            <w:hideMark/>
          </w:tcPr>
          <w:p w14:paraId="36D50D65" w14:textId="77777777" w:rsidR="00750765" w:rsidRPr="00750765" w:rsidRDefault="00750765" w:rsidP="00750765">
            <w:pPr>
              <w:rPr>
                <w:rFonts w:ascii="Segoe UI Light" w:hAnsi="Segoe UI Light" w:cs="Segoe UI Light"/>
                <w:color w:val="000000"/>
                <w:sz w:val="20"/>
                <w:szCs w:val="20"/>
              </w:rPr>
            </w:pPr>
          </w:p>
        </w:tc>
        <w:tc>
          <w:tcPr>
            <w:tcW w:w="3686" w:type="dxa"/>
            <w:noWrap/>
            <w:vAlign w:val="center"/>
            <w:hideMark/>
          </w:tcPr>
          <w:p w14:paraId="266FBC6D" w14:textId="77777777" w:rsidR="00750765" w:rsidRPr="00750765" w:rsidRDefault="00750765" w:rsidP="00750765">
            <w:pPr>
              <w:ind w:firstLineChars="100" w:firstLine="200"/>
              <w:rPr>
                <w:rFonts w:ascii="Segoe UI Light" w:hAnsi="Segoe UI Light" w:cs="Segoe UI Light"/>
                <w:sz w:val="20"/>
                <w:szCs w:val="20"/>
              </w:rPr>
            </w:pPr>
            <w:r w:rsidRPr="00750765">
              <w:rPr>
                <w:rFonts w:ascii="Segoe UI Light" w:hAnsi="Segoe UI Light" w:cs="Segoe UI Light"/>
                <w:sz w:val="20"/>
                <w:szCs w:val="20"/>
              </w:rPr>
              <w:t>Sector financiero</w:t>
            </w:r>
          </w:p>
        </w:tc>
        <w:tc>
          <w:tcPr>
            <w:tcW w:w="567" w:type="dxa"/>
            <w:shd w:val="clear" w:color="000000" w:fill="F2F2F2"/>
            <w:noWrap/>
            <w:vAlign w:val="center"/>
          </w:tcPr>
          <w:p w14:paraId="279C682F"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auto" w:fill="92D050"/>
            <w:noWrap/>
            <w:vAlign w:val="center"/>
          </w:tcPr>
          <w:p w14:paraId="36558A99"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0AB2D9EA"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0A5EA0AE" w14:textId="77777777" w:rsidR="00750765" w:rsidRPr="00750765" w:rsidRDefault="00750765" w:rsidP="00750765">
            <w:pPr>
              <w:jc w:val="center"/>
              <w:rPr>
                <w:rFonts w:ascii="Segoe UI Light" w:hAnsi="Segoe UI Light" w:cs="Segoe UI Light"/>
                <w:color w:val="000000"/>
                <w:sz w:val="20"/>
                <w:szCs w:val="20"/>
              </w:rPr>
            </w:pPr>
          </w:p>
        </w:tc>
        <w:tc>
          <w:tcPr>
            <w:tcW w:w="601" w:type="dxa"/>
            <w:shd w:val="clear" w:color="000000" w:fill="F2F2F2"/>
            <w:noWrap/>
            <w:vAlign w:val="center"/>
          </w:tcPr>
          <w:p w14:paraId="6B46EF4D" w14:textId="77777777" w:rsidR="00750765" w:rsidRPr="00750765" w:rsidRDefault="00750765" w:rsidP="00750765">
            <w:pPr>
              <w:jc w:val="center"/>
              <w:rPr>
                <w:rFonts w:ascii="Segoe UI Light" w:hAnsi="Segoe UI Light" w:cs="Segoe UI Light"/>
                <w:color w:val="000000"/>
                <w:sz w:val="20"/>
                <w:szCs w:val="20"/>
              </w:rPr>
            </w:pPr>
          </w:p>
        </w:tc>
      </w:tr>
      <w:tr w:rsidR="00750765" w:rsidRPr="00750765" w14:paraId="2D120036" w14:textId="77777777" w:rsidTr="00ED4664">
        <w:trPr>
          <w:trHeight w:val="234"/>
          <w:jc w:val="center"/>
        </w:trPr>
        <w:tc>
          <w:tcPr>
            <w:tcW w:w="2263" w:type="dxa"/>
            <w:vMerge/>
            <w:vAlign w:val="center"/>
            <w:hideMark/>
          </w:tcPr>
          <w:p w14:paraId="7FC12E8F" w14:textId="77777777" w:rsidR="00750765" w:rsidRPr="00750765" w:rsidRDefault="00750765" w:rsidP="00750765">
            <w:pPr>
              <w:rPr>
                <w:rFonts w:ascii="Segoe UI Light" w:hAnsi="Segoe UI Light" w:cs="Segoe UI Light"/>
                <w:color w:val="000000"/>
                <w:sz w:val="20"/>
                <w:szCs w:val="20"/>
              </w:rPr>
            </w:pPr>
          </w:p>
        </w:tc>
        <w:tc>
          <w:tcPr>
            <w:tcW w:w="3686" w:type="dxa"/>
            <w:noWrap/>
            <w:vAlign w:val="center"/>
            <w:hideMark/>
          </w:tcPr>
          <w:p w14:paraId="3124243A" w14:textId="77777777" w:rsidR="00750765" w:rsidRPr="00750765" w:rsidRDefault="00750765" w:rsidP="00750765">
            <w:pPr>
              <w:ind w:firstLineChars="100" w:firstLine="200"/>
              <w:rPr>
                <w:rFonts w:ascii="Segoe UI Light" w:hAnsi="Segoe UI Light" w:cs="Segoe UI Light"/>
                <w:sz w:val="20"/>
                <w:szCs w:val="20"/>
              </w:rPr>
            </w:pPr>
            <w:r w:rsidRPr="00750765">
              <w:rPr>
                <w:rFonts w:ascii="Segoe UI Light" w:hAnsi="Segoe UI Light" w:cs="Segoe UI Light"/>
                <w:sz w:val="20"/>
                <w:szCs w:val="20"/>
              </w:rPr>
              <w:t>Riesgos ambientales</w:t>
            </w:r>
          </w:p>
        </w:tc>
        <w:tc>
          <w:tcPr>
            <w:tcW w:w="567" w:type="dxa"/>
            <w:shd w:val="clear" w:color="000000" w:fill="DEC000"/>
            <w:noWrap/>
            <w:vAlign w:val="center"/>
          </w:tcPr>
          <w:p w14:paraId="528E9DB6" w14:textId="77777777" w:rsidR="00750765" w:rsidRPr="00750765" w:rsidRDefault="00750765" w:rsidP="00750765">
            <w:pPr>
              <w:jc w:val="center"/>
              <w:rPr>
                <w:rFonts w:ascii="Segoe UI Light" w:hAnsi="Segoe UI Light" w:cs="Segoe UI Light"/>
                <w:color w:val="FFC000"/>
                <w:sz w:val="20"/>
                <w:szCs w:val="20"/>
              </w:rPr>
            </w:pPr>
          </w:p>
        </w:tc>
        <w:tc>
          <w:tcPr>
            <w:tcW w:w="567" w:type="dxa"/>
            <w:shd w:val="clear" w:color="000000" w:fill="F2F2F2"/>
            <w:noWrap/>
            <w:vAlign w:val="center"/>
          </w:tcPr>
          <w:p w14:paraId="44452463"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F0000"/>
            <w:noWrap/>
            <w:vAlign w:val="center"/>
          </w:tcPr>
          <w:p w14:paraId="2B91B891" w14:textId="77777777" w:rsidR="00750765" w:rsidRPr="00750765" w:rsidRDefault="00750765" w:rsidP="00750765">
            <w:pPr>
              <w:jc w:val="center"/>
              <w:rPr>
                <w:rFonts w:ascii="Segoe UI Light" w:hAnsi="Segoe UI Light" w:cs="Segoe UI Light"/>
                <w:color w:val="FF0000"/>
                <w:sz w:val="20"/>
                <w:szCs w:val="20"/>
              </w:rPr>
            </w:pPr>
          </w:p>
        </w:tc>
        <w:tc>
          <w:tcPr>
            <w:tcW w:w="567" w:type="dxa"/>
            <w:shd w:val="clear" w:color="000000" w:fill="92D050"/>
            <w:noWrap/>
            <w:vAlign w:val="center"/>
          </w:tcPr>
          <w:p w14:paraId="10625AE9" w14:textId="77777777" w:rsidR="00750765" w:rsidRPr="00750765" w:rsidRDefault="00750765" w:rsidP="00750765">
            <w:pPr>
              <w:jc w:val="center"/>
              <w:rPr>
                <w:rFonts w:ascii="Segoe UI Light" w:hAnsi="Segoe UI Light" w:cs="Segoe UI Light"/>
                <w:color w:val="92D050"/>
                <w:sz w:val="20"/>
                <w:szCs w:val="20"/>
              </w:rPr>
            </w:pPr>
          </w:p>
        </w:tc>
        <w:tc>
          <w:tcPr>
            <w:tcW w:w="601" w:type="dxa"/>
            <w:shd w:val="clear" w:color="000000" w:fill="DEC000"/>
            <w:noWrap/>
            <w:vAlign w:val="center"/>
          </w:tcPr>
          <w:p w14:paraId="28465405" w14:textId="77777777" w:rsidR="00750765" w:rsidRPr="00750765" w:rsidRDefault="00750765" w:rsidP="00750765">
            <w:pPr>
              <w:jc w:val="center"/>
              <w:rPr>
                <w:rFonts w:ascii="Segoe UI Light" w:hAnsi="Segoe UI Light" w:cs="Segoe UI Light"/>
                <w:color w:val="FFC000"/>
                <w:sz w:val="20"/>
                <w:szCs w:val="20"/>
              </w:rPr>
            </w:pPr>
          </w:p>
        </w:tc>
      </w:tr>
      <w:tr w:rsidR="00750765" w:rsidRPr="00750765" w14:paraId="50406488" w14:textId="77777777" w:rsidTr="00ED4664">
        <w:trPr>
          <w:trHeight w:val="234"/>
          <w:jc w:val="center"/>
        </w:trPr>
        <w:tc>
          <w:tcPr>
            <w:tcW w:w="2263" w:type="dxa"/>
            <w:vMerge/>
            <w:vAlign w:val="center"/>
            <w:hideMark/>
          </w:tcPr>
          <w:p w14:paraId="269EDA88" w14:textId="77777777" w:rsidR="00750765" w:rsidRPr="00750765" w:rsidRDefault="00750765" w:rsidP="00750765">
            <w:pPr>
              <w:rPr>
                <w:rFonts w:ascii="Segoe UI Light" w:hAnsi="Segoe UI Light" w:cs="Segoe UI Light"/>
                <w:color w:val="000000"/>
                <w:sz w:val="20"/>
                <w:szCs w:val="20"/>
              </w:rPr>
            </w:pPr>
          </w:p>
        </w:tc>
        <w:tc>
          <w:tcPr>
            <w:tcW w:w="3686" w:type="dxa"/>
            <w:noWrap/>
            <w:vAlign w:val="center"/>
            <w:hideMark/>
          </w:tcPr>
          <w:p w14:paraId="37324EC0" w14:textId="77777777" w:rsidR="00750765" w:rsidRPr="00750765" w:rsidRDefault="00750765" w:rsidP="00750765">
            <w:pPr>
              <w:ind w:firstLineChars="100" w:firstLine="200"/>
              <w:rPr>
                <w:rFonts w:ascii="Segoe UI Light" w:hAnsi="Segoe UI Light" w:cs="Segoe UI Light"/>
                <w:sz w:val="20"/>
                <w:szCs w:val="20"/>
              </w:rPr>
            </w:pPr>
            <w:r w:rsidRPr="00750765">
              <w:rPr>
                <w:rFonts w:ascii="Segoe UI Light" w:hAnsi="Segoe UI Light" w:cs="Segoe UI Light"/>
                <w:sz w:val="20"/>
                <w:szCs w:val="20"/>
              </w:rPr>
              <w:t>Acciones legales contra el Estado</w:t>
            </w:r>
          </w:p>
        </w:tc>
        <w:tc>
          <w:tcPr>
            <w:tcW w:w="567" w:type="dxa"/>
            <w:shd w:val="clear" w:color="auto" w:fill="92D050"/>
            <w:noWrap/>
            <w:vAlign w:val="center"/>
          </w:tcPr>
          <w:p w14:paraId="2003F032"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auto" w:fill="92D050"/>
            <w:noWrap/>
            <w:vAlign w:val="center"/>
          </w:tcPr>
          <w:p w14:paraId="52227CD7"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auto" w:fill="92D050"/>
            <w:noWrap/>
            <w:vAlign w:val="center"/>
          </w:tcPr>
          <w:p w14:paraId="101C134F" w14:textId="77777777" w:rsidR="00750765" w:rsidRPr="00750765" w:rsidRDefault="00750765" w:rsidP="00750765">
            <w:pPr>
              <w:jc w:val="center"/>
              <w:rPr>
                <w:rFonts w:ascii="Segoe UI Light" w:hAnsi="Segoe UI Light" w:cs="Segoe UI Light"/>
                <w:color w:val="92D050"/>
                <w:sz w:val="20"/>
                <w:szCs w:val="20"/>
              </w:rPr>
            </w:pPr>
          </w:p>
        </w:tc>
        <w:tc>
          <w:tcPr>
            <w:tcW w:w="567" w:type="dxa"/>
            <w:shd w:val="clear" w:color="auto" w:fill="92D050"/>
            <w:noWrap/>
            <w:vAlign w:val="center"/>
          </w:tcPr>
          <w:p w14:paraId="201D70F4" w14:textId="77777777" w:rsidR="00750765" w:rsidRPr="00750765" w:rsidRDefault="00750765" w:rsidP="00750765">
            <w:pPr>
              <w:jc w:val="center"/>
              <w:rPr>
                <w:rFonts w:ascii="Segoe UI Light" w:hAnsi="Segoe UI Light" w:cs="Segoe UI Light"/>
                <w:color w:val="000000"/>
                <w:sz w:val="20"/>
                <w:szCs w:val="20"/>
              </w:rPr>
            </w:pPr>
          </w:p>
        </w:tc>
        <w:tc>
          <w:tcPr>
            <w:tcW w:w="601" w:type="dxa"/>
            <w:shd w:val="clear" w:color="auto" w:fill="92D050"/>
            <w:noWrap/>
            <w:vAlign w:val="center"/>
          </w:tcPr>
          <w:p w14:paraId="2482FD69" w14:textId="77777777" w:rsidR="00750765" w:rsidRPr="00750765" w:rsidRDefault="00750765" w:rsidP="00750765">
            <w:pPr>
              <w:jc w:val="center"/>
              <w:rPr>
                <w:rFonts w:ascii="Segoe UI Light" w:hAnsi="Segoe UI Light" w:cs="Segoe UI Light"/>
                <w:color w:val="92D050"/>
                <w:sz w:val="20"/>
                <w:szCs w:val="20"/>
              </w:rPr>
            </w:pPr>
          </w:p>
        </w:tc>
      </w:tr>
      <w:tr w:rsidR="00750765" w:rsidRPr="00750765" w14:paraId="518BAC1C" w14:textId="77777777" w:rsidTr="00ED4664">
        <w:trPr>
          <w:trHeight w:val="234"/>
          <w:jc w:val="center"/>
        </w:trPr>
        <w:tc>
          <w:tcPr>
            <w:tcW w:w="2263" w:type="dxa"/>
            <w:vMerge/>
            <w:vAlign w:val="center"/>
            <w:hideMark/>
          </w:tcPr>
          <w:p w14:paraId="515DA8DF" w14:textId="77777777" w:rsidR="00750765" w:rsidRPr="00750765" w:rsidRDefault="00750765" w:rsidP="00750765">
            <w:pPr>
              <w:rPr>
                <w:rFonts w:ascii="Segoe UI Light" w:hAnsi="Segoe UI Light" w:cs="Segoe UI Light"/>
                <w:color w:val="000000"/>
                <w:sz w:val="20"/>
                <w:szCs w:val="20"/>
              </w:rPr>
            </w:pPr>
          </w:p>
        </w:tc>
        <w:tc>
          <w:tcPr>
            <w:tcW w:w="3686" w:type="dxa"/>
            <w:noWrap/>
            <w:vAlign w:val="center"/>
            <w:hideMark/>
          </w:tcPr>
          <w:p w14:paraId="11244955" w14:textId="77777777" w:rsidR="00750765" w:rsidRPr="00750765" w:rsidRDefault="00750765" w:rsidP="00750765">
            <w:pPr>
              <w:ind w:firstLineChars="100" w:firstLine="200"/>
              <w:rPr>
                <w:rFonts w:ascii="Segoe UI Light" w:hAnsi="Segoe UI Light" w:cs="Segoe UI Light"/>
                <w:sz w:val="20"/>
                <w:szCs w:val="20"/>
              </w:rPr>
            </w:pPr>
            <w:r w:rsidRPr="00750765">
              <w:rPr>
                <w:rFonts w:ascii="Segoe UI Light" w:hAnsi="Segoe UI Light" w:cs="Segoe UI Light"/>
                <w:sz w:val="20"/>
                <w:szCs w:val="20"/>
              </w:rPr>
              <w:t>Gobiernos subnacionales</w:t>
            </w:r>
          </w:p>
        </w:tc>
        <w:tc>
          <w:tcPr>
            <w:tcW w:w="567" w:type="dxa"/>
            <w:shd w:val="clear" w:color="000000" w:fill="F2F2F2"/>
            <w:noWrap/>
            <w:vAlign w:val="center"/>
          </w:tcPr>
          <w:p w14:paraId="381DFEF2"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71CA652D"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7C985253" w14:textId="77777777" w:rsidR="00750765" w:rsidRPr="00750765" w:rsidRDefault="00750765" w:rsidP="00750765">
            <w:pPr>
              <w:jc w:val="center"/>
              <w:rPr>
                <w:rFonts w:ascii="Segoe UI Light" w:hAnsi="Segoe UI Light" w:cs="Segoe UI Light"/>
                <w:color w:val="000000"/>
                <w:sz w:val="20"/>
                <w:szCs w:val="20"/>
              </w:rPr>
            </w:pPr>
          </w:p>
        </w:tc>
        <w:tc>
          <w:tcPr>
            <w:tcW w:w="567" w:type="dxa"/>
            <w:shd w:val="clear" w:color="000000" w:fill="F2F2F2"/>
            <w:noWrap/>
            <w:vAlign w:val="center"/>
          </w:tcPr>
          <w:p w14:paraId="7A9B3867" w14:textId="77777777" w:rsidR="00750765" w:rsidRPr="00750765" w:rsidRDefault="00750765" w:rsidP="00750765">
            <w:pPr>
              <w:jc w:val="center"/>
              <w:rPr>
                <w:rFonts w:ascii="Segoe UI Light" w:hAnsi="Segoe UI Light" w:cs="Segoe UI Light"/>
                <w:color w:val="000000"/>
                <w:sz w:val="20"/>
                <w:szCs w:val="20"/>
              </w:rPr>
            </w:pPr>
          </w:p>
        </w:tc>
        <w:tc>
          <w:tcPr>
            <w:tcW w:w="601" w:type="dxa"/>
            <w:shd w:val="clear" w:color="000000" w:fill="F2F2F2"/>
            <w:noWrap/>
            <w:vAlign w:val="center"/>
          </w:tcPr>
          <w:p w14:paraId="2FCFCA2B" w14:textId="77777777" w:rsidR="00750765" w:rsidRPr="00750765" w:rsidRDefault="00750765" w:rsidP="00750765">
            <w:pPr>
              <w:jc w:val="center"/>
              <w:rPr>
                <w:rFonts w:ascii="Segoe UI Light" w:hAnsi="Segoe UI Light" w:cs="Segoe UI Light"/>
                <w:color w:val="000000"/>
                <w:sz w:val="20"/>
                <w:szCs w:val="20"/>
              </w:rPr>
            </w:pPr>
          </w:p>
        </w:tc>
      </w:tr>
      <w:tr w:rsidR="00750765" w:rsidRPr="00750765" w14:paraId="41C35D8D" w14:textId="77777777" w:rsidTr="00ED4664">
        <w:trPr>
          <w:trHeight w:val="234"/>
          <w:jc w:val="center"/>
        </w:trPr>
        <w:tc>
          <w:tcPr>
            <w:tcW w:w="2263" w:type="dxa"/>
            <w:vMerge/>
            <w:vAlign w:val="center"/>
            <w:hideMark/>
          </w:tcPr>
          <w:p w14:paraId="76569BDD" w14:textId="77777777" w:rsidR="00750765" w:rsidRPr="00750765" w:rsidRDefault="00750765" w:rsidP="00750765">
            <w:pPr>
              <w:rPr>
                <w:rFonts w:ascii="Segoe UI Light" w:hAnsi="Segoe UI Light" w:cs="Segoe UI Light"/>
                <w:color w:val="000000"/>
                <w:sz w:val="20"/>
                <w:szCs w:val="20"/>
              </w:rPr>
            </w:pPr>
          </w:p>
        </w:tc>
        <w:tc>
          <w:tcPr>
            <w:tcW w:w="3686" w:type="dxa"/>
            <w:noWrap/>
            <w:vAlign w:val="center"/>
            <w:hideMark/>
          </w:tcPr>
          <w:p w14:paraId="73A66A7D" w14:textId="77777777" w:rsidR="00750765" w:rsidRPr="00750765" w:rsidRDefault="00750765" w:rsidP="00750765">
            <w:pPr>
              <w:ind w:firstLineChars="100" w:firstLine="200"/>
              <w:rPr>
                <w:rFonts w:ascii="Segoe UI Light" w:hAnsi="Segoe UI Light" w:cs="Segoe UI Light"/>
                <w:sz w:val="20"/>
                <w:szCs w:val="20"/>
              </w:rPr>
            </w:pPr>
            <w:r w:rsidRPr="00750765">
              <w:rPr>
                <w:rFonts w:ascii="Segoe UI Light" w:hAnsi="Segoe UI Light" w:cs="Segoe UI Light"/>
                <w:sz w:val="20"/>
                <w:szCs w:val="20"/>
              </w:rPr>
              <w:t>Recursos naturales</w:t>
            </w:r>
          </w:p>
        </w:tc>
        <w:tc>
          <w:tcPr>
            <w:tcW w:w="567" w:type="dxa"/>
            <w:shd w:val="clear" w:color="000000" w:fill="F2F2F2"/>
            <w:noWrap/>
            <w:vAlign w:val="center"/>
            <w:hideMark/>
          </w:tcPr>
          <w:p w14:paraId="52502B54" w14:textId="77777777" w:rsidR="00750765" w:rsidRPr="00750765" w:rsidRDefault="00750765" w:rsidP="00750765">
            <w:pPr>
              <w:jc w:val="center"/>
              <w:rPr>
                <w:rFonts w:ascii="Segoe UI Light" w:hAnsi="Segoe UI Light" w:cs="Segoe UI Light"/>
                <w:color w:val="000000"/>
                <w:sz w:val="20"/>
                <w:szCs w:val="20"/>
              </w:rPr>
            </w:pPr>
            <w:r w:rsidRPr="00750765">
              <w:rPr>
                <w:rFonts w:ascii="Segoe UI Light" w:hAnsi="Segoe UI Light" w:cs="Segoe UI Light"/>
                <w:color w:val="000000"/>
                <w:sz w:val="20"/>
                <w:szCs w:val="20"/>
              </w:rPr>
              <w:t> </w:t>
            </w:r>
          </w:p>
        </w:tc>
        <w:tc>
          <w:tcPr>
            <w:tcW w:w="567" w:type="dxa"/>
            <w:shd w:val="clear" w:color="000000" w:fill="F2F2F2"/>
            <w:noWrap/>
            <w:vAlign w:val="center"/>
            <w:hideMark/>
          </w:tcPr>
          <w:p w14:paraId="689B2156" w14:textId="77777777" w:rsidR="00750765" w:rsidRPr="00750765" w:rsidRDefault="00750765" w:rsidP="00750765">
            <w:pPr>
              <w:jc w:val="center"/>
              <w:rPr>
                <w:rFonts w:ascii="Segoe UI Light" w:hAnsi="Segoe UI Light" w:cs="Segoe UI Light"/>
                <w:color w:val="000000"/>
                <w:sz w:val="20"/>
                <w:szCs w:val="20"/>
              </w:rPr>
            </w:pPr>
            <w:r w:rsidRPr="00750765">
              <w:rPr>
                <w:rFonts w:ascii="Segoe UI Light" w:hAnsi="Segoe UI Light" w:cs="Segoe UI Light"/>
                <w:color w:val="000000"/>
                <w:sz w:val="20"/>
                <w:szCs w:val="20"/>
              </w:rPr>
              <w:t> </w:t>
            </w:r>
          </w:p>
        </w:tc>
        <w:tc>
          <w:tcPr>
            <w:tcW w:w="567" w:type="dxa"/>
            <w:shd w:val="clear" w:color="000000" w:fill="F2F2F2"/>
            <w:noWrap/>
            <w:vAlign w:val="center"/>
            <w:hideMark/>
          </w:tcPr>
          <w:p w14:paraId="225AC8B2" w14:textId="77777777" w:rsidR="00750765" w:rsidRPr="00750765" w:rsidRDefault="00750765" w:rsidP="00750765">
            <w:pPr>
              <w:jc w:val="center"/>
              <w:rPr>
                <w:rFonts w:ascii="Segoe UI Light" w:hAnsi="Segoe UI Light" w:cs="Segoe UI Light"/>
                <w:color w:val="000000"/>
                <w:sz w:val="20"/>
                <w:szCs w:val="20"/>
              </w:rPr>
            </w:pPr>
            <w:r w:rsidRPr="00750765">
              <w:rPr>
                <w:rFonts w:ascii="Segoe UI Light" w:hAnsi="Segoe UI Light" w:cs="Segoe UI Light"/>
                <w:color w:val="000000"/>
                <w:sz w:val="20"/>
                <w:szCs w:val="20"/>
              </w:rPr>
              <w:t> </w:t>
            </w:r>
          </w:p>
        </w:tc>
        <w:tc>
          <w:tcPr>
            <w:tcW w:w="567" w:type="dxa"/>
            <w:shd w:val="clear" w:color="000000" w:fill="F2F2F2"/>
            <w:noWrap/>
            <w:vAlign w:val="center"/>
            <w:hideMark/>
          </w:tcPr>
          <w:p w14:paraId="0FD21016" w14:textId="77777777" w:rsidR="00750765" w:rsidRPr="00750765" w:rsidRDefault="00750765" w:rsidP="00750765">
            <w:pPr>
              <w:jc w:val="center"/>
              <w:rPr>
                <w:rFonts w:ascii="Segoe UI Light" w:hAnsi="Segoe UI Light" w:cs="Segoe UI Light"/>
                <w:color w:val="000000"/>
                <w:sz w:val="20"/>
                <w:szCs w:val="20"/>
              </w:rPr>
            </w:pPr>
            <w:r w:rsidRPr="00750765">
              <w:rPr>
                <w:rFonts w:ascii="Segoe UI Light" w:hAnsi="Segoe UI Light" w:cs="Segoe UI Light"/>
                <w:color w:val="000000"/>
                <w:sz w:val="20"/>
                <w:szCs w:val="20"/>
              </w:rPr>
              <w:t> </w:t>
            </w:r>
          </w:p>
        </w:tc>
        <w:tc>
          <w:tcPr>
            <w:tcW w:w="601" w:type="dxa"/>
            <w:shd w:val="clear" w:color="000000" w:fill="F2F2F2"/>
            <w:noWrap/>
            <w:vAlign w:val="center"/>
            <w:hideMark/>
          </w:tcPr>
          <w:p w14:paraId="08BFD10C" w14:textId="77777777" w:rsidR="00750765" w:rsidRPr="00750765" w:rsidRDefault="00750765" w:rsidP="00750765">
            <w:pPr>
              <w:jc w:val="center"/>
              <w:rPr>
                <w:rFonts w:ascii="Segoe UI Light" w:hAnsi="Segoe UI Light" w:cs="Segoe UI Light"/>
                <w:color w:val="000000"/>
                <w:sz w:val="20"/>
                <w:szCs w:val="20"/>
              </w:rPr>
            </w:pPr>
            <w:r w:rsidRPr="00750765">
              <w:rPr>
                <w:rFonts w:ascii="Segoe UI Light" w:hAnsi="Segoe UI Light" w:cs="Segoe UI Light"/>
                <w:color w:val="000000"/>
                <w:sz w:val="20"/>
                <w:szCs w:val="20"/>
              </w:rPr>
              <w:t> </w:t>
            </w:r>
          </w:p>
        </w:tc>
      </w:tr>
    </w:tbl>
    <w:p w14:paraId="41C834B0" w14:textId="77777777" w:rsidR="00750765" w:rsidRPr="00ED4664" w:rsidRDefault="00750765" w:rsidP="00750765">
      <w:pPr>
        <w:rPr>
          <w:sz w:val="6"/>
          <w:szCs w:val="6"/>
        </w:rPr>
      </w:pPr>
    </w:p>
    <w:tbl>
      <w:tblPr>
        <w:tblW w:w="7568" w:type="dxa"/>
        <w:jc w:val="center"/>
        <w:tblCellMar>
          <w:left w:w="70" w:type="dxa"/>
          <w:right w:w="70" w:type="dxa"/>
        </w:tblCellMar>
        <w:tblLook w:val="04A0" w:firstRow="1" w:lastRow="0" w:firstColumn="1" w:lastColumn="0" w:noHBand="0" w:noVBand="1"/>
      </w:tblPr>
      <w:tblGrid>
        <w:gridCol w:w="1207"/>
        <w:gridCol w:w="1207"/>
        <w:gridCol w:w="180"/>
        <w:gridCol w:w="1207"/>
        <w:gridCol w:w="1207"/>
        <w:gridCol w:w="146"/>
        <w:gridCol w:w="1207"/>
        <w:gridCol w:w="1207"/>
      </w:tblGrid>
      <w:tr w:rsidR="00750765" w:rsidRPr="00750765" w14:paraId="306283C3" w14:textId="77777777" w:rsidTr="00ED4664">
        <w:trPr>
          <w:trHeight w:val="74"/>
          <w:jc w:val="center"/>
        </w:trPr>
        <w:tc>
          <w:tcPr>
            <w:tcW w:w="1207" w:type="dxa"/>
            <w:tcBorders>
              <w:top w:val="nil"/>
              <w:left w:val="nil"/>
              <w:bottom w:val="nil"/>
              <w:right w:val="nil"/>
            </w:tcBorders>
            <w:noWrap/>
            <w:vAlign w:val="bottom"/>
            <w:hideMark/>
          </w:tcPr>
          <w:p w14:paraId="389A16BC" w14:textId="77777777" w:rsidR="00750765" w:rsidRPr="00ED4664" w:rsidRDefault="00750765" w:rsidP="00750765">
            <w:pPr>
              <w:jc w:val="right"/>
              <w:rPr>
                <w:rFonts w:ascii="Segoe UI Light" w:hAnsi="Segoe UI Light" w:cs="Segoe UI Light"/>
                <w:color w:val="000000"/>
                <w:sz w:val="14"/>
                <w:szCs w:val="14"/>
              </w:rPr>
            </w:pPr>
            <w:r w:rsidRPr="00ED4664">
              <w:rPr>
                <w:rFonts w:ascii="Segoe UI Light" w:hAnsi="Segoe UI Light" w:cs="Segoe UI Light"/>
                <w:color w:val="000000"/>
                <w:sz w:val="14"/>
                <w:szCs w:val="14"/>
              </w:rPr>
              <w:t>Bajo</w:t>
            </w:r>
          </w:p>
        </w:tc>
        <w:tc>
          <w:tcPr>
            <w:tcW w:w="1207" w:type="dxa"/>
            <w:tcBorders>
              <w:top w:val="nil"/>
              <w:left w:val="nil"/>
              <w:bottom w:val="nil"/>
              <w:right w:val="nil"/>
            </w:tcBorders>
            <w:shd w:val="clear" w:color="000000" w:fill="92D050"/>
            <w:noWrap/>
            <w:vAlign w:val="bottom"/>
            <w:hideMark/>
          </w:tcPr>
          <w:p w14:paraId="0A66F920" w14:textId="77777777" w:rsidR="00750765" w:rsidRPr="00ED4664" w:rsidRDefault="00750765" w:rsidP="00750765">
            <w:pPr>
              <w:jc w:val="right"/>
              <w:rPr>
                <w:rFonts w:ascii="Segoe UI Light" w:hAnsi="Segoe UI Light" w:cs="Segoe UI Light"/>
                <w:color w:val="000000"/>
                <w:sz w:val="14"/>
                <w:szCs w:val="14"/>
              </w:rPr>
            </w:pPr>
            <w:r w:rsidRPr="00ED4664">
              <w:rPr>
                <w:rFonts w:ascii="Segoe UI Light" w:hAnsi="Segoe UI Light" w:cs="Segoe UI Light"/>
                <w:color w:val="000000"/>
                <w:sz w:val="14"/>
                <w:szCs w:val="14"/>
              </w:rPr>
              <w:t> </w:t>
            </w:r>
          </w:p>
        </w:tc>
        <w:tc>
          <w:tcPr>
            <w:tcW w:w="180" w:type="dxa"/>
            <w:tcBorders>
              <w:top w:val="nil"/>
              <w:left w:val="nil"/>
              <w:bottom w:val="nil"/>
              <w:right w:val="nil"/>
            </w:tcBorders>
            <w:noWrap/>
            <w:vAlign w:val="bottom"/>
            <w:hideMark/>
          </w:tcPr>
          <w:p w14:paraId="2B6FF766" w14:textId="77777777" w:rsidR="00750765" w:rsidRPr="00ED4664" w:rsidRDefault="00750765" w:rsidP="00750765">
            <w:pPr>
              <w:jc w:val="right"/>
              <w:rPr>
                <w:rFonts w:ascii="Segoe UI Light" w:hAnsi="Segoe UI Light" w:cs="Segoe UI Light"/>
                <w:color w:val="000000"/>
                <w:sz w:val="14"/>
                <w:szCs w:val="14"/>
              </w:rPr>
            </w:pPr>
          </w:p>
        </w:tc>
        <w:tc>
          <w:tcPr>
            <w:tcW w:w="1207" w:type="dxa"/>
            <w:tcBorders>
              <w:top w:val="nil"/>
              <w:left w:val="nil"/>
              <w:bottom w:val="nil"/>
              <w:right w:val="nil"/>
            </w:tcBorders>
            <w:noWrap/>
            <w:vAlign w:val="bottom"/>
            <w:hideMark/>
          </w:tcPr>
          <w:p w14:paraId="0172D56E" w14:textId="77777777" w:rsidR="00750765" w:rsidRPr="00ED4664" w:rsidRDefault="00750765" w:rsidP="00750765">
            <w:pPr>
              <w:jc w:val="right"/>
              <w:rPr>
                <w:rFonts w:ascii="Segoe UI Light" w:hAnsi="Segoe UI Light" w:cs="Segoe UI Light"/>
                <w:color w:val="000000"/>
                <w:sz w:val="14"/>
                <w:szCs w:val="14"/>
              </w:rPr>
            </w:pPr>
            <w:r w:rsidRPr="00ED4664">
              <w:rPr>
                <w:rFonts w:ascii="Segoe UI Light" w:hAnsi="Segoe UI Light" w:cs="Segoe UI Light"/>
                <w:color w:val="000000"/>
                <w:sz w:val="14"/>
                <w:szCs w:val="14"/>
              </w:rPr>
              <w:t>Medio</w:t>
            </w:r>
          </w:p>
        </w:tc>
        <w:tc>
          <w:tcPr>
            <w:tcW w:w="1207" w:type="dxa"/>
            <w:tcBorders>
              <w:top w:val="nil"/>
              <w:left w:val="nil"/>
              <w:bottom w:val="nil"/>
              <w:right w:val="nil"/>
            </w:tcBorders>
            <w:shd w:val="clear" w:color="000000" w:fill="FFC000"/>
            <w:noWrap/>
            <w:vAlign w:val="bottom"/>
            <w:hideMark/>
          </w:tcPr>
          <w:p w14:paraId="2D729A7B" w14:textId="77777777" w:rsidR="00750765" w:rsidRPr="00ED4664" w:rsidRDefault="00750765" w:rsidP="00750765">
            <w:pPr>
              <w:jc w:val="right"/>
              <w:rPr>
                <w:rFonts w:ascii="Segoe UI Light" w:hAnsi="Segoe UI Light" w:cs="Segoe UI Light"/>
                <w:color w:val="000000"/>
                <w:sz w:val="14"/>
                <w:szCs w:val="14"/>
              </w:rPr>
            </w:pPr>
            <w:r w:rsidRPr="00ED4664">
              <w:rPr>
                <w:rFonts w:ascii="Segoe UI Light" w:hAnsi="Segoe UI Light" w:cs="Segoe UI Light"/>
                <w:color w:val="000000"/>
                <w:sz w:val="14"/>
                <w:szCs w:val="14"/>
              </w:rPr>
              <w:t> </w:t>
            </w:r>
          </w:p>
        </w:tc>
        <w:tc>
          <w:tcPr>
            <w:tcW w:w="146" w:type="dxa"/>
            <w:tcBorders>
              <w:top w:val="nil"/>
              <w:left w:val="nil"/>
              <w:bottom w:val="nil"/>
              <w:right w:val="nil"/>
            </w:tcBorders>
            <w:noWrap/>
            <w:vAlign w:val="bottom"/>
            <w:hideMark/>
          </w:tcPr>
          <w:p w14:paraId="209D1908" w14:textId="77777777" w:rsidR="00750765" w:rsidRPr="00ED4664" w:rsidRDefault="00750765" w:rsidP="00750765">
            <w:pPr>
              <w:jc w:val="right"/>
              <w:rPr>
                <w:rFonts w:ascii="Segoe UI Light" w:hAnsi="Segoe UI Light" w:cs="Segoe UI Light"/>
                <w:color w:val="000000"/>
                <w:sz w:val="14"/>
                <w:szCs w:val="14"/>
              </w:rPr>
            </w:pPr>
          </w:p>
        </w:tc>
        <w:tc>
          <w:tcPr>
            <w:tcW w:w="1207" w:type="dxa"/>
            <w:tcBorders>
              <w:top w:val="nil"/>
              <w:left w:val="nil"/>
              <w:bottom w:val="nil"/>
              <w:right w:val="nil"/>
            </w:tcBorders>
            <w:noWrap/>
            <w:vAlign w:val="bottom"/>
            <w:hideMark/>
          </w:tcPr>
          <w:p w14:paraId="45D61DA9" w14:textId="77777777" w:rsidR="00750765" w:rsidRPr="00ED4664" w:rsidRDefault="00750765" w:rsidP="00750765">
            <w:pPr>
              <w:jc w:val="right"/>
              <w:rPr>
                <w:rFonts w:ascii="Segoe UI Light" w:hAnsi="Segoe UI Light" w:cs="Segoe UI Light"/>
                <w:color w:val="000000"/>
                <w:sz w:val="14"/>
                <w:szCs w:val="14"/>
              </w:rPr>
            </w:pPr>
            <w:r w:rsidRPr="00ED4664">
              <w:rPr>
                <w:rFonts w:ascii="Segoe UI Light" w:hAnsi="Segoe UI Light" w:cs="Segoe UI Light"/>
                <w:color w:val="000000"/>
                <w:sz w:val="14"/>
                <w:szCs w:val="14"/>
              </w:rPr>
              <w:t>Alto</w:t>
            </w:r>
          </w:p>
        </w:tc>
        <w:tc>
          <w:tcPr>
            <w:tcW w:w="1207" w:type="dxa"/>
            <w:tcBorders>
              <w:top w:val="nil"/>
              <w:left w:val="nil"/>
              <w:bottom w:val="nil"/>
              <w:right w:val="nil"/>
            </w:tcBorders>
            <w:shd w:val="clear" w:color="000000" w:fill="FF0000"/>
            <w:noWrap/>
            <w:vAlign w:val="bottom"/>
            <w:hideMark/>
          </w:tcPr>
          <w:p w14:paraId="423CC51B" w14:textId="77777777" w:rsidR="00750765" w:rsidRPr="00750765" w:rsidRDefault="00750765" w:rsidP="00750765">
            <w:pPr>
              <w:rPr>
                <w:rFonts w:ascii="Segoe UI Light" w:hAnsi="Segoe UI Light" w:cs="Segoe UI Light"/>
                <w:color w:val="000000"/>
              </w:rPr>
            </w:pPr>
            <w:r w:rsidRPr="00750765">
              <w:rPr>
                <w:rFonts w:ascii="Segoe UI Light" w:hAnsi="Segoe UI Light" w:cs="Segoe UI Light"/>
                <w:color w:val="000000"/>
              </w:rPr>
              <w:t> </w:t>
            </w:r>
          </w:p>
        </w:tc>
      </w:tr>
    </w:tbl>
    <w:p w14:paraId="4E659958" w14:textId="77777777" w:rsidR="00750765" w:rsidRPr="00750765" w:rsidRDefault="00750765" w:rsidP="00750765">
      <w:pPr>
        <w:rPr>
          <w:sz w:val="12"/>
          <w:szCs w:val="12"/>
        </w:rPr>
      </w:pPr>
    </w:p>
    <w:p w14:paraId="2AB8A614" w14:textId="6D284BF8" w:rsidR="00750765" w:rsidRPr="00750765" w:rsidRDefault="00750765" w:rsidP="00750765">
      <w:pPr>
        <w:rPr>
          <w:sz w:val="16"/>
          <w:szCs w:val="16"/>
        </w:rPr>
      </w:pPr>
      <w:r w:rsidRPr="00750765">
        <w:rPr>
          <w:sz w:val="16"/>
          <w:szCs w:val="16"/>
        </w:rPr>
        <w:t>Fuente: DAPF haciendo uso de la herramienta analítica FRAT</w:t>
      </w:r>
      <w:r w:rsidR="00D60783">
        <w:rPr>
          <w:sz w:val="16"/>
          <w:szCs w:val="16"/>
        </w:rPr>
        <w:t>.</w:t>
      </w:r>
      <w:r w:rsidRPr="00750765">
        <w:rPr>
          <w:sz w:val="16"/>
          <w:szCs w:val="16"/>
        </w:rPr>
        <w:t xml:space="preserve"> </w:t>
      </w:r>
    </w:p>
    <w:p w14:paraId="31AE062B" w14:textId="7C2F739D" w:rsidR="00750765" w:rsidRDefault="00750765" w:rsidP="001C083A"/>
    <w:p w14:paraId="3DD8B4B1" w14:textId="5BD47368" w:rsidR="00D31AF2" w:rsidRPr="006014B3" w:rsidRDefault="00D31AF2" w:rsidP="005F07F9">
      <w:pPr>
        <w:pStyle w:val="Ttulo2"/>
        <w:numPr>
          <w:ilvl w:val="1"/>
          <w:numId w:val="35"/>
        </w:numPr>
        <w:tabs>
          <w:tab w:val="left" w:pos="567"/>
        </w:tabs>
        <w:ind w:left="426" w:hanging="284"/>
        <w:rPr>
          <w:bCs/>
        </w:rPr>
      </w:pPr>
      <w:bookmarkStart w:id="6" w:name="_Toc144114343"/>
      <w:r w:rsidRPr="00D31AF2">
        <w:rPr>
          <w:bCs/>
        </w:rPr>
        <w:t>Impacto de los riesgos fiscales en los agregados fiscales</w:t>
      </w:r>
      <w:bookmarkEnd w:id="6"/>
    </w:p>
    <w:p w14:paraId="294A6382" w14:textId="77777777" w:rsidR="00D31AF2" w:rsidRPr="00C15373" w:rsidRDefault="00D31AF2" w:rsidP="00D60783">
      <w:pPr>
        <w:jc w:val="both"/>
        <w:rPr>
          <w:sz w:val="22"/>
          <w:szCs w:val="22"/>
        </w:rPr>
      </w:pPr>
    </w:p>
    <w:p w14:paraId="039B87E6" w14:textId="25D84B05" w:rsidR="00CB3C2C" w:rsidRDefault="003D33CF" w:rsidP="00D60783">
      <w:pPr>
        <w:jc w:val="both"/>
      </w:pPr>
      <w:r>
        <w:t>En cuanto a los impactos de los riesgos fiscales en los principales agregados fiscales, se tiene que los riesgos macroeconómicos tienen un impacto principalmente en los ingresos tributarios, gastos corrientes y de capital en cuanto a l</w:t>
      </w:r>
      <w:r w:rsidR="00CB3C2C">
        <w:t xml:space="preserve">as medidas de flujo, mientras que, en las variables de stock, el impacto es en los activos no financieros y los pasivos de deuda. </w:t>
      </w:r>
    </w:p>
    <w:p w14:paraId="5E0F8EEB" w14:textId="77777777" w:rsidR="00CB3C2C" w:rsidRDefault="00CB3C2C" w:rsidP="00D60783">
      <w:pPr>
        <w:jc w:val="both"/>
      </w:pPr>
    </w:p>
    <w:p w14:paraId="6082C3D7" w14:textId="62918779" w:rsidR="003D33CF" w:rsidRDefault="00721715" w:rsidP="00D60783">
      <w:pPr>
        <w:jc w:val="both"/>
      </w:pPr>
      <w:r>
        <w:t>El ejemplo más tangible fue d</w:t>
      </w:r>
      <w:r w:rsidR="00CB3C2C">
        <w:t xml:space="preserve">urante la crisis del COVID-19, la caída en </w:t>
      </w:r>
      <w:r>
        <w:t>la actividad económica</w:t>
      </w:r>
      <w:r w:rsidR="00CB3C2C">
        <w:t xml:space="preserve"> </w:t>
      </w:r>
      <w:r>
        <w:t>o</w:t>
      </w:r>
      <w:r w:rsidR="00CB3C2C">
        <w:t xml:space="preserve">casionó </w:t>
      </w:r>
      <w:r>
        <w:t xml:space="preserve">una </w:t>
      </w:r>
      <w:r w:rsidR="00CB3C2C">
        <w:t xml:space="preserve">caída </w:t>
      </w:r>
      <w:r>
        <w:t xml:space="preserve">significativa </w:t>
      </w:r>
      <w:r w:rsidR="00CB3C2C">
        <w:t>de los ingresos tributarios, mientras que se dispararon los gastos corrientes y de capital</w:t>
      </w:r>
      <w:r w:rsidR="00D31AF2">
        <w:t xml:space="preserve"> derivado de las intervenciones que realizó el gobierno para atenuar el impacto sobre la economía y la sociedad guatemalteca</w:t>
      </w:r>
      <w:r w:rsidR="00CB3C2C">
        <w:t>,</w:t>
      </w:r>
      <w:r w:rsidR="00D31AF2">
        <w:t xml:space="preserve"> </w:t>
      </w:r>
      <w:r w:rsidR="00CB3C2C">
        <w:t xml:space="preserve">siendo estos los impactos en las </w:t>
      </w:r>
      <w:r w:rsidR="00D31AF2">
        <w:t>variables</w:t>
      </w:r>
      <w:r w:rsidR="00CB3C2C">
        <w:t xml:space="preserve"> de flujo. Por su parte, en las variables de stock se vieron afectados los activos no financieros y los pasivos de deuda, en la cual e</w:t>
      </w:r>
      <w:r w:rsidR="004B36FA">
        <w:t>l indicador deuda</w:t>
      </w:r>
      <w:r w:rsidR="005C48A1">
        <w:t>/</w:t>
      </w:r>
      <w:r w:rsidR="004B36FA">
        <w:t>PIB</w:t>
      </w:r>
      <w:r w:rsidR="00CB3C2C">
        <w:t xml:space="preserve"> aument</w:t>
      </w:r>
      <w:r w:rsidR="00D31AF2">
        <w:t>ó</w:t>
      </w:r>
      <w:r w:rsidR="00CB3C2C">
        <w:t xml:space="preserve"> en 5.</w:t>
      </w:r>
      <w:r>
        <w:t>1</w:t>
      </w:r>
      <w:r w:rsidR="00CB3C2C">
        <w:t>% respecto al</w:t>
      </w:r>
      <w:r w:rsidR="004B36FA">
        <w:t xml:space="preserve"> año anterior</w:t>
      </w:r>
      <w:r w:rsidR="00CB3C2C">
        <w:t>.</w:t>
      </w:r>
    </w:p>
    <w:p w14:paraId="271428BA" w14:textId="7556AADE" w:rsidR="004B36FA" w:rsidRPr="00C15373" w:rsidRDefault="004B36FA" w:rsidP="00D60783">
      <w:pPr>
        <w:jc w:val="both"/>
        <w:rPr>
          <w:sz w:val="22"/>
          <w:szCs w:val="22"/>
        </w:rPr>
      </w:pPr>
    </w:p>
    <w:p w14:paraId="3A8559F3" w14:textId="282BF524" w:rsidR="00CB3C2C" w:rsidRDefault="00721715" w:rsidP="00D60783">
      <w:pPr>
        <w:jc w:val="both"/>
      </w:pPr>
      <w:r>
        <w:t>En las empresas públicas el impacto en los agregados fiscales</w:t>
      </w:r>
      <w:r w:rsidR="000A6BF2">
        <w:t xml:space="preserve"> en caso de materializarse el riesgo</w:t>
      </w:r>
      <w:r w:rsidR="005C48A1">
        <w:t>,</w:t>
      </w:r>
      <w:r>
        <w:t xml:space="preserve"> se</w:t>
      </w:r>
      <w:r w:rsidR="005C48A1">
        <w:t xml:space="preserve"> podría </w:t>
      </w:r>
      <w:r>
        <w:t>observa</w:t>
      </w:r>
      <w:r w:rsidR="005C48A1">
        <w:t>r</w:t>
      </w:r>
      <w:r>
        <w:t xml:space="preserve"> en </w:t>
      </w:r>
      <w:r w:rsidR="000A6BF2">
        <w:t xml:space="preserve">los ingresos no tributarios por los ingresos que generan tanto las empresas nacionales como municipales en la prestación de servicios a la población, seguidamente en los gastos </w:t>
      </w:r>
      <w:r w:rsidR="00D31AF2">
        <w:t>de operación</w:t>
      </w:r>
      <w:r w:rsidR="000A6BF2">
        <w:t xml:space="preserve">. Por su parte, en las variables de stock podría afectarse principalmente los activos financieros y los pasivos de deuda. </w:t>
      </w:r>
    </w:p>
    <w:p w14:paraId="10A95499" w14:textId="4B1F2D4D" w:rsidR="000A6BF2" w:rsidRPr="00C15373" w:rsidRDefault="000A6BF2" w:rsidP="00D60783">
      <w:pPr>
        <w:jc w:val="both"/>
        <w:rPr>
          <w:sz w:val="22"/>
          <w:szCs w:val="22"/>
        </w:rPr>
      </w:pPr>
    </w:p>
    <w:p w14:paraId="11DC55EB" w14:textId="203C10F9" w:rsidR="004B36FA" w:rsidRDefault="005C48A1" w:rsidP="00D60783">
      <w:pPr>
        <w:jc w:val="both"/>
      </w:pPr>
      <w:r>
        <w:t xml:space="preserve">En </w:t>
      </w:r>
      <w:r w:rsidR="000A6BF2">
        <w:t xml:space="preserve">las garantías </w:t>
      </w:r>
      <w:r w:rsidR="00646B5B">
        <w:t>otorgadas por el gobierno</w:t>
      </w:r>
      <w:r w:rsidR="000A6BF2">
        <w:t xml:space="preserve"> tendrían un impacto </w:t>
      </w:r>
      <w:r w:rsidR="00D31AF2">
        <w:t xml:space="preserve">en </w:t>
      </w:r>
      <w:r w:rsidR="000A6BF2">
        <w:t>los gastos corrientes, los activos financieros y los pasivos de deuda</w:t>
      </w:r>
      <w:r w:rsidR="00646B5B">
        <w:t xml:space="preserve">. Por su parte, en el sector financiero se observa que los agregados fiscales afectados por una materialización del riesgo </w:t>
      </w:r>
      <w:r w:rsidR="00CF1986">
        <w:t>serían</w:t>
      </w:r>
      <w:r w:rsidR="00646B5B">
        <w:t xml:space="preserve"> los gastos de capital, por una posible transferencia de capital para el fortalecimiento de</w:t>
      </w:r>
      <w:r w:rsidR="00D31AF2">
        <w:t>l FOPA ante un severo problema de liquidez por parte de este fondo</w:t>
      </w:r>
      <w:r w:rsidR="00646B5B">
        <w:t xml:space="preserve">, así mismo podría darse dentro de las variables de stock un impacto en los pasivos de deuda, de ser necesario coadyuvar a la </w:t>
      </w:r>
      <w:r w:rsidR="00646B5B">
        <w:lastRenderedPageBreak/>
        <w:t>posición patrimonial por medio del incurrimiento de deuda pública</w:t>
      </w:r>
      <w:r w:rsidR="00D31AF2">
        <w:t xml:space="preserve"> para apoyar de manera extraordinaria al CHN</w:t>
      </w:r>
      <w:r w:rsidR="00646B5B">
        <w:t xml:space="preserve">.  </w:t>
      </w:r>
      <w:r w:rsidR="000A6BF2">
        <w:t xml:space="preserve"> </w:t>
      </w:r>
    </w:p>
    <w:p w14:paraId="18AD831E" w14:textId="538BC75A" w:rsidR="00CB3C2C" w:rsidRPr="00C15373" w:rsidRDefault="00CB3C2C" w:rsidP="00D60783">
      <w:pPr>
        <w:rPr>
          <w:sz w:val="22"/>
          <w:szCs w:val="22"/>
        </w:rPr>
      </w:pPr>
    </w:p>
    <w:p w14:paraId="346B9D0A" w14:textId="492C7025" w:rsidR="00CB3C2C" w:rsidRDefault="00373DFA" w:rsidP="00D60783">
      <w:pPr>
        <w:jc w:val="both"/>
      </w:pPr>
      <w:r>
        <w:t>En una materialización de los riesgos ambientales, el impacto en los agregados fiscales se da</w:t>
      </w:r>
      <w:r w:rsidR="00A56542">
        <w:t xml:space="preserve"> principalmente en los gastos corrientes y gastos de capital por la necesidad de incurrir en el mantenimiento de obras y reconstrucción de infraestructura vial dañada a causa del evento natural, así como programas de apoyo a la población vulnerable a las catástrofes. Asimismo, se ve impacto en los activos no financieros por el stock de capital dañado, como los pasivos de deuda. </w:t>
      </w:r>
    </w:p>
    <w:p w14:paraId="26E0D115" w14:textId="0D499FF9" w:rsidR="00A56542" w:rsidRPr="00C15373" w:rsidRDefault="00A56542" w:rsidP="00D60783">
      <w:pPr>
        <w:jc w:val="both"/>
        <w:rPr>
          <w:sz w:val="22"/>
          <w:szCs w:val="22"/>
        </w:rPr>
      </w:pPr>
    </w:p>
    <w:p w14:paraId="258057CA" w14:textId="5442CEB9" w:rsidR="00CF1986" w:rsidRDefault="00CF1986" w:rsidP="00D60783">
      <w:pPr>
        <w:jc w:val="both"/>
      </w:pPr>
      <w:r>
        <w:t xml:space="preserve">Respecto a las acciones legales contra el Estado, </w:t>
      </w:r>
      <w:r w:rsidR="004B6E60">
        <w:t>el impacto en las medidas de flujo se da</w:t>
      </w:r>
      <w:r>
        <w:t xml:space="preserve"> en los gastos corrientes</w:t>
      </w:r>
      <w:r w:rsidR="004B6E60">
        <w:t>, específicamente por la partida presupuestaria de sentencias judiciales, así como los reclamos por arbitrajes</w:t>
      </w:r>
      <w:r w:rsidR="00F40E1A">
        <w:t xml:space="preserve">. </w:t>
      </w:r>
      <w:r w:rsidR="00C15373">
        <w:t xml:space="preserve">  </w:t>
      </w:r>
      <w:r w:rsidR="00F40E1A">
        <w:t xml:space="preserve">En los gobiernos subnacionales o municipalidades, los impactos </w:t>
      </w:r>
      <w:r w:rsidR="00B96728">
        <w:t xml:space="preserve">podrían estar </w:t>
      </w:r>
      <w:r w:rsidR="00F40E1A">
        <w:t xml:space="preserve">en los gastos corrientes y gastos de capital, así como en los activos financieros. </w:t>
      </w:r>
    </w:p>
    <w:p w14:paraId="7654082F" w14:textId="08B48843" w:rsidR="00CF1986" w:rsidRPr="00C15373" w:rsidRDefault="00CF1986" w:rsidP="00D60783">
      <w:pPr>
        <w:jc w:val="both"/>
        <w:rPr>
          <w:sz w:val="22"/>
          <w:szCs w:val="22"/>
        </w:rPr>
      </w:pPr>
    </w:p>
    <w:p w14:paraId="77B7DF92" w14:textId="449F5221" w:rsidR="00C15373" w:rsidRDefault="00F40E1A" w:rsidP="00D60783">
      <w:pPr>
        <w:jc w:val="both"/>
      </w:pPr>
      <w:r>
        <w:t xml:space="preserve">Por último, como consecuencia de la materialización del riesgo de recursos naturales, se verían afectados los ingresos tributarios, ingresos no tributarios y los activos no financieros, ante el agotamiento de las reservas y la menor explotación económica que se podría generar, asimismo, es importante considerar la conflictividad y aversión que generan algunos proyectos en las comunidades, lo cual podría </w:t>
      </w:r>
      <w:r w:rsidR="005C48A1">
        <w:t xml:space="preserve">causar la suspensión de </w:t>
      </w:r>
      <w:r>
        <w:t>proyectos en curso.</w:t>
      </w:r>
    </w:p>
    <w:p w14:paraId="2F1E8FE9" w14:textId="77777777" w:rsidR="00C15373" w:rsidRDefault="00C15373" w:rsidP="00D60783">
      <w:pPr>
        <w:jc w:val="both"/>
      </w:pPr>
    </w:p>
    <w:p w14:paraId="2B9478E8" w14:textId="5311B223" w:rsidR="00D60783" w:rsidRPr="00D60783" w:rsidRDefault="00C15373" w:rsidP="00D60783">
      <w:pPr>
        <w:pStyle w:val="Descripcin"/>
        <w:keepNext/>
        <w:jc w:val="both"/>
        <w:rPr>
          <w:color w:val="auto"/>
        </w:rPr>
      </w:pPr>
      <w:bookmarkStart w:id="7" w:name="_Toc143593504"/>
      <w:r>
        <w:rPr>
          <w:rFonts w:ascii="Segoe UI Light" w:hAnsi="Segoe UI Light" w:cs="Segoe UI Light"/>
          <w:b w:val="0"/>
          <w:bCs/>
          <w:noProof/>
          <w:color w:val="000000"/>
          <w:sz w:val="16"/>
          <w:szCs w:val="16"/>
        </w:rPr>
        <mc:AlternateContent>
          <mc:Choice Requires="wps">
            <w:drawing>
              <wp:anchor distT="0" distB="0" distL="114300" distR="114300" simplePos="0" relativeHeight="251682816" behindDoc="0" locked="0" layoutInCell="1" allowOverlap="1" wp14:anchorId="4FBABC53" wp14:editId="63D0FA61">
                <wp:simplePos x="0" y="0"/>
                <wp:positionH relativeFrom="column">
                  <wp:posOffset>-218248</wp:posOffset>
                </wp:positionH>
                <wp:positionV relativeFrom="paragraph">
                  <wp:posOffset>4348181</wp:posOffset>
                </wp:positionV>
                <wp:extent cx="3510915" cy="224155"/>
                <wp:effectExtent l="0" t="0" r="0" b="4445"/>
                <wp:wrapNone/>
                <wp:docPr id="1889938852" name="Cuadro de texto 1889938852"/>
                <wp:cNvGraphicFramePr/>
                <a:graphic xmlns:a="http://schemas.openxmlformats.org/drawingml/2006/main">
                  <a:graphicData uri="http://schemas.microsoft.com/office/word/2010/wordprocessingShape">
                    <wps:wsp>
                      <wps:cNvSpPr txBox="1"/>
                      <wps:spPr>
                        <a:xfrm>
                          <a:off x="0" y="0"/>
                          <a:ext cx="3510915" cy="224155"/>
                        </a:xfrm>
                        <a:prstGeom prst="rect">
                          <a:avLst/>
                        </a:prstGeom>
                        <a:solidFill>
                          <a:schemeClr val="lt1"/>
                        </a:solidFill>
                        <a:ln w="6350">
                          <a:noFill/>
                        </a:ln>
                      </wps:spPr>
                      <wps:txbx>
                        <w:txbxContent>
                          <w:p w14:paraId="71AFDFC4" w14:textId="57A9F099" w:rsidR="00C15373" w:rsidRDefault="00C15373">
                            <w:r w:rsidRPr="00721715">
                              <w:rPr>
                                <w:sz w:val="16"/>
                                <w:szCs w:val="16"/>
                              </w:rPr>
                              <w:t>Fuente: DAPF haciendo uso de la herramienta analítica FRAT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ABC53" id="Cuadro de texto 1889938852" o:spid="_x0000_s1028" type="#_x0000_t202" style="position:absolute;left:0;text-align:left;margin-left:-17.2pt;margin-top:342.4pt;width:276.4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" fillcolor="white [3201]" stroked="f" strokeweight=".5pt">
                <v:textbox>
                  <w:txbxContent>
                    <w:p w14:paraId="71AFDFC4" w14:textId="57A9F099" w:rsidR="00C15373" w:rsidRDefault="00C15373">
                      <w:r w:rsidRPr="00721715">
                        <w:rPr>
                          <w:sz w:val="16"/>
                          <w:szCs w:val="16"/>
                        </w:rPr>
                        <w:t>Fuente: DAPF haciendo uso de la herramienta analítica FRAT</w:t>
                      </w:r>
                    </w:p>
                  </w:txbxContent>
                </v:textbox>
              </v:shape>
            </w:pict>
          </mc:Fallback>
        </mc:AlternateContent>
      </w:r>
      <w:r w:rsidR="00D60783" w:rsidRPr="00D60783">
        <w:rPr>
          <w:color w:val="auto"/>
        </w:rPr>
        <w:t xml:space="preserve">Tabla </w:t>
      </w:r>
      <w:r w:rsidR="00D60783" w:rsidRPr="00D60783">
        <w:rPr>
          <w:color w:val="auto"/>
        </w:rPr>
        <w:fldChar w:fldCharType="begin"/>
      </w:r>
      <w:r w:rsidR="00D60783" w:rsidRPr="00D60783">
        <w:rPr>
          <w:color w:val="auto"/>
        </w:rPr>
        <w:instrText xml:space="preserve"> SEQ Tabla \* ARABIC </w:instrText>
      </w:r>
      <w:r w:rsidR="00D60783" w:rsidRPr="00D60783">
        <w:rPr>
          <w:color w:val="auto"/>
        </w:rPr>
        <w:fldChar w:fldCharType="separate"/>
      </w:r>
      <w:r w:rsidR="00A62AFA">
        <w:rPr>
          <w:noProof/>
          <w:color w:val="auto"/>
        </w:rPr>
        <w:t>2</w:t>
      </w:r>
      <w:r w:rsidR="00D60783" w:rsidRPr="00D60783">
        <w:rPr>
          <w:color w:val="auto"/>
        </w:rPr>
        <w:fldChar w:fldCharType="end"/>
      </w:r>
      <w:r w:rsidR="00D60783" w:rsidRPr="00D60783">
        <w:rPr>
          <w:color w:val="auto"/>
        </w:rPr>
        <w:t>. Impacto de los Riesgos Fiscales en los Agregados Fiscales</w:t>
      </w:r>
      <w:bookmarkEnd w:id="7"/>
    </w:p>
    <w:tbl>
      <w:tblPr>
        <w:tblW w:w="9409" w:type="dxa"/>
        <w:jc w:val="center"/>
        <w:tblCellMar>
          <w:top w:w="15" w:type="dxa"/>
          <w:left w:w="70" w:type="dxa"/>
          <w:right w:w="70" w:type="dxa"/>
        </w:tblCellMar>
        <w:tblLook w:val="04A0" w:firstRow="1" w:lastRow="0" w:firstColumn="1" w:lastColumn="0" w:noHBand="0" w:noVBand="1"/>
      </w:tblPr>
      <w:tblGrid>
        <w:gridCol w:w="826"/>
        <w:gridCol w:w="695"/>
        <w:gridCol w:w="320"/>
        <w:gridCol w:w="318"/>
        <w:gridCol w:w="318"/>
        <w:gridCol w:w="1015"/>
        <w:gridCol w:w="659"/>
        <w:gridCol w:w="729"/>
        <w:gridCol w:w="835"/>
        <w:gridCol w:w="662"/>
        <w:gridCol w:w="204"/>
        <w:gridCol w:w="729"/>
        <w:gridCol w:w="798"/>
        <w:gridCol w:w="729"/>
        <w:gridCol w:w="391"/>
        <w:gridCol w:w="8"/>
        <w:gridCol w:w="164"/>
        <w:gridCol w:w="9"/>
      </w:tblGrid>
      <w:tr w:rsidR="00CF1986" w:rsidRPr="00CF1986" w14:paraId="3F1964D2" w14:textId="77777777" w:rsidTr="00C15373">
        <w:trPr>
          <w:gridAfter w:val="2"/>
          <w:wAfter w:w="173" w:type="dxa"/>
          <w:trHeight w:val="555"/>
          <w:jc w:val="center"/>
        </w:trPr>
        <w:tc>
          <w:tcPr>
            <w:tcW w:w="9236" w:type="dxa"/>
            <w:gridSpan w:val="16"/>
            <w:vMerge w:val="restart"/>
            <w:tcBorders>
              <w:top w:val="nil"/>
              <w:left w:val="nil"/>
              <w:bottom w:val="nil"/>
              <w:right w:val="nil"/>
            </w:tcBorders>
            <w:shd w:val="clear" w:color="000000" w:fill="4B82AD"/>
            <w:vAlign w:val="center"/>
            <w:hideMark/>
          </w:tcPr>
          <w:p w14:paraId="32BAB0B2" w14:textId="77777777" w:rsidR="00CF1986" w:rsidRPr="00CF1986" w:rsidRDefault="00CF1986" w:rsidP="00CF1986">
            <w:pPr>
              <w:jc w:val="center"/>
              <w:rPr>
                <w:rFonts w:ascii="Segoe UI Light" w:hAnsi="Segoe UI Light" w:cs="Segoe UI Light"/>
                <w:b/>
                <w:bCs/>
                <w:color w:val="FFFFFF"/>
                <w:sz w:val="22"/>
                <w:szCs w:val="22"/>
              </w:rPr>
            </w:pPr>
            <w:r w:rsidRPr="00CF1986">
              <w:rPr>
                <w:rFonts w:ascii="Segoe UI Light" w:hAnsi="Segoe UI Light" w:cs="Segoe UI Light"/>
                <w:b/>
                <w:bCs/>
                <w:color w:val="FFFFFF"/>
                <w:sz w:val="22"/>
                <w:szCs w:val="22"/>
              </w:rPr>
              <w:t>IMPACTO DE LOS RIESGOS FISCALES EN LOS AGREGADOS FISCALES</w:t>
            </w:r>
          </w:p>
        </w:tc>
      </w:tr>
      <w:tr w:rsidR="00CF1986" w:rsidRPr="00CF1986" w14:paraId="243A6445" w14:textId="77777777" w:rsidTr="00C15373">
        <w:trPr>
          <w:trHeight w:val="63"/>
          <w:jc w:val="center"/>
        </w:trPr>
        <w:tc>
          <w:tcPr>
            <w:tcW w:w="9236" w:type="dxa"/>
            <w:gridSpan w:val="16"/>
            <w:vMerge/>
            <w:tcBorders>
              <w:top w:val="nil"/>
              <w:left w:val="nil"/>
              <w:bottom w:val="nil"/>
              <w:right w:val="nil"/>
            </w:tcBorders>
            <w:vAlign w:val="center"/>
            <w:hideMark/>
          </w:tcPr>
          <w:p w14:paraId="4C3DA30E" w14:textId="77777777" w:rsidR="00CF1986" w:rsidRPr="00CF1986" w:rsidRDefault="00CF1986" w:rsidP="00CF1986">
            <w:pPr>
              <w:rPr>
                <w:rFonts w:ascii="Segoe UI Light" w:hAnsi="Segoe UI Light" w:cs="Segoe UI Light"/>
                <w:b/>
                <w:bCs/>
                <w:color w:val="FFFFFF"/>
                <w:sz w:val="22"/>
                <w:szCs w:val="22"/>
              </w:rPr>
            </w:pPr>
          </w:p>
        </w:tc>
        <w:tc>
          <w:tcPr>
            <w:tcW w:w="173" w:type="dxa"/>
            <w:gridSpan w:val="2"/>
            <w:tcBorders>
              <w:top w:val="nil"/>
              <w:left w:val="nil"/>
              <w:bottom w:val="nil"/>
              <w:right w:val="nil"/>
            </w:tcBorders>
            <w:shd w:val="clear" w:color="auto" w:fill="auto"/>
            <w:noWrap/>
            <w:vAlign w:val="bottom"/>
            <w:hideMark/>
          </w:tcPr>
          <w:p w14:paraId="73A536F6" w14:textId="77777777" w:rsidR="00CF1986" w:rsidRPr="00CF1986" w:rsidRDefault="00CF1986" w:rsidP="00CF1986">
            <w:pPr>
              <w:jc w:val="center"/>
              <w:rPr>
                <w:rFonts w:ascii="Segoe UI Light" w:hAnsi="Segoe UI Light" w:cs="Segoe UI Light"/>
                <w:b/>
                <w:bCs/>
                <w:color w:val="FFFFFF"/>
                <w:sz w:val="22"/>
                <w:szCs w:val="22"/>
              </w:rPr>
            </w:pPr>
          </w:p>
        </w:tc>
      </w:tr>
      <w:tr w:rsidR="00C15373" w:rsidRPr="00CF1986" w14:paraId="564248FD" w14:textId="77777777" w:rsidTr="00C15373">
        <w:trPr>
          <w:gridAfter w:val="1"/>
          <w:wAfter w:w="11" w:type="dxa"/>
          <w:trHeight w:val="142"/>
          <w:jc w:val="center"/>
        </w:trPr>
        <w:tc>
          <w:tcPr>
            <w:tcW w:w="826" w:type="dxa"/>
            <w:tcBorders>
              <w:top w:val="nil"/>
              <w:left w:val="nil"/>
              <w:bottom w:val="nil"/>
              <w:right w:val="nil"/>
            </w:tcBorders>
            <w:shd w:val="clear" w:color="auto" w:fill="auto"/>
            <w:noWrap/>
            <w:vAlign w:val="bottom"/>
            <w:hideMark/>
          </w:tcPr>
          <w:p w14:paraId="6F2569EE" w14:textId="77777777" w:rsidR="00CF1986" w:rsidRPr="00CF1986" w:rsidRDefault="00CF1986" w:rsidP="00CF1986">
            <w:pPr>
              <w:rPr>
                <w:sz w:val="20"/>
                <w:szCs w:val="20"/>
              </w:rPr>
            </w:pPr>
          </w:p>
        </w:tc>
        <w:tc>
          <w:tcPr>
            <w:tcW w:w="694" w:type="dxa"/>
            <w:tcBorders>
              <w:top w:val="nil"/>
              <w:left w:val="nil"/>
              <w:bottom w:val="nil"/>
              <w:right w:val="nil"/>
            </w:tcBorders>
            <w:shd w:val="clear" w:color="auto" w:fill="auto"/>
            <w:noWrap/>
            <w:vAlign w:val="bottom"/>
            <w:hideMark/>
          </w:tcPr>
          <w:p w14:paraId="095DB884" w14:textId="77777777" w:rsidR="00CF1986" w:rsidRPr="00CF1986" w:rsidRDefault="00CF1986" w:rsidP="00CF1986">
            <w:pPr>
              <w:rPr>
                <w:sz w:val="20"/>
                <w:szCs w:val="20"/>
              </w:rPr>
            </w:pPr>
          </w:p>
        </w:tc>
        <w:tc>
          <w:tcPr>
            <w:tcW w:w="320" w:type="dxa"/>
            <w:tcBorders>
              <w:top w:val="nil"/>
              <w:left w:val="nil"/>
              <w:bottom w:val="nil"/>
              <w:right w:val="nil"/>
            </w:tcBorders>
            <w:shd w:val="clear" w:color="auto" w:fill="auto"/>
            <w:noWrap/>
            <w:vAlign w:val="bottom"/>
            <w:hideMark/>
          </w:tcPr>
          <w:p w14:paraId="6B7C468A" w14:textId="77777777" w:rsidR="00CF1986" w:rsidRPr="00CF1986" w:rsidRDefault="00CF1986" w:rsidP="00CF1986">
            <w:pPr>
              <w:rPr>
                <w:sz w:val="20"/>
                <w:szCs w:val="20"/>
              </w:rPr>
            </w:pPr>
          </w:p>
        </w:tc>
        <w:tc>
          <w:tcPr>
            <w:tcW w:w="318" w:type="dxa"/>
            <w:tcBorders>
              <w:top w:val="nil"/>
              <w:left w:val="nil"/>
              <w:bottom w:val="nil"/>
              <w:right w:val="nil"/>
            </w:tcBorders>
            <w:shd w:val="clear" w:color="auto" w:fill="auto"/>
            <w:noWrap/>
            <w:vAlign w:val="bottom"/>
            <w:hideMark/>
          </w:tcPr>
          <w:p w14:paraId="19AB0AE1" w14:textId="77777777" w:rsidR="00CF1986" w:rsidRPr="00CF1986" w:rsidRDefault="00CF1986" w:rsidP="00CF1986">
            <w:pPr>
              <w:rPr>
                <w:sz w:val="20"/>
                <w:szCs w:val="20"/>
              </w:rPr>
            </w:pPr>
          </w:p>
        </w:tc>
        <w:tc>
          <w:tcPr>
            <w:tcW w:w="318" w:type="dxa"/>
            <w:tcBorders>
              <w:top w:val="nil"/>
              <w:left w:val="nil"/>
              <w:bottom w:val="nil"/>
              <w:right w:val="nil"/>
            </w:tcBorders>
            <w:shd w:val="clear" w:color="auto" w:fill="auto"/>
            <w:noWrap/>
            <w:vAlign w:val="bottom"/>
            <w:hideMark/>
          </w:tcPr>
          <w:p w14:paraId="51CD1F32" w14:textId="77777777" w:rsidR="00CF1986" w:rsidRPr="00CF1986" w:rsidRDefault="00CF1986" w:rsidP="00CF1986">
            <w:pPr>
              <w:rPr>
                <w:sz w:val="20"/>
                <w:szCs w:val="20"/>
              </w:rPr>
            </w:pPr>
          </w:p>
        </w:tc>
        <w:tc>
          <w:tcPr>
            <w:tcW w:w="1015" w:type="dxa"/>
            <w:tcBorders>
              <w:top w:val="nil"/>
              <w:left w:val="nil"/>
              <w:bottom w:val="nil"/>
              <w:right w:val="nil"/>
            </w:tcBorders>
            <w:shd w:val="clear" w:color="auto" w:fill="auto"/>
            <w:noWrap/>
            <w:vAlign w:val="bottom"/>
            <w:hideMark/>
          </w:tcPr>
          <w:p w14:paraId="4532A99D" w14:textId="77777777" w:rsidR="00CF1986" w:rsidRPr="00CF1986" w:rsidRDefault="00CF1986" w:rsidP="00CF1986">
            <w:pPr>
              <w:rPr>
                <w:sz w:val="20"/>
                <w:szCs w:val="20"/>
              </w:rPr>
            </w:pPr>
          </w:p>
        </w:tc>
        <w:tc>
          <w:tcPr>
            <w:tcW w:w="659" w:type="dxa"/>
            <w:tcBorders>
              <w:top w:val="nil"/>
              <w:left w:val="nil"/>
              <w:bottom w:val="nil"/>
              <w:right w:val="nil"/>
            </w:tcBorders>
            <w:shd w:val="clear" w:color="auto" w:fill="auto"/>
            <w:noWrap/>
            <w:vAlign w:val="bottom"/>
            <w:hideMark/>
          </w:tcPr>
          <w:p w14:paraId="43A1CDD1" w14:textId="77777777" w:rsidR="00CF1986" w:rsidRPr="00CF1986" w:rsidRDefault="00CF1986" w:rsidP="00CF1986">
            <w:pPr>
              <w:rPr>
                <w:sz w:val="20"/>
                <w:szCs w:val="20"/>
              </w:rPr>
            </w:pPr>
          </w:p>
        </w:tc>
        <w:tc>
          <w:tcPr>
            <w:tcW w:w="729" w:type="dxa"/>
            <w:tcBorders>
              <w:top w:val="nil"/>
              <w:left w:val="nil"/>
              <w:bottom w:val="nil"/>
              <w:right w:val="nil"/>
            </w:tcBorders>
            <w:shd w:val="clear" w:color="auto" w:fill="auto"/>
            <w:noWrap/>
            <w:vAlign w:val="bottom"/>
            <w:hideMark/>
          </w:tcPr>
          <w:p w14:paraId="3161A657" w14:textId="77777777" w:rsidR="00CF1986" w:rsidRPr="00CF1986" w:rsidRDefault="00CF1986" w:rsidP="00CF1986">
            <w:pPr>
              <w:rPr>
                <w:sz w:val="20"/>
                <w:szCs w:val="20"/>
              </w:rPr>
            </w:pPr>
          </w:p>
        </w:tc>
        <w:tc>
          <w:tcPr>
            <w:tcW w:w="835" w:type="dxa"/>
            <w:tcBorders>
              <w:top w:val="nil"/>
              <w:left w:val="nil"/>
              <w:bottom w:val="nil"/>
              <w:right w:val="nil"/>
            </w:tcBorders>
            <w:shd w:val="clear" w:color="auto" w:fill="auto"/>
            <w:noWrap/>
            <w:vAlign w:val="bottom"/>
            <w:hideMark/>
          </w:tcPr>
          <w:p w14:paraId="0A37222A" w14:textId="77777777" w:rsidR="00CF1986" w:rsidRPr="00CF1986" w:rsidRDefault="00CF1986" w:rsidP="00CF1986">
            <w:pPr>
              <w:rPr>
                <w:sz w:val="20"/>
                <w:szCs w:val="20"/>
              </w:rPr>
            </w:pPr>
          </w:p>
        </w:tc>
        <w:tc>
          <w:tcPr>
            <w:tcW w:w="661" w:type="dxa"/>
            <w:tcBorders>
              <w:top w:val="nil"/>
              <w:left w:val="nil"/>
              <w:bottom w:val="nil"/>
              <w:right w:val="nil"/>
            </w:tcBorders>
            <w:shd w:val="clear" w:color="auto" w:fill="auto"/>
            <w:noWrap/>
            <w:vAlign w:val="bottom"/>
            <w:hideMark/>
          </w:tcPr>
          <w:p w14:paraId="00264E79" w14:textId="77777777" w:rsidR="00CF1986" w:rsidRPr="00CF1986" w:rsidRDefault="00CF1986" w:rsidP="00CF1986">
            <w:pPr>
              <w:rPr>
                <w:sz w:val="20"/>
                <w:szCs w:val="20"/>
              </w:rPr>
            </w:pPr>
          </w:p>
        </w:tc>
        <w:tc>
          <w:tcPr>
            <w:tcW w:w="204" w:type="dxa"/>
            <w:tcBorders>
              <w:top w:val="nil"/>
              <w:left w:val="nil"/>
              <w:bottom w:val="nil"/>
              <w:right w:val="nil"/>
            </w:tcBorders>
            <w:shd w:val="clear" w:color="auto" w:fill="auto"/>
            <w:noWrap/>
            <w:vAlign w:val="bottom"/>
            <w:hideMark/>
          </w:tcPr>
          <w:p w14:paraId="589D27AF" w14:textId="77777777" w:rsidR="00CF1986" w:rsidRPr="00CF1986" w:rsidRDefault="00CF1986" w:rsidP="00CF1986">
            <w:pPr>
              <w:rPr>
                <w:sz w:val="20"/>
                <w:szCs w:val="20"/>
              </w:rPr>
            </w:pPr>
          </w:p>
        </w:tc>
        <w:tc>
          <w:tcPr>
            <w:tcW w:w="729" w:type="dxa"/>
            <w:tcBorders>
              <w:top w:val="nil"/>
              <w:left w:val="nil"/>
              <w:bottom w:val="nil"/>
              <w:right w:val="nil"/>
            </w:tcBorders>
            <w:shd w:val="clear" w:color="auto" w:fill="auto"/>
            <w:noWrap/>
            <w:vAlign w:val="bottom"/>
            <w:hideMark/>
          </w:tcPr>
          <w:p w14:paraId="20085977" w14:textId="77777777" w:rsidR="00CF1986" w:rsidRPr="00CF1986" w:rsidRDefault="00CF1986" w:rsidP="00CF1986">
            <w:pPr>
              <w:rPr>
                <w:sz w:val="20"/>
                <w:szCs w:val="20"/>
              </w:rPr>
            </w:pPr>
          </w:p>
        </w:tc>
        <w:tc>
          <w:tcPr>
            <w:tcW w:w="798" w:type="dxa"/>
            <w:tcBorders>
              <w:top w:val="nil"/>
              <w:left w:val="nil"/>
              <w:bottom w:val="nil"/>
              <w:right w:val="nil"/>
            </w:tcBorders>
            <w:shd w:val="clear" w:color="auto" w:fill="auto"/>
            <w:noWrap/>
            <w:vAlign w:val="bottom"/>
            <w:hideMark/>
          </w:tcPr>
          <w:p w14:paraId="7B5CF9E0" w14:textId="77777777" w:rsidR="00CF1986" w:rsidRPr="00CF1986" w:rsidRDefault="00CF1986" w:rsidP="00CF1986">
            <w:pPr>
              <w:rPr>
                <w:sz w:val="20"/>
                <w:szCs w:val="20"/>
              </w:rPr>
            </w:pPr>
          </w:p>
        </w:tc>
        <w:tc>
          <w:tcPr>
            <w:tcW w:w="729" w:type="dxa"/>
            <w:tcBorders>
              <w:top w:val="nil"/>
              <w:left w:val="nil"/>
              <w:bottom w:val="nil"/>
              <w:right w:val="nil"/>
            </w:tcBorders>
            <w:shd w:val="clear" w:color="auto" w:fill="auto"/>
            <w:noWrap/>
            <w:vAlign w:val="bottom"/>
            <w:hideMark/>
          </w:tcPr>
          <w:p w14:paraId="38EB09CD" w14:textId="77777777" w:rsidR="00CF1986" w:rsidRPr="00CF1986" w:rsidRDefault="00CF1986" w:rsidP="00CF1986">
            <w:pPr>
              <w:rPr>
                <w:sz w:val="20"/>
                <w:szCs w:val="20"/>
              </w:rPr>
            </w:pPr>
          </w:p>
        </w:tc>
        <w:tc>
          <w:tcPr>
            <w:tcW w:w="391" w:type="dxa"/>
            <w:tcBorders>
              <w:top w:val="nil"/>
              <w:left w:val="nil"/>
              <w:bottom w:val="nil"/>
              <w:right w:val="nil"/>
            </w:tcBorders>
            <w:shd w:val="clear" w:color="auto" w:fill="auto"/>
            <w:noWrap/>
            <w:vAlign w:val="bottom"/>
            <w:hideMark/>
          </w:tcPr>
          <w:p w14:paraId="2BE3C807" w14:textId="77777777" w:rsidR="00CF1986" w:rsidRPr="00CF1986" w:rsidRDefault="00CF1986" w:rsidP="00CF1986">
            <w:pPr>
              <w:rPr>
                <w:sz w:val="20"/>
                <w:szCs w:val="20"/>
              </w:rPr>
            </w:pPr>
          </w:p>
        </w:tc>
        <w:tc>
          <w:tcPr>
            <w:tcW w:w="172" w:type="dxa"/>
            <w:gridSpan w:val="2"/>
            <w:vAlign w:val="center"/>
            <w:hideMark/>
          </w:tcPr>
          <w:p w14:paraId="5C7D841E" w14:textId="77777777" w:rsidR="00CF1986" w:rsidRPr="00CF1986" w:rsidRDefault="00CF1986" w:rsidP="00CF1986">
            <w:pPr>
              <w:rPr>
                <w:sz w:val="20"/>
                <w:szCs w:val="20"/>
              </w:rPr>
            </w:pPr>
          </w:p>
        </w:tc>
      </w:tr>
      <w:tr w:rsidR="00ED4664" w:rsidRPr="00CF1986" w14:paraId="435662C3" w14:textId="77777777" w:rsidTr="00C15373">
        <w:trPr>
          <w:trHeight w:val="41"/>
          <w:jc w:val="center"/>
        </w:trPr>
        <w:tc>
          <w:tcPr>
            <w:tcW w:w="3492" w:type="dxa"/>
            <w:gridSpan w:val="6"/>
            <w:vMerge w:val="restart"/>
            <w:tcBorders>
              <w:top w:val="single" w:sz="8" w:space="0" w:color="auto"/>
              <w:left w:val="single" w:sz="8" w:space="0" w:color="auto"/>
              <w:bottom w:val="single" w:sz="4" w:space="0" w:color="auto"/>
              <w:right w:val="single" w:sz="4" w:space="0" w:color="auto"/>
            </w:tcBorders>
            <w:shd w:val="clear" w:color="000000" w:fill="AEAAAA"/>
            <w:noWrap/>
            <w:vAlign w:val="bottom"/>
            <w:hideMark/>
          </w:tcPr>
          <w:p w14:paraId="47F706CC"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2885" w:type="dxa"/>
            <w:gridSpan w:val="4"/>
            <w:tcBorders>
              <w:top w:val="single" w:sz="8" w:space="0" w:color="auto"/>
              <w:left w:val="nil"/>
              <w:bottom w:val="single" w:sz="4" w:space="0" w:color="auto"/>
              <w:right w:val="single" w:sz="8" w:space="0" w:color="000000"/>
            </w:tcBorders>
            <w:shd w:val="clear" w:color="000000" w:fill="C00000"/>
            <w:noWrap/>
            <w:vAlign w:val="bottom"/>
            <w:hideMark/>
          </w:tcPr>
          <w:p w14:paraId="6ACCA7BC" w14:textId="77777777" w:rsidR="00CF1986" w:rsidRPr="00ED4664" w:rsidRDefault="00CF1986" w:rsidP="00CF1986">
            <w:pPr>
              <w:jc w:val="center"/>
              <w:rPr>
                <w:rFonts w:ascii="Segoe UI Light" w:hAnsi="Segoe UI Light" w:cs="Segoe UI Light"/>
                <w:b/>
                <w:bCs/>
                <w:i/>
                <w:iCs/>
                <w:color w:val="FFFFFF"/>
                <w:sz w:val="16"/>
                <w:szCs w:val="16"/>
              </w:rPr>
            </w:pPr>
            <w:r w:rsidRPr="00ED4664">
              <w:rPr>
                <w:rFonts w:ascii="Segoe UI Light" w:hAnsi="Segoe UI Light" w:cs="Segoe UI Light"/>
                <w:b/>
                <w:bCs/>
                <w:i/>
                <w:iCs/>
                <w:color w:val="FFFFFF"/>
                <w:sz w:val="16"/>
                <w:szCs w:val="16"/>
              </w:rPr>
              <w:t>Medidas de los flujos</w:t>
            </w:r>
          </w:p>
        </w:tc>
        <w:tc>
          <w:tcPr>
            <w:tcW w:w="204" w:type="dxa"/>
            <w:tcBorders>
              <w:top w:val="nil"/>
              <w:left w:val="nil"/>
              <w:bottom w:val="nil"/>
              <w:right w:val="nil"/>
            </w:tcBorders>
            <w:shd w:val="clear" w:color="auto" w:fill="auto"/>
            <w:noWrap/>
            <w:vAlign w:val="bottom"/>
            <w:hideMark/>
          </w:tcPr>
          <w:p w14:paraId="484BB927" w14:textId="77777777" w:rsidR="00CF1986" w:rsidRPr="00ED4664" w:rsidRDefault="00CF1986" w:rsidP="00CF1986">
            <w:pPr>
              <w:jc w:val="center"/>
              <w:rPr>
                <w:rFonts w:ascii="Segoe UI Light" w:hAnsi="Segoe UI Light" w:cs="Segoe UI Light"/>
                <w:b/>
                <w:bCs/>
                <w:i/>
                <w:iCs/>
                <w:color w:val="FFFFFF"/>
                <w:sz w:val="16"/>
                <w:szCs w:val="16"/>
              </w:rPr>
            </w:pPr>
          </w:p>
        </w:tc>
        <w:tc>
          <w:tcPr>
            <w:tcW w:w="2654" w:type="dxa"/>
            <w:gridSpan w:val="5"/>
            <w:tcBorders>
              <w:top w:val="single" w:sz="8" w:space="0" w:color="auto"/>
              <w:left w:val="single" w:sz="8" w:space="0" w:color="auto"/>
              <w:bottom w:val="single" w:sz="4" w:space="0" w:color="auto"/>
              <w:right w:val="single" w:sz="8" w:space="0" w:color="000000"/>
            </w:tcBorders>
            <w:shd w:val="clear" w:color="000000" w:fill="C00000"/>
            <w:noWrap/>
            <w:vAlign w:val="bottom"/>
            <w:hideMark/>
          </w:tcPr>
          <w:p w14:paraId="1C0AEFB4" w14:textId="77777777" w:rsidR="00CF1986" w:rsidRPr="00ED4664" w:rsidRDefault="00CF1986" w:rsidP="00CF1986">
            <w:pPr>
              <w:jc w:val="center"/>
              <w:rPr>
                <w:rFonts w:ascii="Segoe UI Light" w:hAnsi="Segoe UI Light" w:cs="Segoe UI Light"/>
                <w:b/>
                <w:bCs/>
                <w:i/>
                <w:iCs/>
                <w:color w:val="FFFFFF"/>
                <w:sz w:val="16"/>
                <w:szCs w:val="16"/>
              </w:rPr>
            </w:pPr>
            <w:r w:rsidRPr="00ED4664">
              <w:rPr>
                <w:rFonts w:ascii="Segoe UI Light" w:hAnsi="Segoe UI Light" w:cs="Segoe UI Light"/>
                <w:b/>
                <w:bCs/>
                <w:i/>
                <w:iCs/>
                <w:color w:val="FFFFFF"/>
                <w:sz w:val="16"/>
                <w:szCs w:val="16"/>
              </w:rPr>
              <w:t>Variables de stock</w:t>
            </w:r>
          </w:p>
        </w:tc>
        <w:tc>
          <w:tcPr>
            <w:tcW w:w="173" w:type="dxa"/>
            <w:gridSpan w:val="2"/>
            <w:vAlign w:val="center"/>
            <w:hideMark/>
          </w:tcPr>
          <w:p w14:paraId="6A9A7A65" w14:textId="77777777" w:rsidR="00CF1986" w:rsidRPr="00CF1986" w:rsidRDefault="00CF1986" w:rsidP="00CF1986">
            <w:pPr>
              <w:rPr>
                <w:sz w:val="20"/>
                <w:szCs w:val="20"/>
              </w:rPr>
            </w:pPr>
          </w:p>
        </w:tc>
      </w:tr>
      <w:tr w:rsidR="00C15373" w:rsidRPr="00CF1986" w14:paraId="44563B7E" w14:textId="77777777" w:rsidTr="00C15373">
        <w:trPr>
          <w:gridAfter w:val="1"/>
          <w:wAfter w:w="10" w:type="dxa"/>
          <w:trHeight w:val="376"/>
          <w:jc w:val="center"/>
        </w:trPr>
        <w:tc>
          <w:tcPr>
            <w:tcW w:w="3492" w:type="dxa"/>
            <w:gridSpan w:val="6"/>
            <w:vMerge/>
            <w:tcBorders>
              <w:top w:val="single" w:sz="8" w:space="0" w:color="auto"/>
              <w:left w:val="single" w:sz="8" w:space="0" w:color="auto"/>
              <w:bottom w:val="single" w:sz="4" w:space="0" w:color="auto"/>
              <w:right w:val="single" w:sz="4" w:space="0" w:color="auto"/>
            </w:tcBorders>
            <w:vAlign w:val="center"/>
            <w:hideMark/>
          </w:tcPr>
          <w:p w14:paraId="6417A629" w14:textId="77777777" w:rsidR="00CF1986" w:rsidRPr="00ED4664" w:rsidRDefault="00CF1986" w:rsidP="00CF1986">
            <w:pPr>
              <w:rPr>
                <w:rFonts w:ascii="Segoe UI Light" w:hAnsi="Segoe UI Light" w:cs="Segoe UI Light"/>
                <w:color w:val="000000"/>
                <w:sz w:val="16"/>
                <w:szCs w:val="16"/>
              </w:rPr>
            </w:pPr>
          </w:p>
        </w:tc>
        <w:tc>
          <w:tcPr>
            <w:tcW w:w="659"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7A4E4C22" w14:textId="77777777" w:rsidR="00CF1986" w:rsidRPr="00ED4664" w:rsidRDefault="00CF1986" w:rsidP="00CF1986">
            <w:pPr>
              <w:jc w:val="center"/>
              <w:rPr>
                <w:rFonts w:ascii="Segoe UI Light" w:hAnsi="Segoe UI Light" w:cs="Segoe UI Light"/>
                <w:color w:val="FFFFFF"/>
                <w:sz w:val="14"/>
                <w:szCs w:val="14"/>
              </w:rPr>
            </w:pPr>
            <w:r w:rsidRPr="00ED4664">
              <w:rPr>
                <w:rFonts w:ascii="Segoe UI Light" w:hAnsi="Segoe UI Light" w:cs="Segoe UI Light"/>
                <w:color w:val="FFFFFF"/>
                <w:sz w:val="14"/>
                <w:szCs w:val="14"/>
              </w:rPr>
              <w:t>Ingresos tributarios</w:t>
            </w:r>
          </w:p>
        </w:tc>
        <w:tc>
          <w:tcPr>
            <w:tcW w:w="729"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28CB9B01" w14:textId="77777777" w:rsidR="00CF1986" w:rsidRPr="00ED4664" w:rsidRDefault="00CF1986" w:rsidP="00CF1986">
            <w:pPr>
              <w:jc w:val="center"/>
              <w:rPr>
                <w:rFonts w:ascii="Segoe UI Light" w:hAnsi="Segoe UI Light" w:cs="Segoe UI Light"/>
                <w:color w:val="FFFFFF"/>
                <w:sz w:val="14"/>
                <w:szCs w:val="14"/>
              </w:rPr>
            </w:pPr>
            <w:r w:rsidRPr="00ED4664">
              <w:rPr>
                <w:rFonts w:ascii="Segoe UI Light" w:hAnsi="Segoe UI Light" w:cs="Segoe UI Light"/>
                <w:color w:val="FFFFFF"/>
                <w:sz w:val="14"/>
                <w:szCs w:val="14"/>
              </w:rPr>
              <w:t>Ingresos no tributarios</w:t>
            </w:r>
          </w:p>
        </w:tc>
        <w:tc>
          <w:tcPr>
            <w:tcW w:w="835"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26064982" w14:textId="77777777" w:rsidR="00CF1986" w:rsidRPr="00ED4664" w:rsidRDefault="00CF1986" w:rsidP="00CF1986">
            <w:pPr>
              <w:jc w:val="center"/>
              <w:rPr>
                <w:rFonts w:ascii="Segoe UI Light" w:hAnsi="Segoe UI Light" w:cs="Segoe UI Light"/>
                <w:color w:val="FFFFFF"/>
                <w:sz w:val="14"/>
                <w:szCs w:val="14"/>
              </w:rPr>
            </w:pPr>
            <w:r w:rsidRPr="00ED4664">
              <w:rPr>
                <w:rFonts w:ascii="Segoe UI Light" w:hAnsi="Segoe UI Light" w:cs="Segoe UI Light"/>
                <w:color w:val="FFFFFF"/>
                <w:sz w:val="14"/>
                <w:szCs w:val="14"/>
              </w:rPr>
              <w:t>Gastos corrientes</w:t>
            </w:r>
          </w:p>
        </w:tc>
        <w:tc>
          <w:tcPr>
            <w:tcW w:w="661" w:type="dxa"/>
            <w:vMerge w:val="restart"/>
            <w:tcBorders>
              <w:top w:val="nil"/>
              <w:left w:val="single" w:sz="4" w:space="0" w:color="auto"/>
              <w:bottom w:val="single" w:sz="4" w:space="0" w:color="auto"/>
              <w:right w:val="single" w:sz="8" w:space="0" w:color="auto"/>
            </w:tcBorders>
            <w:shd w:val="clear" w:color="000000" w:fill="4B82AD"/>
            <w:textDirection w:val="btLr"/>
            <w:vAlign w:val="center"/>
            <w:hideMark/>
          </w:tcPr>
          <w:p w14:paraId="5A3ED964" w14:textId="77777777" w:rsidR="00CF1986" w:rsidRPr="00ED4664" w:rsidRDefault="00CF1986" w:rsidP="00C15373">
            <w:pPr>
              <w:jc w:val="center"/>
              <w:rPr>
                <w:rFonts w:ascii="Segoe UI Light" w:hAnsi="Segoe UI Light" w:cs="Segoe UI Light"/>
                <w:color w:val="FFFFFF"/>
                <w:sz w:val="14"/>
                <w:szCs w:val="14"/>
              </w:rPr>
            </w:pPr>
            <w:r w:rsidRPr="00ED4664">
              <w:rPr>
                <w:rFonts w:ascii="Segoe UI Light" w:hAnsi="Segoe UI Light" w:cs="Segoe UI Light"/>
                <w:color w:val="FFFFFF"/>
                <w:sz w:val="14"/>
                <w:szCs w:val="14"/>
              </w:rPr>
              <w:t>Gastos de capital</w:t>
            </w:r>
          </w:p>
        </w:tc>
        <w:tc>
          <w:tcPr>
            <w:tcW w:w="204" w:type="dxa"/>
            <w:tcBorders>
              <w:top w:val="nil"/>
              <w:left w:val="nil"/>
              <w:bottom w:val="nil"/>
              <w:right w:val="nil"/>
            </w:tcBorders>
            <w:shd w:val="clear" w:color="auto" w:fill="auto"/>
            <w:noWrap/>
            <w:vAlign w:val="bottom"/>
            <w:hideMark/>
          </w:tcPr>
          <w:p w14:paraId="3826B103" w14:textId="77777777" w:rsidR="00CF1986" w:rsidRPr="00ED4664" w:rsidRDefault="00CF1986" w:rsidP="00CF1986">
            <w:pPr>
              <w:jc w:val="center"/>
              <w:rPr>
                <w:rFonts w:ascii="Segoe UI Light" w:hAnsi="Segoe UI Light" w:cs="Segoe UI Light"/>
                <w:color w:val="FFFFFF"/>
                <w:sz w:val="14"/>
                <w:szCs w:val="14"/>
              </w:rPr>
            </w:pPr>
          </w:p>
        </w:tc>
        <w:tc>
          <w:tcPr>
            <w:tcW w:w="729" w:type="dxa"/>
            <w:vMerge w:val="restart"/>
            <w:tcBorders>
              <w:top w:val="nil"/>
              <w:left w:val="single" w:sz="8" w:space="0" w:color="auto"/>
              <w:bottom w:val="single" w:sz="4" w:space="0" w:color="auto"/>
              <w:right w:val="single" w:sz="4" w:space="0" w:color="auto"/>
            </w:tcBorders>
            <w:shd w:val="clear" w:color="000000" w:fill="4B82AD"/>
            <w:textDirection w:val="btLr"/>
            <w:vAlign w:val="center"/>
            <w:hideMark/>
          </w:tcPr>
          <w:p w14:paraId="3F619835" w14:textId="77777777" w:rsidR="00CF1986" w:rsidRPr="00ED4664" w:rsidRDefault="00CF1986" w:rsidP="00CF1986">
            <w:pPr>
              <w:jc w:val="center"/>
              <w:rPr>
                <w:rFonts w:ascii="Segoe UI Light" w:hAnsi="Segoe UI Light" w:cs="Segoe UI Light"/>
                <w:color w:val="FFFFFF"/>
                <w:sz w:val="14"/>
                <w:szCs w:val="14"/>
              </w:rPr>
            </w:pPr>
            <w:r w:rsidRPr="00ED4664">
              <w:rPr>
                <w:rFonts w:ascii="Segoe UI Light" w:hAnsi="Segoe UI Light" w:cs="Segoe UI Light"/>
                <w:color w:val="FFFFFF"/>
                <w:sz w:val="14"/>
                <w:szCs w:val="14"/>
              </w:rPr>
              <w:t>Activos financieros</w:t>
            </w:r>
          </w:p>
        </w:tc>
        <w:tc>
          <w:tcPr>
            <w:tcW w:w="798"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1E18F41C" w14:textId="77777777" w:rsidR="00CF1986" w:rsidRPr="00ED4664" w:rsidRDefault="00CF1986" w:rsidP="00CF1986">
            <w:pPr>
              <w:jc w:val="center"/>
              <w:rPr>
                <w:rFonts w:ascii="Segoe UI Light" w:hAnsi="Segoe UI Light" w:cs="Segoe UI Light"/>
                <w:color w:val="FFFFFF"/>
                <w:sz w:val="14"/>
                <w:szCs w:val="14"/>
              </w:rPr>
            </w:pPr>
            <w:r w:rsidRPr="00ED4664">
              <w:rPr>
                <w:rFonts w:ascii="Segoe UI Light" w:hAnsi="Segoe UI Light" w:cs="Segoe UI Light"/>
                <w:color w:val="FFFFFF"/>
                <w:sz w:val="14"/>
                <w:szCs w:val="14"/>
              </w:rPr>
              <w:t>Activos no financieros</w:t>
            </w:r>
          </w:p>
        </w:tc>
        <w:tc>
          <w:tcPr>
            <w:tcW w:w="729"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3E599B42" w14:textId="77777777" w:rsidR="00CF1986" w:rsidRPr="00ED4664" w:rsidRDefault="00CF1986" w:rsidP="00CF1986">
            <w:pPr>
              <w:jc w:val="center"/>
              <w:rPr>
                <w:rFonts w:ascii="Segoe UI Light" w:hAnsi="Segoe UI Light" w:cs="Segoe UI Light"/>
                <w:color w:val="FFFFFF"/>
                <w:sz w:val="14"/>
                <w:szCs w:val="14"/>
              </w:rPr>
            </w:pPr>
            <w:r w:rsidRPr="00ED4664">
              <w:rPr>
                <w:rFonts w:ascii="Segoe UI Light" w:hAnsi="Segoe UI Light" w:cs="Segoe UI Light"/>
                <w:color w:val="FFFFFF"/>
                <w:sz w:val="14"/>
                <w:szCs w:val="14"/>
              </w:rPr>
              <w:t>Pasivos de deuda</w:t>
            </w:r>
          </w:p>
        </w:tc>
        <w:tc>
          <w:tcPr>
            <w:tcW w:w="391" w:type="dxa"/>
            <w:vMerge w:val="restart"/>
            <w:tcBorders>
              <w:top w:val="nil"/>
              <w:left w:val="single" w:sz="4" w:space="0" w:color="auto"/>
              <w:bottom w:val="single" w:sz="4" w:space="0" w:color="auto"/>
              <w:right w:val="single" w:sz="8" w:space="0" w:color="auto"/>
            </w:tcBorders>
            <w:shd w:val="clear" w:color="000000" w:fill="4B82AD"/>
            <w:textDirection w:val="btLr"/>
            <w:vAlign w:val="center"/>
            <w:hideMark/>
          </w:tcPr>
          <w:p w14:paraId="0EA5F897" w14:textId="77777777" w:rsidR="00CF1986" w:rsidRPr="00ED4664" w:rsidRDefault="00CF1986" w:rsidP="00CF1986">
            <w:pPr>
              <w:jc w:val="center"/>
              <w:rPr>
                <w:rFonts w:ascii="Segoe UI Light" w:hAnsi="Segoe UI Light" w:cs="Segoe UI Light"/>
                <w:color w:val="FFFFFF"/>
                <w:sz w:val="14"/>
                <w:szCs w:val="14"/>
              </w:rPr>
            </w:pPr>
            <w:r w:rsidRPr="00ED4664">
              <w:rPr>
                <w:rFonts w:ascii="Segoe UI Light" w:hAnsi="Segoe UI Light" w:cs="Segoe UI Light"/>
                <w:color w:val="FFFFFF"/>
                <w:sz w:val="14"/>
                <w:szCs w:val="14"/>
              </w:rPr>
              <w:t>Otros pasivos</w:t>
            </w:r>
          </w:p>
        </w:tc>
        <w:tc>
          <w:tcPr>
            <w:tcW w:w="172" w:type="dxa"/>
            <w:gridSpan w:val="2"/>
            <w:vAlign w:val="center"/>
            <w:hideMark/>
          </w:tcPr>
          <w:p w14:paraId="103E6285" w14:textId="77777777" w:rsidR="00CF1986" w:rsidRPr="00ED4664" w:rsidRDefault="00CF1986" w:rsidP="00CF1986">
            <w:pPr>
              <w:rPr>
                <w:sz w:val="14"/>
                <w:szCs w:val="14"/>
              </w:rPr>
            </w:pPr>
          </w:p>
        </w:tc>
      </w:tr>
      <w:tr w:rsidR="00C15373" w:rsidRPr="00CF1986" w14:paraId="1257118E" w14:textId="77777777" w:rsidTr="00C15373">
        <w:trPr>
          <w:gridAfter w:val="1"/>
          <w:wAfter w:w="10" w:type="dxa"/>
          <w:trHeight w:val="376"/>
          <w:jc w:val="center"/>
        </w:trPr>
        <w:tc>
          <w:tcPr>
            <w:tcW w:w="3492" w:type="dxa"/>
            <w:gridSpan w:val="6"/>
            <w:vMerge/>
            <w:tcBorders>
              <w:top w:val="single" w:sz="8" w:space="0" w:color="auto"/>
              <w:left w:val="single" w:sz="8" w:space="0" w:color="auto"/>
              <w:bottom w:val="single" w:sz="4" w:space="0" w:color="auto"/>
              <w:right w:val="single" w:sz="4" w:space="0" w:color="auto"/>
            </w:tcBorders>
            <w:vAlign w:val="center"/>
            <w:hideMark/>
          </w:tcPr>
          <w:p w14:paraId="3B352CF0" w14:textId="77777777" w:rsidR="00CF1986" w:rsidRPr="00ED4664" w:rsidRDefault="00CF1986" w:rsidP="00CF1986">
            <w:pPr>
              <w:rPr>
                <w:rFonts w:ascii="Segoe UI Light" w:hAnsi="Segoe UI Light" w:cs="Segoe UI Light"/>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0209B6B4" w14:textId="77777777" w:rsidR="00CF1986" w:rsidRPr="00ED4664" w:rsidRDefault="00CF1986" w:rsidP="00CF1986">
            <w:pPr>
              <w:rPr>
                <w:rFonts w:ascii="Segoe UI Light" w:hAnsi="Segoe UI Light" w:cs="Segoe UI Light"/>
                <w:color w:val="FFFFFF"/>
                <w:sz w:val="14"/>
                <w:szCs w:val="14"/>
              </w:rPr>
            </w:pPr>
          </w:p>
        </w:tc>
        <w:tc>
          <w:tcPr>
            <w:tcW w:w="729" w:type="dxa"/>
            <w:vMerge/>
            <w:tcBorders>
              <w:top w:val="nil"/>
              <w:left w:val="single" w:sz="4" w:space="0" w:color="auto"/>
              <w:bottom w:val="single" w:sz="4" w:space="0" w:color="auto"/>
              <w:right w:val="single" w:sz="4" w:space="0" w:color="auto"/>
            </w:tcBorders>
            <w:vAlign w:val="center"/>
            <w:hideMark/>
          </w:tcPr>
          <w:p w14:paraId="49B2BDC1" w14:textId="77777777" w:rsidR="00CF1986" w:rsidRPr="00ED4664" w:rsidRDefault="00CF1986" w:rsidP="00CF1986">
            <w:pPr>
              <w:rPr>
                <w:rFonts w:ascii="Segoe UI Light" w:hAnsi="Segoe UI Light" w:cs="Segoe UI Light"/>
                <w:color w:val="FFFFFF"/>
                <w:sz w:val="14"/>
                <w:szCs w:val="14"/>
              </w:rPr>
            </w:pPr>
          </w:p>
        </w:tc>
        <w:tc>
          <w:tcPr>
            <w:tcW w:w="835" w:type="dxa"/>
            <w:vMerge/>
            <w:tcBorders>
              <w:top w:val="nil"/>
              <w:left w:val="single" w:sz="4" w:space="0" w:color="auto"/>
              <w:bottom w:val="single" w:sz="4" w:space="0" w:color="auto"/>
              <w:right w:val="single" w:sz="4" w:space="0" w:color="auto"/>
            </w:tcBorders>
            <w:vAlign w:val="center"/>
            <w:hideMark/>
          </w:tcPr>
          <w:p w14:paraId="69266EF4" w14:textId="77777777" w:rsidR="00CF1986" w:rsidRPr="00ED4664" w:rsidRDefault="00CF1986" w:rsidP="00CF1986">
            <w:pPr>
              <w:rPr>
                <w:rFonts w:ascii="Segoe UI Light" w:hAnsi="Segoe UI Light" w:cs="Segoe UI Light"/>
                <w:color w:val="FFFFFF"/>
                <w:sz w:val="14"/>
                <w:szCs w:val="14"/>
              </w:rPr>
            </w:pPr>
          </w:p>
        </w:tc>
        <w:tc>
          <w:tcPr>
            <w:tcW w:w="661" w:type="dxa"/>
            <w:vMerge/>
            <w:tcBorders>
              <w:top w:val="nil"/>
              <w:left w:val="single" w:sz="4" w:space="0" w:color="auto"/>
              <w:bottom w:val="single" w:sz="4" w:space="0" w:color="auto"/>
              <w:right w:val="single" w:sz="8" w:space="0" w:color="auto"/>
            </w:tcBorders>
            <w:vAlign w:val="center"/>
            <w:hideMark/>
          </w:tcPr>
          <w:p w14:paraId="027B6F52" w14:textId="77777777" w:rsidR="00CF1986" w:rsidRPr="00ED4664" w:rsidRDefault="00CF1986" w:rsidP="00CF1986">
            <w:pPr>
              <w:rPr>
                <w:rFonts w:ascii="Segoe UI Light" w:hAnsi="Segoe UI Light" w:cs="Segoe UI Light"/>
                <w:color w:val="FFFFFF"/>
                <w:sz w:val="14"/>
                <w:szCs w:val="14"/>
              </w:rPr>
            </w:pPr>
          </w:p>
        </w:tc>
        <w:tc>
          <w:tcPr>
            <w:tcW w:w="204" w:type="dxa"/>
            <w:tcBorders>
              <w:top w:val="nil"/>
              <w:left w:val="nil"/>
              <w:bottom w:val="nil"/>
              <w:right w:val="nil"/>
            </w:tcBorders>
            <w:shd w:val="clear" w:color="auto" w:fill="auto"/>
            <w:noWrap/>
            <w:vAlign w:val="bottom"/>
            <w:hideMark/>
          </w:tcPr>
          <w:p w14:paraId="546A46BF" w14:textId="77777777" w:rsidR="00CF1986" w:rsidRPr="00ED4664" w:rsidRDefault="00CF1986" w:rsidP="00CF1986">
            <w:pPr>
              <w:jc w:val="center"/>
              <w:rPr>
                <w:rFonts w:ascii="Segoe UI Light" w:hAnsi="Segoe UI Light" w:cs="Segoe UI Light"/>
                <w:color w:val="FFFFFF"/>
                <w:sz w:val="14"/>
                <w:szCs w:val="14"/>
              </w:rPr>
            </w:pPr>
          </w:p>
        </w:tc>
        <w:tc>
          <w:tcPr>
            <w:tcW w:w="729" w:type="dxa"/>
            <w:vMerge/>
            <w:tcBorders>
              <w:top w:val="nil"/>
              <w:left w:val="single" w:sz="8" w:space="0" w:color="auto"/>
              <w:bottom w:val="single" w:sz="4" w:space="0" w:color="auto"/>
              <w:right w:val="single" w:sz="4" w:space="0" w:color="auto"/>
            </w:tcBorders>
            <w:vAlign w:val="center"/>
            <w:hideMark/>
          </w:tcPr>
          <w:p w14:paraId="0C2902CE" w14:textId="77777777" w:rsidR="00CF1986" w:rsidRPr="00ED4664" w:rsidRDefault="00CF1986" w:rsidP="00CF1986">
            <w:pPr>
              <w:rPr>
                <w:rFonts w:ascii="Segoe UI Light" w:hAnsi="Segoe UI Light" w:cs="Segoe UI Light"/>
                <w:color w:val="FFFFFF"/>
                <w:sz w:val="14"/>
                <w:szCs w:val="14"/>
              </w:rPr>
            </w:pPr>
          </w:p>
        </w:tc>
        <w:tc>
          <w:tcPr>
            <w:tcW w:w="798" w:type="dxa"/>
            <w:vMerge/>
            <w:tcBorders>
              <w:top w:val="nil"/>
              <w:left w:val="single" w:sz="4" w:space="0" w:color="auto"/>
              <w:bottom w:val="single" w:sz="4" w:space="0" w:color="auto"/>
              <w:right w:val="single" w:sz="4" w:space="0" w:color="auto"/>
            </w:tcBorders>
            <w:vAlign w:val="center"/>
            <w:hideMark/>
          </w:tcPr>
          <w:p w14:paraId="1C5D5528" w14:textId="77777777" w:rsidR="00CF1986" w:rsidRPr="00ED4664" w:rsidRDefault="00CF1986" w:rsidP="00CF1986">
            <w:pPr>
              <w:rPr>
                <w:rFonts w:ascii="Segoe UI Light" w:hAnsi="Segoe UI Light" w:cs="Segoe UI Light"/>
                <w:color w:val="FFFFFF"/>
                <w:sz w:val="14"/>
                <w:szCs w:val="14"/>
              </w:rPr>
            </w:pPr>
          </w:p>
        </w:tc>
        <w:tc>
          <w:tcPr>
            <w:tcW w:w="729" w:type="dxa"/>
            <w:vMerge/>
            <w:tcBorders>
              <w:top w:val="nil"/>
              <w:left w:val="single" w:sz="4" w:space="0" w:color="auto"/>
              <w:bottom w:val="single" w:sz="4" w:space="0" w:color="auto"/>
              <w:right w:val="single" w:sz="4" w:space="0" w:color="auto"/>
            </w:tcBorders>
            <w:vAlign w:val="center"/>
            <w:hideMark/>
          </w:tcPr>
          <w:p w14:paraId="43989B79" w14:textId="77777777" w:rsidR="00CF1986" w:rsidRPr="00ED4664" w:rsidRDefault="00CF1986" w:rsidP="00CF1986">
            <w:pPr>
              <w:rPr>
                <w:rFonts w:ascii="Segoe UI Light" w:hAnsi="Segoe UI Light" w:cs="Segoe UI Light"/>
                <w:color w:val="FFFFFF"/>
                <w:sz w:val="14"/>
                <w:szCs w:val="14"/>
              </w:rPr>
            </w:pPr>
          </w:p>
        </w:tc>
        <w:tc>
          <w:tcPr>
            <w:tcW w:w="391" w:type="dxa"/>
            <w:vMerge/>
            <w:tcBorders>
              <w:top w:val="nil"/>
              <w:left w:val="single" w:sz="4" w:space="0" w:color="auto"/>
              <w:bottom w:val="single" w:sz="4" w:space="0" w:color="auto"/>
              <w:right w:val="single" w:sz="8" w:space="0" w:color="auto"/>
            </w:tcBorders>
            <w:vAlign w:val="center"/>
            <w:hideMark/>
          </w:tcPr>
          <w:p w14:paraId="509156C9" w14:textId="77777777" w:rsidR="00CF1986" w:rsidRPr="00ED4664" w:rsidRDefault="00CF1986" w:rsidP="00CF1986">
            <w:pPr>
              <w:rPr>
                <w:rFonts w:ascii="Segoe UI Light" w:hAnsi="Segoe UI Light" w:cs="Segoe UI Light"/>
                <w:color w:val="FFFFFF"/>
                <w:sz w:val="14"/>
                <w:szCs w:val="14"/>
              </w:rPr>
            </w:pPr>
          </w:p>
        </w:tc>
        <w:tc>
          <w:tcPr>
            <w:tcW w:w="172" w:type="dxa"/>
            <w:gridSpan w:val="2"/>
            <w:vAlign w:val="center"/>
            <w:hideMark/>
          </w:tcPr>
          <w:p w14:paraId="72BB3116" w14:textId="77777777" w:rsidR="00CF1986" w:rsidRPr="00ED4664" w:rsidRDefault="00CF1986" w:rsidP="00CF1986">
            <w:pPr>
              <w:rPr>
                <w:sz w:val="14"/>
                <w:szCs w:val="14"/>
              </w:rPr>
            </w:pPr>
          </w:p>
        </w:tc>
      </w:tr>
      <w:tr w:rsidR="00C15373" w:rsidRPr="00CF1986" w14:paraId="62D3F82D" w14:textId="77777777" w:rsidTr="00C15373">
        <w:trPr>
          <w:gridAfter w:val="1"/>
          <w:wAfter w:w="10" w:type="dxa"/>
          <w:trHeight w:val="376"/>
          <w:jc w:val="center"/>
        </w:trPr>
        <w:tc>
          <w:tcPr>
            <w:tcW w:w="3492" w:type="dxa"/>
            <w:gridSpan w:val="6"/>
            <w:vMerge/>
            <w:tcBorders>
              <w:top w:val="single" w:sz="8" w:space="0" w:color="auto"/>
              <w:left w:val="single" w:sz="8" w:space="0" w:color="auto"/>
              <w:bottom w:val="single" w:sz="4" w:space="0" w:color="auto"/>
              <w:right w:val="single" w:sz="4" w:space="0" w:color="auto"/>
            </w:tcBorders>
            <w:vAlign w:val="center"/>
            <w:hideMark/>
          </w:tcPr>
          <w:p w14:paraId="3149321A" w14:textId="77777777" w:rsidR="00CF1986" w:rsidRPr="00ED4664" w:rsidRDefault="00CF1986" w:rsidP="00CF1986">
            <w:pPr>
              <w:rPr>
                <w:rFonts w:ascii="Segoe UI Light" w:hAnsi="Segoe UI Light" w:cs="Segoe UI Light"/>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6013EE27" w14:textId="77777777" w:rsidR="00CF1986" w:rsidRPr="00ED4664" w:rsidRDefault="00CF1986" w:rsidP="00CF1986">
            <w:pPr>
              <w:rPr>
                <w:rFonts w:ascii="Segoe UI Light" w:hAnsi="Segoe UI Light" w:cs="Segoe UI Light"/>
                <w:color w:val="FFFFFF"/>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77A43EC8" w14:textId="77777777" w:rsidR="00CF1986" w:rsidRPr="00ED4664" w:rsidRDefault="00CF1986" w:rsidP="00CF1986">
            <w:pPr>
              <w:rPr>
                <w:rFonts w:ascii="Segoe UI Light" w:hAnsi="Segoe UI Light" w:cs="Segoe UI Light"/>
                <w:color w:val="FFFFFF"/>
                <w:sz w:val="16"/>
                <w:szCs w:val="16"/>
              </w:rPr>
            </w:pPr>
          </w:p>
        </w:tc>
        <w:tc>
          <w:tcPr>
            <w:tcW w:w="835" w:type="dxa"/>
            <w:vMerge/>
            <w:tcBorders>
              <w:top w:val="nil"/>
              <w:left w:val="single" w:sz="4" w:space="0" w:color="auto"/>
              <w:bottom w:val="single" w:sz="4" w:space="0" w:color="auto"/>
              <w:right w:val="single" w:sz="4" w:space="0" w:color="auto"/>
            </w:tcBorders>
            <w:vAlign w:val="center"/>
            <w:hideMark/>
          </w:tcPr>
          <w:p w14:paraId="73097F15" w14:textId="77777777" w:rsidR="00CF1986" w:rsidRPr="00ED4664" w:rsidRDefault="00CF1986" w:rsidP="00CF1986">
            <w:pPr>
              <w:rPr>
                <w:rFonts w:ascii="Segoe UI Light" w:hAnsi="Segoe UI Light" w:cs="Segoe UI Light"/>
                <w:color w:val="FFFFFF"/>
                <w:sz w:val="16"/>
                <w:szCs w:val="16"/>
              </w:rPr>
            </w:pPr>
          </w:p>
        </w:tc>
        <w:tc>
          <w:tcPr>
            <w:tcW w:w="661" w:type="dxa"/>
            <w:vMerge/>
            <w:tcBorders>
              <w:top w:val="nil"/>
              <w:left w:val="single" w:sz="4" w:space="0" w:color="auto"/>
              <w:bottom w:val="single" w:sz="4" w:space="0" w:color="auto"/>
              <w:right w:val="single" w:sz="8" w:space="0" w:color="auto"/>
            </w:tcBorders>
            <w:vAlign w:val="center"/>
            <w:hideMark/>
          </w:tcPr>
          <w:p w14:paraId="4E5D2F5B" w14:textId="77777777" w:rsidR="00CF1986" w:rsidRPr="00ED4664" w:rsidRDefault="00CF1986" w:rsidP="00CF1986">
            <w:pPr>
              <w:rPr>
                <w:rFonts w:ascii="Segoe UI Light" w:hAnsi="Segoe UI Light" w:cs="Segoe UI Light"/>
                <w:color w:val="FFFFFF"/>
                <w:sz w:val="16"/>
                <w:szCs w:val="16"/>
              </w:rPr>
            </w:pPr>
          </w:p>
        </w:tc>
        <w:tc>
          <w:tcPr>
            <w:tcW w:w="204" w:type="dxa"/>
            <w:tcBorders>
              <w:top w:val="nil"/>
              <w:left w:val="nil"/>
              <w:bottom w:val="nil"/>
              <w:right w:val="nil"/>
            </w:tcBorders>
            <w:shd w:val="clear" w:color="auto" w:fill="auto"/>
            <w:noWrap/>
            <w:vAlign w:val="bottom"/>
            <w:hideMark/>
          </w:tcPr>
          <w:p w14:paraId="67EE9118" w14:textId="77777777" w:rsidR="00CF1986" w:rsidRPr="00ED4664" w:rsidRDefault="00CF1986" w:rsidP="00CF1986">
            <w:pPr>
              <w:rPr>
                <w:sz w:val="16"/>
                <w:szCs w:val="16"/>
              </w:rPr>
            </w:pPr>
          </w:p>
        </w:tc>
        <w:tc>
          <w:tcPr>
            <w:tcW w:w="729" w:type="dxa"/>
            <w:vMerge/>
            <w:tcBorders>
              <w:top w:val="nil"/>
              <w:left w:val="single" w:sz="8" w:space="0" w:color="auto"/>
              <w:bottom w:val="single" w:sz="4" w:space="0" w:color="auto"/>
              <w:right w:val="single" w:sz="4" w:space="0" w:color="auto"/>
            </w:tcBorders>
            <w:vAlign w:val="center"/>
            <w:hideMark/>
          </w:tcPr>
          <w:p w14:paraId="46413A28" w14:textId="77777777" w:rsidR="00CF1986" w:rsidRPr="00ED4664" w:rsidRDefault="00CF1986" w:rsidP="00CF1986">
            <w:pPr>
              <w:rPr>
                <w:rFonts w:ascii="Segoe UI Light" w:hAnsi="Segoe UI Light" w:cs="Segoe UI Light"/>
                <w:color w:val="FFFFFF"/>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14:paraId="4F60F4B6" w14:textId="77777777" w:rsidR="00CF1986" w:rsidRPr="00ED4664" w:rsidRDefault="00CF1986" w:rsidP="00CF1986">
            <w:pPr>
              <w:rPr>
                <w:rFonts w:ascii="Segoe UI Light" w:hAnsi="Segoe UI Light" w:cs="Segoe UI Light"/>
                <w:color w:val="FFFFFF"/>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5598BE56" w14:textId="77777777" w:rsidR="00CF1986" w:rsidRPr="00ED4664" w:rsidRDefault="00CF1986" w:rsidP="00CF1986">
            <w:pPr>
              <w:rPr>
                <w:rFonts w:ascii="Segoe UI Light" w:hAnsi="Segoe UI Light" w:cs="Segoe UI Light"/>
                <w:color w:val="FFFFFF"/>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5FCAC960" w14:textId="77777777" w:rsidR="00CF1986" w:rsidRPr="00ED4664" w:rsidRDefault="00CF1986" w:rsidP="00CF1986">
            <w:pPr>
              <w:rPr>
                <w:rFonts w:ascii="Segoe UI Light" w:hAnsi="Segoe UI Light" w:cs="Segoe UI Light"/>
                <w:color w:val="FFFFFF"/>
                <w:sz w:val="16"/>
                <w:szCs w:val="16"/>
              </w:rPr>
            </w:pPr>
          </w:p>
        </w:tc>
        <w:tc>
          <w:tcPr>
            <w:tcW w:w="172" w:type="dxa"/>
            <w:gridSpan w:val="2"/>
            <w:vAlign w:val="center"/>
            <w:hideMark/>
          </w:tcPr>
          <w:p w14:paraId="019C4371" w14:textId="77777777" w:rsidR="00CF1986" w:rsidRPr="00CF1986" w:rsidRDefault="00CF1986" w:rsidP="00CF1986">
            <w:pPr>
              <w:rPr>
                <w:sz w:val="20"/>
                <w:szCs w:val="20"/>
              </w:rPr>
            </w:pPr>
          </w:p>
        </w:tc>
      </w:tr>
      <w:tr w:rsidR="00C15373" w:rsidRPr="00CF1986" w14:paraId="67FD4E1F" w14:textId="77777777" w:rsidTr="00C15373">
        <w:trPr>
          <w:gridAfter w:val="1"/>
          <w:wAfter w:w="10" w:type="dxa"/>
          <w:trHeight w:val="41"/>
          <w:jc w:val="center"/>
        </w:trPr>
        <w:tc>
          <w:tcPr>
            <w:tcW w:w="3492" w:type="dxa"/>
            <w:gridSpan w:val="6"/>
            <w:vMerge/>
            <w:tcBorders>
              <w:top w:val="single" w:sz="8" w:space="0" w:color="auto"/>
              <w:left w:val="single" w:sz="8" w:space="0" w:color="auto"/>
              <w:bottom w:val="single" w:sz="4" w:space="0" w:color="auto"/>
              <w:right w:val="single" w:sz="4" w:space="0" w:color="auto"/>
            </w:tcBorders>
            <w:vAlign w:val="center"/>
            <w:hideMark/>
          </w:tcPr>
          <w:p w14:paraId="78E4C40A" w14:textId="77777777" w:rsidR="00CF1986" w:rsidRPr="00ED4664" w:rsidRDefault="00CF1986" w:rsidP="00CF1986">
            <w:pPr>
              <w:rPr>
                <w:rFonts w:ascii="Segoe UI Light" w:hAnsi="Segoe UI Light" w:cs="Segoe UI Light"/>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7B41BC4C" w14:textId="77777777" w:rsidR="00CF1986" w:rsidRPr="00ED4664" w:rsidRDefault="00CF1986" w:rsidP="00CF1986">
            <w:pPr>
              <w:rPr>
                <w:rFonts w:ascii="Segoe UI Light" w:hAnsi="Segoe UI Light" w:cs="Segoe UI Light"/>
                <w:color w:val="FFFFFF"/>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23E1BBCD" w14:textId="77777777" w:rsidR="00CF1986" w:rsidRPr="00ED4664" w:rsidRDefault="00CF1986" w:rsidP="00CF1986">
            <w:pPr>
              <w:rPr>
                <w:rFonts w:ascii="Segoe UI Light" w:hAnsi="Segoe UI Light" w:cs="Segoe UI Light"/>
                <w:color w:val="FFFFFF"/>
                <w:sz w:val="16"/>
                <w:szCs w:val="16"/>
              </w:rPr>
            </w:pPr>
          </w:p>
        </w:tc>
        <w:tc>
          <w:tcPr>
            <w:tcW w:w="835" w:type="dxa"/>
            <w:vMerge/>
            <w:tcBorders>
              <w:top w:val="nil"/>
              <w:left w:val="single" w:sz="4" w:space="0" w:color="auto"/>
              <w:bottom w:val="single" w:sz="4" w:space="0" w:color="auto"/>
              <w:right w:val="single" w:sz="4" w:space="0" w:color="auto"/>
            </w:tcBorders>
            <w:vAlign w:val="center"/>
            <w:hideMark/>
          </w:tcPr>
          <w:p w14:paraId="25EE7B9E" w14:textId="77777777" w:rsidR="00CF1986" w:rsidRPr="00ED4664" w:rsidRDefault="00CF1986" w:rsidP="00CF1986">
            <w:pPr>
              <w:rPr>
                <w:rFonts w:ascii="Segoe UI Light" w:hAnsi="Segoe UI Light" w:cs="Segoe UI Light"/>
                <w:color w:val="FFFFFF"/>
                <w:sz w:val="16"/>
                <w:szCs w:val="16"/>
              </w:rPr>
            </w:pPr>
          </w:p>
        </w:tc>
        <w:tc>
          <w:tcPr>
            <w:tcW w:w="661" w:type="dxa"/>
            <w:vMerge/>
            <w:tcBorders>
              <w:top w:val="nil"/>
              <w:left w:val="single" w:sz="4" w:space="0" w:color="auto"/>
              <w:bottom w:val="single" w:sz="4" w:space="0" w:color="auto"/>
              <w:right w:val="single" w:sz="8" w:space="0" w:color="auto"/>
            </w:tcBorders>
            <w:vAlign w:val="center"/>
            <w:hideMark/>
          </w:tcPr>
          <w:p w14:paraId="49093590" w14:textId="77777777" w:rsidR="00CF1986" w:rsidRPr="00ED4664" w:rsidRDefault="00CF1986" w:rsidP="00CF1986">
            <w:pPr>
              <w:rPr>
                <w:rFonts w:ascii="Segoe UI Light" w:hAnsi="Segoe UI Light" w:cs="Segoe UI Light"/>
                <w:color w:val="FFFFFF"/>
                <w:sz w:val="16"/>
                <w:szCs w:val="16"/>
              </w:rPr>
            </w:pPr>
          </w:p>
        </w:tc>
        <w:tc>
          <w:tcPr>
            <w:tcW w:w="204" w:type="dxa"/>
            <w:tcBorders>
              <w:top w:val="nil"/>
              <w:left w:val="nil"/>
              <w:bottom w:val="nil"/>
              <w:right w:val="nil"/>
            </w:tcBorders>
            <w:shd w:val="clear" w:color="auto" w:fill="auto"/>
            <w:noWrap/>
            <w:vAlign w:val="bottom"/>
            <w:hideMark/>
          </w:tcPr>
          <w:p w14:paraId="0158B500" w14:textId="77777777" w:rsidR="00CF1986" w:rsidRPr="00ED4664" w:rsidRDefault="00CF1986" w:rsidP="00CF1986">
            <w:pPr>
              <w:rPr>
                <w:sz w:val="16"/>
                <w:szCs w:val="16"/>
              </w:rPr>
            </w:pPr>
          </w:p>
        </w:tc>
        <w:tc>
          <w:tcPr>
            <w:tcW w:w="729" w:type="dxa"/>
            <w:vMerge/>
            <w:tcBorders>
              <w:top w:val="nil"/>
              <w:left w:val="single" w:sz="8" w:space="0" w:color="auto"/>
              <w:bottom w:val="single" w:sz="4" w:space="0" w:color="auto"/>
              <w:right w:val="single" w:sz="4" w:space="0" w:color="auto"/>
            </w:tcBorders>
            <w:vAlign w:val="center"/>
            <w:hideMark/>
          </w:tcPr>
          <w:p w14:paraId="432472C1" w14:textId="77777777" w:rsidR="00CF1986" w:rsidRPr="00ED4664" w:rsidRDefault="00CF1986" w:rsidP="00CF1986">
            <w:pPr>
              <w:rPr>
                <w:rFonts w:ascii="Segoe UI Light" w:hAnsi="Segoe UI Light" w:cs="Segoe UI Light"/>
                <w:color w:val="FFFFFF"/>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14:paraId="685320F7" w14:textId="77777777" w:rsidR="00CF1986" w:rsidRPr="00ED4664" w:rsidRDefault="00CF1986" w:rsidP="00CF1986">
            <w:pPr>
              <w:rPr>
                <w:rFonts w:ascii="Segoe UI Light" w:hAnsi="Segoe UI Light" w:cs="Segoe UI Light"/>
                <w:color w:val="FFFFFF"/>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58249AA4" w14:textId="77777777" w:rsidR="00CF1986" w:rsidRPr="00ED4664" w:rsidRDefault="00CF1986" w:rsidP="00CF1986">
            <w:pPr>
              <w:rPr>
                <w:rFonts w:ascii="Segoe UI Light" w:hAnsi="Segoe UI Light" w:cs="Segoe UI Light"/>
                <w:color w:val="FFFFFF"/>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0F4D6989" w14:textId="77777777" w:rsidR="00CF1986" w:rsidRPr="00ED4664" w:rsidRDefault="00CF1986" w:rsidP="00CF1986">
            <w:pPr>
              <w:rPr>
                <w:rFonts w:ascii="Segoe UI Light" w:hAnsi="Segoe UI Light" w:cs="Segoe UI Light"/>
                <w:color w:val="FFFFFF"/>
                <w:sz w:val="16"/>
                <w:szCs w:val="16"/>
              </w:rPr>
            </w:pPr>
          </w:p>
        </w:tc>
        <w:tc>
          <w:tcPr>
            <w:tcW w:w="172" w:type="dxa"/>
            <w:gridSpan w:val="2"/>
            <w:vAlign w:val="center"/>
            <w:hideMark/>
          </w:tcPr>
          <w:p w14:paraId="27D66C16" w14:textId="77777777" w:rsidR="00CF1986" w:rsidRPr="00CF1986" w:rsidRDefault="00CF1986" w:rsidP="00CF1986">
            <w:pPr>
              <w:rPr>
                <w:sz w:val="20"/>
                <w:szCs w:val="20"/>
              </w:rPr>
            </w:pPr>
          </w:p>
        </w:tc>
      </w:tr>
      <w:tr w:rsidR="00ED4664" w:rsidRPr="00CF1986" w14:paraId="14A50BBB" w14:textId="77777777" w:rsidTr="00C15373">
        <w:trPr>
          <w:gridAfter w:val="1"/>
          <w:wAfter w:w="10" w:type="dxa"/>
          <w:trHeight w:val="376"/>
          <w:jc w:val="center"/>
        </w:trPr>
        <w:tc>
          <w:tcPr>
            <w:tcW w:w="1521" w:type="dxa"/>
            <w:gridSpan w:val="2"/>
            <w:vMerge w:val="restart"/>
            <w:tcBorders>
              <w:top w:val="single" w:sz="4" w:space="0" w:color="auto"/>
              <w:left w:val="single" w:sz="8" w:space="0" w:color="auto"/>
              <w:bottom w:val="single" w:sz="4" w:space="0" w:color="auto"/>
              <w:right w:val="single" w:sz="4" w:space="0" w:color="auto"/>
            </w:tcBorders>
            <w:shd w:val="clear" w:color="000000" w:fill="D9D9D9"/>
            <w:vAlign w:val="center"/>
            <w:hideMark/>
          </w:tcPr>
          <w:p w14:paraId="7BAAFC0F" w14:textId="77777777" w:rsidR="00CF1986" w:rsidRPr="00ED4664" w:rsidRDefault="00CF1986" w:rsidP="00CF1986">
            <w:pPr>
              <w:jc w:val="center"/>
              <w:rPr>
                <w:rFonts w:ascii="Segoe UI Light" w:hAnsi="Segoe UI Light" w:cs="Segoe UI Light"/>
                <w:b/>
                <w:bCs/>
                <w:color w:val="000000"/>
                <w:sz w:val="16"/>
                <w:szCs w:val="16"/>
              </w:rPr>
            </w:pPr>
            <w:r w:rsidRPr="00ED4664">
              <w:rPr>
                <w:rFonts w:ascii="Segoe UI Light" w:hAnsi="Segoe UI Light" w:cs="Segoe UI Light"/>
                <w:b/>
                <w:bCs/>
                <w:color w:val="000000"/>
                <w:sz w:val="16"/>
                <w:szCs w:val="16"/>
              </w:rPr>
              <w:t>Categoría de riesgo fiscal</w:t>
            </w:r>
          </w:p>
        </w:tc>
        <w:tc>
          <w:tcPr>
            <w:tcW w:w="1971" w:type="dxa"/>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94D4DE" w14:textId="77777777" w:rsidR="00CF1986" w:rsidRPr="00ED4664" w:rsidRDefault="00CF1986" w:rsidP="00F40E1A">
            <w:pPr>
              <w:jc w:val="center"/>
              <w:rPr>
                <w:rFonts w:ascii="Segoe UI Light" w:hAnsi="Segoe UI Light" w:cs="Segoe UI Light"/>
                <w:b/>
                <w:bCs/>
                <w:color w:val="000000"/>
                <w:sz w:val="16"/>
                <w:szCs w:val="16"/>
              </w:rPr>
            </w:pPr>
            <w:r w:rsidRPr="00ED4664">
              <w:rPr>
                <w:rFonts w:ascii="Segoe UI Light" w:hAnsi="Segoe UI Light" w:cs="Segoe UI Light"/>
                <w:b/>
                <w:bCs/>
                <w:color w:val="000000"/>
                <w:sz w:val="16"/>
                <w:szCs w:val="16"/>
              </w:rPr>
              <w:t>Fuentes de riesgo fiscal</w:t>
            </w:r>
          </w:p>
        </w:tc>
        <w:tc>
          <w:tcPr>
            <w:tcW w:w="659" w:type="dxa"/>
            <w:vMerge/>
            <w:tcBorders>
              <w:top w:val="nil"/>
              <w:left w:val="single" w:sz="4" w:space="0" w:color="auto"/>
              <w:bottom w:val="single" w:sz="4" w:space="0" w:color="auto"/>
              <w:right w:val="single" w:sz="4" w:space="0" w:color="auto"/>
            </w:tcBorders>
            <w:vAlign w:val="center"/>
            <w:hideMark/>
          </w:tcPr>
          <w:p w14:paraId="0DB72796" w14:textId="77777777" w:rsidR="00CF1986" w:rsidRPr="00ED4664" w:rsidRDefault="00CF1986" w:rsidP="00CF1986">
            <w:pPr>
              <w:rPr>
                <w:rFonts w:ascii="Segoe UI Light" w:hAnsi="Segoe UI Light" w:cs="Segoe UI Light"/>
                <w:color w:val="FFFFFF"/>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46765E4A" w14:textId="77777777" w:rsidR="00CF1986" w:rsidRPr="00ED4664" w:rsidRDefault="00CF1986" w:rsidP="00CF1986">
            <w:pPr>
              <w:rPr>
                <w:rFonts w:ascii="Segoe UI Light" w:hAnsi="Segoe UI Light" w:cs="Segoe UI Light"/>
                <w:color w:val="FFFFFF"/>
                <w:sz w:val="16"/>
                <w:szCs w:val="16"/>
              </w:rPr>
            </w:pPr>
          </w:p>
        </w:tc>
        <w:tc>
          <w:tcPr>
            <w:tcW w:w="835" w:type="dxa"/>
            <w:vMerge/>
            <w:tcBorders>
              <w:top w:val="nil"/>
              <w:left w:val="single" w:sz="4" w:space="0" w:color="auto"/>
              <w:bottom w:val="single" w:sz="4" w:space="0" w:color="auto"/>
              <w:right w:val="single" w:sz="4" w:space="0" w:color="auto"/>
            </w:tcBorders>
            <w:vAlign w:val="center"/>
            <w:hideMark/>
          </w:tcPr>
          <w:p w14:paraId="460C0A95" w14:textId="77777777" w:rsidR="00CF1986" w:rsidRPr="00ED4664" w:rsidRDefault="00CF1986" w:rsidP="00CF1986">
            <w:pPr>
              <w:rPr>
                <w:rFonts w:ascii="Segoe UI Light" w:hAnsi="Segoe UI Light" w:cs="Segoe UI Light"/>
                <w:color w:val="FFFFFF"/>
                <w:sz w:val="16"/>
                <w:szCs w:val="16"/>
              </w:rPr>
            </w:pPr>
          </w:p>
        </w:tc>
        <w:tc>
          <w:tcPr>
            <w:tcW w:w="661" w:type="dxa"/>
            <w:vMerge/>
            <w:tcBorders>
              <w:top w:val="nil"/>
              <w:left w:val="single" w:sz="4" w:space="0" w:color="auto"/>
              <w:bottom w:val="single" w:sz="4" w:space="0" w:color="auto"/>
              <w:right w:val="single" w:sz="8" w:space="0" w:color="auto"/>
            </w:tcBorders>
            <w:vAlign w:val="center"/>
            <w:hideMark/>
          </w:tcPr>
          <w:p w14:paraId="56FEDDD4" w14:textId="77777777" w:rsidR="00CF1986" w:rsidRPr="00ED4664" w:rsidRDefault="00CF1986" w:rsidP="00CF1986">
            <w:pPr>
              <w:rPr>
                <w:rFonts w:ascii="Segoe UI Light" w:hAnsi="Segoe UI Light" w:cs="Segoe UI Light"/>
                <w:color w:val="FFFFFF"/>
                <w:sz w:val="16"/>
                <w:szCs w:val="16"/>
              </w:rPr>
            </w:pPr>
          </w:p>
        </w:tc>
        <w:tc>
          <w:tcPr>
            <w:tcW w:w="204" w:type="dxa"/>
            <w:tcBorders>
              <w:top w:val="nil"/>
              <w:left w:val="nil"/>
              <w:bottom w:val="nil"/>
              <w:right w:val="nil"/>
            </w:tcBorders>
            <w:shd w:val="clear" w:color="auto" w:fill="auto"/>
            <w:noWrap/>
            <w:vAlign w:val="bottom"/>
            <w:hideMark/>
          </w:tcPr>
          <w:p w14:paraId="0A90F6D8" w14:textId="77777777" w:rsidR="00CF1986" w:rsidRPr="00ED4664" w:rsidRDefault="00CF1986" w:rsidP="00CF1986">
            <w:pPr>
              <w:ind w:firstLineChars="100" w:firstLine="161"/>
              <w:rPr>
                <w:rFonts w:ascii="Segoe UI Light" w:hAnsi="Segoe UI Light" w:cs="Segoe UI Light"/>
                <w:b/>
                <w:bCs/>
                <w:color w:val="000000"/>
                <w:sz w:val="16"/>
                <w:szCs w:val="16"/>
              </w:rPr>
            </w:pPr>
          </w:p>
        </w:tc>
        <w:tc>
          <w:tcPr>
            <w:tcW w:w="729" w:type="dxa"/>
            <w:vMerge/>
            <w:tcBorders>
              <w:top w:val="nil"/>
              <w:left w:val="single" w:sz="8" w:space="0" w:color="auto"/>
              <w:bottom w:val="single" w:sz="4" w:space="0" w:color="auto"/>
              <w:right w:val="single" w:sz="4" w:space="0" w:color="auto"/>
            </w:tcBorders>
            <w:vAlign w:val="center"/>
            <w:hideMark/>
          </w:tcPr>
          <w:p w14:paraId="765A745D" w14:textId="77777777" w:rsidR="00CF1986" w:rsidRPr="00ED4664" w:rsidRDefault="00CF1986" w:rsidP="00CF1986">
            <w:pPr>
              <w:rPr>
                <w:rFonts w:ascii="Segoe UI Light" w:hAnsi="Segoe UI Light" w:cs="Segoe UI Light"/>
                <w:color w:val="FFFFFF"/>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14:paraId="072F00F6" w14:textId="77777777" w:rsidR="00CF1986" w:rsidRPr="00ED4664" w:rsidRDefault="00CF1986" w:rsidP="00CF1986">
            <w:pPr>
              <w:rPr>
                <w:rFonts w:ascii="Segoe UI Light" w:hAnsi="Segoe UI Light" w:cs="Segoe UI Light"/>
                <w:color w:val="FFFFFF"/>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31448382" w14:textId="77777777" w:rsidR="00CF1986" w:rsidRPr="00ED4664" w:rsidRDefault="00CF1986" w:rsidP="00CF1986">
            <w:pPr>
              <w:rPr>
                <w:rFonts w:ascii="Segoe UI Light" w:hAnsi="Segoe UI Light" w:cs="Segoe UI Light"/>
                <w:color w:val="FFFFFF"/>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2C75D72A" w14:textId="77777777" w:rsidR="00CF1986" w:rsidRPr="00ED4664" w:rsidRDefault="00CF1986" w:rsidP="00CF1986">
            <w:pPr>
              <w:rPr>
                <w:rFonts w:ascii="Segoe UI Light" w:hAnsi="Segoe UI Light" w:cs="Segoe UI Light"/>
                <w:color w:val="FFFFFF"/>
                <w:sz w:val="16"/>
                <w:szCs w:val="16"/>
              </w:rPr>
            </w:pPr>
          </w:p>
        </w:tc>
        <w:tc>
          <w:tcPr>
            <w:tcW w:w="172" w:type="dxa"/>
            <w:gridSpan w:val="2"/>
            <w:vAlign w:val="center"/>
            <w:hideMark/>
          </w:tcPr>
          <w:p w14:paraId="3FCC1DEE" w14:textId="77777777" w:rsidR="00CF1986" w:rsidRPr="00CF1986" w:rsidRDefault="00CF1986" w:rsidP="00CF1986">
            <w:pPr>
              <w:rPr>
                <w:sz w:val="20"/>
                <w:szCs w:val="20"/>
              </w:rPr>
            </w:pPr>
          </w:p>
        </w:tc>
      </w:tr>
      <w:tr w:rsidR="00C15373" w:rsidRPr="00CF1986" w14:paraId="3091FF32" w14:textId="77777777" w:rsidTr="00C15373">
        <w:trPr>
          <w:gridAfter w:val="1"/>
          <w:wAfter w:w="10" w:type="dxa"/>
          <w:trHeight w:val="53"/>
          <w:jc w:val="center"/>
        </w:trPr>
        <w:tc>
          <w:tcPr>
            <w:tcW w:w="1521" w:type="dxa"/>
            <w:gridSpan w:val="2"/>
            <w:vMerge/>
            <w:tcBorders>
              <w:top w:val="single" w:sz="4" w:space="0" w:color="auto"/>
              <w:left w:val="single" w:sz="8" w:space="0" w:color="auto"/>
              <w:bottom w:val="single" w:sz="4" w:space="0" w:color="auto"/>
              <w:right w:val="single" w:sz="4" w:space="0" w:color="auto"/>
            </w:tcBorders>
            <w:vAlign w:val="center"/>
            <w:hideMark/>
          </w:tcPr>
          <w:p w14:paraId="1ABFB75D"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tcBorders>
              <w:top w:val="single" w:sz="4" w:space="0" w:color="auto"/>
              <w:left w:val="single" w:sz="4" w:space="0" w:color="auto"/>
              <w:bottom w:val="single" w:sz="4" w:space="0" w:color="auto"/>
              <w:right w:val="single" w:sz="4" w:space="0" w:color="auto"/>
            </w:tcBorders>
            <w:vAlign w:val="center"/>
            <w:hideMark/>
          </w:tcPr>
          <w:p w14:paraId="47EA27A0" w14:textId="77777777" w:rsidR="00CF1986" w:rsidRPr="00ED4664" w:rsidRDefault="00CF1986" w:rsidP="00CF1986">
            <w:pPr>
              <w:rPr>
                <w:rFonts w:ascii="Segoe UI Light" w:hAnsi="Segoe UI Light" w:cs="Segoe UI Light"/>
                <w:b/>
                <w:bCs/>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7CFF11D8" w14:textId="77777777" w:rsidR="00CF1986" w:rsidRPr="00ED4664" w:rsidRDefault="00CF1986" w:rsidP="00CF1986">
            <w:pPr>
              <w:rPr>
                <w:rFonts w:ascii="Segoe UI Light" w:hAnsi="Segoe UI Light" w:cs="Segoe UI Light"/>
                <w:color w:val="FFFFFF"/>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605C7AD0" w14:textId="77777777" w:rsidR="00CF1986" w:rsidRPr="00ED4664" w:rsidRDefault="00CF1986" w:rsidP="00CF1986">
            <w:pPr>
              <w:rPr>
                <w:rFonts w:ascii="Segoe UI Light" w:hAnsi="Segoe UI Light" w:cs="Segoe UI Light"/>
                <w:color w:val="FFFFFF"/>
                <w:sz w:val="16"/>
                <w:szCs w:val="16"/>
              </w:rPr>
            </w:pPr>
          </w:p>
        </w:tc>
        <w:tc>
          <w:tcPr>
            <w:tcW w:w="835" w:type="dxa"/>
            <w:vMerge/>
            <w:tcBorders>
              <w:top w:val="nil"/>
              <w:left w:val="single" w:sz="4" w:space="0" w:color="auto"/>
              <w:bottom w:val="single" w:sz="4" w:space="0" w:color="auto"/>
              <w:right w:val="single" w:sz="4" w:space="0" w:color="auto"/>
            </w:tcBorders>
            <w:vAlign w:val="center"/>
            <w:hideMark/>
          </w:tcPr>
          <w:p w14:paraId="56E05467" w14:textId="77777777" w:rsidR="00CF1986" w:rsidRPr="00ED4664" w:rsidRDefault="00CF1986" w:rsidP="00CF1986">
            <w:pPr>
              <w:rPr>
                <w:rFonts w:ascii="Segoe UI Light" w:hAnsi="Segoe UI Light" w:cs="Segoe UI Light"/>
                <w:color w:val="FFFFFF"/>
                <w:sz w:val="16"/>
                <w:szCs w:val="16"/>
              </w:rPr>
            </w:pPr>
          </w:p>
        </w:tc>
        <w:tc>
          <w:tcPr>
            <w:tcW w:w="661" w:type="dxa"/>
            <w:vMerge/>
            <w:tcBorders>
              <w:top w:val="nil"/>
              <w:left w:val="single" w:sz="4" w:space="0" w:color="auto"/>
              <w:bottom w:val="single" w:sz="4" w:space="0" w:color="auto"/>
              <w:right w:val="single" w:sz="8" w:space="0" w:color="auto"/>
            </w:tcBorders>
            <w:vAlign w:val="center"/>
            <w:hideMark/>
          </w:tcPr>
          <w:p w14:paraId="7712E143" w14:textId="77777777" w:rsidR="00CF1986" w:rsidRPr="00ED4664" w:rsidRDefault="00CF1986" w:rsidP="00CF1986">
            <w:pPr>
              <w:rPr>
                <w:rFonts w:ascii="Segoe UI Light" w:hAnsi="Segoe UI Light" w:cs="Segoe UI Light"/>
                <w:color w:val="FFFFFF"/>
                <w:sz w:val="16"/>
                <w:szCs w:val="16"/>
              </w:rPr>
            </w:pPr>
          </w:p>
        </w:tc>
        <w:tc>
          <w:tcPr>
            <w:tcW w:w="204" w:type="dxa"/>
            <w:tcBorders>
              <w:top w:val="nil"/>
              <w:left w:val="nil"/>
              <w:bottom w:val="nil"/>
              <w:right w:val="nil"/>
            </w:tcBorders>
            <w:shd w:val="clear" w:color="auto" w:fill="auto"/>
            <w:noWrap/>
            <w:vAlign w:val="bottom"/>
            <w:hideMark/>
          </w:tcPr>
          <w:p w14:paraId="2A58AC1F" w14:textId="77777777" w:rsidR="00CF1986" w:rsidRPr="00ED4664" w:rsidRDefault="00CF1986" w:rsidP="00CF1986">
            <w:pPr>
              <w:rPr>
                <w:sz w:val="16"/>
                <w:szCs w:val="16"/>
              </w:rPr>
            </w:pPr>
          </w:p>
        </w:tc>
        <w:tc>
          <w:tcPr>
            <w:tcW w:w="729" w:type="dxa"/>
            <w:vMerge/>
            <w:tcBorders>
              <w:top w:val="nil"/>
              <w:left w:val="single" w:sz="8" w:space="0" w:color="auto"/>
              <w:bottom w:val="single" w:sz="4" w:space="0" w:color="auto"/>
              <w:right w:val="single" w:sz="4" w:space="0" w:color="auto"/>
            </w:tcBorders>
            <w:vAlign w:val="center"/>
            <w:hideMark/>
          </w:tcPr>
          <w:p w14:paraId="26CFE094" w14:textId="77777777" w:rsidR="00CF1986" w:rsidRPr="00ED4664" w:rsidRDefault="00CF1986" w:rsidP="00CF1986">
            <w:pPr>
              <w:rPr>
                <w:rFonts w:ascii="Segoe UI Light" w:hAnsi="Segoe UI Light" w:cs="Segoe UI Light"/>
                <w:color w:val="FFFFFF"/>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14:paraId="0FE753E7" w14:textId="77777777" w:rsidR="00CF1986" w:rsidRPr="00ED4664" w:rsidRDefault="00CF1986" w:rsidP="00CF1986">
            <w:pPr>
              <w:rPr>
                <w:rFonts w:ascii="Segoe UI Light" w:hAnsi="Segoe UI Light" w:cs="Segoe UI Light"/>
                <w:color w:val="FFFFFF"/>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388A78FE" w14:textId="77777777" w:rsidR="00CF1986" w:rsidRPr="00ED4664" w:rsidRDefault="00CF1986" w:rsidP="00CF1986">
            <w:pPr>
              <w:rPr>
                <w:rFonts w:ascii="Segoe UI Light" w:hAnsi="Segoe UI Light" w:cs="Segoe UI Light"/>
                <w:color w:val="FFFFFF"/>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33508B54" w14:textId="77777777" w:rsidR="00CF1986" w:rsidRPr="00ED4664" w:rsidRDefault="00CF1986" w:rsidP="00CF1986">
            <w:pPr>
              <w:rPr>
                <w:rFonts w:ascii="Segoe UI Light" w:hAnsi="Segoe UI Light" w:cs="Segoe UI Light"/>
                <w:color w:val="FFFFFF"/>
                <w:sz w:val="16"/>
                <w:szCs w:val="16"/>
              </w:rPr>
            </w:pPr>
          </w:p>
        </w:tc>
        <w:tc>
          <w:tcPr>
            <w:tcW w:w="172" w:type="dxa"/>
            <w:gridSpan w:val="2"/>
            <w:vAlign w:val="center"/>
            <w:hideMark/>
          </w:tcPr>
          <w:p w14:paraId="33FDF44D" w14:textId="77777777" w:rsidR="00CF1986" w:rsidRPr="00CF1986" w:rsidRDefault="00CF1986" w:rsidP="00CF1986">
            <w:pPr>
              <w:rPr>
                <w:sz w:val="20"/>
                <w:szCs w:val="20"/>
              </w:rPr>
            </w:pPr>
          </w:p>
        </w:tc>
      </w:tr>
      <w:tr w:rsidR="00ED4664" w:rsidRPr="00CF1986" w14:paraId="45E55DF3" w14:textId="77777777" w:rsidTr="00C15373">
        <w:trPr>
          <w:gridAfter w:val="1"/>
          <w:wAfter w:w="10" w:type="dxa"/>
          <w:trHeight w:val="376"/>
          <w:jc w:val="center"/>
        </w:trPr>
        <w:tc>
          <w:tcPr>
            <w:tcW w:w="1521" w:type="dxa"/>
            <w:gridSpan w:val="2"/>
            <w:vMerge w:val="restart"/>
            <w:tcBorders>
              <w:top w:val="single" w:sz="4" w:space="0" w:color="auto"/>
              <w:left w:val="single" w:sz="8" w:space="0" w:color="auto"/>
              <w:bottom w:val="single" w:sz="4" w:space="0" w:color="auto"/>
              <w:right w:val="single" w:sz="4" w:space="0" w:color="auto"/>
            </w:tcBorders>
            <w:shd w:val="clear" w:color="000000" w:fill="EDEDED"/>
            <w:vAlign w:val="center"/>
            <w:hideMark/>
          </w:tcPr>
          <w:p w14:paraId="6BF7F71B" w14:textId="77777777" w:rsidR="00CF1986" w:rsidRPr="00ED4664" w:rsidRDefault="00CF1986" w:rsidP="00CF1986">
            <w:pPr>
              <w:jc w:val="center"/>
              <w:rPr>
                <w:rFonts w:ascii="Segoe UI Light" w:hAnsi="Segoe UI Light" w:cs="Segoe UI Light"/>
                <w:b/>
                <w:bCs/>
                <w:color w:val="000000"/>
                <w:sz w:val="16"/>
                <w:szCs w:val="16"/>
              </w:rPr>
            </w:pPr>
            <w:r w:rsidRPr="00ED4664">
              <w:rPr>
                <w:rFonts w:ascii="Segoe UI Light" w:hAnsi="Segoe UI Light" w:cs="Segoe UI Light"/>
                <w:b/>
                <w:bCs/>
                <w:color w:val="000000"/>
                <w:sz w:val="16"/>
                <w:szCs w:val="16"/>
              </w:rPr>
              <w:t>Riesgos macroeconómicos</w:t>
            </w:r>
          </w:p>
        </w:tc>
        <w:tc>
          <w:tcPr>
            <w:tcW w:w="197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FADC3"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Riesgos macroeconómicos</w:t>
            </w:r>
          </w:p>
        </w:tc>
        <w:tc>
          <w:tcPr>
            <w:tcW w:w="65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449DB7F"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7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65FD1"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835"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846B61D"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661" w:type="dxa"/>
            <w:vMerge w:val="restart"/>
            <w:tcBorders>
              <w:top w:val="single" w:sz="4" w:space="0" w:color="auto"/>
              <w:left w:val="single" w:sz="4" w:space="0" w:color="auto"/>
              <w:bottom w:val="single" w:sz="4" w:space="0" w:color="auto"/>
              <w:right w:val="single" w:sz="8" w:space="0" w:color="auto"/>
            </w:tcBorders>
            <w:shd w:val="clear" w:color="000000" w:fill="002060"/>
            <w:noWrap/>
            <w:vAlign w:val="center"/>
            <w:hideMark/>
          </w:tcPr>
          <w:p w14:paraId="1BC51A47"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204" w:type="dxa"/>
            <w:tcBorders>
              <w:top w:val="nil"/>
              <w:left w:val="nil"/>
              <w:bottom w:val="nil"/>
              <w:right w:val="nil"/>
            </w:tcBorders>
            <w:shd w:val="clear" w:color="auto" w:fill="auto"/>
            <w:noWrap/>
            <w:vAlign w:val="bottom"/>
            <w:hideMark/>
          </w:tcPr>
          <w:p w14:paraId="738DE1EB" w14:textId="77777777" w:rsidR="00CF1986" w:rsidRPr="00ED4664" w:rsidRDefault="00CF1986" w:rsidP="00CF1986">
            <w:pPr>
              <w:jc w:val="center"/>
              <w:rPr>
                <w:rFonts w:ascii="Segoe UI Light" w:hAnsi="Segoe UI Light" w:cs="Segoe UI Light"/>
                <w:color w:val="002060"/>
                <w:sz w:val="16"/>
                <w:szCs w:val="16"/>
              </w:rPr>
            </w:pPr>
          </w:p>
        </w:tc>
        <w:tc>
          <w:tcPr>
            <w:tcW w:w="729"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520E331"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9B89B26"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72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A250488"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39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92B9578"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172" w:type="dxa"/>
            <w:gridSpan w:val="2"/>
            <w:vAlign w:val="center"/>
            <w:hideMark/>
          </w:tcPr>
          <w:p w14:paraId="5812020C" w14:textId="77777777" w:rsidR="00CF1986" w:rsidRPr="00CF1986" w:rsidRDefault="00CF1986" w:rsidP="00CF1986">
            <w:pPr>
              <w:rPr>
                <w:sz w:val="20"/>
                <w:szCs w:val="20"/>
              </w:rPr>
            </w:pPr>
          </w:p>
        </w:tc>
      </w:tr>
      <w:tr w:rsidR="00C15373" w:rsidRPr="00CF1986" w14:paraId="5287B768" w14:textId="77777777" w:rsidTr="00C15373">
        <w:trPr>
          <w:gridAfter w:val="1"/>
          <w:wAfter w:w="10" w:type="dxa"/>
          <w:trHeight w:val="154"/>
          <w:jc w:val="center"/>
        </w:trPr>
        <w:tc>
          <w:tcPr>
            <w:tcW w:w="1521" w:type="dxa"/>
            <w:gridSpan w:val="2"/>
            <w:vMerge/>
            <w:tcBorders>
              <w:top w:val="single" w:sz="4" w:space="0" w:color="auto"/>
              <w:left w:val="single" w:sz="8" w:space="0" w:color="auto"/>
              <w:bottom w:val="single" w:sz="4" w:space="0" w:color="auto"/>
              <w:right w:val="single" w:sz="4" w:space="0" w:color="auto"/>
            </w:tcBorders>
            <w:vAlign w:val="center"/>
            <w:hideMark/>
          </w:tcPr>
          <w:p w14:paraId="0B521A15"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tcBorders>
              <w:top w:val="single" w:sz="4" w:space="0" w:color="auto"/>
              <w:left w:val="single" w:sz="4" w:space="0" w:color="auto"/>
              <w:bottom w:val="single" w:sz="4" w:space="0" w:color="auto"/>
              <w:right w:val="single" w:sz="4" w:space="0" w:color="auto"/>
            </w:tcBorders>
            <w:vAlign w:val="center"/>
            <w:hideMark/>
          </w:tcPr>
          <w:p w14:paraId="67BF5332" w14:textId="77777777" w:rsidR="00CF1986" w:rsidRPr="00ED4664" w:rsidRDefault="00CF1986" w:rsidP="00CF1986">
            <w:pPr>
              <w:jc w:val="center"/>
              <w:rPr>
                <w:rFonts w:ascii="Segoe UI Light" w:hAnsi="Segoe UI Light" w:cs="Segoe UI Light"/>
                <w:color w:val="000000"/>
                <w:sz w:val="16"/>
                <w:szCs w:val="16"/>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14:paraId="31E78E84" w14:textId="77777777" w:rsidR="00CF1986" w:rsidRPr="00ED4664" w:rsidRDefault="00CF1986" w:rsidP="00CF1986">
            <w:pPr>
              <w:rPr>
                <w:rFonts w:ascii="Segoe UI Light" w:hAnsi="Segoe UI Light" w:cs="Segoe UI Light"/>
                <w:color w:val="002060"/>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1B532044" w14:textId="77777777" w:rsidR="00CF1986" w:rsidRPr="00ED4664" w:rsidRDefault="00CF1986" w:rsidP="00CF1986">
            <w:pPr>
              <w:rPr>
                <w:rFonts w:ascii="Segoe UI Light" w:hAnsi="Segoe UI Light" w:cs="Segoe UI Light"/>
                <w:color w:val="000000"/>
                <w:sz w:val="16"/>
                <w:szCs w:val="16"/>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14:paraId="5F09A106" w14:textId="77777777" w:rsidR="00CF1986" w:rsidRPr="00ED4664" w:rsidRDefault="00CF1986" w:rsidP="00CF1986">
            <w:pPr>
              <w:rPr>
                <w:rFonts w:ascii="Segoe UI Light" w:hAnsi="Segoe UI Light" w:cs="Segoe UI Light"/>
                <w:color w:val="002060"/>
                <w:sz w:val="16"/>
                <w:szCs w:val="16"/>
              </w:rPr>
            </w:pPr>
          </w:p>
        </w:tc>
        <w:tc>
          <w:tcPr>
            <w:tcW w:w="661" w:type="dxa"/>
            <w:vMerge/>
            <w:tcBorders>
              <w:top w:val="single" w:sz="4" w:space="0" w:color="auto"/>
              <w:left w:val="single" w:sz="4" w:space="0" w:color="auto"/>
              <w:bottom w:val="single" w:sz="4" w:space="0" w:color="auto"/>
              <w:right w:val="single" w:sz="8" w:space="0" w:color="auto"/>
            </w:tcBorders>
            <w:vAlign w:val="center"/>
            <w:hideMark/>
          </w:tcPr>
          <w:p w14:paraId="0F735898" w14:textId="77777777" w:rsidR="00CF1986" w:rsidRPr="00ED4664" w:rsidRDefault="00CF1986" w:rsidP="00CF1986">
            <w:pPr>
              <w:rPr>
                <w:rFonts w:ascii="Segoe UI Light" w:hAnsi="Segoe UI Light" w:cs="Segoe UI Light"/>
                <w:color w:val="002060"/>
                <w:sz w:val="16"/>
                <w:szCs w:val="16"/>
              </w:rPr>
            </w:pPr>
          </w:p>
        </w:tc>
        <w:tc>
          <w:tcPr>
            <w:tcW w:w="204" w:type="dxa"/>
            <w:tcBorders>
              <w:top w:val="nil"/>
              <w:left w:val="nil"/>
              <w:bottom w:val="nil"/>
              <w:right w:val="nil"/>
            </w:tcBorders>
            <w:shd w:val="clear" w:color="auto" w:fill="auto"/>
            <w:noWrap/>
            <w:vAlign w:val="bottom"/>
            <w:hideMark/>
          </w:tcPr>
          <w:p w14:paraId="571A8AE5" w14:textId="77777777" w:rsidR="00CF1986" w:rsidRPr="00ED4664" w:rsidRDefault="00CF1986" w:rsidP="00CF1986">
            <w:pPr>
              <w:jc w:val="center"/>
              <w:rPr>
                <w:rFonts w:ascii="Segoe UI Light" w:hAnsi="Segoe UI Light" w:cs="Segoe UI Light"/>
                <w:color w:val="000000"/>
                <w:sz w:val="16"/>
                <w:szCs w:val="16"/>
              </w:rPr>
            </w:pPr>
          </w:p>
        </w:tc>
        <w:tc>
          <w:tcPr>
            <w:tcW w:w="729" w:type="dxa"/>
            <w:vMerge/>
            <w:tcBorders>
              <w:top w:val="nil"/>
              <w:left w:val="single" w:sz="8" w:space="0" w:color="auto"/>
              <w:bottom w:val="single" w:sz="4" w:space="0" w:color="auto"/>
              <w:right w:val="single" w:sz="4" w:space="0" w:color="auto"/>
            </w:tcBorders>
            <w:vAlign w:val="center"/>
            <w:hideMark/>
          </w:tcPr>
          <w:p w14:paraId="304F5E91" w14:textId="77777777" w:rsidR="00CF1986" w:rsidRPr="00ED4664" w:rsidRDefault="00CF1986" w:rsidP="00CF1986">
            <w:pPr>
              <w:rPr>
                <w:rFonts w:ascii="Segoe UI Light" w:hAnsi="Segoe UI Light" w:cs="Segoe UI Light"/>
                <w:color w:val="000000"/>
                <w:sz w:val="16"/>
                <w:szCs w:val="16"/>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6FEB9F50" w14:textId="77777777" w:rsidR="00CF1986" w:rsidRPr="00ED4664" w:rsidRDefault="00CF1986" w:rsidP="00CF1986">
            <w:pPr>
              <w:rPr>
                <w:rFonts w:ascii="Segoe UI Light" w:hAnsi="Segoe UI Light" w:cs="Segoe UI Light"/>
                <w:color w:val="002060"/>
                <w:sz w:val="16"/>
                <w:szCs w:val="16"/>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3D4BBA92" w14:textId="77777777" w:rsidR="00CF1986" w:rsidRPr="00ED4664" w:rsidRDefault="00CF1986" w:rsidP="00CF1986">
            <w:pPr>
              <w:rPr>
                <w:rFonts w:ascii="Segoe UI Light" w:hAnsi="Segoe UI Light" w:cs="Segoe UI Light"/>
                <w:color w:val="002060"/>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1D414C48" w14:textId="77777777" w:rsidR="00CF1986" w:rsidRPr="00ED4664" w:rsidRDefault="00CF1986" w:rsidP="00CF1986">
            <w:pPr>
              <w:rPr>
                <w:rFonts w:ascii="Segoe UI Light" w:hAnsi="Segoe UI Light" w:cs="Segoe UI Light"/>
                <w:color w:val="000000"/>
                <w:sz w:val="16"/>
                <w:szCs w:val="16"/>
              </w:rPr>
            </w:pPr>
          </w:p>
        </w:tc>
        <w:tc>
          <w:tcPr>
            <w:tcW w:w="172" w:type="dxa"/>
            <w:gridSpan w:val="2"/>
            <w:vAlign w:val="center"/>
            <w:hideMark/>
          </w:tcPr>
          <w:p w14:paraId="6D182671" w14:textId="77777777" w:rsidR="00CF1986" w:rsidRPr="00CF1986" w:rsidRDefault="00CF1986" w:rsidP="00CF1986">
            <w:pPr>
              <w:rPr>
                <w:sz w:val="20"/>
                <w:szCs w:val="20"/>
              </w:rPr>
            </w:pPr>
          </w:p>
        </w:tc>
      </w:tr>
      <w:tr w:rsidR="00ED4664" w:rsidRPr="00CF1986" w14:paraId="3B318D3B" w14:textId="77777777" w:rsidTr="00C15373">
        <w:trPr>
          <w:gridAfter w:val="1"/>
          <w:wAfter w:w="10" w:type="dxa"/>
          <w:trHeight w:val="343"/>
          <w:jc w:val="center"/>
        </w:trPr>
        <w:tc>
          <w:tcPr>
            <w:tcW w:w="1521" w:type="dxa"/>
            <w:gridSpan w:val="2"/>
            <w:vMerge w:val="restart"/>
            <w:tcBorders>
              <w:top w:val="single" w:sz="4" w:space="0" w:color="auto"/>
              <w:left w:val="single" w:sz="8" w:space="0" w:color="auto"/>
              <w:bottom w:val="single" w:sz="8" w:space="0" w:color="000000"/>
              <w:right w:val="single" w:sz="4" w:space="0" w:color="auto"/>
            </w:tcBorders>
            <w:shd w:val="clear" w:color="000000" w:fill="EDEDED"/>
            <w:noWrap/>
            <w:vAlign w:val="center"/>
            <w:hideMark/>
          </w:tcPr>
          <w:p w14:paraId="3B940273" w14:textId="1F9CFE2B" w:rsidR="00CF1986" w:rsidRPr="00ED4664" w:rsidRDefault="00CF1986" w:rsidP="00CF1986">
            <w:pPr>
              <w:jc w:val="center"/>
              <w:rPr>
                <w:rFonts w:ascii="Segoe UI Light" w:hAnsi="Segoe UI Light" w:cs="Segoe UI Light"/>
                <w:b/>
                <w:bCs/>
                <w:color w:val="000000"/>
                <w:sz w:val="16"/>
                <w:szCs w:val="16"/>
              </w:rPr>
            </w:pPr>
            <w:r w:rsidRPr="00ED4664">
              <w:rPr>
                <w:rFonts w:ascii="Segoe UI Light" w:hAnsi="Segoe UI Light" w:cs="Segoe UI Light"/>
                <w:b/>
                <w:bCs/>
                <w:color w:val="000000"/>
                <w:sz w:val="16"/>
                <w:szCs w:val="16"/>
              </w:rPr>
              <w:t>Riesgos Específicos</w:t>
            </w:r>
          </w:p>
        </w:tc>
        <w:tc>
          <w:tcPr>
            <w:tcW w:w="197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EBE4F"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Empresas públicas</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47AFF1"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D35A92F"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835"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EA85B00"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66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BB7CA44"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204" w:type="dxa"/>
            <w:vMerge w:val="restart"/>
            <w:tcBorders>
              <w:top w:val="single" w:sz="4" w:space="0" w:color="FFFFFF"/>
              <w:left w:val="nil"/>
              <w:bottom w:val="single" w:sz="4" w:space="0" w:color="FFFFFF"/>
              <w:right w:val="nil"/>
            </w:tcBorders>
            <w:shd w:val="clear" w:color="auto" w:fill="auto"/>
            <w:noWrap/>
            <w:vAlign w:val="center"/>
            <w:hideMark/>
          </w:tcPr>
          <w:p w14:paraId="04D7868C"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single" w:sz="4" w:space="0" w:color="auto"/>
              <w:left w:val="single" w:sz="8" w:space="0" w:color="auto"/>
              <w:bottom w:val="single" w:sz="4" w:space="0" w:color="auto"/>
              <w:right w:val="single" w:sz="4" w:space="0" w:color="auto"/>
            </w:tcBorders>
            <w:shd w:val="clear" w:color="000000" w:fill="002060"/>
            <w:noWrap/>
            <w:vAlign w:val="center"/>
            <w:hideMark/>
          </w:tcPr>
          <w:p w14:paraId="5B515571"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7ACD0"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D7C76" w14:textId="77777777" w:rsidR="00CF1986" w:rsidRPr="00ED4664" w:rsidRDefault="00CF1986" w:rsidP="00CF1986">
            <w:pPr>
              <w:jc w:val="center"/>
              <w:rPr>
                <w:rFonts w:ascii="Segoe UI Light" w:hAnsi="Segoe UI Light" w:cs="Segoe UI Light"/>
                <w:color w:val="FFFFFF"/>
                <w:sz w:val="16"/>
                <w:szCs w:val="16"/>
              </w:rPr>
            </w:pPr>
            <w:r w:rsidRPr="00ED4664">
              <w:rPr>
                <w:rFonts w:ascii="Segoe UI Light" w:hAnsi="Segoe UI Light" w:cs="Segoe UI Light"/>
                <w:color w:val="FFFFFF"/>
                <w:sz w:val="16"/>
                <w:szCs w:val="16"/>
              </w:rPr>
              <w:t>FALSO</w:t>
            </w:r>
          </w:p>
        </w:tc>
        <w:tc>
          <w:tcPr>
            <w:tcW w:w="39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25C66A1"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172" w:type="dxa"/>
            <w:gridSpan w:val="2"/>
            <w:vAlign w:val="center"/>
            <w:hideMark/>
          </w:tcPr>
          <w:p w14:paraId="4DD9E4F6" w14:textId="77777777" w:rsidR="00CF1986" w:rsidRPr="00CF1986" w:rsidRDefault="00CF1986" w:rsidP="00CF1986">
            <w:pPr>
              <w:rPr>
                <w:sz w:val="20"/>
                <w:szCs w:val="20"/>
              </w:rPr>
            </w:pPr>
          </w:p>
        </w:tc>
      </w:tr>
      <w:tr w:rsidR="00C15373" w:rsidRPr="00CF1986" w14:paraId="056C259E" w14:textId="77777777" w:rsidTr="00C15373">
        <w:trPr>
          <w:gridAfter w:val="1"/>
          <w:wAfter w:w="10" w:type="dxa"/>
          <w:trHeight w:val="5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7703DE6E"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tcBorders>
              <w:top w:val="single" w:sz="4" w:space="0" w:color="auto"/>
              <w:left w:val="single" w:sz="4" w:space="0" w:color="auto"/>
              <w:bottom w:val="single" w:sz="4" w:space="0" w:color="auto"/>
              <w:right w:val="single" w:sz="4" w:space="0" w:color="auto"/>
            </w:tcBorders>
            <w:vAlign w:val="center"/>
            <w:hideMark/>
          </w:tcPr>
          <w:p w14:paraId="6A792588" w14:textId="77777777" w:rsidR="00CF1986" w:rsidRPr="00ED4664" w:rsidRDefault="00CF1986" w:rsidP="00CF1986">
            <w:pPr>
              <w:jc w:val="center"/>
              <w:rPr>
                <w:rFonts w:ascii="Segoe UI Light" w:hAnsi="Segoe UI Light" w:cs="Segoe UI Light"/>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44A1D11C"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EDFFEEF" w14:textId="77777777" w:rsidR="00CF1986" w:rsidRPr="00ED4664" w:rsidRDefault="00CF1986" w:rsidP="00CF1986">
            <w:pPr>
              <w:rPr>
                <w:rFonts w:ascii="Segoe UI Light" w:hAnsi="Segoe UI Light" w:cs="Segoe UI Light"/>
                <w:color w:val="002060"/>
                <w:sz w:val="16"/>
                <w:szCs w:val="16"/>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14:paraId="4243CF8C" w14:textId="77777777" w:rsidR="00CF1986" w:rsidRPr="00ED4664" w:rsidRDefault="00CF1986" w:rsidP="00CF1986">
            <w:pPr>
              <w:rPr>
                <w:rFonts w:ascii="Segoe UI Light" w:hAnsi="Segoe UI Light" w:cs="Segoe UI Light"/>
                <w:color w:val="002060"/>
                <w:sz w:val="16"/>
                <w:szCs w:val="16"/>
              </w:rPr>
            </w:pPr>
          </w:p>
        </w:tc>
        <w:tc>
          <w:tcPr>
            <w:tcW w:w="661" w:type="dxa"/>
            <w:vMerge/>
            <w:tcBorders>
              <w:top w:val="nil"/>
              <w:left w:val="single" w:sz="4" w:space="0" w:color="auto"/>
              <w:bottom w:val="single" w:sz="4" w:space="0" w:color="auto"/>
              <w:right w:val="single" w:sz="8" w:space="0" w:color="auto"/>
            </w:tcBorders>
            <w:vAlign w:val="center"/>
            <w:hideMark/>
          </w:tcPr>
          <w:p w14:paraId="3E7DF498" w14:textId="77777777" w:rsidR="00CF1986" w:rsidRPr="00ED4664" w:rsidRDefault="00CF1986" w:rsidP="00CF1986">
            <w:pPr>
              <w:rPr>
                <w:rFonts w:ascii="Segoe UI Light" w:hAnsi="Segoe UI Light" w:cs="Segoe UI Light"/>
                <w:color w:val="000000"/>
                <w:sz w:val="16"/>
                <w:szCs w:val="16"/>
              </w:rPr>
            </w:pPr>
          </w:p>
        </w:tc>
        <w:tc>
          <w:tcPr>
            <w:tcW w:w="204" w:type="dxa"/>
            <w:vMerge/>
            <w:tcBorders>
              <w:top w:val="single" w:sz="4" w:space="0" w:color="FFFFFF"/>
              <w:left w:val="nil"/>
              <w:bottom w:val="single" w:sz="4" w:space="0" w:color="FFFFFF"/>
              <w:right w:val="nil"/>
            </w:tcBorders>
            <w:vAlign w:val="center"/>
            <w:hideMark/>
          </w:tcPr>
          <w:p w14:paraId="011D30AE"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single" w:sz="4" w:space="0" w:color="auto"/>
              <w:left w:val="single" w:sz="8" w:space="0" w:color="auto"/>
              <w:bottom w:val="single" w:sz="4" w:space="0" w:color="auto"/>
              <w:right w:val="single" w:sz="4" w:space="0" w:color="auto"/>
            </w:tcBorders>
            <w:vAlign w:val="center"/>
            <w:hideMark/>
          </w:tcPr>
          <w:p w14:paraId="57E1454C" w14:textId="77777777" w:rsidR="00CF1986" w:rsidRPr="00ED4664" w:rsidRDefault="00CF1986" w:rsidP="00CF1986">
            <w:pPr>
              <w:rPr>
                <w:rFonts w:ascii="Segoe UI Light" w:hAnsi="Segoe UI Light" w:cs="Segoe UI Light"/>
                <w:color w:val="002060"/>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14:paraId="782C5664"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57FB2134" w14:textId="77777777" w:rsidR="00CF1986" w:rsidRPr="00ED4664" w:rsidRDefault="00CF1986" w:rsidP="00CF1986">
            <w:pPr>
              <w:rPr>
                <w:rFonts w:ascii="Segoe UI Light" w:hAnsi="Segoe UI Light" w:cs="Segoe UI Light"/>
                <w:color w:val="FFFFFF"/>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5835B0DD" w14:textId="77777777" w:rsidR="00CF1986" w:rsidRPr="00ED4664" w:rsidRDefault="00CF1986" w:rsidP="00CF1986">
            <w:pPr>
              <w:rPr>
                <w:rFonts w:ascii="Segoe UI Light" w:hAnsi="Segoe UI Light" w:cs="Segoe UI Light"/>
                <w:color w:val="000000"/>
                <w:sz w:val="16"/>
                <w:szCs w:val="16"/>
              </w:rPr>
            </w:pPr>
          </w:p>
        </w:tc>
        <w:tc>
          <w:tcPr>
            <w:tcW w:w="172" w:type="dxa"/>
            <w:gridSpan w:val="2"/>
            <w:tcBorders>
              <w:top w:val="nil"/>
              <w:left w:val="nil"/>
              <w:bottom w:val="nil"/>
              <w:right w:val="nil"/>
            </w:tcBorders>
            <w:shd w:val="clear" w:color="auto" w:fill="auto"/>
            <w:noWrap/>
            <w:vAlign w:val="bottom"/>
            <w:hideMark/>
          </w:tcPr>
          <w:p w14:paraId="1ECEFA7C" w14:textId="77777777" w:rsidR="00CF1986" w:rsidRPr="00CF1986" w:rsidRDefault="00CF1986" w:rsidP="00CF1986">
            <w:pPr>
              <w:jc w:val="center"/>
              <w:rPr>
                <w:rFonts w:ascii="Segoe UI Light" w:hAnsi="Segoe UI Light" w:cs="Segoe UI Light"/>
                <w:color w:val="000000"/>
                <w:sz w:val="22"/>
                <w:szCs w:val="22"/>
              </w:rPr>
            </w:pPr>
          </w:p>
        </w:tc>
      </w:tr>
      <w:tr w:rsidR="00ED4664" w:rsidRPr="00CF1986" w14:paraId="56990FA7" w14:textId="77777777" w:rsidTr="00C15373">
        <w:trPr>
          <w:gridAfter w:val="1"/>
          <w:wAfter w:w="10" w:type="dxa"/>
          <w:trHeight w:val="34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20EBC537"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F985E8"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Garantías del gobierno</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92CE39"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FE62B6"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835"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E1D994A"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66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08E7610"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204" w:type="dxa"/>
            <w:vMerge w:val="restart"/>
            <w:tcBorders>
              <w:top w:val="nil"/>
              <w:left w:val="nil"/>
              <w:bottom w:val="single" w:sz="4" w:space="0" w:color="FFFFFF"/>
              <w:right w:val="nil"/>
            </w:tcBorders>
            <w:shd w:val="clear" w:color="auto" w:fill="auto"/>
            <w:noWrap/>
            <w:vAlign w:val="center"/>
            <w:hideMark/>
          </w:tcPr>
          <w:p w14:paraId="345416E9"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single" w:sz="4" w:space="0" w:color="auto"/>
              <w:left w:val="single" w:sz="8" w:space="0" w:color="auto"/>
              <w:bottom w:val="single" w:sz="4" w:space="0" w:color="auto"/>
              <w:right w:val="single" w:sz="4" w:space="0" w:color="auto"/>
            </w:tcBorders>
            <w:shd w:val="clear" w:color="000000" w:fill="002060"/>
            <w:noWrap/>
            <w:vAlign w:val="center"/>
            <w:hideMark/>
          </w:tcPr>
          <w:p w14:paraId="18FFACFB"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9BE5D6"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ECD159D"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39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CC2FDD5"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172" w:type="dxa"/>
            <w:gridSpan w:val="2"/>
            <w:vAlign w:val="center"/>
            <w:hideMark/>
          </w:tcPr>
          <w:p w14:paraId="2F908708" w14:textId="77777777" w:rsidR="00CF1986" w:rsidRPr="00CF1986" w:rsidRDefault="00CF1986" w:rsidP="00CF1986">
            <w:pPr>
              <w:rPr>
                <w:sz w:val="20"/>
                <w:szCs w:val="20"/>
              </w:rPr>
            </w:pPr>
          </w:p>
        </w:tc>
      </w:tr>
      <w:tr w:rsidR="00C15373" w:rsidRPr="00CF1986" w14:paraId="3EA9A242" w14:textId="77777777" w:rsidTr="00C15373">
        <w:trPr>
          <w:gridAfter w:val="1"/>
          <w:wAfter w:w="10" w:type="dxa"/>
          <w:trHeight w:val="5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48FA5A07"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tcBorders>
              <w:top w:val="single" w:sz="4" w:space="0" w:color="auto"/>
              <w:left w:val="single" w:sz="4" w:space="0" w:color="auto"/>
              <w:bottom w:val="single" w:sz="4" w:space="0" w:color="auto"/>
              <w:right w:val="single" w:sz="4" w:space="0" w:color="auto"/>
            </w:tcBorders>
            <w:vAlign w:val="center"/>
            <w:hideMark/>
          </w:tcPr>
          <w:p w14:paraId="475C88A6" w14:textId="77777777" w:rsidR="00CF1986" w:rsidRPr="00ED4664" w:rsidRDefault="00CF1986" w:rsidP="00CF1986">
            <w:pPr>
              <w:jc w:val="center"/>
              <w:rPr>
                <w:rFonts w:ascii="Segoe UI Light" w:hAnsi="Segoe UI Light" w:cs="Segoe UI Light"/>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43F3146F"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5F63AEC7" w14:textId="77777777" w:rsidR="00CF1986" w:rsidRPr="00ED4664" w:rsidRDefault="00CF1986" w:rsidP="00CF1986">
            <w:pPr>
              <w:rPr>
                <w:rFonts w:ascii="Segoe UI Light" w:hAnsi="Segoe UI Light" w:cs="Segoe UI Light"/>
                <w:color w:val="000000"/>
                <w:sz w:val="16"/>
                <w:szCs w:val="16"/>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14:paraId="0E34FAF0" w14:textId="77777777" w:rsidR="00CF1986" w:rsidRPr="00ED4664" w:rsidRDefault="00CF1986" w:rsidP="00CF1986">
            <w:pPr>
              <w:rPr>
                <w:rFonts w:ascii="Segoe UI Light" w:hAnsi="Segoe UI Light" w:cs="Segoe UI Light"/>
                <w:color w:val="002060"/>
                <w:sz w:val="16"/>
                <w:szCs w:val="16"/>
              </w:rPr>
            </w:pPr>
          </w:p>
        </w:tc>
        <w:tc>
          <w:tcPr>
            <w:tcW w:w="661" w:type="dxa"/>
            <w:vMerge/>
            <w:tcBorders>
              <w:top w:val="nil"/>
              <w:left w:val="single" w:sz="4" w:space="0" w:color="auto"/>
              <w:bottom w:val="single" w:sz="4" w:space="0" w:color="auto"/>
              <w:right w:val="single" w:sz="8" w:space="0" w:color="auto"/>
            </w:tcBorders>
            <w:vAlign w:val="center"/>
            <w:hideMark/>
          </w:tcPr>
          <w:p w14:paraId="218B7938" w14:textId="77777777" w:rsidR="00CF1986" w:rsidRPr="00ED4664" w:rsidRDefault="00CF1986" w:rsidP="00CF1986">
            <w:pPr>
              <w:rPr>
                <w:rFonts w:ascii="Segoe UI Light" w:hAnsi="Segoe UI Light" w:cs="Segoe UI Light"/>
                <w:color w:val="000000"/>
                <w:sz w:val="16"/>
                <w:szCs w:val="16"/>
              </w:rPr>
            </w:pPr>
          </w:p>
        </w:tc>
        <w:tc>
          <w:tcPr>
            <w:tcW w:w="204" w:type="dxa"/>
            <w:vMerge/>
            <w:tcBorders>
              <w:top w:val="nil"/>
              <w:left w:val="nil"/>
              <w:bottom w:val="single" w:sz="4" w:space="0" w:color="FFFFFF"/>
              <w:right w:val="nil"/>
            </w:tcBorders>
            <w:vAlign w:val="center"/>
            <w:hideMark/>
          </w:tcPr>
          <w:p w14:paraId="7EB61D60"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single" w:sz="4" w:space="0" w:color="auto"/>
              <w:left w:val="single" w:sz="8" w:space="0" w:color="auto"/>
              <w:bottom w:val="single" w:sz="4" w:space="0" w:color="auto"/>
              <w:right w:val="single" w:sz="4" w:space="0" w:color="auto"/>
            </w:tcBorders>
            <w:vAlign w:val="center"/>
            <w:hideMark/>
          </w:tcPr>
          <w:p w14:paraId="2B91E962" w14:textId="77777777" w:rsidR="00CF1986" w:rsidRPr="00ED4664" w:rsidRDefault="00CF1986" w:rsidP="00CF1986">
            <w:pPr>
              <w:rPr>
                <w:rFonts w:ascii="Segoe UI Light" w:hAnsi="Segoe UI Light" w:cs="Segoe UI Light"/>
                <w:color w:val="002060"/>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14:paraId="17B311AC"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4BB9A862" w14:textId="77777777" w:rsidR="00CF1986" w:rsidRPr="00ED4664" w:rsidRDefault="00CF1986" w:rsidP="00CF1986">
            <w:pPr>
              <w:rPr>
                <w:rFonts w:ascii="Segoe UI Light" w:hAnsi="Segoe UI Light" w:cs="Segoe UI Light"/>
                <w:color w:val="002060"/>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2C7D9A95" w14:textId="77777777" w:rsidR="00CF1986" w:rsidRPr="00ED4664" w:rsidRDefault="00CF1986" w:rsidP="00CF1986">
            <w:pPr>
              <w:rPr>
                <w:rFonts w:ascii="Segoe UI Light" w:hAnsi="Segoe UI Light" w:cs="Segoe UI Light"/>
                <w:color w:val="000000"/>
                <w:sz w:val="16"/>
                <w:szCs w:val="16"/>
              </w:rPr>
            </w:pPr>
          </w:p>
        </w:tc>
        <w:tc>
          <w:tcPr>
            <w:tcW w:w="172" w:type="dxa"/>
            <w:gridSpan w:val="2"/>
            <w:tcBorders>
              <w:top w:val="nil"/>
              <w:left w:val="nil"/>
              <w:bottom w:val="nil"/>
              <w:right w:val="nil"/>
            </w:tcBorders>
            <w:shd w:val="clear" w:color="auto" w:fill="auto"/>
            <w:noWrap/>
            <w:vAlign w:val="bottom"/>
            <w:hideMark/>
          </w:tcPr>
          <w:p w14:paraId="69A01DF1" w14:textId="77777777" w:rsidR="00CF1986" w:rsidRPr="00CF1986" w:rsidRDefault="00CF1986" w:rsidP="00CF1986">
            <w:pPr>
              <w:jc w:val="center"/>
              <w:rPr>
                <w:rFonts w:ascii="Segoe UI Light" w:hAnsi="Segoe UI Light" w:cs="Segoe UI Light"/>
                <w:color w:val="000000"/>
                <w:sz w:val="22"/>
                <w:szCs w:val="22"/>
              </w:rPr>
            </w:pPr>
          </w:p>
        </w:tc>
      </w:tr>
      <w:tr w:rsidR="00ED4664" w:rsidRPr="00CF1986" w14:paraId="1D3CEF37" w14:textId="77777777" w:rsidTr="00C15373">
        <w:trPr>
          <w:gridAfter w:val="1"/>
          <w:wAfter w:w="10" w:type="dxa"/>
          <w:trHeight w:val="34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0CC2938C"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325F9"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Sector financiero</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F47934"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DA9F20"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17634B"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661" w:type="dxa"/>
            <w:vMerge w:val="restart"/>
            <w:tcBorders>
              <w:top w:val="single" w:sz="4" w:space="0" w:color="auto"/>
              <w:left w:val="single" w:sz="4" w:space="0" w:color="auto"/>
              <w:bottom w:val="single" w:sz="4" w:space="0" w:color="auto"/>
              <w:right w:val="single" w:sz="8" w:space="0" w:color="auto"/>
            </w:tcBorders>
            <w:shd w:val="clear" w:color="000000" w:fill="002060"/>
            <w:noWrap/>
            <w:vAlign w:val="center"/>
            <w:hideMark/>
          </w:tcPr>
          <w:p w14:paraId="374917D4"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204" w:type="dxa"/>
            <w:vMerge w:val="restart"/>
            <w:tcBorders>
              <w:top w:val="nil"/>
              <w:left w:val="nil"/>
              <w:bottom w:val="single" w:sz="4" w:space="0" w:color="FFFFFF"/>
              <w:right w:val="nil"/>
            </w:tcBorders>
            <w:shd w:val="clear" w:color="auto" w:fill="auto"/>
            <w:noWrap/>
            <w:vAlign w:val="center"/>
            <w:hideMark/>
          </w:tcPr>
          <w:p w14:paraId="0A23E2DB"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DC29FF0"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7E6C64"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31106A0"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39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F382136"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172" w:type="dxa"/>
            <w:gridSpan w:val="2"/>
            <w:vAlign w:val="center"/>
            <w:hideMark/>
          </w:tcPr>
          <w:p w14:paraId="475EDC79" w14:textId="77777777" w:rsidR="00CF1986" w:rsidRPr="00CF1986" w:rsidRDefault="00CF1986" w:rsidP="00CF1986">
            <w:pPr>
              <w:rPr>
                <w:sz w:val="20"/>
                <w:szCs w:val="20"/>
              </w:rPr>
            </w:pPr>
          </w:p>
        </w:tc>
      </w:tr>
      <w:tr w:rsidR="00C15373" w:rsidRPr="00CF1986" w14:paraId="7D061CA4" w14:textId="77777777" w:rsidTr="00C15373">
        <w:trPr>
          <w:gridAfter w:val="1"/>
          <w:wAfter w:w="10" w:type="dxa"/>
          <w:trHeight w:val="5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45B1E1FA"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tcBorders>
              <w:top w:val="single" w:sz="4" w:space="0" w:color="auto"/>
              <w:left w:val="single" w:sz="4" w:space="0" w:color="auto"/>
              <w:bottom w:val="single" w:sz="4" w:space="0" w:color="auto"/>
              <w:right w:val="single" w:sz="4" w:space="0" w:color="auto"/>
            </w:tcBorders>
            <w:vAlign w:val="center"/>
            <w:hideMark/>
          </w:tcPr>
          <w:p w14:paraId="54371B38" w14:textId="77777777" w:rsidR="00CF1986" w:rsidRPr="00ED4664" w:rsidRDefault="00CF1986" w:rsidP="00CF1986">
            <w:pPr>
              <w:jc w:val="center"/>
              <w:rPr>
                <w:rFonts w:ascii="Segoe UI Light" w:hAnsi="Segoe UI Light" w:cs="Segoe UI Light"/>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611C26A8"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1003E9C7" w14:textId="77777777" w:rsidR="00CF1986" w:rsidRPr="00ED4664" w:rsidRDefault="00CF1986" w:rsidP="00CF1986">
            <w:pPr>
              <w:rPr>
                <w:rFonts w:ascii="Segoe UI Light" w:hAnsi="Segoe UI Light" w:cs="Segoe UI Light"/>
                <w:color w:val="000000"/>
                <w:sz w:val="16"/>
                <w:szCs w:val="16"/>
              </w:rPr>
            </w:pPr>
          </w:p>
        </w:tc>
        <w:tc>
          <w:tcPr>
            <w:tcW w:w="835" w:type="dxa"/>
            <w:vMerge/>
            <w:tcBorders>
              <w:top w:val="nil"/>
              <w:left w:val="single" w:sz="4" w:space="0" w:color="auto"/>
              <w:bottom w:val="single" w:sz="4" w:space="0" w:color="auto"/>
              <w:right w:val="single" w:sz="4" w:space="0" w:color="auto"/>
            </w:tcBorders>
            <w:vAlign w:val="center"/>
            <w:hideMark/>
          </w:tcPr>
          <w:p w14:paraId="012C3C9B" w14:textId="77777777" w:rsidR="00CF1986" w:rsidRPr="00ED4664" w:rsidRDefault="00CF1986" w:rsidP="00CF1986">
            <w:pPr>
              <w:rPr>
                <w:rFonts w:ascii="Segoe UI Light" w:hAnsi="Segoe UI Light" w:cs="Segoe UI Light"/>
                <w:color w:val="000000"/>
                <w:sz w:val="16"/>
                <w:szCs w:val="16"/>
              </w:rPr>
            </w:pPr>
          </w:p>
        </w:tc>
        <w:tc>
          <w:tcPr>
            <w:tcW w:w="661" w:type="dxa"/>
            <w:vMerge/>
            <w:tcBorders>
              <w:top w:val="single" w:sz="4" w:space="0" w:color="auto"/>
              <w:left w:val="single" w:sz="4" w:space="0" w:color="auto"/>
              <w:bottom w:val="single" w:sz="4" w:space="0" w:color="auto"/>
              <w:right w:val="single" w:sz="8" w:space="0" w:color="auto"/>
            </w:tcBorders>
            <w:vAlign w:val="center"/>
            <w:hideMark/>
          </w:tcPr>
          <w:p w14:paraId="191DBA76" w14:textId="77777777" w:rsidR="00CF1986" w:rsidRPr="00ED4664" w:rsidRDefault="00CF1986" w:rsidP="00CF1986">
            <w:pPr>
              <w:rPr>
                <w:rFonts w:ascii="Segoe UI Light" w:hAnsi="Segoe UI Light" w:cs="Segoe UI Light"/>
                <w:color w:val="002060"/>
                <w:sz w:val="16"/>
                <w:szCs w:val="16"/>
              </w:rPr>
            </w:pPr>
          </w:p>
        </w:tc>
        <w:tc>
          <w:tcPr>
            <w:tcW w:w="204" w:type="dxa"/>
            <w:vMerge/>
            <w:tcBorders>
              <w:top w:val="nil"/>
              <w:left w:val="nil"/>
              <w:bottom w:val="single" w:sz="4" w:space="0" w:color="FFFFFF"/>
              <w:right w:val="nil"/>
            </w:tcBorders>
            <w:vAlign w:val="center"/>
            <w:hideMark/>
          </w:tcPr>
          <w:p w14:paraId="24870488"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nil"/>
              <w:left w:val="single" w:sz="8" w:space="0" w:color="auto"/>
              <w:bottom w:val="single" w:sz="4" w:space="0" w:color="auto"/>
              <w:right w:val="single" w:sz="4" w:space="0" w:color="auto"/>
            </w:tcBorders>
            <w:vAlign w:val="center"/>
            <w:hideMark/>
          </w:tcPr>
          <w:p w14:paraId="6AC59535" w14:textId="77777777" w:rsidR="00CF1986" w:rsidRPr="00ED4664" w:rsidRDefault="00CF1986" w:rsidP="00CF1986">
            <w:pPr>
              <w:rPr>
                <w:rFonts w:ascii="Segoe UI Light" w:hAnsi="Segoe UI Light" w:cs="Segoe UI Light"/>
                <w:color w:val="000000"/>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14:paraId="38F9F280"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67D8EB72" w14:textId="77777777" w:rsidR="00CF1986" w:rsidRPr="00ED4664" w:rsidRDefault="00CF1986" w:rsidP="00CF1986">
            <w:pPr>
              <w:rPr>
                <w:rFonts w:ascii="Segoe UI Light" w:hAnsi="Segoe UI Light" w:cs="Segoe UI Light"/>
                <w:color w:val="002060"/>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07CD512E" w14:textId="77777777" w:rsidR="00CF1986" w:rsidRPr="00ED4664" w:rsidRDefault="00CF1986" w:rsidP="00CF1986">
            <w:pPr>
              <w:rPr>
                <w:rFonts w:ascii="Segoe UI Light" w:hAnsi="Segoe UI Light" w:cs="Segoe UI Light"/>
                <w:color w:val="000000"/>
                <w:sz w:val="16"/>
                <w:szCs w:val="16"/>
              </w:rPr>
            </w:pPr>
          </w:p>
        </w:tc>
        <w:tc>
          <w:tcPr>
            <w:tcW w:w="172" w:type="dxa"/>
            <w:gridSpan w:val="2"/>
            <w:tcBorders>
              <w:top w:val="nil"/>
              <w:left w:val="nil"/>
              <w:bottom w:val="nil"/>
              <w:right w:val="nil"/>
            </w:tcBorders>
            <w:shd w:val="clear" w:color="auto" w:fill="auto"/>
            <w:noWrap/>
            <w:vAlign w:val="bottom"/>
            <w:hideMark/>
          </w:tcPr>
          <w:p w14:paraId="6AB0003D" w14:textId="77777777" w:rsidR="00CF1986" w:rsidRPr="00CF1986" w:rsidRDefault="00CF1986" w:rsidP="00CF1986">
            <w:pPr>
              <w:jc w:val="center"/>
              <w:rPr>
                <w:rFonts w:ascii="Segoe UI Light" w:hAnsi="Segoe UI Light" w:cs="Segoe UI Light"/>
                <w:color w:val="000000"/>
                <w:sz w:val="22"/>
                <w:szCs w:val="22"/>
              </w:rPr>
            </w:pPr>
          </w:p>
        </w:tc>
      </w:tr>
      <w:tr w:rsidR="00ED4664" w:rsidRPr="00CF1986" w14:paraId="298BFA28" w14:textId="77777777" w:rsidTr="00C15373">
        <w:trPr>
          <w:gridAfter w:val="1"/>
          <w:wAfter w:w="10" w:type="dxa"/>
          <w:trHeight w:val="34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6E85C2C6"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8E283C"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Riesgos ambientales</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AA347B"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AC0C60"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835"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363B9D5"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661" w:type="dxa"/>
            <w:vMerge w:val="restart"/>
            <w:tcBorders>
              <w:top w:val="single" w:sz="4" w:space="0" w:color="auto"/>
              <w:left w:val="single" w:sz="4" w:space="0" w:color="auto"/>
              <w:bottom w:val="single" w:sz="4" w:space="0" w:color="auto"/>
              <w:right w:val="single" w:sz="8" w:space="0" w:color="auto"/>
            </w:tcBorders>
            <w:shd w:val="clear" w:color="000000" w:fill="002060"/>
            <w:noWrap/>
            <w:vAlign w:val="center"/>
            <w:hideMark/>
          </w:tcPr>
          <w:p w14:paraId="63DCFCFD"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204" w:type="dxa"/>
            <w:vMerge w:val="restart"/>
            <w:tcBorders>
              <w:top w:val="nil"/>
              <w:left w:val="nil"/>
              <w:bottom w:val="single" w:sz="4" w:space="0" w:color="FFFFFF"/>
              <w:right w:val="nil"/>
            </w:tcBorders>
            <w:shd w:val="clear" w:color="auto" w:fill="auto"/>
            <w:noWrap/>
            <w:vAlign w:val="center"/>
            <w:hideMark/>
          </w:tcPr>
          <w:p w14:paraId="2FE2633B"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B05A8CD"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3297632"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72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8A83F12"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39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9886663"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172" w:type="dxa"/>
            <w:gridSpan w:val="2"/>
            <w:vAlign w:val="center"/>
            <w:hideMark/>
          </w:tcPr>
          <w:p w14:paraId="60CCBD6D" w14:textId="77777777" w:rsidR="00CF1986" w:rsidRPr="00CF1986" w:rsidRDefault="00CF1986" w:rsidP="00CF1986">
            <w:pPr>
              <w:rPr>
                <w:sz w:val="20"/>
                <w:szCs w:val="20"/>
              </w:rPr>
            </w:pPr>
          </w:p>
        </w:tc>
      </w:tr>
      <w:tr w:rsidR="00C15373" w:rsidRPr="00CF1986" w14:paraId="40C10F11" w14:textId="77777777" w:rsidTr="00C15373">
        <w:trPr>
          <w:gridAfter w:val="1"/>
          <w:wAfter w:w="10" w:type="dxa"/>
          <w:trHeight w:val="5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7A089829"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tcBorders>
              <w:top w:val="single" w:sz="4" w:space="0" w:color="auto"/>
              <w:left w:val="single" w:sz="4" w:space="0" w:color="auto"/>
              <w:bottom w:val="single" w:sz="4" w:space="0" w:color="auto"/>
              <w:right w:val="single" w:sz="4" w:space="0" w:color="auto"/>
            </w:tcBorders>
            <w:vAlign w:val="center"/>
            <w:hideMark/>
          </w:tcPr>
          <w:p w14:paraId="36C24F9C" w14:textId="77777777" w:rsidR="00CF1986" w:rsidRPr="00ED4664" w:rsidRDefault="00CF1986" w:rsidP="00CF1986">
            <w:pPr>
              <w:jc w:val="center"/>
              <w:rPr>
                <w:rFonts w:ascii="Segoe UI Light" w:hAnsi="Segoe UI Light" w:cs="Segoe UI Light"/>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5774F11B"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3C52860E" w14:textId="77777777" w:rsidR="00CF1986" w:rsidRPr="00ED4664" w:rsidRDefault="00CF1986" w:rsidP="00CF1986">
            <w:pPr>
              <w:rPr>
                <w:rFonts w:ascii="Segoe UI Light" w:hAnsi="Segoe UI Light" w:cs="Segoe UI Light"/>
                <w:color w:val="000000"/>
                <w:sz w:val="16"/>
                <w:szCs w:val="16"/>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14:paraId="44ED9A7B" w14:textId="77777777" w:rsidR="00CF1986" w:rsidRPr="00ED4664" w:rsidRDefault="00CF1986" w:rsidP="00CF1986">
            <w:pPr>
              <w:rPr>
                <w:rFonts w:ascii="Segoe UI Light" w:hAnsi="Segoe UI Light" w:cs="Segoe UI Light"/>
                <w:color w:val="002060"/>
                <w:sz w:val="16"/>
                <w:szCs w:val="16"/>
              </w:rPr>
            </w:pPr>
          </w:p>
        </w:tc>
        <w:tc>
          <w:tcPr>
            <w:tcW w:w="661" w:type="dxa"/>
            <w:vMerge/>
            <w:tcBorders>
              <w:top w:val="single" w:sz="4" w:space="0" w:color="auto"/>
              <w:left w:val="single" w:sz="4" w:space="0" w:color="auto"/>
              <w:bottom w:val="single" w:sz="4" w:space="0" w:color="auto"/>
              <w:right w:val="single" w:sz="8" w:space="0" w:color="auto"/>
            </w:tcBorders>
            <w:vAlign w:val="center"/>
            <w:hideMark/>
          </w:tcPr>
          <w:p w14:paraId="6A4C40E4" w14:textId="77777777" w:rsidR="00CF1986" w:rsidRPr="00ED4664" w:rsidRDefault="00CF1986" w:rsidP="00CF1986">
            <w:pPr>
              <w:rPr>
                <w:rFonts w:ascii="Segoe UI Light" w:hAnsi="Segoe UI Light" w:cs="Segoe UI Light"/>
                <w:color w:val="002060"/>
                <w:sz w:val="16"/>
                <w:szCs w:val="16"/>
              </w:rPr>
            </w:pPr>
          </w:p>
        </w:tc>
        <w:tc>
          <w:tcPr>
            <w:tcW w:w="204" w:type="dxa"/>
            <w:vMerge/>
            <w:tcBorders>
              <w:top w:val="nil"/>
              <w:left w:val="nil"/>
              <w:bottom w:val="single" w:sz="4" w:space="0" w:color="FFFFFF"/>
              <w:right w:val="nil"/>
            </w:tcBorders>
            <w:vAlign w:val="center"/>
            <w:hideMark/>
          </w:tcPr>
          <w:p w14:paraId="0A624D5D"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nil"/>
              <w:left w:val="single" w:sz="8" w:space="0" w:color="auto"/>
              <w:bottom w:val="single" w:sz="4" w:space="0" w:color="auto"/>
              <w:right w:val="single" w:sz="4" w:space="0" w:color="auto"/>
            </w:tcBorders>
            <w:vAlign w:val="center"/>
            <w:hideMark/>
          </w:tcPr>
          <w:p w14:paraId="783E96CA" w14:textId="77777777" w:rsidR="00CF1986" w:rsidRPr="00ED4664" w:rsidRDefault="00CF1986" w:rsidP="00CF1986">
            <w:pPr>
              <w:rPr>
                <w:rFonts w:ascii="Segoe UI Light" w:hAnsi="Segoe UI Light" w:cs="Segoe UI Light"/>
                <w:color w:val="000000"/>
                <w:sz w:val="16"/>
                <w:szCs w:val="16"/>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142BB175" w14:textId="77777777" w:rsidR="00CF1986" w:rsidRPr="00ED4664" w:rsidRDefault="00CF1986" w:rsidP="00CF1986">
            <w:pPr>
              <w:rPr>
                <w:rFonts w:ascii="Segoe UI Light" w:hAnsi="Segoe UI Light" w:cs="Segoe UI Light"/>
                <w:color w:val="002060"/>
                <w:sz w:val="16"/>
                <w:szCs w:val="16"/>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6B438289" w14:textId="77777777" w:rsidR="00CF1986" w:rsidRPr="00ED4664" w:rsidRDefault="00CF1986" w:rsidP="00CF1986">
            <w:pPr>
              <w:rPr>
                <w:rFonts w:ascii="Segoe UI Light" w:hAnsi="Segoe UI Light" w:cs="Segoe UI Light"/>
                <w:color w:val="002060"/>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17F3A1FB" w14:textId="77777777" w:rsidR="00CF1986" w:rsidRPr="00ED4664" w:rsidRDefault="00CF1986" w:rsidP="00CF1986">
            <w:pPr>
              <w:rPr>
                <w:rFonts w:ascii="Segoe UI Light" w:hAnsi="Segoe UI Light" w:cs="Segoe UI Light"/>
                <w:color w:val="000000"/>
                <w:sz w:val="16"/>
                <w:szCs w:val="16"/>
              </w:rPr>
            </w:pPr>
          </w:p>
        </w:tc>
        <w:tc>
          <w:tcPr>
            <w:tcW w:w="172" w:type="dxa"/>
            <w:gridSpan w:val="2"/>
            <w:tcBorders>
              <w:top w:val="nil"/>
              <w:left w:val="nil"/>
              <w:bottom w:val="nil"/>
              <w:right w:val="nil"/>
            </w:tcBorders>
            <w:shd w:val="clear" w:color="auto" w:fill="auto"/>
            <w:noWrap/>
            <w:vAlign w:val="bottom"/>
            <w:hideMark/>
          </w:tcPr>
          <w:p w14:paraId="7899D659" w14:textId="77777777" w:rsidR="00CF1986" w:rsidRPr="00CF1986" w:rsidRDefault="00CF1986" w:rsidP="00CF1986">
            <w:pPr>
              <w:jc w:val="center"/>
              <w:rPr>
                <w:rFonts w:ascii="Segoe UI Light" w:hAnsi="Segoe UI Light" w:cs="Segoe UI Light"/>
                <w:color w:val="000000"/>
                <w:sz w:val="22"/>
                <w:szCs w:val="22"/>
              </w:rPr>
            </w:pPr>
          </w:p>
        </w:tc>
      </w:tr>
      <w:tr w:rsidR="00ED4664" w:rsidRPr="00CF1986" w14:paraId="3D3DAC69" w14:textId="77777777" w:rsidTr="00C15373">
        <w:trPr>
          <w:gridAfter w:val="1"/>
          <w:wAfter w:w="10" w:type="dxa"/>
          <w:trHeight w:val="34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496BC708"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F5F2A"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Acciones legales contra el Estado</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B29F42"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946803"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835"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1672E68"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66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E6C143D"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204" w:type="dxa"/>
            <w:vMerge w:val="restart"/>
            <w:tcBorders>
              <w:top w:val="nil"/>
              <w:left w:val="nil"/>
              <w:bottom w:val="single" w:sz="4" w:space="0" w:color="FFFFFF"/>
              <w:right w:val="nil"/>
            </w:tcBorders>
            <w:shd w:val="clear" w:color="auto" w:fill="auto"/>
            <w:noWrap/>
            <w:vAlign w:val="center"/>
            <w:hideMark/>
          </w:tcPr>
          <w:p w14:paraId="03513471"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single" w:sz="4" w:space="0" w:color="auto"/>
              <w:left w:val="single" w:sz="8" w:space="0" w:color="auto"/>
              <w:bottom w:val="single" w:sz="4" w:space="0" w:color="auto"/>
              <w:right w:val="single" w:sz="4" w:space="0" w:color="auto"/>
            </w:tcBorders>
            <w:shd w:val="clear" w:color="000000" w:fill="002060"/>
            <w:noWrap/>
            <w:vAlign w:val="center"/>
            <w:hideMark/>
          </w:tcPr>
          <w:p w14:paraId="5D558314"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280AB"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5EE7E6"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39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AF36336"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172" w:type="dxa"/>
            <w:gridSpan w:val="2"/>
            <w:vAlign w:val="center"/>
            <w:hideMark/>
          </w:tcPr>
          <w:p w14:paraId="0631BD74" w14:textId="77777777" w:rsidR="00CF1986" w:rsidRPr="00CF1986" w:rsidRDefault="00CF1986" w:rsidP="00CF1986">
            <w:pPr>
              <w:rPr>
                <w:sz w:val="20"/>
                <w:szCs w:val="20"/>
              </w:rPr>
            </w:pPr>
          </w:p>
        </w:tc>
      </w:tr>
      <w:tr w:rsidR="00C15373" w:rsidRPr="00CF1986" w14:paraId="1DAA126C" w14:textId="77777777" w:rsidTr="00C15373">
        <w:trPr>
          <w:gridAfter w:val="1"/>
          <w:wAfter w:w="10" w:type="dxa"/>
          <w:trHeight w:val="5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020C0480"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tcBorders>
              <w:top w:val="single" w:sz="4" w:space="0" w:color="auto"/>
              <w:left w:val="single" w:sz="4" w:space="0" w:color="auto"/>
              <w:bottom w:val="single" w:sz="4" w:space="0" w:color="auto"/>
              <w:right w:val="single" w:sz="4" w:space="0" w:color="auto"/>
            </w:tcBorders>
            <w:vAlign w:val="center"/>
            <w:hideMark/>
          </w:tcPr>
          <w:p w14:paraId="22155980" w14:textId="77777777" w:rsidR="00CF1986" w:rsidRPr="00ED4664" w:rsidRDefault="00CF1986" w:rsidP="00CF1986">
            <w:pPr>
              <w:jc w:val="center"/>
              <w:rPr>
                <w:rFonts w:ascii="Segoe UI Light" w:hAnsi="Segoe UI Light" w:cs="Segoe UI Light"/>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2817436B"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1F822808" w14:textId="77777777" w:rsidR="00CF1986" w:rsidRPr="00ED4664" w:rsidRDefault="00CF1986" w:rsidP="00CF1986">
            <w:pPr>
              <w:rPr>
                <w:rFonts w:ascii="Segoe UI Light" w:hAnsi="Segoe UI Light" w:cs="Segoe UI Light"/>
                <w:color w:val="000000"/>
                <w:sz w:val="16"/>
                <w:szCs w:val="16"/>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14:paraId="5F466B4F" w14:textId="77777777" w:rsidR="00CF1986" w:rsidRPr="00ED4664" w:rsidRDefault="00CF1986" w:rsidP="00CF1986">
            <w:pPr>
              <w:rPr>
                <w:rFonts w:ascii="Segoe UI Light" w:hAnsi="Segoe UI Light" w:cs="Segoe UI Light"/>
                <w:color w:val="002060"/>
                <w:sz w:val="16"/>
                <w:szCs w:val="16"/>
              </w:rPr>
            </w:pPr>
          </w:p>
        </w:tc>
        <w:tc>
          <w:tcPr>
            <w:tcW w:w="661" w:type="dxa"/>
            <w:vMerge/>
            <w:tcBorders>
              <w:top w:val="nil"/>
              <w:left w:val="single" w:sz="4" w:space="0" w:color="auto"/>
              <w:bottom w:val="single" w:sz="4" w:space="0" w:color="auto"/>
              <w:right w:val="single" w:sz="8" w:space="0" w:color="auto"/>
            </w:tcBorders>
            <w:vAlign w:val="center"/>
            <w:hideMark/>
          </w:tcPr>
          <w:p w14:paraId="2B8F9C94" w14:textId="77777777" w:rsidR="00CF1986" w:rsidRPr="00ED4664" w:rsidRDefault="00CF1986" w:rsidP="00CF1986">
            <w:pPr>
              <w:rPr>
                <w:rFonts w:ascii="Segoe UI Light" w:hAnsi="Segoe UI Light" w:cs="Segoe UI Light"/>
                <w:color w:val="000000"/>
                <w:sz w:val="16"/>
                <w:szCs w:val="16"/>
              </w:rPr>
            </w:pPr>
          </w:p>
        </w:tc>
        <w:tc>
          <w:tcPr>
            <w:tcW w:w="204" w:type="dxa"/>
            <w:vMerge/>
            <w:tcBorders>
              <w:top w:val="nil"/>
              <w:left w:val="nil"/>
              <w:bottom w:val="single" w:sz="4" w:space="0" w:color="FFFFFF"/>
              <w:right w:val="nil"/>
            </w:tcBorders>
            <w:vAlign w:val="center"/>
            <w:hideMark/>
          </w:tcPr>
          <w:p w14:paraId="3F769C4D"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single" w:sz="4" w:space="0" w:color="auto"/>
              <w:left w:val="single" w:sz="8" w:space="0" w:color="auto"/>
              <w:bottom w:val="single" w:sz="4" w:space="0" w:color="auto"/>
              <w:right w:val="single" w:sz="4" w:space="0" w:color="auto"/>
            </w:tcBorders>
            <w:vAlign w:val="center"/>
            <w:hideMark/>
          </w:tcPr>
          <w:p w14:paraId="44571B33" w14:textId="77777777" w:rsidR="00CF1986" w:rsidRPr="00ED4664" w:rsidRDefault="00CF1986" w:rsidP="00CF1986">
            <w:pPr>
              <w:rPr>
                <w:rFonts w:ascii="Segoe UI Light" w:hAnsi="Segoe UI Light" w:cs="Segoe UI Light"/>
                <w:color w:val="002060"/>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14:paraId="5CBB5C93"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1ADB6692" w14:textId="77777777" w:rsidR="00CF1986" w:rsidRPr="00ED4664" w:rsidRDefault="00CF1986" w:rsidP="00CF1986">
            <w:pPr>
              <w:rPr>
                <w:rFonts w:ascii="Segoe UI Light" w:hAnsi="Segoe UI Light" w:cs="Segoe UI Light"/>
                <w:color w:val="000000"/>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6DFAA97B" w14:textId="77777777" w:rsidR="00CF1986" w:rsidRPr="00ED4664" w:rsidRDefault="00CF1986" w:rsidP="00CF1986">
            <w:pPr>
              <w:rPr>
                <w:rFonts w:ascii="Segoe UI Light" w:hAnsi="Segoe UI Light" w:cs="Segoe UI Light"/>
                <w:color w:val="000000"/>
                <w:sz w:val="16"/>
                <w:szCs w:val="16"/>
              </w:rPr>
            </w:pPr>
          </w:p>
        </w:tc>
        <w:tc>
          <w:tcPr>
            <w:tcW w:w="172" w:type="dxa"/>
            <w:gridSpan w:val="2"/>
            <w:tcBorders>
              <w:top w:val="nil"/>
              <w:left w:val="nil"/>
              <w:bottom w:val="nil"/>
              <w:right w:val="nil"/>
            </w:tcBorders>
            <w:shd w:val="clear" w:color="auto" w:fill="auto"/>
            <w:noWrap/>
            <w:vAlign w:val="bottom"/>
            <w:hideMark/>
          </w:tcPr>
          <w:p w14:paraId="4444C799" w14:textId="77777777" w:rsidR="00CF1986" w:rsidRPr="00CF1986" w:rsidRDefault="00CF1986" w:rsidP="00CF1986">
            <w:pPr>
              <w:jc w:val="center"/>
              <w:rPr>
                <w:rFonts w:ascii="Segoe UI Light" w:hAnsi="Segoe UI Light" w:cs="Segoe UI Light"/>
                <w:color w:val="000000"/>
                <w:sz w:val="22"/>
                <w:szCs w:val="22"/>
              </w:rPr>
            </w:pPr>
          </w:p>
        </w:tc>
      </w:tr>
      <w:tr w:rsidR="00ED4664" w:rsidRPr="00CF1986" w14:paraId="68258CED" w14:textId="77777777" w:rsidTr="00C15373">
        <w:trPr>
          <w:gridAfter w:val="1"/>
          <w:wAfter w:w="10" w:type="dxa"/>
          <w:trHeight w:val="34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20918AE9"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8ABFAD"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Gobiernos subnacionales</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E7F7B7"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16CCDE"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835"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ABE52FE"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661" w:type="dxa"/>
            <w:vMerge w:val="restart"/>
            <w:tcBorders>
              <w:top w:val="single" w:sz="4" w:space="0" w:color="auto"/>
              <w:left w:val="single" w:sz="4" w:space="0" w:color="auto"/>
              <w:bottom w:val="single" w:sz="4" w:space="0" w:color="auto"/>
              <w:right w:val="single" w:sz="8" w:space="0" w:color="auto"/>
            </w:tcBorders>
            <w:shd w:val="clear" w:color="000000" w:fill="002060"/>
            <w:noWrap/>
            <w:vAlign w:val="center"/>
            <w:hideMark/>
          </w:tcPr>
          <w:p w14:paraId="628294CA"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204" w:type="dxa"/>
            <w:vMerge w:val="restart"/>
            <w:tcBorders>
              <w:top w:val="nil"/>
              <w:left w:val="nil"/>
              <w:bottom w:val="single" w:sz="4" w:space="0" w:color="FFFFFF"/>
              <w:right w:val="nil"/>
            </w:tcBorders>
            <w:shd w:val="clear" w:color="auto" w:fill="auto"/>
            <w:noWrap/>
            <w:vAlign w:val="center"/>
            <w:hideMark/>
          </w:tcPr>
          <w:p w14:paraId="46930444"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single" w:sz="4" w:space="0" w:color="auto"/>
              <w:left w:val="single" w:sz="8" w:space="0" w:color="auto"/>
              <w:bottom w:val="single" w:sz="4" w:space="0" w:color="auto"/>
              <w:right w:val="single" w:sz="4" w:space="0" w:color="auto"/>
            </w:tcBorders>
            <w:shd w:val="clear" w:color="000000" w:fill="002060"/>
            <w:noWrap/>
            <w:vAlign w:val="center"/>
            <w:hideMark/>
          </w:tcPr>
          <w:p w14:paraId="11177A59" w14:textId="77777777" w:rsidR="00CF1986" w:rsidRPr="00ED4664" w:rsidRDefault="00CF1986" w:rsidP="00CF1986">
            <w:pPr>
              <w:jc w:val="center"/>
              <w:rPr>
                <w:rFonts w:ascii="Segoe UI Light" w:hAnsi="Segoe UI Light" w:cs="Segoe UI Light"/>
                <w:color w:val="002060"/>
                <w:sz w:val="16"/>
                <w:szCs w:val="16"/>
              </w:rPr>
            </w:pPr>
            <w:r w:rsidRPr="00ED4664">
              <w:rPr>
                <w:rFonts w:ascii="Segoe UI Light" w:hAnsi="Segoe UI Light" w:cs="Segoe UI Light"/>
                <w:color w:val="002060"/>
                <w:sz w:val="16"/>
                <w:szCs w:val="16"/>
              </w:rPr>
              <w:t>#####</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D7369"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015D23"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391"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E5EC0F6"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172" w:type="dxa"/>
            <w:gridSpan w:val="2"/>
            <w:vAlign w:val="center"/>
            <w:hideMark/>
          </w:tcPr>
          <w:p w14:paraId="341D6E84" w14:textId="77777777" w:rsidR="00CF1986" w:rsidRPr="00CF1986" w:rsidRDefault="00CF1986" w:rsidP="00CF1986">
            <w:pPr>
              <w:rPr>
                <w:sz w:val="20"/>
                <w:szCs w:val="20"/>
              </w:rPr>
            </w:pPr>
          </w:p>
        </w:tc>
      </w:tr>
      <w:tr w:rsidR="00C15373" w:rsidRPr="00CF1986" w14:paraId="6690BD9D" w14:textId="77777777" w:rsidTr="00C15373">
        <w:trPr>
          <w:gridAfter w:val="1"/>
          <w:wAfter w:w="10" w:type="dxa"/>
          <w:trHeight w:val="5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039C4B2D"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tcBorders>
              <w:top w:val="single" w:sz="4" w:space="0" w:color="auto"/>
              <w:left w:val="single" w:sz="4" w:space="0" w:color="auto"/>
              <w:bottom w:val="single" w:sz="4" w:space="0" w:color="auto"/>
              <w:right w:val="single" w:sz="4" w:space="0" w:color="auto"/>
            </w:tcBorders>
            <w:vAlign w:val="center"/>
            <w:hideMark/>
          </w:tcPr>
          <w:p w14:paraId="1DFCA01E" w14:textId="77777777" w:rsidR="00CF1986" w:rsidRPr="00ED4664" w:rsidRDefault="00CF1986" w:rsidP="00CF1986">
            <w:pPr>
              <w:jc w:val="center"/>
              <w:rPr>
                <w:rFonts w:ascii="Segoe UI Light" w:hAnsi="Segoe UI Light" w:cs="Segoe UI Light"/>
                <w:color w:val="000000"/>
                <w:sz w:val="16"/>
                <w:szCs w:val="16"/>
              </w:rPr>
            </w:pPr>
          </w:p>
        </w:tc>
        <w:tc>
          <w:tcPr>
            <w:tcW w:w="659" w:type="dxa"/>
            <w:vMerge/>
            <w:tcBorders>
              <w:top w:val="nil"/>
              <w:left w:val="single" w:sz="4" w:space="0" w:color="auto"/>
              <w:bottom w:val="single" w:sz="4" w:space="0" w:color="auto"/>
              <w:right w:val="single" w:sz="4" w:space="0" w:color="auto"/>
            </w:tcBorders>
            <w:vAlign w:val="center"/>
            <w:hideMark/>
          </w:tcPr>
          <w:p w14:paraId="7F975D29"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6CDDEBEC" w14:textId="77777777" w:rsidR="00CF1986" w:rsidRPr="00ED4664" w:rsidRDefault="00CF1986" w:rsidP="00CF1986">
            <w:pPr>
              <w:rPr>
                <w:rFonts w:ascii="Segoe UI Light" w:hAnsi="Segoe UI Light" w:cs="Segoe UI Light"/>
                <w:color w:val="000000"/>
                <w:sz w:val="16"/>
                <w:szCs w:val="16"/>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14:paraId="18B0AAA8" w14:textId="77777777" w:rsidR="00CF1986" w:rsidRPr="00ED4664" w:rsidRDefault="00CF1986" w:rsidP="00CF1986">
            <w:pPr>
              <w:rPr>
                <w:rFonts w:ascii="Segoe UI Light" w:hAnsi="Segoe UI Light" w:cs="Segoe UI Light"/>
                <w:color w:val="002060"/>
                <w:sz w:val="16"/>
                <w:szCs w:val="16"/>
              </w:rPr>
            </w:pPr>
          </w:p>
        </w:tc>
        <w:tc>
          <w:tcPr>
            <w:tcW w:w="661" w:type="dxa"/>
            <w:vMerge/>
            <w:tcBorders>
              <w:top w:val="single" w:sz="4" w:space="0" w:color="auto"/>
              <w:left w:val="single" w:sz="4" w:space="0" w:color="auto"/>
              <w:bottom w:val="single" w:sz="4" w:space="0" w:color="auto"/>
              <w:right w:val="single" w:sz="8" w:space="0" w:color="auto"/>
            </w:tcBorders>
            <w:vAlign w:val="center"/>
            <w:hideMark/>
          </w:tcPr>
          <w:p w14:paraId="4C8FB47D" w14:textId="77777777" w:rsidR="00CF1986" w:rsidRPr="00ED4664" w:rsidRDefault="00CF1986" w:rsidP="00CF1986">
            <w:pPr>
              <w:rPr>
                <w:rFonts w:ascii="Segoe UI Light" w:hAnsi="Segoe UI Light" w:cs="Segoe UI Light"/>
                <w:color w:val="002060"/>
                <w:sz w:val="16"/>
                <w:szCs w:val="16"/>
              </w:rPr>
            </w:pPr>
          </w:p>
        </w:tc>
        <w:tc>
          <w:tcPr>
            <w:tcW w:w="204" w:type="dxa"/>
            <w:vMerge/>
            <w:tcBorders>
              <w:top w:val="nil"/>
              <w:left w:val="nil"/>
              <w:bottom w:val="single" w:sz="4" w:space="0" w:color="FFFFFF"/>
              <w:right w:val="nil"/>
            </w:tcBorders>
            <w:vAlign w:val="center"/>
            <w:hideMark/>
          </w:tcPr>
          <w:p w14:paraId="400C07DC"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single" w:sz="4" w:space="0" w:color="auto"/>
              <w:left w:val="single" w:sz="8" w:space="0" w:color="auto"/>
              <w:bottom w:val="single" w:sz="4" w:space="0" w:color="auto"/>
              <w:right w:val="single" w:sz="4" w:space="0" w:color="auto"/>
            </w:tcBorders>
            <w:vAlign w:val="center"/>
            <w:hideMark/>
          </w:tcPr>
          <w:p w14:paraId="289664B4" w14:textId="77777777" w:rsidR="00CF1986" w:rsidRPr="00ED4664" w:rsidRDefault="00CF1986" w:rsidP="00CF1986">
            <w:pPr>
              <w:rPr>
                <w:rFonts w:ascii="Segoe UI Light" w:hAnsi="Segoe UI Light" w:cs="Segoe UI Light"/>
                <w:color w:val="002060"/>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14:paraId="2CA228CE" w14:textId="77777777" w:rsidR="00CF1986" w:rsidRPr="00ED4664" w:rsidRDefault="00CF1986" w:rsidP="00CF1986">
            <w:pPr>
              <w:rPr>
                <w:rFonts w:ascii="Segoe UI Light" w:hAnsi="Segoe UI Light" w:cs="Segoe UI Light"/>
                <w:color w:val="000000"/>
                <w:sz w:val="16"/>
                <w:szCs w:val="16"/>
              </w:rPr>
            </w:pPr>
          </w:p>
        </w:tc>
        <w:tc>
          <w:tcPr>
            <w:tcW w:w="729" w:type="dxa"/>
            <w:vMerge/>
            <w:tcBorders>
              <w:top w:val="nil"/>
              <w:left w:val="single" w:sz="4" w:space="0" w:color="auto"/>
              <w:bottom w:val="single" w:sz="4" w:space="0" w:color="auto"/>
              <w:right w:val="single" w:sz="4" w:space="0" w:color="auto"/>
            </w:tcBorders>
            <w:vAlign w:val="center"/>
            <w:hideMark/>
          </w:tcPr>
          <w:p w14:paraId="64043163" w14:textId="77777777" w:rsidR="00CF1986" w:rsidRPr="00ED4664" w:rsidRDefault="00CF1986" w:rsidP="00CF1986">
            <w:pPr>
              <w:rPr>
                <w:rFonts w:ascii="Segoe UI Light" w:hAnsi="Segoe UI Light" w:cs="Segoe UI Light"/>
                <w:color w:val="000000"/>
                <w:sz w:val="16"/>
                <w:szCs w:val="16"/>
              </w:rPr>
            </w:pPr>
          </w:p>
        </w:tc>
        <w:tc>
          <w:tcPr>
            <w:tcW w:w="391" w:type="dxa"/>
            <w:vMerge/>
            <w:tcBorders>
              <w:top w:val="nil"/>
              <w:left w:val="single" w:sz="4" w:space="0" w:color="auto"/>
              <w:bottom w:val="single" w:sz="4" w:space="0" w:color="auto"/>
              <w:right w:val="single" w:sz="8" w:space="0" w:color="auto"/>
            </w:tcBorders>
            <w:vAlign w:val="center"/>
            <w:hideMark/>
          </w:tcPr>
          <w:p w14:paraId="0FE798E8" w14:textId="77777777" w:rsidR="00CF1986" w:rsidRPr="00ED4664" w:rsidRDefault="00CF1986" w:rsidP="00CF1986">
            <w:pPr>
              <w:rPr>
                <w:rFonts w:ascii="Segoe UI Light" w:hAnsi="Segoe UI Light" w:cs="Segoe UI Light"/>
                <w:color w:val="000000"/>
                <w:sz w:val="16"/>
                <w:szCs w:val="16"/>
              </w:rPr>
            </w:pPr>
          </w:p>
        </w:tc>
        <w:tc>
          <w:tcPr>
            <w:tcW w:w="172" w:type="dxa"/>
            <w:gridSpan w:val="2"/>
            <w:tcBorders>
              <w:top w:val="nil"/>
              <w:left w:val="nil"/>
              <w:bottom w:val="nil"/>
              <w:right w:val="nil"/>
            </w:tcBorders>
            <w:shd w:val="clear" w:color="auto" w:fill="auto"/>
            <w:noWrap/>
            <w:vAlign w:val="bottom"/>
            <w:hideMark/>
          </w:tcPr>
          <w:p w14:paraId="42E1AC03" w14:textId="77777777" w:rsidR="00CF1986" w:rsidRPr="00CF1986" w:rsidRDefault="00CF1986" w:rsidP="00CF1986">
            <w:pPr>
              <w:jc w:val="center"/>
              <w:rPr>
                <w:rFonts w:ascii="Segoe UI Light" w:hAnsi="Segoe UI Light" w:cs="Segoe UI Light"/>
                <w:color w:val="000000"/>
                <w:sz w:val="22"/>
                <w:szCs w:val="22"/>
              </w:rPr>
            </w:pPr>
          </w:p>
        </w:tc>
      </w:tr>
      <w:tr w:rsidR="00ED4664" w:rsidRPr="00CF1986" w14:paraId="2C737548" w14:textId="77777777" w:rsidTr="00C15373">
        <w:trPr>
          <w:gridAfter w:val="1"/>
          <w:wAfter w:w="10" w:type="dxa"/>
          <w:trHeight w:val="343"/>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59C717A9" w14:textId="77777777" w:rsidR="00CF1986" w:rsidRPr="00ED4664" w:rsidRDefault="00CF1986" w:rsidP="00CF1986">
            <w:pPr>
              <w:rPr>
                <w:rFonts w:ascii="Segoe UI Light" w:hAnsi="Segoe UI Light" w:cs="Segoe UI Light"/>
                <w:b/>
                <w:bCs/>
                <w:color w:val="000000"/>
                <w:sz w:val="16"/>
                <w:szCs w:val="16"/>
              </w:rPr>
            </w:pPr>
          </w:p>
        </w:tc>
        <w:tc>
          <w:tcPr>
            <w:tcW w:w="1971"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5E39040"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Recursos naturales</w:t>
            </w:r>
          </w:p>
        </w:tc>
        <w:tc>
          <w:tcPr>
            <w:tcW w:w="659" w:type="dxa"/>
            <w:vMerge w:val="restart"/>
            <w:tcBorders>
              <w:top w:val="nil"/>
              <w:left w:val="single" w:sz="4" w:space="0" w:color="auto"/>
              <w:bottom w:val="single" w:sz="8" w:space="0" w:color="000000"/>
              <w:right w:val="single" w:sz="4" w:space="0" w:color="auto"/>
            </w:tcBorders>
            <w:shd w:val="clear" w:color="000000" w:fill="002060"/>
            <w:noWrap/>
            <w:vAlign w:val="center"/>
            <w:hideMark/>
          </w:tcPr>
          <w:p w14:paraId="4621C9A1" w14:textId="1E8C2BF9"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4" w:space="0" w:color="auto"/>
              <w:bottom w:val="single" w:sz="8" w:space="0" w:color="000000"/>
              <w:right w:val="single" w:sz="4" w:space="0" w:color="auto"/>
            </w:tcBorders>
            <w:shd w:val="clear" w:color="000000" w:fill="002060"/>
            <w:noWrap/>
            <w:vAlign w:val="center"/>
            <w:hideMark/>
          </w:tcPr>
          <w:p w14:paraId="19411249"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83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0674A77"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661"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5A0B02A"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204" w:type="dxa"/>
            <w:vMerge w:val="restart"/>
            <w:tcBorders>
              <w:top w:val="nil"/>
              <w:left w:val="nil"/>
              <w:bottom w:val="single" w:sz="4" w:space="0" w:color="FFFFFF"/>
              <w:right w:val="nil"/>
            </w:tcBorders>
            <w:shd w:val="clear" w:color="auto" w:fill="auto"/>
            <w:noWrap/>
            <w:vAlign w:val="center"/>
            <w:hideMark/>
          </w:tcPr>
          <w:p w14:paraId="40931BB1"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69A265F"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98" w:type="dxa"/>
            <w:vMerge w:val="restart"/>
            <w:tcBorders>
              <w:top w:val="nil"/>
              <w:left w:val="single" w:sz="4" w:space="0" w:color="auto"/>
              <w:bottom w:val="single" w:sz="8" w:space="0" w:color="000000"/>
              <w:right w:val="single" w:sz="4" w:space="0" w:color="auto"/>
            </w:tcBorders>
            <w:shd w:val="clear" w:color="000000" w:fill="002060"/>
            <w:noWrap/>
            <w:vAlign w:val="center"/>
            <w:hideMark/>
          </w:tcPr>
          <w:p w14:paraId="42BEF8E2"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72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35EBEEF"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391"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4CF9F94" w14:textId="77777777" w:rsidR="00CF1986" w:rsidRPr="00ED4664" w:rsidRDefault="00CF1986" w:rsidP="00CF1986">
            <w:pPr>
              <w:jc w:val="center"/>
              <w:rPr>
                <w:rFonts w:ascii="Segoe UI Light" w:hAnsi="Segoe UI Light" w:cs="Segoe UI Light"/>
                <w:color w:val="000000"/>
                <w:sz w:val="16"/>
                <w:szCs w:val="16"/>
              </w:rPr>
            </w:pPr>
            <w:r w:rsidRPr="00ED4664">
              <w:rPr>
                <w:rFonts w:ascii="Segoe UI Light" w:hAnsi="Segoe UI Light" w:cs="Segoe UI Light"/>
                <w:color w:val="000000"/>
                <w:sz w:val="16"/>
                <w:szCs w:val="16"/>
              </w:rPr>
              <w:t> </w:t>
            </w:r>
          </w:p>
        </w:tc>
        <w:tc>
          <w:tcPr>
            <w:tcW w:w="172" w:type="dxa"/>
            <w:gridSpan w:val="2"/>
            <w:vAlign w:val="center"/>
            <w:hideMark/>
          </w:tcPr>
          <w:p w14:paraId="3C29D8EB" w14:textId="77777777" w:rsidR="00CF1986" w:rsidRPr="00CF1986" w:rsidRDefault="00CF1986" w:rsidP="00CF1986">
            <w:pPr>
              <w:rPr>
                <w:sz w:val="20"/>
                <w:szCs w:val="20"/>
              </w:rPr>
            </w:pPr>
          </w:p>
        </w:tc>
      </w:tr>
      <w:tr w:rsidR="00C15373" w:rsidRPr="00CF1986" w14:paraId="7B130D7B" w14:textId="77777777" w:rsidTr="00C15373">
        <w:trPr>
          <w:gridAfter w:val="1"/>
          <w:wAfter w:w="10" w:type="dxa"/>
          <w:trHeight w:val="49"/>
          <w:jc w:val="center"/>
        </w:trPr>
        <w:tc>
          <w:tcPr>
            <w:tcW w:w="1521" w:type="dxa"/>
            <w:gridSpan w:val="2"/>
            <w:vMerge/>
            <w:tcBorders>
              <w:top w:val="single" w:sz="4" w:space="0" w:color="auto"/>
              <w:left w:val="single" w:sz="8" w:space="0" w:color="auto"/>
              <w:bottom w:val="single" w:sz="8" w:space="0" w:color="000000"/>
              <w:right w:val="single" w:sz="4" w:space="0" w:color="auto"/>
            </w:tcBorders>
            <w:vAlign w:val="center"/>
            <w:hideMark/>
          </w:tcPr>
          <w:p w14:paraId="646710B0" w14:textId="77777777" w:rsidR="00CF1986" w:rsidRPr="00CF1986" w:rsidRDefault="00CF1986" w:rsidP="00CF1986">
            <w:pPr>
              <w:rPr>
                <w:rFonts w:ascii="Segoe UI Light" w:hAnsi="Segoe UI Light" w:cs="Segoe UI Light"/>
                <w:b/>
                <w:bCs/>
                <w:color w:val="000000"/>
                <w:sz w:val="20"/>
                <w:szCs w:val="20"/>
              </w:rPr>
            </w:pPr>
          </w:p>
        </w:tc>
        <w:tc>
          <w:tcPr>
            <w:tcW w:w="1971" w:type="dxa"/>
            <w:gridSpan w:val="4"/>
            <w:vMerge/>
            <w:tcBorders>
              <w:top w:val="single" w:sz="4" w:space="0" w:color="auto"/>
              <w:left w:val="single" w:sz="4" w:space="0" w:color="auto"/>
              <w:bottom w:val="single" w:sz="8" w:space="0" w:color="000000"/>
              <w:right w:val="single" w:sz="4" w:space="0" w:color="auto"/>
            </w:tcBorders>
            <w:vAlign w:val="center"/>
            <w:hideMark/>
          </w:tcPr>
          <w:p w14:paraId="60F81F5B" w14:textId="77777777" w:rsidR="00CF1986" w:rsidRPr="00CF1986" w:rsidRDefault="00CF1986" w:rsidP="00CF1986">
            <w:pPr>
              <w:rPr>
                <w:rFonts w:ascii="Segoe UI Light" w:hAnsi="Segoe UI Light" w:cs="Segoe UI Light"/>
                <w:color w:val="000000"/>
                <w:sz w:val="22"/>
                <w:szCs w:val="22"/>
              </w:rPr>
            </w:pPr>
          </w:p>
        </w:tc>
        <w:tc>
          <w:tcPr>
            <w:tcW w:w="659" w:type="dxa"/>
            <w:vMerge/>
            <w:tcBorders>
              <w:top w:val="nil"/>
              <w:left w:val="single" w:sz="4" w:space="0" w:color="auto"/>
              <w:bottom w:val="single" w:sz="8" w:space="0" w:color="000000"/>
              <w:right w:val="single" w:sz="4" w:space="0" w:color="auto"/>
            </w:tcBorders>
            <w:vAlign w:val="center"/>
            <w:hideMark/>
          </w:tcPr>
          <w:p w14:paraId="29D7C3B8" w14:textId="77777777" w:rsidR="00CF1986" w:rsidRPr="00CF1986" w:rsidRDefault="00CF1986" w:rsidP="00CF1986">
            <w:pPr>
              <w:rPr>
                <w:rFonts w:ascii="Segoe UI Light" w:hAnsi="Segoe UI Light" w:cs="Segoe UI Light"/>
                <w:color w:val="000000"/>
                <w:sz w:val="22"/>
                <w:szCs w:val="22"/>
              </w:rPr>
            </w:pPr>
          </w:p>
        </w:tc>
        <w:tc>
          <w:tcPr>
            <w:tcW w:w="729" w:type="dxa"/>
            <w:vMerge/>
            <w:tcBorders>
              <w:top w:val="nil"/>
              <w:left w:val="single" w:sz="4" w:space="0" w:color="auto"/>
              <w:bottom w:val="single" w:sz="8" w:space="0" w:color="000000"/>
              <w:right w:val="single" w:sz="4" w:space="0" w:color="auto"/>
            </w:tcBorders>
            <w:vAlign w:val="center"/>
            <w:hideMark/>
          </w:tcPr>
          <w:p w14:paraId="557C45A1" w14:textId="77777777" w:rsidR="00CF1986" w:rsidRPr="00CF1986" w:rsidRDefault="00CF1986" w:rsidP="00CF1986">
            <w:pPr>
              <w:rPr>
                <w:rFonts w:ascii="Segoe UI Light" w:hAnsi="Segoe UI Light" w:cs="Segoe UI Light"/>
                <w:color w:val="000000"/>
                <w:sz w:val="22"/>
                <w:szCs w:val="22"/>
              </w:rPr>
            </w:pPr>
          </w:p>
        </w:tc>
        <w:tc>
          <w:tcPr>
            <w:tcW w:w="835" w:type="dxa"/>
            <w:vMerge/>
            <w:tcBorders>
              <w:top w:val="nil"/>
              <w:left w:val="single" w:sz="4" w:space="0" w:color="auto"/>
              <w:bottom w:val="single" w:sz="8" w:space="0" w:color="000000"/>
              <w:right w:val="single" w:sz="4" w:space="0" w:color="auto"/>
            </w:tcBorders>
            <w:vAlign w:val="center"/>
            <w:hideMark/>
          </w:tcPr>
          <w:p w14:paraId="1B881EE3" w14:textId="77777777" w:rsidR="00CF1986" w:rsidRPr="00CF1986" w:rsidRDefault="00CF1986" w:rsidP="00CF1986">
            <w:pPr>
              <w:rPr>
                <w:rFonts w:ascii="Segoe UI Light" w:hAnsi="Segoe UI Light" w:cs="Segoe UI Light"/>
                <w:color w:val="000000"/>
                <w:sz w:val="22"/>
                <w:szCs w:val="22"/>
              </w:rPr>
            </w:pPr>
          </w:p>
        </w:tc>
        <w:tc>
          <w:tcPr>
            <w:tcW w:w="661" w:type="dxa"/>
            <w:vMerge/>
            <w:tcBorders>
              <w:top w:val="nil"/>
              <w:left w:val="single" w:sz="4" w:space="0" w:color="auto"/>
              <w:bottom w:val="single" w:sz="8" w:space="0" w:color="000000"/>
              <w:right w:val="single" w:sz="8" w:space="0" w:color="auto"/>
            </w:tcBorders>
            <w:vAlign w:val="center"/>
            <w:hideMark/>
          </w:tcPr>
          <w:p w14:paraId="5015A56F" w14:textId="77777777" w:rsidR="00CF1986" w:rsidRPr="00CF1986" w:rsidRDefault="00CF1986" w:rsidP="00CF1986">
            <w:pPr>
              <w:rPr>
                <w:rFonts w:ascii="Segoe UI Light" w:hAnsi="Segoe UI Light" w:cs="Segoe UI Light"/>
                <w:color w:val="000000"/>
                <w:sz w:val="22"/>
                <w:szCs w:val="22"/>
              </w:rPr>
            </w:pPr>
          </w:p>
        </w:tc>
        <w:tc>
          <w:tcPr>
            <w:tcW w:w="204" w:type="dxa"/>
            <w:vMerge/>
            <w:tcBorders>
              <w:top w:val="nil"/>
              <w:left w:val="nil"/>
              <w:bottom w:val="single" w:sz="4" w:space="0" w:color="FFFFFF"/>
              <w:right w:val="nil"/>
            </w:tcBorders>
            <w:vAlign w:val="center"/>
            <w:hideMark/>
          </w:tcPr>
          <w:p w14:paraId="69786B4A" w14:textId="77777777" w:rsidR="00CF1986" w:rsidRPr="00CF1986" w:rsidRDefault="00CF1986" w:rsidP="00CF1986">
            <w:pPr>
              <w:rPr>
                <w:rFonts w:ascii="Segoe UI Light" w:hAnsi="Segoe UI Light" w:cs="Segoe UI Light"/>
                <w:color w:val="000000"/>
                <w:sz w:val="22"/>
                <w:szCs w:val="22"/>
              </w:rPr>
            </w:pPr>
          </w:p>
        </w:tc>
        <w:tc>
          <w:tcPr>
            <w:tcW w:w="729" w:type="dxa"/>
            <w:vMerge/>
            <w:tcBorders>
              <w:top w:val="nil"/>
              <w:left w:val="single" w:sz="8" w:space="0" w:color="auto"/>
              <w:bottom w:val="single" w:sz="8" w:space="0" w:color="000000"/>
              <w:right w:val="single" w:sz="4" w:space="0" w:color="auto"/>
            </w:tcBorders>
            <w:vAlign w:val="center"/>
            <w:hideMark/>
          </w:tcPr>
          <w:p w14:paraId="4BB8D92A" w14:textId="77777777" w:rsidR="00CF1986" w:rsidRPr="00CF1986" w:rsidRDefault="00CF1986" w:rsidP="00CF1986">
            <w:pPr>
              <w:rPr>
                <w:rFonts w:ascii="Segoe UI Light" w:hAnsi="Segoe UI Light" w:cs="Segoe UI Light"/>
                <w:color w:val="000000"/>
                <w:sz w:val="22"/>
                <w:szCs w:val="22"/>
              </w:rPr>
            </w:pPr>
          </w:p>
        </w:tc>
        <w:tc>
          <w:tcPr>
            <w:tcW w:w="798" w:type="dxa"/>
            <w:vMerge/>
            <w:tcBorders>
              <w:top w:val="nil"/>
              <w:left w:val="single" w:sz="4" w:space="0" w:color="auto"/>
              <w:bottom w:val="single" w:sz="8" w:space="0" w:color="000000"/>
              <w:right w:val="single" w:sz="4" w:space="0" w:color="auto"/>
            </w:tcBorders>
            <w:vAlign w:val="center"/>
            <w:hideMark/>
          </w:tcPr>
          <w:p w14:paraId="0D6FED96" w14:textId="77777777" w:rsidR="00CF1986" w:rsidRPr="00CF1986" w:rsidRDefault="00CF1986" w:rsidP="00CF1986">
            <w:pPr>
              <w:rPr>
                <w:rFonts w:ascii="Segoe UI Light" w:hAnsi="Segoe UI Light" w:cs="Segoe UI Light"/>
                <w:color w:val="000000"/>
                <w:sz w:val="22"/>
                <w:szCs w:val="22"/>
              </w:rPr>
            </w:pPr>
          </w:p>
        </w:tc>
        <w:tc>
          <w:tcPr>
            <w:tcW w:w="729" w:type="dxa"/>
            <w:vMerge/>
            <w:tcBorders>
              <w:top w:val="nil"/>
              <w:left w:val="single" w:sz="4" w:space="0" w:color="auto"/>
              <w:bottom w:val="single" w:sz="8" w:space="0" w:color="000000"/>
              <w:right w:val="single" w:sz="4" w:space="0" w:color="auto"/>
            </w:tcBorders>
            <w:vAlign w:val="center"/>
            <w:hideMark/>
          </w:tcPr>
          <w:p w14:paraId="19FA585B" w14:textId="77777777" w:rsidR="00CF1986" w:rsidRPr="00CF1986" w:rsidRDefault="00CF1986" w:rsidP="00CF1986">
            <w:pPr>
              <w:rPr>
                <w:rFonts w:ascii="Segoe UI Light" w:hAnsi="Segoe UI Light" w:cs="Segoe UI Light"/>
                <w:color w:val="000000"/>
                <w:sz w:val="22"/>
                <w:szCs w:val="22"/>
              </w:rPr>
            </w:pPr>
          </w:p>
        </w:tc>
        <w:tc>
          <w:tcPr>
            <w:tcW w:w="391" w:type="dxa"/>
            <w:vMerge/>
            <w:tcBorders>
              <w:top w:val="nil"/>
              <w:left w:val="single" w:sz="4" w:space="0" w:color="auto"/>
              <w:bottom w:val="single" w:sz="8" w:space="0" w:color="000000"/>
              <w:right w:val="single" w:sz="8" w:space="0" w:color="auto"/>
            </w:tcBorders>
            <w:vAlign w:val="center"/>
            <w:hideMark/>
          </w:tcPr>
          <w:p w14:paraId="341C4BC3" w14:textId="77777777" w:rsidR="00CF1986" w:rsidRPr="00CF1986" w:rsidRDefault="00CF1986" w:rsidP="00CF1986">
            <w:pPr>
              <w:rPr>
                <w:rFonts w:ascii="Segoe UI Light" w:hAnsi="Segoe UI Light" w:cs="Segoe UI Light"/>
                <w:color w:val="000000"/>
                <w:sz w:val="22"/>
                <w:szCs w:val="22"/>
              </w:rPr>
            </w:pPr>
          </w:p>
        </w:tc>
        <w:tc>
          <w:tcPr>
            <w:tcW w:w="172" w:type="dxa"/>
            <w:gridSpan w:val="2"/>
            <w:tcBorders>
              <w:top w:val="nil"/>
              <w:left w:val="nil"/>
              <w:bottom w:val="nil"/>
              <w:right w:val="nil"/>
            </w:tcBorders>
            <w:shd w:val="clear" w:color="auto" w:fill="auto"/>
            <w:noWrap/>
            <w:vAlign w:val="bottom"/>
            <w:hideMark/>
          </w:tcPr>
          <w:p w14:paraId="3C93543A" w14:textId="77777777" w:rsidR="00CF1986" w:rsidRPr="00CF1986" w:rsidRDefault="00CF1986" w:rsidP="00CF1986">
            <w:pPr>
              <w:jc w:val="center"/>
              <w:rPr>
                <w:rFonts w:ascii="Segoe UI Light" w:hAnsi="Segoe UI Light" w:cs="Segoe UI Light"/>
                <w:color w:val="000000"/>
                <w:sz w:val="22"/>
                <w:szCs w:val="22"/>
              </w:rPr>
            </w:pPr>
          </w:p>
        </w:tc>
      </w:tr>
    </w:tbl>
    <w:p w14:paraId="4B04EF99" w14:textId="5D936B20" w:rsidR="00B96728" w:rsidRPr="006014B3" w:rsidRDefault="00B96728" w:rsidP="005F07F9">
      <w:pPr>
        <w:pStyle w:val="Ttulo2"/>
        <w:numPr>
          <w:ilvl w:val="1"/>
          <w:numId w:val="35"/>
        </w:numPr>
        <w:tabs>
          <w:tab w:val="left" w:pos="567"/>
        </w:tabs>
        <w:ind w:left="426" w:hanging="284"/>
        <w:rPr>
          <w:bCs/>
        </w:rPr>
      </w:pPr>
      <w:bookmarkStart w:id="8" w:name="_Toc144114344"/>
      <w:r w:rsidRPr="00B96728">
        <w:rPr>
          <w:bCs/>
        </w:rPr>
        <w:lastRenderedPageBreak/>
        <w:t>Calificación del Riesgo</w:t>
      </w:r>
      <w:bookmarkEnd w:id="8"/>
    </w:p>
    <w:p w14:paraId="2135B2AD" w14:textId="77777777" w:rsidR="00B96728" w:rsidRPr="00C15373" w:rsidRDefault="00B96728" w:rsidP="00D60783">
      <w:pPr>
        <w:jc w:val="both"/>
        <w:rPr>
          <w:sz w:val="22"/>
          <w:szCs w:val="22"/>
        </w:rPr>
      </w:pPr>
    </w:p>
    <w:p w14:paraId="6863C71D" w14:textId="78007BF8" w:rsidR="00635B13" w:rsidRDefault="00635B13" w:rsidP="00D60783">
      <w:pPr>
        <w:jc w:val="both"/>
      </w:pPr>
      <w:r w:rsidRPr="00635B13">
        <w:t xml:space="preserve">En cuanto a la calificación del riesgo, </w:t>
      </w:r>
      <w:r>
        <w:t>se toma en consideración el impacto, así como la probabilidad de que se materialice, tomando en cuenta la materialización histórica del riesgo</w:t>
      </w:r>
      <w:r w:rsidR="00A809B4">
        <w:t>. Es importante resaltar, que, de acuerdo a la evaluación realizada, Guatemala no cuenta con ningún riesgo fiscal que se encuentre en la categoría crítica, derivado que no se identificó ningún riesgo que pudiera tener un impacto fiscal alto</w:t>
      </w:r>
      <w:r w:rsidR="005C48A1">
        <w:t xml:space="preserve"> y que fuera probable</w:t>
      </w:r>
      <w:r w:rsidR="00A809B4">
        <w:t xml:space="preserve">. </w:t>
      </w:r>
    </w:p>
    <w:p w14:paraId="45A0D7A6" w14:textId="77777777" w:rsidR="008D3F5A" w:rsidRDefault="008D3F5A" w:rsidP="00D60783">
      <w:pPr>
        <w:jc w:val="both"/>
      </w:pPr>
    </w:p>
    <w:tbl>
      <w:tblPr>
        <w:tblStyle w:val="Tablaconcuadrcula"/>
        <w:tblW w:w="0" w:type="auto"/>
        <w:tblLook w:val="04A0" w:firstRow="1" w:lastRow="0" w:firstColumn="1" w:lastColumn="0" w:noHBand="0" w:noVBand="1"/>
      </w:tblPr>
      <w:tblGrid>
        <w:gridCol w:w="4414"/>
        <w:gridCol w:w="4414"/>
      </w:tblGrid>
      <w:tr w:rsidR="008D3F5A" w14:paraId="75F93432" w14:textId="77777777" w:rsidTr="008D3F5A">
        <w:tc>
          <w:tcPr>
            <w:tcW w:w="4414" w:type="dxa"/>
          </w:tcPr>
          <w:p w14:paraId="053A71A0" w14:textId="5449CD39" w:rsidR="008D3F5A" w:rsidRPr="008D3F5A" w:rsidRDefault="008D3F5A" w:rsidP="008D3F5A">
            <w:pPr>
              <w:jc w:val="center"/>
              <w:rPr>
                <w:b/>
                <w:bCs/>
                <w:i/>
                <w:iCs/>
                <w:u w:val="single"/>
              </w:rPr>
            </w:pPr>
            <w:r w:rsidRPr="008D3F5A">
              <w:rPr>
                <w:b/>
                <w:bCs/>
                <w:i/>
                <w:iCs/>
                <w:u w:val="single"/>
              </w:rPr>
              <w:t>Fundamentos de la evaluación</w:t>
            </w:r>
          </w:p>
        </w:tc>
        <w:tc>
          <w:tcPr>
            <w:tcW w:w="4414" w:type="dxa"/>
          </w:tcPr>
          <w:p w14:paraId="2E25AA0B" w14:textId="6CA05673" w:rsidR="008D3F5A" w:rsidRPr="008D3F5A" w:rsidRDefault="008D3F5A" w:rsidP="008D3F5A">
            <w:pPr>
              <w:jc w:val="center"/>
              <w:rPr>
                <w:b/>
                <w:bCs/>
                <w:i/>
                <w:iCs/>
                <w:u w:val="single"/>
              </w:rPr>
            </w:pPr>
            <w:r w:rsidRPr="008D3F5A">
              <w:rPr>
                <w:b/>
                <w:bCs/>
                <w:i/>
                <w:iCs/>
                <w:u w:val="single"/>
              </w:rPr>
              <w:t>Probabilidad que se materialicen</w:t>
            </w:r>
          </w:p>
        </w:tc>
      </w:tr>
      <w:tr w:rsidR="008D3F5A" w14:paraId="529BAFF3" w14:textId="77777777" w:rsidTr="008D3F5A">
        <w:tc>
          <w:tcPr>
            <w:tcW w:w="4414" w:type="dxa"/>
          </w:tcPr>
          <w:p w14:paraId="745457F3" w14:textId="4A24F096" w:rsidR="008D3F5A" w:rsidRDefault="008D3F5A" w:rsidP="00D60783">
            <w:pPr>
              <w:jc w:val="both"/>
            </w:pPr>
            <w:r>
              <w:t>Impacto fiscal potencial</w:t>
            </w:r>
          </w:p>
        </w:tc>
        <w:tc>
          <w:tcPr>
            <w:tcW w:w="4414" w:type="dxa"/>
          </w:tcPr>
          <w:p w14:paraId="62BEF3CB" w14:textId="77777777" w:rsidR="008D3F5A" w:rsidRDefault="008D3F5A" w:rsidP="00D60783">
            <w:pPr>
              <w:jc w:val="both"/>
            </w:pPr>
          </w:p>
        </w:tc>
      </w:tr>
      <w:tr w:rsidR="008D3F5A" w14:paraId="75620A3C" w14:textId="77777777" w:rsidTr="008D3F5A">
        <w:tc>
          <w:tcPr>
            <w:tcW w:w="4414" w:type="dxa"/>
            <w:vAlign w:val="center"/>
          </w:tcPr>
          <w:p w14:paraId="39B9EB1F" w14:textId="3F2E03E6" w:rsidR="008D3F5A" w:rsidRDefault="008D3F5A" w:rsidP="008D3F5A">
            <w:pPr>
              <w:pStyle w:val="Prrafodelista"/>
              <w:numPr>
                <w:ilvl w:val="0"/>
                <w:numId w:val="48"/>
              </w:numPr>
              <w:ind w:left="314"/>
              <w:jc w:val="both"/>
            </w:pPr>
            <w:r>
              <w:t xml:space="preserve">Alto: </w:t>
            </w:r>
            <w:r>
              <w:rPr>
                <w:sz w:val="20"/>
                <w:szCs w:val="20"/>
              </w:rPr>
              <w:t>&gt;1.0% del PIB</w:t>
            </w:r>
          </w:p>
        </w:tc>
        <w:tc>
          <w:tcPr>
            <w:tcW w:w="4414" w:type="dxa"/>
          </w:tcPr>
          <w:p w14:paraId="2C7DE90B" w14:textId="5B954BDB" w:rsidR="008D3F5A" w:rsidRDefault="008D3F5A" w:rsidP="008D3F5A">
            <w:pPr>
              <w:pStyle w:val="Prrafodelista"/>
              <w:numPr>
                <w:ilvl w:val="0"/>
                <w:numId w:val="48"/>
              </w:numPr>
              <w:ind w:left="295"/>
              <w:jc w:val="both"/>
            </w:pPr>
            <w:r>
              <w:t>Probable: muy posible que se cumpla o suceda</w:t>
            </w:r>
          </w:p>
        </w:tc>
      </w:tr>
      <w:tr w:rsidR="008D3F5A" w14:paraId="1F70CBAC" w14:textId="77777777" w:rsidTr="008D3F5A">
        <w:tc>
          <w:tcPr>
            <w:tcW w:w="4414" w:type="dxa"/>
            <w:vAlign w:val="center"/>
          </w:tcPr>
          <w:p w14:paraId="4D2F8553" w14:textId="255C7005" w:rsidR="008D3F5A" w:rsidRDefault="008D3F5A" w:rsidP="008D3F5A">
            <w:pPr>
              <w:pStyle w:val="Prrafodelista"/>
              <w:numPr>
                <w:ilvl w:val="0"/>
                <w:numId w:val="48"/>
              </w:numPr>
              <w:ind w:left="314"/>
              <w:jc w:val="both"/>
            </w:pPr>
            <w:r>
              <w:t>Medio: entre 0.5% - 1.0% del PIB</w:t>
            </w:r>
          </w:p>
        </w:tc>
        <w:tc>
          <w:tcPr>
            <w:tcW w:w="4414" w:type="dxa"/>
          </w:tcPr>
          <w:p w14:paraId="331A9FCA" w14:textId="1DE7E7D5" w:rsidR="008D3F5A" w:rsidRDefault="008D3F5A" w:rsidP="008D3F5A">
            <w:pPr>
              <w:pStyle w:val="Prrafodelista"/>
              <w:numPr>
                <w:ilvl w:val="0"/>
                <w:numId w:val="48"/>
              </w:numPr>
              <w:ind w:left="295"/>
              <w:jc w:val="both"/>
            </w:pPr>
            <w:r>
              <w:t>Posible: que puede suceder</w:t>
            </w:r>
          </w:p>
        </w:tc>
      </w:tr>
      <w:tr w:rsidR="008D3F5A" w14:paraId="645EE1AE" w14:textId="77777777" w:rsidTr="008D3F5A">
        <w:tc>
          <w:tcPr>
            <w:tcW w:w="4414" w:type="dxa"/>
            <w:vAlign w:val="center"/>
          </w:tcPr>
          <w:p w14:paraId="45423D4E" w14:textId="27E59780" w:rsidR="008D3F5A" w:rsidRDefault="008D3F5A" w:rsidP="008D3F5A">
            <w:pPr>
              <w:pStyle w:val="Prrafodelista"/>
              <w:numPr>
                <w:ilvl w:val="0"/>
                <w:numId w:val="48"/>
              </w:numPr>
              <w:ind w:left="314"/>
              <w:jc w:val="both"/>
            </w:pPr>
            <w:r>
              <w:t>Bajo: &lt;0.5% del PIB</w:t>
            </w:r>
          </w:p>
        </w:tc>
        <w:tc>
          <w:tcPr>
            <w:tcW w:w="4414" w:type="dxa"/>
          </w:tcPr>
          <w:p w14:paraId="1936BF8A" w14:textId="4C20E4BA" w:rsidR="008D3F5A" w:rsidRDefault="008D3F5A" w:rsidP="008D3F5A">
            <w:pPr>
              <w:pStyle w:val="Prrafodelista"/>
              <w:numPr>
                <w:ilvl w:val="0"/>
                <w:numId w:val="48"/>
              </w:numPr>
              <w:ind w:left="295"/>
              <w:jc w:val="both"/>
            </w:pPr>
            <w:r>
              <w:t>Remoto: muy difícil o poco probable que suceda</w:t>
            </w:r>
          </w:p>
        </w:tc>
      </w:tr>
    </w:tbl>
    <w:p w14:paraId="12CDA726" w14:textId="77777777" w:rsidR="008D3F5A" w:rsidRDefault="008D3F5A" w:rsidP="00D60783">
      <w:pPr>
        <w:jc w:val="both"/>
      </w:pPr>
    </w:p>
    <w:p w14:paraId="6C6B653D" w14:textId="77777777" w:rsidR="00F073EC" w:rsidRPr="00F073EC" w:rsidRDefault="00F073EC" w:rsidP="00D60783">
      <w:pPr>
        <w:jc w:val="both"/>
        <w:rPr>
          <w:b/>
          <w:bCs/>
          <w:i/>
          <w:iCs/>
          <w:u w:val="single"/>
        </w:rPr>
      </w:pPr>
      <w:r w:rsidRPr="00F073EC">
        <w:rPr>
          <w:b/>
          <w:bCs/>
          <w:i/>
          <w:iCs/>
          <w:u w:val="single"/>
        </w:rPr>
        <w:t>Probabilidad que se materialicen</w:t>
      </w:r>
    </w:p>
    <w:p w14:paraId="1AAB6EA3" w14:textId="72D7E166" w:rsidR="001C0298" w:rsidRDefault="001C3F9D" w:rsidP="00D60783">
      <w:pPr>
        <w:jc w:val="both"/>
      </w:pPr>
      <w:r>
        <w:t xml:space="preserve">No obstante, se cuenta con </w:t>
      </w:r>
      <w:r w:rsidR="001C0298">
        <w:t xml:space="preserve">dos </w:t>
      </w:r>
      <w:r>
        <w:t>riesgo</w:t>
      </w:r>
      <w:r w:rsidR="001C0298">
        <w:t>s</w:t>
      </w:r>
      <w:r>
        <w:t xml:space="preserve"> fiscal</w:t>
      </w:r>
      <w:r w:rsidR="001C0298">
        <w:t>es</w:t>
      </w:r>
      <w:r>
        <w:t xml:space="preserve"> con calificación alta, que es el caso de los </w:t>
      </w:r>
      <w:r w:rsidR="001C0298">
        <w:t xml:space="preserve">riesgos macroeconómicos y los </w:t>
      </w:r>
      <w:r w:rsidR="00A809B4">
        <w:t>riesgos ambientales</w:t>
      </w:r>
      <w:r w:rsidR="001C0298">
        <w:t>; en el caso de los macroeconómicos, con la crisis financiera de 2009 o con la pandemia del COVID-19, las variables sufrieron desviaciones significativas y el impacto fiscal fue mayor al 1%</w:t>
      </w:r>
      <w:r w:rsidR="005C48A1">
        <w:t xml:space="preserve"> del PIB</w:t>
      </w:r>
      <w:r w:rsidR="001C0298">
        <w:t>, asimismo se considera que su materialización es posible.</w:t>
      </w:r>
    </w:p>
    <w:p w14:paraId="07C62C76" w14:textId="58A45BB8" w:rsidR="001C0298" w:rsidRPr="00C15373" w:rsidRDefault="001C0298" w:rsidP="00D60783">
      <w:pPr>
        <w:jc w:val="both"/>
        <w:rPr>
          <w:sz w:val="22"/>
          <w:szCs w:val="22"/>
        </w:rPr>
      </w:pPr>
    </w:p>
    <w:p w14:paraId="1FC0097B" w14:textId="65CB2340" w:rsidR="00A809B4" w:rsidRDefault="001C0298" w:rsidP="00D60783">
      <w:pPr>
        <w:jc w:val="both"/>
      </w:pPr>
      <w:bookmarkStart w:id="9" w:name="_Hlk141273585"/>
      <w:r>
        <w:t>En cuanto a los riesgos ambientales, estos</w:t>
      </w:r>
      <w:r w:rsidR="001C3F9D">
        <w:t xml:space="preserve"> son </w:t>
      </w:r>
      <w:r w:rsidR="00A809B4">
        <w:t xml:space="preserve">catalogados como de impacto fiscal medio y </w:t>
      </w:r>
      <w:r w:rsidR="00E448E8">
        <w:t>en</w:t>
      </w:r>
      <w:r>
        <w:t xml:space="preserve"> la materialización se consideran </w:t>
      </w:r>
      <w:r w:rsidR="00A809B4">
        <w:t>probable</w:t>
      </w:r>
      <w:r>
        <w:t>s</w:t>
      </w:r>
      <w:r w:rsidR="00A809B4">
        <w:t xml:space="preserve">, </w:t>
      </w:r>
      <w:r w:rsidR="00C80054">
        <w:t>ya que,</w:t>
      </w:r>
      <w:r w:rsidR="00A809B4">
        <w:t xml:space="preserve"> de acuerdo al análisis realizado, </w:t>
      </w:r>
      <w:r w:rsidR="00C80054">
        <w:t xml:space="preserve">es el </w:t>
      </w:r>
      <w:r w:rsidR="00BD7E56">
        <w:t xml:space="preserve">segundo </w:t>
      </w:r>
      <w:r w:rsidR="00C80054">
        <w:t>riesgo que se repite más recurrentemente y el impacto fiscal depende de</w:t>
      </w:r>
      <w:r w:rsidR="005639CE">
        <w:t>l tipo y</w:t>
      </w:r>
      <w:r w:rsidR="00C80054">
        <w:t xml:space="preserve"> la magnitud del evento, en algunos ejercicios se evidencia incluso el impacto de dos eventos</w:t>
      </w:r>
      <w:r w:rsidR="00E448E8">
        <w:t xml:space="preserve"> naturales paralelos</w:t>
      </w:r>
      <w:r w:rsidR="00C80054">
        <w:t xml:space="preserve">. </w:t>
      </w:r>
    </w:p>
    <w:p w14:paraId="3D143786" w14:textId="25B7987D" w:rsidR="00BD7E56" w:rsidRPr="00C15373" w:rsidRDefault="00BD7E56" w:rsidP="00D60783">
      <w:pPr>
        <w:jc w:val="both"/>
        <w:rPr>
          <w:sz w:val="22"/>
          <w:szCs w:val="22"/>
        </w:rPr>
      </w:pPr>
    </w:p>
    <w:p w14:paraId="0F61CD07" w14:textId="234BBCAC" w:rsidR="00BD7E56" w:rsidRPr="00635B13" w:rsidRDefault="00BD7E56" w:rsidP="00D60783">
      <w:pPr>
        <w:jc w:val="both"/>
      </w:pPr>
      <w:bookmarkStart w:id="10" w:name="_Hlk141273814"/>
      <w:r>
        <w:t>Seguidamente se encuentran los riesgos por acciones legales contra el Estado con una calificación media, la cual se debe a que son probables al ser recurrentes en todos los ejercicios fiscales</w:t>
      </w:r>
      <w:r w:rsidR="00935189">
        <w:t>,</w:t>
      </w:r>
      <w:r>
        <w:t xml:space="preserve"> pero su impacto fiscal es bajo.</w:t>
      </w:r>
    </w:p>
    <w:bookmarkEnd w:id="9"/>
    <w:bookmarkEnd w:id="10"/>
    <w:p w14:paraId="0CC72835" w14:textId="77777777" w:rsidR="00E448E8" w:rsidRPr="00C15373" w:rsidRDefault="00E448E8" w:rsidP="00D60783">
      <w:pPr>
        <w:jc w:val="both"/>
        <w:rPr>
          <w:sz w:val="22"/>
          <w:szCs w:val="22"/>
        </w:rPr>
      </w:pPr>
    </w:p>
    <w:p w14:paraId="6BC8FED8" w14:textId="7CF9EA18" w:rsidR="00C80054" w:rsidRDefault="00C80054" w:rsidP="00D60783">
      <w:pPr>
        <w:jc w:val="both"/>
      </w:pPr>
      <w:r>
        <w:t>Por su parte, el riesgo asociado a</w:t>
      </w:r>
      <w:r w:rsidR="00E448E8">
        <w:t>l sector financiero</w:t>
      </w:r>
      <w:r w:rsidR="00BD7E56">
        <w:t xml:space="preserve"> y</w:t>
      </w:r>
      <w:r w:rsidR="00E448E8">
        <w:t xml:space="preserve"> </w:t>
      </w:r>
      <w:r>
        <w:t xml:space="preserve">empresas públicas cuentan con un impacto </w:t>
      </w:r>
      <w:r w:rsidR="00E0020B">
        <w:t>fiscal bajo, pero posibles, derivado a que en el pasado se ha observado la materialización del riesgo</w:t>
      </w:r>
      <w:r w:rsidR="00E448E8">
        <w:t xml:space="preserve">. </w:t>
      </w:r>
    </w:p>
    <w:p w14:paraId="2F9649C6" w14:textId="33990FF1" w:rsidR="00E0020B" w:rsidRPr="00C15373" w:rsidRDefault="00E0020B" w:rsidP="00D60783">
      <w:pPr>
        <w:jc w:val="both"/>
        <w:rPr>
          <w:sz w:val="22"/>
          <w:szCs w:val="22"/>
        </w:rPr>
      </w:pPr>
    </w:p>
    <w:p w14:paraId="78179F99" w14:textId="1DDE10EE" w:rsidR="00635B13" w:rsidRDefault="00E0020B" w:rsidP="00D60783">
      <w:pPr>
        <w:jc w:val="both"/>
      </w:pPr>
      <w:r>
        <w:t xml:space="preserve">Por último, </w:t>
      </w:r>
      <w:r w:rsidR="00E448E8">
        <w:t xml:space="preserve">los otros </w:t>
      </w:r>
      <w:r>
        <w:t>riesgos analizados (garantías del gobierno, gobiernos subnacionales y recursos naturales) cuentan con un impacto fiscal bajo y su probabilidad de materialización es remota</w:t>
      </w:r>
      <w:r w:rsidR="00E448E8">
        <w:t xml:space="preserve">, derivado que no se observa una materialización </w:t>
      </w:r>
      <w:r w:rsidR="001E6EF8">
        <w:t>histórica</w:t>
      </w:r>
      <w:r w:rsidR="00E448E8">
        <w:t>.</w:t>
      </w:r>
    </w:p>
    <w:p w14:paraId="6B3C3FB1" w14:textId="01646337" w:rsidR="001E6EF8" w:rsidRPr="00C15373" w:rsidRDefault="001E6EF8" w:rsidP="00D60783">
      <w:pPr>
        <w:jc w:val="both"/>
        <w:rPr>
          <w:sz w:val="22"/>
          <w:szCs w:val="22"/>
        </w:rPr>
      </w:pPr>
    </w:p>
    <w:p w14:paraId="78942E4A" w14:textId="59E0E8A5" w:rsidR="001E6EF8" w:rsidRPr="001E6EF8" w:rsidRDefault="001E6EF8" w:rsidP="00D60783">
      <w:pPr>
        <w:jc w:val="both"/>
      </w:pPr>
      <w:r w:rsidRPr="001E6EF8">
        <w:t>Se puede concluir, que el impacto fiscal potencial para Guatemala es bajo, en la gran mayoría de riesgos evaluados. Nuevamente</w:t>
      </w:r>
      <w:r w:rsidR="005C48A1">
        <w:t>,</w:t>
      </w:r>
      <w:r w:rsidRPr="001E6EF8">
        <w:t xml:space="preserve"> ningún riesgo se encuentra clasificado como crítico, lo cual se debe</w:t>
      </w:r>
      <w:r w:rsidR="005C48A1">
        <w:t xml:space="preserve"> en parte </w:t>
      </w:r>
      <w:r w:rsidRPr="001E6EF8">
        <w:t>a las estrategias de mitigación y aprovisionamiento con las que cuenta el gobierno de Guatemala</w:t>
      </w:r>
      <w:r w:rsidR="00274C36">
        <w:t>, que coadyuvan junto con la estabilidad macroeconómica a tener una economía resiliente</w:t>
      </w:r>
      <w:r w:rsidRPr="001E6EF8">
        <w:t>.</w:t>
      </w:r>
    </w:p>
    <w:p w14:paraId="18525202" w14:textId="2920D2E5" w:rsidR="00635B13" w:rsidRPr="00C15373" w:rsidRDefault="00635B13" w:rsidP="00D60783">
      <w:pPr>
        <w:rPr>
          <w:sz w:val="22"/>
          <w:szCs w:val="22"/>
        </w:rPr>
      </w:pPr>
    </w:p>
    <w:p w14:paraId="1672EE00" w14:textId="238B57F0" w:rsidR="001E6EF8" w:rsidRDefault="001E6EF8" w:rsidP="00D60783">
      <w:pPr>
        <w:jc w:val="both"/>
      </w:pPr>
      <w:r>
        <w:lastRenderedPageBreak/>
        <w:t>La matriz de impacto x probabilidad e</w:t>
      </w:r>
      <w:r w:rsidR="005C48A1">
        <w:t>s</w:t>
      </w:r>
      <w:r>
        <w:t xml:space="preserve"> considera</w:t>
      </w:r>
      <w:r w:rsidR="005C48A1">
        <w:t>da</w:t>
      </w:r>
      <w:r>
        <w:t xml:space="preserve"> de alta importancia, ya que permite poder </w:t>
      </w:r>
      <w:r w:rsidR="005C48A1">
        <w:t>o</w:t>
      </w:r>
      <w:r>
        <w:t>r</w:t>
      </w:r>
      <w:r w:rsidR="005C48A1">
        <w:t>denar</w:t>
      </w:r>
      <w:r>
        <w:t xml:space="preserve"> los riesgos fiscales en un orden de prioridad, poniendo énfasis en cuanto a medidas de mitigación y aprovisionamiento en aquellos que tengan una mayor probabilidad de materializarse, así como que tengan un riesgo fiscal medio y alto. </w:t>
      </w:r>
    </w:p>
    <w:p w14:paraId="5287C135" w14:textId="3D0BE7DE" w:rsidR="00D60783" w:rsidRDefault="00D60783" w:rsidP="00D60783">
      <w:pPr>
        <w:jc w:val="both"/>
      </w:pPr>
    </w:p>
    <w:p w14:paraId="0CCB12C8" w14:textId="4D262158" w:rsidR="00D60783" w:rsidRPr="00D60783" w:rsidRDefault="00D60783" w:rsidP="00D60783">
      <w:pPr>
        <w:pStyle w:val="Descripcin"/>
        <w:keepNext/>
        <w:jc w:val="both"/>
        <w:rPr>
          <w:color w:val="auto"/>
        </w:rPr>
      </w:pPr>
      <w:bookmarkStart w:id="11" w:name="_Toc143593505"/>
      <w:r w:rsidRPr="00D60783">
        <w:rPr>
          <w:color w:val="auto"/>
        </w:rPr>
        <w:t xml:space="preserve">Tabla </w:t>
      </w:r>
      <w:r w:rsidRPr="00D60783">
        <w:rPr>
          <w:color w:val="auto"/>
        </w:rPr>
        <w:fldChar w:fldCharType="begin"/>
      </w:r>
      <w:r w:rsidRPr="00D60783">
        <w:rPr>
          <w:color w:val="auto"/>
        </w:rPr>
        <w:instrText xml:space="preserve"> SEQ Tabla \* ARABIC </w:instrText>
      </w:r>
      <w:r w:rsidRPr="00D60783">
        <w:rPr>
          <w:color w:val="auto"/>
        </w:rPr>
        <w:fldChar w:fldCharType="separate"/>
      </w:r>
      <w:r w:rsidR="00A62AFA">
        <w:rPr>
          <w:noProof/>
          <w:color w:val="auto"/>
        </w:rPr>
        <w:t>3</w:t>
      </w:r>
      <w:r w:rsidRPr="00D60783">
        <w:rPr>
          <w:color w:val="auto"/>
        </w:rPr>
        <w:fldChar w:fldCharType="end"/>
      </w:r>
      <w:r w:rsidRPr="00D60783">
        <w:rPr>
          <w:color w:val="auto"/>
        </w:rPr>
        <w:t>. Matriz de impacto x probabilidad</w:t>
      </w:r>
      <w:bookmarkEnd w:id="11"/>
    </w:p>
    <w:tbl>
      <w:tblPr>
        <w:tblW w:w="8814" w:type="dxa"/>
        <w:jc w:val="center"/>
        <w:tblCellMar>
          <w:left w:w="70" w:type="dxa"/>
          <w:right w:w="70" w:type="dxa"/>
        </w:tblCellMar>
        <w:tblLook w:val="04A0" w:firstRow="1" w:lastRow="0" w:firstColumn="1" w:lastColumn="0" w:noHBand="0" w:noVBand="1"/>
      </w:tblPr>
      <w:tblGrid>
        <w:gridCol w:w="368"/>
        <w:gridCol w:w="369"/>
        <w:gridCol w:w="446"/>
        <w:gridCol w:w="2645"/>
        <w:gridCol w:w="2310"/>
        <w:gridCol w:w="2677"/>
      </w:tblGrid>
      <w:tr w:rsidR="00274C36" w:rsidRPr="00274C36" w14:paraId="083FD9CA" w14:textId="77777777" w:rsidTr="00C15373">
        <w:trPr>
          <w:trHeight w:val="458"/>
          <w:jc w:val="center"/>
        </w:trPr>
        <w:tc>
          <w:tcPr>
            <w:tcW w:w="737"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14:paraId="62A542AD" w14:textId="77777777" w:rsidR="00274C36" w:rsidRPr="00274C36" w:rsidRDefault="00274C36" w:rsidP="00274C36">
            <w:pPr>
              <w:jc w:val="center"/>
              <w:rPr>
                <w:rFonts w:ascii="Segoe UI Light" w:hAnsi="Segoe UI Light" w:cs="Segoe UI Light"/>
                <w:b/>
                <w:bCs/>
                <w:sz w:val="22"/>
                <w:szCs w:val="22"/>
              </w:rPr>
            </w:pPr>
            <w:r w:rsidRPr="00274C36">
              <w:rPr>
                <w:rFonts w:ascii="Segoe UI Light" w:hAnsi="Segoe UI Light" w:cs="Segoe UI Light"/>
                <w:b/>
                <w:bCs/>
                <w:sz w:val="22"/>
                <w:szCs w:val="22"/>
              </w:rPr>
              <w:t>Impacto fiscal potencial</w:t>
            </w:r>
          </w:p>
        </w:tc>
        <w:tc>
          <w:tcPr>
            <w:tcW w:w="445" w:type="dxa"/>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8FBD656" w14:textId="77777777" w:rsidR="00274C36" w:rsidRPr="00274C36" w:rsidRDefault="00274C36" w:rsidP="00274C36">
            <w:pPr>
              <w:jc w:val="center"/>
              <w:rPr>
                <w:rFonts w:ascii="Segoe UI Light" w:hAnsi="Segoe UI Light" w:cs="Segoe UI Light"/>
                <w:b/>
                <w:bCs/>
                <w:sz w:val="22"/>
                <w:szCs w:val="22"/>
              </w:rPr>
            </w:pPr>
            <w:r w:rsidRPr="00274C36">
              <w:rPr>
                <w:rFonts w:ascii="Segoe UI Light" w:hAnsi="Segoe UI Light" w:cs="Segoe UI Light"/>
                <w:b/>
                <w:bCs/>
                <w:sz w:val="22"/>
                <w:szCs w:val="22"/>
              </w:rPr>
              <w:t>Alto</w:t>
            </w:r>
          </w:p>
        </w:tc>
        <w:tc>
          <w:tcPr>
            <w:tcW w:w="264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05AAC3B" w14:textId="77777777" w:rsidR="00274C36" w:rsidRPr="00274C36" w:rsidRDefault="00274C36" w:rsidP="00274C36">
            <w:pPr>
              <w:jc w:val="center"/>
              <w:rPr>
                <w:rFonts w:ascii="Segoe UI Light" w:hAnsi="Segoe UI Light" w:cs="Segoe UI Light"/>
                <w:b/>
                <w:bCs/>
                <w:color w:val="FFFFFF" w:themeColor="background1"/>
                <w:sz w:val="20"/>
                <w:szCs w:val="20"/>
              </w:rPr>
            </w:pPr>
          </w:p>
        </w:tc>
        <w:tc>
          <w:tcPr>
            <w:tcW w:w="2310"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14:paraId="618E5189" w14:textId="77777777" w:rsidR="00274C36" w:rsidRPr="00274C36" w:rsidRDefault="00274C36" w:rsidP="00274C36">
            <w:pPr>
              <w:jc w:val="center"/>
              <w:rPr>
                <w:rFonts w:ascii="Segoe UI Light" w:hAnsi="Segoe UI Light" w:cs="Segoe UI Light"/>
                <w:b/>
                <w:bCs/>
                <w:color w:val="FFFFFF" w:themeColor="background1"/>
                <w:sz w:val="20"/>
                <w:szCs w:val="20"/>
              </w:rPr>
            </w:pPr>
            <w:r w:rsidRPr="00274C36">
              <w:rPr>
                <w:rFonts w:ascii="Segoe UI Light" w:hAnsi="Segoe UI Light" w:cs="Segoe UI Light"/>
                <w:b/>
                <w:bCs/>
                <w:color w:val="FFFFFF" w:themeColor="background1"/>
                <w:sz w:val="20"/>
                <w:szCs w:val="20"/>
              </w:rPr>
              <w:t>Riesgos macroeconómicos</w:t>
            </w:r>
          </w:p>
        </w:tc>
        <w:tc>
          <w:tcPr>
            <w:tcW w:w="2676" w:type="dxa"/>
            <w:vMerge w:val="restart"/>
            <w:tcBorders>
              <w:top w:val="single" w:sz="4" w:space="0" w:color="auto"/>
              <w:left w:val="single" w:sz="4" w:space="0" w:color="auto"/>
              <w:bottom w:val="single" w:sz="4" w:space="0" w:color="auto"/>
              <w:right w:val="single" w:sz="4" w:space="0" w:color="auto"/>
            </w:tcBorders>
            <w:shd w:val="clear" w:color="000000" w:fill="C00000"/>
            <w:vAlign w:val="center"/>
            <w:hideMark/>
          </w:tcPr>
          <w:p w14:paraId="2BDAE996" w14:textId="77777777" w:rsidR="00274C36" w:rsidRPr="00274C36" w:rsidRDefault="00274C36" w:rsidP="00274C36">
            <w:pPr>
              <w:jc w:val="center"/>
              <w:rPr>
                <w:rFonts w:ascii="Segoe UI Light" w:hAnsi="Segoe UI Light" w:cs="Segoe UI Light"/>
                <w:b/>
                <w:bCs/>
                <w:color w:val="FFFFFF"/>
                <w:sz w:val="20"/>
                <w:szCs w:val="20"/>
              </w:rPr>
            </w:pPr>
          </w:p>
        </w:tc>
      </w:tr>
      <w:tr w:rsidR="00274C36" w:rsidRPr="00274C36" w14:paraId="50B07085"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1492DA00"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60C1EDA4"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0AC69CE6"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007DE1C0" w14:textId="77777777" w:rsidR="00274C36" w:rsidRPr="00274C36" w:rsidRDefault="00274C36" w:rsidP="00274C36">
            <w:pPr>
              <w:jc w:val="center"/>
              <w:rPr>
                <w:rFonts w:ascii="Segoe UI Light" w:hAnsi="Segoe UI Light" w:cs="Segoe UI Light"/>
                <w:b/>
                <w:bCs/>
                <w:color w:val="FFFFFF"/>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784A2D15" w14:textId="77777777" w:rsidR="00274C36" w:rsidRPr="00274C36" w:rsidRDefault="00274C36" w:rsidP="00274C36">
            <w:pPr>
              <w:jc w:val="center"/>
              <w:rPr>
                <w:rFonts w:ascii="Segoe UI Light" w:hAnsi="Segoe UI Light" w:cs="Segoe UI Light"/>
                <w:b/>
                <w:bCs/>
                <w:color w:val="FFFFFF"/>
                <w:sz w:val="20"/>
                <w:szCs w:val="20"/>
              </w:rPr>
            </w:pPr>
          </w:p>
        </w:tc>
      </w:tr>
      <w:tr w:rsidR="00274C36" w:rsidRPr="00274C36" w14:paraId="5140D56F"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1BD9874B"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03280E15"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32B0FA32"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4A7B1D58" w14:textId="77777777" w:rsidR="00274C36" w:rsidRPr="00274C36" w:rsidRDefault="00274C36" w:rsidP="00274C36">
            <w:pPr>
              <w:jc w:val="center"/>
              <w:rPr>
                <w:rFonts w:ascii="Segoe UI Light" w:hAnsi="Segoe UI Light" w:cs="Segoe UI Light"/>
                <w:b/>
                <w:bCs/>
                <w:color w:val="FFFFFF"/>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702186E4" w14:textId="77777777" w:rsidR="00274C36" w:rsidRPr="00274C36" w:rsidRDefault="00274C36" w:rsidP="00274C36">
            <w:pPr>
              <w:jc w:val="center"/>
              <w:rPr>
                <w:rFonts w:ascii="Segoe UI Light" w:hAnsi="Segoe UI Light" w:cs="Segoe UI Light"/>
                <w:b/>
                <w:bCs/>
                <w:color w:val="FFFFFF"/>
                <w:sz w:val="20"/>
                <w:szCs w:val="20"/>
              </w:rPr>
            </w:pPr>
          </w:p>
        </w:tc>
      </w:tr>
      <w:tr w:rsidR="00274C36" w:rsidRPr="00274C36" w14:paraId="2128F586"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3F48DFDC"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69C0E146"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278F18EB"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37BBA4B9" w14:textId="77777777" w:rsidR="00274C36" w:rsidRPr="00274C36" w:rsidRDefault="00274C36" w:rsidP="00274C36">
            <w:pPr>
              <w:jc w:val="center"/>
              <w:rPr>
                <w:rFonts w:ascii="Segoe UI Light" w:hAnsi="Segoe UI Light" w:cs="Segoe UI Light"/>
                <w:b/>
                <w:bCs/>
                <w:color w:val="FFFFFF"/>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34AB0D46" w14:textId="77777777" w:rsidR="00274C36" w:rsidRPr="00274C36" w:rsidRDefault="00274C36" w:rsidP="00274C36">
            <w:pPr>
              <w:jc w:val="center"/>
              <w:rPr>
                <w:rFonts w:ascii="Segoe UI Light" w:hAnsi="Segoe UI Light" w:cs="Segoe UI Light"/>
                <w:b/>
                <w:bCs/>
                <w:color w:val="FFFFFF"/>
                <w:sz w:val="20"/>
                <w:szCs w:val="20"/>
              </w:rPr>
            </w:pPr>
          </w:p>
        </w:tc>
      </w:tr>
      <w:tr w:rsidR="00274C36" w:rsidRPr="00274C36" w14:paraId="11F6B7D9"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3B5FC6E8"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645E9915"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1C239C90"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1D3A034D" w14:textId="77777777" w:rsidR="00274C36" w:rsidRPr="00274C36" w:rsidRDefault="00274C36" w:rsidP="00274C36">
            <w:pPr>
              <w:jc w:val="center"/>
              <w:rPr>
                <w:rFonts w:ascii="Segoe UI Light" w:hAnsi="Segoe UI Light" w:cs="Segoe UI Light"/>
                <w:b/>
                <w:bCs/>
                <w:color w:val="FFFFFF"/>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559D6349" w14:textId="77777777" w:rsidR="00274C36" w:rsidRPr="00274C36" w:rsidRDefault="00274C36" w:rsidP="00274C36">
            <w:pPr>
              <w:jc w:val="center"/>
              <w:rPr>
                <w:rFonts w:ascii="Segoe UI Light" w:hAnsi="Segoe UI Light" w:cs="Segoe UI Light"/>
                <w:b/>
                <w:bCs/>
                <w:color w:val="FFFFFF"/>
                <w:sz w:val="20"/>
                <w:szCs w:val="20"/>
              </w:rPr>
            </w:pPr>
          </w:p>
        </w:tc>
      </w:tr>
      <w:tr w:rsidR="00274C36" w:rsidRPr="00274C36" w14:paraId="0DCDD783"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40F7A885" w14:textId="77777777" w:rsidR="00274C36" w:rsidRPr="00274C36" w:rsidRDefault="00274C36" w:rsidP="00274C36">
            <w:pPr>
              <w:jc w:val="center"/>
              <w:rPr>
                <w:rFonts w:ascii="Segoe UI Light" w:hAnsi="Segoe UI Light" w:cs="Segoe UI Light"/>
                <w:b/>
                <w:bCs/>
                <w:sz w:val="22"/>
                <w:szCs w:val="22"/>
              </w:rPr>
            </w:pPr>
          </w:p>
        </w:tc>
        <w:tc>
          <w:tcPr>
            <w:tcW w:w="445" w:type="dxa"/>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808C1FE" w14:textId="77777777" w:rsidR="00274C36" w:rsidRPr="00274C36" w:rsidRDefault="00274C36" w:rsidP="00274C36">
            <w:pPr>
              <w:jc w:val="center"/>
              <w:rPr>
                <w:rFonts w:ascii="Segoe UI Light" w:hAnsi="Segoe UI Light" w:cs="Segoe UI Light"/>
                <w:b/>
                <w:bCs/>
                <w:sz w:val="22"/>
                <w:szCs w:val="22"/>
              </w:rPr>
            </w:pPr>
            <w:r w:rsidRPr="00274C36">
              <w:rPr>
                <w:rFonts w:ascii="Segoe UI Light" w:hAnsi="Segoe UI Light" w:cs="Segoe UI Light"/>
                <w:b/>
                <w:bCs/>
                <w:sz w:val="22"/>
                <w:szCs w:val="22"/>
              </w:rPr>
              <w:t>Medio</w:t>
            </w:r>
          </w:p>
        </w:tc>
        <w:tc>
          <w:tcPr>
            <w:tcW w:w="264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30718A6"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2495705" w14:textId="77777777" w:rsidR="00274C36" w:rsidRPr="00274C36" w:rsidRDefault="00274C36" w:rsidP="00274C36">
            <w:pPr>
              <w:jc w:val="center"/>
              <w:rPr>
                <w:rFonts w:ascii="Segoe UI Light" w:hAnsi="Segoe UI Light" w:cs="Segoe UI Light"/>
                <w:b/>
                <w:bCs/>
                <w:color w:val="000000"/>
                <w:sz w:val="20"/>
                <w:szCs w:val="20"/>
              </w:rPr>
            </w:pPr>
          </w:p>
        </w:tc>
        <w:tc>
          <w:tcPr>
            <w:tcW w:w="2676"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14:paraId="129C35EF" w14:textId="77777777" w:rsidR="00274C36" w:rsidRPr="00274C36" w:rsidRDefault="00274C36" w:rsidP="00274C36">
            <w:pPr>
              <w:jc w:val="center"/>
              <w:rPr>
                <w:rFonts w:ascii="Segoe UI Light" w:hAnsi="Segoe UI Light" w:cs="Segoe UI Light"/>
                <w:b/>
                <w:bCs/>
                <w:color w:val="FFFFFF"/>
                <w:sz w:val="20"/>
                <w:szCs w:val="20"/>
              </w:rPr>
            </w:pPr>
            <w:r w:rsidRPr="00274C36">
              <w:rPr>
                <w:rFonts w:ascii="Segoe UI Light" w:hAnsi="Segoe UI Light" w:cs="Segoe UI Light"/>
                <w:b/>
                <w:bCs/>
                <w:color w:val="FFFFFF"/>
                <w:sz w:val="20"/>
                <w:szCs w:val="20"/>
              </w:rPr>
              <w:t>Riesgos ambientales</w:t>
            </w:r>
          </w:p>
        </w:tc>
      </w:tr>
      <w:tr w:rsidR="00274C36" w:rsidRPr="00274C36" w14:paraId="5533AC31"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2CD16D38"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7957D2C2"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393D5F61"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0280CC4E" w14:textId="77777777" w:rsidR="00274C36" w:rsidRPr="00274C36" w:rsidRDefault="00274C36" w:rsidP="00274C36">
            <w:pPr>
              <w:jc w:val="center"/>
              <w:rPr>
                <w:rFonts w:ascii="Segoe UI Light" w:hAnsi="Segoe UI Light" w:cs="Segoe UI Light"/>
                <w:b/>
                <w:bCs/>
                <w:color w:val="000000"/>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222A8B6D" w14:textId="77777777" w:rsidR="00274C36" w:rsidRPr="00274C36" w:rsidRDefault="00274C36" w:rsidP="00274C36">
            <w:pPr>
              <w:jc w:val="center"/>
              <w:rPr>
                <w:rFonts w:ascii="Segoe UI Light" w:hAnsi="Segoe UI Light" w:cs="Segoe UI Light"/>
                <w:b/>
                <w:bCs/>
                <w:color w:val="FFFFFF"/>
                <w:sz w:val="20"/>
                <w:szCs w:val="20"/>
              </w:rPr>
            </w:pPr>
          </w:p>
        </w:tc>
      </w:tr>
      <w:tr w:rsidR="00274C36" w:rsidRPr="00274C36" w14:paraId="41FDC8D4"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3A61AB3E"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4FF34263"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4246BA23"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2E5FB951" w14:textId="77777777" w:rsidR="00274C36" w:rsidRPr="00274C36" w:rsidRDefault="00274C36" w:rsidP="00274C36">
            <w:pPr>
              <w:jc w:val="center"/>
              <w:rPr>
                <w:rFonts w:ascii="Segoe UI Light" w:hAnsi="Segoe UI Light" w:cs="Segoe UI Light"/>
                <w:b/>
                <w:bCs/>
                <w:color w:val="000000"/>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295521C8" w14:textId="77777777" w:rsidR="00274C36" w:rsidRPr="00274C36" w:rsidRDefault="00274C36" w:rsidP="00274C36">
            <w:pPr>
              <w:jc w:val="center"/>
              <w:rPr>
                <w:rFonts w:ascii="Segoe UI Light" w:hAnsi="Segoe UI Light" w:cs="Segoe UI Light"/>
                <w:b/>
                <w:bCs/>
                <w:color w:val="FFFFFF"/>
                <w:sz w:val="20"/>
                <w:szCs w:val="20"/>
              </w:rPr>
            </w:pPr>
          </w:p>
        </w:tc>
      </w:tr>
      <w:tr w:rsidR="00274C36" w:rsidRPr="00274C36" w14:paraId="7B3E17CA"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400E3852"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7C936A51"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3E629F09"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687BEE9D" w14:textId="77777777" w:rsidR="00274C36" w:rsidRPr="00274C36" w:rsidRDefault="00274C36" w:rsidP="00274C36">
            <w:pPr>
              <w:jc w:val="center"/>
              <w:rPr>
                <w:rFonts w:ascii="Segoe UI Light" w:hAnsi="Segoe UI Light" w:cs="Segoe UI Light"/>
                <w:b/>
                <w:bCs/>
                <w:color w:val="000000"/>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757DEEC6" w14:textId="77777777" w:rsidR="00274C36" w:rsidRPr="00274C36" w:rsidRDefault="00274C36" w:rsidP="00274C36">
            <w:pPr>
              <w:jc w:val="center"/>
              <w:rPr>
                <w:rFonts w:ascii="Segoe UI Light" w:hAnsi="Segoe UI Light" w:cs="Segoe UI Light"/>
                <w:b/>
                <w:bCs/>
                <w:color w:val="FFFFFF"/>
                <w:sz w:val="20"/>
                <w:szCs w:val="20"/>
              </w:rPr>
            </w:pPr>
          </w:p>
        </w:tc>
      </w:tr>
      <w:tr w:rsidR="00274C36" w:rsidRPr="00274C36" w14:paraId="7A218286"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182395F3"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283C3E9B"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2A3A840C"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21E87BA1" w14:textId="77777777" w:rsidR="00274C36" w:rsidRPr="00274C36" w:rsidRDefault="00274C36" w:rsidP="00274C36">
            <w:pPr>
              <w:jc w:val="center"/>
              <w:rPr>
                <w:rFonts w:ascii="Segoe UI Light" w:hAnsi="Segoe UI Light" w:cs="Segoe UI Light"/>
                <w:b/>
                <w:bCs/>
                <w:color w:val="000000"/>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6EDB9CF6" w14:textId="77777777" w:rsidR="00274C36" w:rsidRPr="00274C36" w:rsidRDefault="00274C36" w:rsidP="00274C36">
            <w:pPr>
              <w:jc w:val="center"/>
              <w:rPr>
                <w:rFonts w:ascii="Segoe UI Light" w:hAnsi="Segoe UI Light" w:cs="Segoe UI Light"/>
                <w:b/>
                <w:bCs/>
                <w:color w:val="FFFFFF"/>
                <w:sz w:val="20"/>
                <w:szCs w:val="20"/>
              </w:rPr>
            </w:pPr>
          </w:p>
        </w:tc>
      </w:tr>
      <w:tr w:rsidR="00274C36" w:rsidRPr="00274C36" w14:paraId="38B55D5B"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729943F1" w14:textId="77777777" w:rsidR="00274C36" w:rsidRPr="00274C36" w:rsidRDefault="00274C36" w:rsidP="00274C36">
            <w:pPr>
              <w:jc w:val="center"/>
              <w:rPr>
                <w:rFonts w:ascii="Segoe UI Light" w:hAnsi="Segoe UI Light" w:cs="Segoe UI Light"/>
                <w:b/>
                <w:bCs/>
                <w:sz w:val="22"/>
                <w:szCs w:val="22"/>
              </w:rPr>
            </w:pPr>
          </w:p>
        </w:tc>
        <w:tc>
          <w:tcPr>
            <w:tcW w:w="445" w:type="dxa"/>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CD058BA" w14:textId="77777777" w:rsidR="00274C36" w:rsidRPr="00274C36" w:rsidRDefault="00274C36" w:rsidP="00274C36">
            <w:pPr>
              <w:jc w:val="center"/>
              <w:rPr>
                <w:rFonts w:ascii="Segoe UI Light" w:hAnsi="Segoe UI Light" w:cs="Segoe UI Light"/>
                <w:b/>
                <w:bCs/>
                <w:sz w:val="22"/>
                <w:szCs w:val="22"/>
              </w:rPr>
            </w:pPr>
            <w:r w:rsidRPr="00274C36">
              <w:rPr>
                <w:rFonts w:ascii="Segoe UI Light" w:hAnsi="Segoe UI Light" w:cs="Segoe UI Light"/>
                <w:b/>
                <w:bCs/>
                <w:sz w:val="22"/>
                <w:szCs w:val="22"/>
              </w:rPr>
              <w:t>Bajo</w:t>
            </w:r>
          </w:p>
        </w:tc>
        <w:tc>
          <w:tcPr>
            <w:tcW w:w="2645"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5FE8D23A" w14:textId="77777777" w:rsidR="00274C36" w:rsidRPr="00274C36" w:rsidRDefault="00274C36" w:rsidP="00274C36">
            <w:pPr>
              <w:jc w:val="center"/>
              <w:rPr>
                <w:rFonts w:ascii="Segoe UI Light" w:hAnsi="Segoe UI Light" w:cs="Segoe UI Light"/>
                <w:b/>
                <w:bCs/>
                <w:color w:val="000000"/>
                <w:sz w:val="20"/>
                <w:szCs w:val="20"/>
              </w:rPr>
            </w:pPr>
            <w:r w:rsidRPr="00274C36">
              <w:rPr>
                <w:rFonts w:ascii="Segoe UI Light" w:hAnsi="Segoe UI Light" w:cs="Segoe UI Light"/>
                <w:b/>
                <w:bCs/>
                <w:color w:val="000000"/>
                <w:sz w:val="20"/>
                <w:szCs w:val="20"/>
              </w:rPr>
              <w:t xml:space="preserve">Garantías del gobierno, Gobiernos Subnacionales, y Recursos Naturales </w:t>
            </w:r>
          </w:p>
        </w:tc>
        <w:tc>
          <w:tcPr>
            <w:tcW w:w="231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1D5E240" w14:textId="5FD8E51E" w:rsidR="00274C36" w:rsidRPr="00274C36" w:rsidRDefault="00274C36" w:rsidP="00274C36">
            <w:pPr>
              <w:jc w:val="center"/>
              <w:rPr>
                <w:rFonts w:ascii="Segoe UI Light" w:hAnsi="Segoe UI Light" w:cs="Segoe UI Light"/>
                <w:b/>
                <w:bCs/>
                <w:color w:val="000000"/>
                <w:sz w:val="20"/>
                <w:szCs w:val="20"/>
              </w:rPr>
            </w:pPr>
            <w:r w:rsidRPr="00274C36">
              <w:rPr>
                <w:rFonts w:ascii="Segoe UI Light" w:hAnsi="Segoe UI Light" w:cs="Segoe UI Light"/>
                <w:b/>
                <w:bCs/>
                <w:color w:val="000000"/>
                <w:sz w:val="20"/>
                <w:szCs w:val="20"/>
              </w:rPr>
              <w:t>Sector Financiero</w:t>
            </w:r>
            <w:r w:rsidR="00610819">
              <w:rPr>
                <w:rFonts w:ascii="Segoe UI Light" w:hAnsi="Segoe UI Light" w:cs="Segoe UI Light"/>
                <w:b/>
                <w:bCs/>
                <w:color w:val="000000"/>
                <w:sz w:val="20"/>
                <w:szCs w:val="20"/>
              </w:rPr>
              <w:t xml:space="preserve"> y</w:t>
            </w:r>
            <w:r w:rsidRPr="00274C36">
              <w:rPr>
                <w:rFonts w:ascii="Segoe UI Light" w:hAnsi="Segoe UI Light" w:cs="Segoe UI Light"/>
                <w:b/>
                <w:bCs/>
                <w:color w:val="000000"/>
                <w:sz w:val="20"/>
                <w:szCs w:val="20"/>
              </w:rPr>
              <w:t xml:space="preserve"> Empresas públicas</w:t>
            </w:r>
          </w:p>
        </w:tc>
        <w:tc>
          <w:tcPr>
            <w:tcW w:w="2676"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555694D" w14:textId="5DA57549" w:rsidR="00274C36" w:rsidRPr="00274C36" w:rsidRDefault="00610819" w:rsidP="00274C36">
            <w:pPr>
              <w:jc w:val="center"/>
              <w:rPr>
                <w:rFonts w:ascii="Segoe UI Light" w:hAnsi="Segoe UI Light" w:cs="Segoe UI Light"/>
                <w:b/>
                <w:bCs/>
                <w:color w:val="000000"/>
                <w:sz w:val="20"/>
                <w:szCs w:val="20"/>
              </w:rPr>
            </w:pPr>
            <w:r w:rsidRPr="00274C36">
              <w:rPr>
                <w:rFonts w:ascii="Segoe UI Light" w:hAnsi="Segoe UI Light" w:cs="Segoe UI Light"/>
                <w:b/>
                <w:bCs/>
                <w:color w:val="000000"/>
                <w:sz w:val="20"/>
                <w:szCs w:val="20"/>
              </w:rPr>
              <w:t>Acciones legales contra el Estado</w:t>
            </w:r>
          </w:p>
        </w:tc>
      </w:tr>
      <w:tr w:rsidR="00274C36" w:rsidRPr="00274C36" w14:paraId="34E1EDF1"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20CB473D"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3178BBE3"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7FCCCD4D"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6EECFB01" w14:textId="77777777" w:rsidR="00274C36" w:rsidRPr="00274C36" w:rsidRDefault="00274C36" w:rsidP="00274C36">
            <w:pPr>
              <w:jc w:val="center"/>
              <w:rPr>
                <w:rFonts w:ascii="Segoe UI Light" w:hAnsi="Segoe UI Light" w:cs="Segoe UI Light"/>
                <w:b/>
                <w:bCs/>
                <w:color w:val="000000"/>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14665545" w14:textId="77777777" w:rsidR="00274C36" w:rsidRPr="00274C36" w:rsidRDefault="00274C36" w:rsidP="00274C36">
            <w:pPr>
              <w:jc w:val="center"/>
              <w:rPr>
                <w:rFonts w:ascii="Segoe UI Light" w:hAnsi="Segoe UI Light" w:cs="Segoe UI Light"/>
                <w:b/>
                <w:bCs/>
                <w:color w:val="000000"/>
                <w:sz w:val="20"/>
                <w:szCs w:val="20"/>
              </w:rPr>
            </w:pPr>
          </w:p>
        </w:tc>
      </w:tr>
      <w:tr w:rsidR="00274C36" w:rsidRPr="00274C36" w14:paraId="6B15DDA1"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5A720107"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629E5883"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6FB673CD"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458573FC" w14:textId="77777777" w:rsidR="00274C36" w:rsidRPr="00274C36" w:rsidRDefault="00274C36" w:rsidP="00274C36">
            <w:pPr>
              <w:jc w:val="center"/>
              <w:rPr>
                <w:rFonts w:ascii="Segoe UI Light" w:hAnsi="Segoe UI Light" w:cs="Segoe UI Light"/>
                <w:b/>
                <w:bCs/>
                <w:color w:val="000000"/>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2BBF75C5" w14:textId="77777777" w:rsidR="00274C36" w:rsidRPr="00274C36" w:rsidRDefault="00274C36" w:rsidP="00274C36">
            <w:pPr>
              <w:jc w:val="center"/>
              <w:rPr>
                <w:rFonts w:ascii="Segoe UI Light" w:hAnsi="Segoe UI Light" w:cs="Segoe UI Light"/>
                <w:b/>
                <w:bCs/>
                <w:color w:val="000000"/>
                <w:sz w:val="20"/>
                <w:szCs w:val="20"/>
              </w:rPr>
            </w:pPr>
          </w:p>
        </w:tc>
      </w:tr>
      <w:tr w:rsidR="00274C36" w:rsidRPr="00274C36" w14:paraId="19F3840F"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40E46C3D"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161938A7"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609F25FF"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5481A4D7" w14:textId="77777777" w:rsidR="00274C36" w:rsidRPr="00274C36" w:rsidRDefault="00274C36" w:rsidP="00274C36">
            <w:pPr>
              <w:jc w:val="center"/>
              <w:rPr>
                <w:rFonts w:ascii="Segoe UI Light" w:hAnsi="Segoe UI Light" w:cs="Segoe UI Light"/>
                <w:b/>
                <w:bCs/>
                <w:color w:val="000000"/>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0C9DB9F4" w14:textId="77777777" w:rsidR="00274C36" w:rsidRPr="00274C36" w:rsidRDefault="00274C36" w:rsidP="00274C36">
            <w:pPr>
              <w:jc w:val="center"/>
              <w:rPr>
                <w:rFonts w:ascii="Segoe UI Light" w:hAnsi="Segoe UI Light" w:cs="Segoe UI Light"/>
                <w:b/>
                <w:bCs/>
                <w:color w:val="000000"/>
                <w:sz w:val="20"/>
                <w:szCs w:val="20"/>
              </w:rPr>
            </w:pPr>
          </w:p>
        </w:tc>
      </w:tr>
      <w:tr w:rsidR="00274C36" w:rsidRPr="00274C36" w14:paraId="0D6DD2BB" w14:textId="77777777" w:rsidTr="00C15373">
        <w:trPr>
          <w:trHeight w:val="458"/>
          <w:jc w:val="center"/>
        </w:trPr>
        <w:tc>
          <w:tcPr>
            <w:tcW w:w="737" w:type="dxa"/>
            <w:gridSpan w:val="2"/>
            <w:vMerge/>
            <w:tcBorders>
              <w:top w:val="single" w:sz="4" w:space="0" w:color="auto"/>
              <w:left w:val="single" w:sz="4" w:space="0" w:color="auto"/>
              <w:bottom w:val="single" w:sz="4" w:space="0" w:color="auto"/>
              <w:right w:val="single" w:sz="4" w:space="0" w:color="auto"/>
            </w:tcBorders>
            <w:vAlign w:val="center"/>
            <w:hideMark/>
          </w:tcPr>
          <w:p w14:paraId="2E1DF2B1" w14:textId="77777777" w:rsidR="00274C36" w:rsidRPr="00274C36" w:rsidRDefault="00274C36" w:rsidP="00274C36">
            <w:pPr>
              <w:jc w:val="center"/>
              <w:rPr>
                <w:rFonts w:ascii="Segoe UI Light" w:hAnsi="Segoe UI Light" w:cs="Segoe UI Light"/>
                <w:b/>
                <w:bCs/>
                <w:sz w:val="22"/>
                <w:szCs w:val="22"/>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4DF42F77" w14:textId="77777777" w:rsidR="00274C36" w:rsidRPr="00274C36" w:rsidRDefault="00274C36" w:rsidP="00274C36">
            <w:pPr>
              <w:jc w:val="center"/>
              <w:rPr>
                <w:rFonts w:ascii="Segoe UI Light" w:hAnsi="Segoe UI Light" w:cs="Segoe UI Light"/>
                <w:b/>
                <w:bCs/>
                <w:sz w:val="22"/>
                <w:szCs w:val="22"/>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2BCDC6CB" w14:textId="77777777" w:rsidR="00274C36" w:rsidRPr="00274C36" w:rsidRDefault="00274C36" w:rsidP="00274C36">
            <w:pPr>
              <w:jc w:val="center"/>
              <w:rPr>
                <w:rFonts w:ascii="Segoe UI Light" w:hAnsi="Segoe UI Light" w:cs="Segoe UI Light"/>
                <w:b/>
                <w:bCs/>
                <w:color w:val="000000"/>
                <w:sz w:val="20"/>
                <w:szCs w:val="20"/>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10501611" w14:textId="77777777" w:rsidR="00274C36" w:rsidRPr="00274C36" w:rsidRDefault="00274C36" w:rsidP="00274C36">
            <w:pPr>
              <w:jc w:val="center"/>
              <w:rPr>
                <w:rFonts w:ascii="Segoe UI Light" w:hAnsi="Segoe UI Light" w:cs="Segoe UI Light"/>
                <w:b/>
                <w:bCs/>
                <w:color w:val="000000"/>
                <w:sz w:val="20"/>
                <w:szCs w:val="20"/>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6B6B461E" w14:textId="77777777" w:rsidR="00274C36" w:rsidRPr="00274C36" w:rsidRDefault="00274C36" w:rsidP="00274C36">
            <w:pPr>
              <w:jc w:val="center"/>
              <w:rPr>
                <w:rFonts w:ascii="Segoe UI Light" w:hAnsi="Segoe UI Light" w:cs="Segoe UI Light"/>
                <w:b/>
                <w:bCs/>
                <w:color w:val="000000"/>
                <w:sz w:val="20"/>
                <w:szCs w:val="20"/>
              </w:rPr>
            </w:pPr>
          </w:p>
        </w:tc>
      </w:tr>
      <w:tr w:rsidR="00274C36" w:rsidRPr="00274C36" w14:paraId="5CA6A1C2" w14:textId="77777777" w:rsidTr="00C15373">
        <w:trPr>
          <w:trHeight w:val="33"/>
          <w:jc w:val="center"/>
        </w:trPr>
        <w:tc>
          <w:tcPr>
            <w:tcW w:w="368" w:type="dxa"/>
            <w:tcBorders>
              <w:top w:val="single" w:sz="4" w:space="0" w:color="auto"/>
              <w:left w:val="nil"/>
              <w:bottom w:val="nil"/>
              <w:right w:val="nil"/>
            </w:tcBorders>
            <w:noWrap/>
            <w:vAlign w:val="center"/>
            <w:hideMark/>
          </w:tcPr>
          <w:p w14:paraId="4939FDB7" w14:textId="77777777" w:rsidR="00274C36" w:rsidRPr="00274C36" w:rsidRDefault="00274C36" w:rsidP="00274C36">
            <w:pPr>
              <w:jc w:val="center"/>
              <w:rPr>
                <w:sz w:val="20"/>
                <w:szCs w:val="20"/>
              </w:rPr>
            </w:pPr>
          </w:p>
        </w:tc>
        <w:tc>
          <w:tcPr>
            <w:tcW w:w="369" w:type="dxa"/>
            <w:tcBorders>
              <w:top w:val="single" w:sz="4" w:space="0" w:color="auto"/>
              <w:left w:val="nil"/>
              <w:bottom w:val="nil"/>
              <w:right w:val="nil"/>
            </w:tcBorders>
            <w:noWrap/>
            <w:vAlign w:val="center"/>
            <w:hideMark/>
          </w:tcPr>
          <w:p w14:paraId="50C72EA5" w14:textId="77777777" w:rsidR="00274C36" w:rsidRPr="00274C36" w:rsidRDefault="00274C36" w:rsidP="00274C36">
            <w:pPr>
              <w:jc w:val="center"/>
              <w:rPr>
                <w:sz w:val="20"/>
                <w:szCs w:val="20"/>
              </w:rPr>
            </w:pPr>
          </w:p>
        </w:tc>
        <w:tc>
          <w:tcPr>
            <w:tcW w:w="445" w:type="dxa"/>
            <w:tcBorders>
              <w:top w:val="single" w:sz="4" w:space="0" w:color="auto"/>
              <w:left w:val="nil"/>
              <w:bottom w:val="nil"/>
              <w:right w:val="single" w:sz="4" w:space="0" w:color="auto"/>
            </w:tcBorders>
            <w:noWrap/>
            <w:vAlign w:val="center"/>
            <w:hideMark/>
          </w:tcPr>
          <w:p w14:paraId="04554FA1" w14:textId="77777777" w:rsidR="00274C36" w:rsidRPr="00274C36" w:rsidRDefault="00274C36" w:rsidP="00274C36">
            <w:pPr>
              <w:jc w:val="center"/>
              <w:rPr>
                <w:sz w:val="20"/>
                <w:szCs w:val="20"/>
              </w:rPr>
            </w:pPr>
          </w:p>
        </w:tc>
        <w:tc>
          <w:tcPr>
            <w:tcW w:w="264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7DC853D" w14:textId="77777777" w:rsidR="00274C36" w:rsidRPr="00274C36" w:rsidRDefault="00274C36" w:rsidP="00274C36">
            <w:pPr>
              <w:jc w:val="center"/>
              <w:rPr>
                <w:rFonts w:ascii="Segoe UI Light" w:hAnsi="Segoe UI Light" w:cs="Segoe UI Light"/>
                <w:b/>
                <w:bCs/>
                <w:color w:val="000000"/>
                <w:sz w:val="22"/>
                <w:szCs w:val="22"/>
              </w:rPr>
            </w:pPr>
            <w:r w:rsidRPr="00274C36">
              <w:rPr>
                <w:rFonts w:ascii="Segoe UI Light" w:hAnsi="Segoe UI Light" w:cs="Segoe UI Light"/>
                <w:b/>
                <w:bCs/>
                <w:color w:val="000000"/>
                <w:sz w:val="22"/>
                <w:szCs w:val="22"/>
              </w:rPr>
              <w:t>Remoto</w:t>
            </w:r>
          </w:p>
        </w:tc>
        <w:tc>
          <w:tcPr>
            <w:tcW w:w="23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1F06661" w14:textId="77777777" w:rsidR="00274C36" w:rsidRPr="00274C36" w:rsidRDefault="00274C36" w:rsidP="00274C36">
            <w:pPr>
              <w:jc w:val="center"/>
              <w:rPr>
                <w:rFonts w:ascii="Segoe UI Light" w:hAnsi="Segoe UI Light" w:cs="Segoe UI Light"/>
                <w:b/>
                <w:bCs/>
                <w:color w:val="000000"/>
                <w:sz w:val="22"/>
                <w:szCs w:val="22"/>
              </w:rPr>
            </w:pPr>
            <w:r w:rsidRPr="00274C36">
              <w:rPr>
                <w:rFonts w:ascii="Segoe UI Light" w:hAnsi="Segoe UI Light" w:cs="Segoe UI Light"/>
                <w:b/>
                <w:bCs/>
                <w:color w:val="000000"/>
                <w:sz w:val="22"/>
                <w:szCs w:val="22"/>
              </w:rPr>
              <w:t>Posible</w:t>
            </w:r>
          </w:p>
        </w:tc>
        <w:tc>
          <w:tcPr>
            <w:tcW w:w="267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E945C53" w14:textId="77777777" w:rsidR="00274C36" w:rsidRPr="00274C36" w:rsidRDefault="00274C36" w:rsidP="00274C36">
            <w:pPr>
              <w:jc w:val="center"/>
              <w:rPr>
                <w:rFonts w:ascii="Segoe UI Light" w:hAnsi="Segoe UI Light" w:cs="Segoe UI Light"/>
                <w:b/>
                <w:bCs/>
                <w:color w:val="000000"/>
                <w:sz w:val="22"/>
                <w:szCs w:val="22"/>
              </w:rPr>
            </w:pPr>
            <w:r w:rsidRPr="00274C36">
              <w:rPr>
                <w:rFonts w:ascii="Segoe UI Light" w:hAnsi="Segoe UI Light" w:cs="Segoe UI Light"/>
                <w:b/>
                <w:bCs/>
                <w:color w:val="000000"/>
                <w:sz w:val="22"/>
                <w:szCs w:val="22"/>
              </w:rPr>
              <w:t>Probable</w:t>
            </w:r>
          </w:p>
        </w:tc>
      </w:tr>
      <w:tr w:rsidR="00274C36" w:rsidRPr="00274C36" w14:paraId="6EDEF35F" w14:textId="77777777" w:rsidTr="00C15373">
        <w:trPr>
          <w:trHeight w:val="33"/>
          <w:jc w:val="center"/>
        </w:trPr>
        <w:tc>
          <w:tcPr>
            <w:tcW w:w="368" w:type="dxa"/>
            <w:tcBorders>
              <w:top w:val="nil"/>
              <w:left w:val="nil"/>
              <w:bottom w:val="nil"/>
              <w:right w:val="nil"/>
            </w:tcBorders>
            <w:noWrap/>
            <w:vAlign w:val="center"/>
            <w:hideMark/>
          </w:tcPr>
          <w:p w14:paraId="7F9885DC" w14:textId="77777777" w:rsidR="00274C36" w:rsidRPr="00274C36" w:rsidRDefault="00274C36" w:rsidP="00274C36">
            <w:pPr>
              <w:jc w:val="center"/>
              <w:rPr>
                <w:rFonts w:ascii="Segoe UI Light" w:hAnsi="Segoe UI Light" w:cs="Segoe UI Light"/>
                <w:b/>
                <w:bCs/>
                <w:color w:val="000000"/>
                <w:sz w:val="22"/>
                <w:szCs w:val="22"/>
              </w:rPr>
            </w:pPr>
          </w:p>
        </w:tc>
        <w:tc>
          <w:tcPr>
            <w:tcW w:w="369" w:type="dxa"/>
            <w:tcBorders>
              <w:top w:val="nil"/>
              <w:left w:val="nil"/>
              <w:bottom w:val="nil"/>
              <w:right w:val="nil"/>
            </w:tcBorders>
            <w:noWrap/>
            <w:vAlign w:val="center"/>
            <w:hideMark/>
          </w:tcPr>
          <w:p w14:paraId="195448D4" w14:textId="77777777" w:rsidR="00274C36" w:rsidRPr="00274C36" w:rsidRDefault="00274C36" w:rsidP="00274C36">
            <w:pPr>
              <w:jc w:val="center"/>
              <w:rPr>
                <w:sz w:val="20"/>
                <w:szCs w:val="20"/>
              </w:rPr>
            </w:pPr>
          </w:p>
        </w:tc>
        <w:tc>
          <w:tcPr>
            <w:tcW w:w="445" w:type="dxa"/>
            <w:tcBorders>
              <w:top w:val="nil"/>
              <w:left w:val="nil"/>
              <w:bottom w:val="nil"/>
              <w:right w:val="single" w:sz="4" w:space="0" w:color="auto"/>
            </w:tcBorders>
            <w:noWrap/>
            <w:vAlign w:val="center"/>
            <w:hideMark/>
          </w:tcPr>
          <w:p w14:paraId="517AA2E3" w14:textId="77777777" w:rsidR="00274C36" w:rsidRPr="00274C36" w:rsidRDefault="00274C36" w:rsidP="00274C36">
            <w:pPr>
              <w:jc w:val="center"/>
              <w:rPr>
                <w:sz w:val="20"/>
                <w:szCs w:val="20"/>
              </w:rPr>
            </w:pP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68C7CF4E" w14:textId="77777777" w:rsidR="00274C36" w:rsidRPr="00274C36" w:rsidRDefault="00274C36" w:rsidP="00274C36">
            <w:pPr>
              <w:jc w:val="center"/>
              <w:rPr>
                <w:rFonts w:ascii="Segoe UI Light" w:hAnsi="Segoe UI Light" w:cs="Segoe UI Light"/>
                <w:b/>
                <w:bCs/>
                <w:color w:val="000000"/>
                <w:sz w:val="22"/>
                <w:szCs w:val="22"/>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14:paraId="5468D24E" w14:textId="77777777" w:rsidR="00274C36" w:rsidRPr="00274C36" w:rsidRDefault="00274C36" w:rsidP="00274C36">
            <w:pPr>
              <w:jc w:val="center"/>
              <w:rPr>
                <w:rFonts w:ascii="Segoe UI Light" w:hAnsi="Segoe UI Light" w:cs="Segoe UI Light"/>
                <w:b/>
                <w:bCs/>
                <w:color w:val="000000"/>
                <w:sz w:val="22"/>
                <w:szCs w:val="22"/>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14:paraId="5458D48C" w14:textId="77777777" w:rsidR="00274C36" w:rsidRPr="00274C36" w:rsidRDefault="00274C36" w:rsidP="00274C36">
            <w:pPr>
              <w:jc w:val="center"/>
              <w:rPr>
                <w:rFonts w:ascii="Segoe UI Light" w:hAnsi="Segoe UI Light" w:cs="Segoe UI Light"/>
                <w:b/>
                <w:bCs/>
                <w:color w:val="000000"/>
                <w:sz w:val="22"/>
                <w:szCs w:val="22"/>
              </w:rPr>
            </w:pPr>
          </w:p>
        </w:tc>
      </w:tr>
      <w:tr w:rsidR="00274C36" w:rsidRPr="00274C36" w14:paraId="088EFB95" w14:textId="77777777" w:rsidTr="00C15373">
        <w:trPr>
          <w:trHeight w:val="33"/>
          <w:jc w:val="center"/>
        </w:trPr>
        <w:tc>
          <w:tcPr>
            <w:tcW w:w="368" w:type="dxa"/>
            <w:tcBorders>
              <w:top w:val="nil"/>
              <w:left w:val="nil"/>
              <w:bottom w:val="nil"/>
              <w:right w:val="nil"/>
            </w:tcBorders>
            <w:noWrap/>
            <w:vAlign w:val="center"/>
            <w:hideMark/>
          </w:tcPr>
          <w:p w14:paraId="7A2B6EA8" w14:textId="77777777" w:rsidR="00274C36" w:rsidRPr="00274C36" w:rsidRDefault="00274C36" w:rsidP="00274C36">
            <w:pPr>
              <w:jc w:val="center"/>
              <w:rPr>
                <w:sz w:val="20"/>
                <w:szCs w:val="20"/>
              </w:rPr>
            </w:pPr>
          </w:p>
        </w:tc>
        <w:tc>
          <w:tcPr>
            <w:tcW w:w="369" w:type="dxa"/>
            <w:tcBorders>
              <w:top w:val="nil"/>
              <w:left w:val="nil"/>
              <w:bottom w:val="nil"/>
              <w:right w:val="nil"/>
            </w:tcBorders>
            <w:noWrap/>
            <w:vAlign w:val="center"/>
            <w:hideMark/>
          </w:tcPr>
          <w:p w14:paraId="6F4119A4" w14:textId="77777777" w:rsidR="00274C36" w:rsidRPr="00274C36" w:rsidRDefault="00274C36" w:rsidP="00274C36">
            <w:pPr>
              <w:jc w:val="center"/>
              <w:rPr>
                <w:sz w:val="20"/>
                <w:szCs w:val="20"/>
              </w:rPr>
            </w:pPr>
          </w:p>
        </w:tc>
        <w:tc>
          <w:tcPr>
            <w:tcW w:w="445" w:type="dxa"/>
            <w:tcBorders>
              <w:top w:val="nil"/>
              <w:left w:val="nil"/>
              <w:bottom w:val="nil"/>
              <w:right w:val="single" w:sz="4" w:space="0" w:color="auto"/>
            </w:tcBorders>
            <w:noWrap/>
            <w:vAlign w:val="center"/>
            <w:hideMark/>
          </w:tcPr>
          <w:p w14:paraId="2F819719" w14:textId="77777777" w:rsidR="00274C36" w:rsidRPr="00274C36" w:rsidRDefault="00274C36" w:rsidP="00274C36">
            <w:pPr>
              <w:jc w:val="center"/>
              <w:rPr>
                <w:sz w:val="20"/>
                <w:szCs w:val="20"/>
              </w:rPr>
            </w:pPr>
          </w:p>
        </w:tc>
        <w:tc>
          <w:tcPr>
            <w:tcW w:w="7632" w:type="dxa"/>
            <w:gridSpan w:val="3"/>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8E70ED" w14:textId="77777777" w:rsidR="00274C36" w:rsidRPr="00274C36" w:rsidRDefault="00274C36" w:rsidP="00274C36">
            <w:pPr>
              <w:jc w:val="center"/>
              <w:rPr>
                <w:rFonts w:ascii="Segoe UI Light" w:hAnsi="Segoe UI Light" w:cs="Segoe UI Light"/>
                <w:b/>
                <w:bCs/>
                <w:color w:val="000000"/>
                <w:sz w:val="22"/>
                <w:szCs w:val="22"/>
              </w:rPr>
            </w:pPr>
            <w:r w:rsidRPr="00274C36">
              <w:rPr>
                <w:rFonts w:ascii="Segoe UI Light" w:hAnsi="Segoe UI Light" w:cs="Segoe UI Light"/>
                <w:b/>
                <w:bCs/>
                <w:color w:val="000000"/>
                <w:sz w:val="22"/>
                <w:szCs w:val="22"/>
              </w:rPr>
              <w:t>Probabilidad de que se materialicen</w:t>
            </w:r>
          </w:p>
        </w:tc>
      </w:tr>
      <w:tr w:rsidR="00274C36" w:rsidRPr="00274C36" w14:paraId="774A141C" w14:textId="77777777" w:rsidTr="00C15373">
        <w:trPr>
          <w:trHeight w:val="33"/>
          <w:jc w:val="center"/>
        </w:trPr>
        <w:tc>
          <w:tcPr>
            <w:tcW w:w="368" w:type="dxa"/>
            <w:tcBorders>
              <w:top w:val="nil"/>
              <w:left w:val="nil"/>
              <w:bottom w:val="nil"/>
              <w:right w:val="nil"/>
            </w:tcBorders>
            <w:noWrap/>
            <w:vAlign w:val="center"/>
            <w:hideMark/>
          </w:tcPr>
          <w:p w14:paraId="7056418B" w14:textId="77777777" w:rsidR="00274C36" w:rsidRPr="00274C36" w:rsidRDefault="00274C36" w:rsidP="00274C36">
            <w:pPr>
              <w:jc w:val="center"/>
              <w:rPr>
                <w:rFonts w:ascii="Segoe UI Light" w:hAnsi="Segoe UI Light" w:cs="Segoe UI Light"/>
                <w:b/>
                <w:bCs/>
                <w:color w:val="000000"/>
                <w:sz w:val="22"/>
                <w:szCs w:val="22"/>
              </w:rPr>
            </w:pPr>
          </w:p>
        </w:tc>
        <w:tc>
          <w:tcPr>
            <w:tcW w:w="369" w:type="dxa"/>
            <w:tcBorders>
              <w:top w:val="nil"/>
              <w:left w:val="nil"/>
              <w:bottom w:val="nil"/>
              <w:right w:val="nil"/>
            </w:tcBorders>
            <w:noWrap/>
            <w:vAlign w:val="center"/>
            <w:hideMark/>
          </w:tcPr>
          <w:p w14:paraId="381D571A" w14:textId="77777777" w:rsidR="00274C36" w:rsidRPr="00274C36" w:rsidRDefault="00274C36" w:rsidP="00274C36">
            <w:pPr>
              <w:jc w:val="center"/>
              <w:rPr>
                <w:sz w:val="20"/>
                <w:szCs w:val="20"/>
              </w:rPr>
            </w:pPr>
          </w:p>
        </w:tc>
        <w:tc>
          <w:tcPr>
            <w:tcW w:w="445" w:type="dxa"/>
            <w:tcBorders>
              <w:top w:val="nil"/>
              <w:left w:val="nil"/>
              <w:bottom w:val="nil"/>
              <w:right w:val="single" w:sz="4" w:space="0" w:color="auto"/>
            </w:tcBorders>
            <w:noWrap/>
            <w:vAlign w:val="center"/>
            <w:hideMark/>
          </w:tcPr>
          <w:p w14:paraId="58A33F9C" w14:textId="77777777" w:rsidR="00274C36" w:rsidRPr="00274C36" w:rsidRDefault="00274C36" w:rsidP="00274C36">
            <w:pPr>
              <w:jc w:val="center"/>
              <w:rPr>
                <w:sz w:val="20"/>
                <w:szCs w:val="20"/>
              </w:rPr>
            </w:pPr>
          </w:p>
        </w:tc>
        <w:tc>
          <w:tcPr>
            <w:tcW w:w="7632" w:type="dxa"/>
            <w:gridSpan w:val="3"/>
            <w:vMerge/>
            <w:tcBorders>
              <w:top w:val="single" w:sz="4" w:space="0" w:color="auto"/>
              <w:left w:val="single" w:sz="4" w:space="0" w:color="auto"/>
              <w:bottom w:val="single" w:sz="4" w:space="0" w:color="auto"/>
              <w:right w:val="single" w:sz="4" w:space="0" w:color="auto"/>
            </w:tcBorders>
            <w:vAlign w:val="center"/>
            <w:hideMark/>
          </w:tcPr>
          <w:p w14:paraId="09CC223C" w14:textId="77777777" w:rsidR="00274C36" w:rsidRPr="00274C36" w:rsidRDefault="00274C36" w:rsidP="00274C36">
            <w:pPr>
              <w:jc w:val="center"/>
              <w:rPr>
                <w:rFonts w:ascii="Segoe UI Light" w:hAnsi="Segoe UI Light" w:cs="Segoe UI Light"/>
                <w:b/>
                <w:bCs/>
                <w:color w:val="000000"/>
                <w:sz w:val="22"/>
                <w:szCs w:val="22"/>
              </w:rPr>
            </w:pPr>
          </w:p>
        </w:tc>
      </w:tr>
    </w:tbl>
    <w:p w14:paraId="25F7EB3B" w14:textId="77777777" w:rsidR="00274C36" w:rsidRDefault="00274C36" w:rsidP="001E6EF8">
      <w:pPr>
        <w:jc w:val="both"/>
        <w:rPr>
          <w:sz w:val="16"/>
          <w:szCs w:val="16"/>
        </w:rPr>
      </w:pPr>
    </w:p>
    <w:p w14:paraId="3176C38E" w14:textId="77777777" w:rsidR="001E6EF8" w:rsidRDefault="001E6EF8" w:rsidP="001E6EF8">
      <w:pPr>
        <w:rPr>
          <w:sz w:val="16"/>
          <w:szCs w:val="16"/>
        </w:rPr>
      </w:pPr>
      <w:r w:rsidRPr="00721715">
        <w:rPr>
          <w:sz w:val="16"/>
          <w:szCs w:val="16"/>
        </w:rPr>
        <w:t xml:space="preserve">Fuente: DAPF haciendo uso de la herramienta analítica FRAT </w:t>
      </w:r>
    </w:p>
    <w:p w14:paraId="266CE7EA" w14:textId="79B4D9BB" w:rsidR="00660DE7" w:rsidRPr="00C15373" w:rsidRDefault="00660DE7" w:rsidP="00660DE7">
      <w:pPr>
        <w:rPr>
          <w:sz w:val="22"/>
          <w:szCs w:val="22"/>
        </w:rPr>
      </w:pPr>
    </w:p>
    <w:p w14:paraId="7E3F11A6" w14:textId="33FF520D" w:rsidR="00274C36" w:rsidRPr="00274C36" w:rsidRDefault="00274C36" w:rsidP="005F07F9">
      <w:pPr>
        <w:pStyle w:val="Ttulo2"/>
        <w:numPr>
          <w:ilvl w:val="1"/>
          <w:numId w:val="35"/>
        </w:numPr>
        <w:tabs>
          <w:tab w:val="left" w:pos="567"/>
        </w:tabs>
        <w:ind w:left="426" w:hanging="284"/>
        <w:rPr>
          <w:b w:val="0"/>
          <w:bCs/>
        </w:rPr>
      </w:pPr>
      <w:bookmarkStart w:id="12" w:name="_Toc144114345"/>
      <w:r w:rsidRPr="00274C36">
        <w:rPr>
          <w:bCs/>
        </w:rPr>
        <w:t>Medidas de Mitigación de Riesgos y Constitución de Provisiones</w:t>
      </w:r>
      <w:bookmarkEnd w:id="12"/>
      <w:r w:rsidRPr="00274C36">
        <w:rPr>
          <w:bCs/>
        </w:rPr>
        <w:t xml:space="preserve"> </w:t>
      </w:r>
    </w:p>
    <w:p w14:paraId="73B8970B" w14:textId="77777777" w:rsidR="00274C36" w:rsidRPr="00C15373" w:rsidRDefault="00274C36" w:rsidP="008C1F1E">
      <w:pPr>
        <w:jc w:val="both"/>
        <w:rPr>
          <w:sz w:val="20"/>
          <w:szCs w:val="20"/>
        </w:rPr>
      </w:pPr>
    </w:p>
    <w:p w14:paraId="6C171AAA" w14:textId="5495039E" w:rsidR="00D15483" w:rsidRDefault="001E6EF8" w:rsidP="008C1F1E">
      <w:pPr>
        <w:jc w:val="both"/>
      </w:pPr>
      <w:r>
        <w:t xml:space="preserve">Luego de contar </w:t>
      </w:r>
      <w:r w:rsidR="008C1F1E">
        <w:t>con la identificación y cuantificación del riesgo fiscal, se tiene una siguiente etapa en la cual se evalúan las medidas de mitigación y constitución de provisiones para cada uno de los riesgos</w:t>
      </w:r>
      <w:r w:rsidR="00D15483">
        <w:t>.</w:t>
      </w:r>
    </w:p>
    <w:p w14:paraId="7FAAF738" w14:textId="77777777" w:rsidR="00D15483" w:rsidRPr="00C15373" w:rsidRDefault="00D15483" w:rsidP="008C1F1E">
      <w:pPr>
        <w:jc w:val="both"/>
        <w:rPr>
          <w:sz w:val="22"/>
          <w:szCs w:val="22"/>
        </w:rPr>
      </w:pPr>
    </w:p>
    <w:p w14:paraId="05D782E8" w14:textId="77777777" w:rsidR="00D15483" w:rsidRDefault="00D15483" w:rsidP="008C1F1E">
      <w:pPr>
        <w:jc w:val="both"/>
      </w:pPr>
      <w:r>
        <w:t>En las medidas de mitigación de riesgos se cuenta con:</w:t>
      </w:r>
    </w:p>
    <w:p w14:paraId="562C62F9" w14:textId="4CF0A946" w:rsidR="008C1F1E" w:rsidRDefault="00D15483" w:rsidP="000E12CF">
      <w:pPr>
        <w:numPr>
          <w:ilvl w:val="0"/>
          <w:numId w:val="3"/>
        </w:numPr>
        <w:jc w:val="both"/>
      </w:pPr>
      <w:r>
        <w:t>Reformas estructurales</w:t>
      </w:r>
    </w:p>
    <w:p w14:paraId="479AC81B" w14:textId="69B0C7B5" w:rsidR="00D15483" w:rsidRDefault="00D15483" w:rsidP="000E12CF">
      <w:pPr>
        <w:numPr>
          <w:ilvl w:val="0"/>
          <w:numId w:val="3"/>
        </w:numPr>
        <w:jc w:val="both"/>
      </w:pPr>
      <w:r>
        <w:t>Controles directos</w:t>
      </w:r>
    </w:p>
    <w:p w14:paraId="3DEA5DB2" w14:textId="4EF19686" w:rsidR="00D15483" w:rsidRDefault="00D15483" w:rsidP="000E12CF">
      <w:pPr>
        <w:numPr>
          <w:ilvl w:val="0"/>
          <w:numId w:val="3"/>
        </w:numPr>
        <w:jc w:val="both"/>
      </w:pPr>
      <w:r>
        <w:t>Herramientas indirectas (regulaciones y cargos)</w:t>
      </w:r>
    </w:p>
    <w:p w14:paraId="25286E8B" w14:textId="1A1BC189" w:rsidR="00D15483" w:rsidRDefault="00D15483" w:rsidP="000E12CF">
      <w:pPr>
        <w:numPr>
          <w:ilvl w:val="0"/>
          <w:numId w:val="3"/>
        </w:numPr>
        <w:jc w:val="both"/>
      </w:pPr>
      <w:r>
        <w:t xml:space="preserve">Instrumentos de transferencia de riesgos </w:t>
      </w:r>
    </w:p>
    <w:p w14:paraId="72101C22" w14:textId="190FAB70" w:rsidR="00D15483" w:rsidRDefault="00D15483" w:rsidP="00D15483">
      <w:pPr>
        <w:jc w:val="both"/>
      </w:pPr>
      <w:r>
        <w:lastRenderedPageBreak/>
        <w:t>En las medidas de constitución de provisiones se cuenta con:</w:t>
      </w:r>
    </w:p>
    <w:p w14:paraId="0930A535" w14:textId="27C49E42" w:rsidR="00D15483" w:rsidRDefault="00D15483" w:rsidP="000E12CF">
      <w:pPr>
        <w:numPr>
          <w:ilvl w:val="0"/>
          <w:numId w:val="4"/>
        </w:numPr>
        <w:jc w:val="both"/>
      </w:pPr>
      <w:r>
        <w:t>Gasto</w:t>
      </w:r>
    </w:p>
    <w:p w14:paraId="3CF80924" w14:textId="49A3150A" w:rsidR="00D15483" w:rsidRDefault="00D15483" w:rsidP="000E12CF">
      <w:pPr>
        <w:numPr>
          <w:ilvl w:val="0"/>
          <w:numId w:val="4"/>
        </w:numPr>
        <w:jc w:val="both"/>
      </w:pPr>
      <w:r>
        <w:t>Contingencias</w:t>
      </w:r>
    </w:p>
    <w:p w14:paraId="106B0B42" w14:textId="64B8349C" w:rsidR="00D15483" w:rsidRDefault="00D15483" w:rsidP="000E12CF">
      <w:pPr>
        <w:numPr>
          <w:ilvl w:val="0"/>
          <w:numId w:val="4"/>
        </w:numPr>
        <w:jc w:val="both"/>
      </w:pPr>
      <w:r>
        <w:t>Fondos de Reserva</w:t>
      </w:r>
    </w:p>
    <w:p w14:paraId="6F242990" w14:textId="77777777" w:rsidR="00842054" w:rsidRPr="00C15373" w:rsidRDefault="00842054" w:rsidP="00D15483">
      <w:pPr>
        <w:jc w:val="both"/>
        <w:rPr>
          <w:sz w:val="22"/>
          <w:szCs w:val="22"/>
        </w:rPr>
      </w:pPr>
    </w:p>
    <w:p w14:paraId="70F6FDB1" w14:textId="737874C2" w:rsidR="00D15483" w:rsidRDefault="00D15483" w:rsidP="00D15483">
      <w:pPr>
        <w:jc w:val="both"/>
      </w:pPr>
      <w:r>
        <w:t xml:space="preserve">Es importante notar que los </w:t>
      </w:r>
      <w:r w:rsidRPr="00D15483">
        <w:t>dos riesgos fiscales con calificación alta</w:t>
      </w:r>
      <w:r>
        <w:t xml:space="preserve"> (macroeconómicos y ambientales)</w:t>
      </w:r>
      <w:r w:rsidRPr="00D15483">
        <w:t>,</w:t>
      </w:r>
      <w:r>
        <w:t xml:space="preserve"> cuentan con medidas de mitigación y provisiones, esto coadyuva a mantener el riesgo controlado y en caso de materialización contar con instrumentos adecuados.</w:t>
      </w:r>
    </w:p>
    <w:p w14:paraId="503D2B9E" w14:textId="55BF3F6A" w:rsidR="00D15483" w:rsidRPr="00C15373" w:rsidRDefault="00D15483" w:rsidP="00D15483">
      <w:pPr>
        <w:jc w:val="both"/>
        <w:rPr>
          <w:sz w:val="22"/>
          <w:szCs w:val="22"/>
        </w:rPr>
      </w:pPr>
    </w:p>
    <w:p w14:paraId="7B80D51A" w14:textId="3D086145" w:rsidR="008C1F1E" w:rsidRDefault="00FF2014" w:rsidP="00FF2014">
      <w:pPr>
        <w:jc w:val="both"/>
      </w:pPr>
      <w:r>
        <w:t>Se considera que el riesgo ambiental cuenta con la mayor cobertura en caso de materialización, derivado que desde hace algunos años se tiene plena implementación de la Estrategia Financiera ante el Riesgo de Desastres y su Plan Operativo, lo cual ha permitido negociar instrumentos de transferencia de riesgos (como seguros paramétricos)</w:t>
      </w:r>
      <w:r w:rsidR="00274C36">
        <w:t xml:space="preserve"> </w:t>
      </w:r>
      <w:r>
        <w:t>y préstamos con opción de desembolso diferido ante catástrofes. Asimismo, d</w:t>
      </w:r>
      <w:r w:rsidRPr="00FF2014">
        <w:t>entro del presupuesto existe una partida para</w:t>
      </w:r>
      <w:r>
        <w:t xml:space="preserve"> e</w:t>
      </w:r>
      <w:r w:rsidRPr="00FF2014">
        <w:t>l Fondo Emergente</w:t>
      </w:r>
      <w:r>
        <w:t xml:space="preserve"> y la p</w:t>
      </w:r>
      <w:r w:rsidRPr="00FF2014">
        <w:t>osibilidad de hacer reorientaciones presupuestarias en caso de emergencia</w:t>
      </w:r>
      <w:r>
        <w:t>, fondos de reserva, entre otros.</w:t>
      </w:r>
    </w:p>
    <w:p w14:paraId="74081088" w14:textId="77777777" w:rsidR="008C1F1E" w:rsidRDefault="008C1F1E" w:rsidP="00660DE7"/>
    <w:p w14:paraId="64AA4F37" w14:textId="15A2B08D" w:rsidR="008C1F1E" w:rsidRDefault="00D60783" w:rsidP="00D60783">
      <w:pPr>
        <w:pStyle w:val="Descripcin"/>
        <w:keepNext/>
        <w:jc w:val="left"/>
      </w:pPr>
      <w:bookmarkStart w:id="13" w:name="_Toc143593506"/>
      <w:r w:rsidRPr="00D60783">
        <w:rPr>
          <w:color w:val="auto"/>
        </w:rPr>
        <w:t xml:space="preserve">Tabla </w:t>
      </w:r>
      <w:r w:rsidRPr="00D60783">
        <w:rPr>
          <w:color w:val="auto"/>
        </w:rPr>
        <w:fldChar w:fldCharType="begin"/>
      </w:r>
      <w:r w:rsidRPr="00D60783">
        <w:rPr>
          <w:color w:val="auto"/>
        </w:rPr>
        <w:instrText xml:space="preserve"> SEQ Tabla \* ARABIC </w:instrText>
      </w:r>
      <w:r w:rsidRPr="00D60783">
        <w:rPr>
          <w:color w:val="auto"/>
        </w:rPr>
        <w:fldChar w:fldCharType="separate"/>
      </w:r>
      <w:r w:rsidR="00A62AFA">
        <w:rPr>
          <w:noProof/>
          <w:color w:val="auto"/>
        </w:rPr>
        <w:t>4</w:t>
      </w:r>
      <w:r w:rsidRPr="00D60783">
        <w:rPr>
          <w:color w:val="auto"/>
        </w:rPr>
        <w:fldChar w:fldCharType="end"/>
      </w:r>
      <w:r w:rsidRPr="00D60783">
        <w:rPr>
          <w:color w:val="auto"/>
        </w:rPr>
        <w:t>. Impacto de los riesgos fiscales</w:t>
      </w:r>
      <w:bookmarkEnd w:id="13"/>
    </w:p>
    <w:tbl>
      <w:tblPr>
        <w:tblW w:w="8980" w:type="dxa"/>
        <w:tblCellMar>
          <w:left w:w="70" w:type="dxa"/>
          <w:right w:w="70" w:type="dxa"/>
        </w:tblCellMar>
        <w:tblLook w:val="04A0" w:firstRow="1" w:lastRow="0" w:firstColumn="1" w:lastColumn="0" w:noHBand="0" w:noVBand="1"/>
      </w:tblPr>
      <w:tblGrid>
        <w:gridCol w:w="431"/>
        <w:gridCol w:w="318"/>
        <w:gridCol w:w="386"/>
        <w:gridCol w:w="227"/>
        <w:gridCol w:w="337"/>
        <w:gridCol w:w="337"/>
        <w:gridCol w:w="734"/>
        <w:gridCol w:w="793"/>
        <w:gridCol w:w="793"/>
        <w:gridCol w:w="1122"/>
        <w:gridCol w:w="1010"/>
        <w:gridCol w:w="148"/>
        <w:gridCol w:w="793"/>
        <w:gridCol w:w="793"/>
        <w:gridCol w:w="793"/>
      </w:tblGrid>
      <w:tr w:rsidR="008C1F1E" w:rsidRPr="00C15373" w14:paraId="11AA5D7F" w14:textId="77777777" w:rsidTr="00DE1611">
        <w:trPr>
          <w:trHeight w:val="282"/>
        </w:trPr>
        <w:tc>
          <w:tcPr>
            <w:tcW w:w="431" w:type="dxa"/>
            <w:tcBorders>
              <w:top w:val="nil"/>
              <w:left w:val="nil"/>
              <w:bottom w:val="nil"/>
              <w:right w:val="nil"/>
            </w:tcBorders>
            <w:shd w:val="clear" w:color="auto" w:fill="auto"/>
            <w:noWrap/>
            <w:vAlign w:val="bottom"/>
            <w:hideMark/>
          </w:tcPr>
          <w:p w14:paraId="53B6B622" w14:textId="77777777" w:rsidR="008C1F1E" w:rsidRPr="00C15373" w:rsidRDefault="008C1F1E">
            <w:pPr>
              <w:rPr>
                <w:sz w:val="18"/>
                <w:szCs w:val="18"/>
              </w:rPr>
            </w:pPr>
          </w:p>
        </w:tc>
        <w:tc>
          <w:tcPr>
            <w:tcW w:w="318" w:type="dxa"/>
            <w:tcBorders>
              <w:top w:val="nil"/>
              <w:left w:val="nil"/>
              <w:bottom w:val="nil"/>
              <w:right w:val="nil"/>
            </w:tcBorders>
            <w:shd w:val="clear" w:color="auto" w:fill="auto"/>
            <w:noWrap/>
            <w:vAlign w:val="bottom"/>
            <w:hideMark/>
          </w:tcPr>
          <w:p w14:paraId="237611C4" w14:textId="77777777" w:rsidR="008C1F1E" w:rsidRPr="00C15373" w:rsidRDefault="008C1F1E">
            <w:pPr>
              <w:rPr>
                <w:sz w:val="18"/>
                <w:szCs w:val="18"/>
              </w:rPr>
            </w:pPr>
          </w:p>
        </w:tc>
        <w:tc>
          <w:tcPr>
            <w:tcW w:w="385" w:type="dxa"/>
            <w:tcBorders>
              <w:top w:val="nil"/>
              <w:left w:val="nil"/>
              <w:bottom w:val="nil"/>
              <w:right w:val="nil"/>
            </w:tcBorders>
            <w:shd w:val="clear" w:color="auto" w:fill="auto"/>
            <w:noWrap/>
            <w:vAlign w:val="bottom"/>
            <w:hideMark/>
          </w:tcPr>
          <w:p w14:paraId="039456C3" w14:textId="77777777" w:rsidR="008C1F1E" w:rsidRPr="00C15373" w:rsidRDefault="008C1F1E">
            <w:pPr>
              <w:rPr>
                <w:sz w:val="18"/>
                <w:szCs w:val="18"/>
              </w:rPr>
            </w:pPr>
          </w:p>
        </w:tc>
        <w:tc>
          <w:tcPr>
            <w:tcW w:w="227" w:type="dxa"/>
            <w:tcBorders>
              <w:top w:val="nil"/>
              <w:left w:val="nil"/>
              <w:bottom w:val="nil"/>
              <w:right w:val="nil"/>
            </w:tcBorders>
            <w:shd w:val="clear" w:color="auto" w:fill="auto"/>
            <w:noWrap/>
            <w:vAlign w:val="bottom"/>
            <w:hideMark/>
          </w:tcPr>
          <w:p w14:paraId="6CD1200C"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2DC768D1"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560CE886" w14:textId="77777777" w:rsidR="008C1F1E" w:rsidRPr="00C15373" w:rsidRDefault="008C1F1E">
            <w:pPr>
              <w:rPr>
                <w:sz w:val="18"/>
                <w:szCs w:val="18"/>
              </w:rPr>
            </w:pPr>
          </w:p>
        </w:tc>
        <w:tc>
          <w:tcPr>
            <w:tcW w:w="732" w:type="dxa"/>
            <w:tcBorders>
              <w:top w:val="nil"/>
              <w:left w:val="nil"/>
              <w:bottom w:val="nil"/>
              <w:right w:val="nil"/>
            </w:tcBorders>
            <w:shd w:val="clear" w:color="auto" w:fill="auto"/>
            <w:noWrap/>
            <w:vAlign w:val="bottom"/>
            <w:hideMark/>
          </w:tcPr>
          <w:p w14:paraId="48414B46" w14:textId="77777777" w:rsidR="008C1F1E" w:rsidRPr="00C15373" w:rsidRDefault="008C1F1E">
            <w:pPr>
              <w:rPr>
                <w:sz w:val="18"/>
                <w:szCs w:val="18"/>
              </w:rPr>
            </w:pPr>
          </w:p>
        </w:tc>
        <w:tc>
          <w:tcPr>
            <w:tcW w:w="3697" w:type="dxa"/>
            <w:gridSpan w:val="4"/>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BF19A2B" w14:textId="77777777" w:rsidR="008C1F1E" w:rsidRPr="00C15373" w:rsidRDefault="008C1F1E" w:rsidP="008C1F1E">
            <w:pPr>
              <w:jc w:val="center"/>
              <w:rPr>
                <w:rFonts w:ascii="Segoe UI Light" w:hAnsi="Segoe UI Light" w:cs="Segoe UI Light"/>
                <w:b/>
                <w:bCs/>
                <w:i/>
                <w:iCs/>
                <w:color w:val="FFFFFF"/>
                <w:sz w:val="18"/>
                <w:szCs w:val="18"/>
              </w:rPr>
            </w:pPr>
            <w:r w:rsidRPr="00C15373">
              <w:rPr>
                <w:rFonts w:ascii="Segoe UI Light" w:hAnsi="Segoe UI Light" w:cs="Segoe UI Light"/>
                <w:b/>
                <w:bCs/>
                <w:i/>
                <w:iCs/>
                <w:color w:val="FFFFFF"/>
                <w:sz w:val="18"/>
                <w:szCs w:val="18"/>
              </w:rPr>
              <w:t>Mitigación de riesgos</w:t>
            </w:r>
          </w:p>
        </w:tc>
        <w:tc>
          <w:tcPr>
            <w:tcW w:w="148" w:type="dxa"/>
            <w:tcBorders>
              <w:top w:val="nil"/>
              <w:left w:val="nil"/>
              <w:bottom w:val="nil"/>
              <w:right w:val="nil"/>
            </w:tcBorders>
            <w:shd w:val="clear" w:color="auto" w:fill="auto"/>
            <w:noWrap/>
            <w:vAlign w:val="center"/>
            <w:hideMark/>
          </w:tcPr>
          <w:p w14:paraId="4EB42003" w14:textId="77777777" w:rsidR="008C1F1E" w:rsidRPr="00C15373" w:rsidRDefault="008C1F1E" w:rsidP="008C1F1E">
            <w:pPr>
              <w:jc w:val="center"/>
              <w:rPr>
                <w:rFonts w:ascii="Segoe UI Light" w:hAnsi="Segoe UI Light" w:cs="Segoe UI Light"/>
                <w:b/>
                <w:bCs/>
                <w:i/>
                <w:iCs/>
                <w:color w:val="FFFFFF"/>
                <w:sz w:val="18"/>
                <w:szCs w:val="18"/>
              </w:rPr>
            </w:pPr>
          </w:p>
        </w:tc>
        <w:tc>
          <w:tcPr>
            <w:tcW w:w="2367" w:type="dxa"/>
            <w:gridSpan w:val="3"/>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F3CFC5D" w14:textId="77777777" w:rsidR="008C1F1E" w:rsidRPr="00C15373" w:rsidRDefault="008C1F1E" w:rsidP="008C1F1E">
            <w:pPr>
              <w:jc w:val="center"/>
              <w:rPr>
                <w:rFonts w:ascii="Segoe UI Light" w:hAnsi="Segoe UI Light" w:cs="Segoe UI Light"/>
                <w:b/>
                <w:bCs/>
                <w:i/>
                <w:iCs/>
                <w:color w:val="FFFFFF"/>
                <w:sz w:val="18"/>
                <w:szCs w:val="18"/>
              </w:rPr>
            </w:pPr>
            <w:r w:rsidRPr="00C15373">
              <w:rPr>
                <w:rFonts w:ascii="Segoe UI Light" w:hAnsi="Segoe UI Light" w:cs="Segoe UI Light"/>
                <w:b/>
                <w:bCs/>
                <w:i/>
                <w:iCs/>
                <w:color w:val="FFFFFF"/>
                <w:sz w:val="18"/>
                <w:szCs w:val="18"/>
              </w:rPr>
              <w:t>Constitución de provisiones</w:t>
            </w:r>
          </w:p>
        </w:tc>
      </w:tr>
      <w:tr w:rsidR="008C1F1E" w:rsidRPr="00C15373" w14:paraId="30202D45" w14:textId="77777777" w:rsidTr="00DE1611">
        <w:trPr>
          <w:trHeight w:val="282"/>
        </w:trPr>
        <w:tc>
          <w:tcPr>
            <w:tcW w:w="431" w:type="dxa"/>
            <w:tcBorders>
              <w:top w:val="nil"/>
              <w:left w:val="nil"/>
              <w:bottom w:val="nil"/>
              <w:right w:val="nil"/>
            </w:tcBorders>
            <w:shd w:val="clear" w:color="auto" w:fill="auto"/>
            <w:noWrap/>
            <w:vAlign w:val="bottom"/>
            <w:hideMark/>
          </w:tcPr>
          <w:p w14:paraId="4FD17F38" w14:textId="77777777" w:rsidR="008C1F1E" w:rsidRPr="00C15373" w:rsidRDefault="008C1F1E">
            <w:pPr>
              <w:jc w:val="center"/>
              <w:rPr>
                <w:rFonts w:ascii="Segoe UI Light" w:hAnsi="Segoe UI Light" w:cs="Segoe UI Light"/>
                <w:b/>
                <w:bCs/>
                <w:i/>
                <w:iCs/>
                <w:color w:val="FFFFFF"/>
                <w:sz w:val="18"/>
                <w:szCs w:val="18"/>
              </w:rPr>
            </w:pPr>
          </w:p>
        </w:tc>
        <w:tc>
          <w:tcPr>
            <w:tcW w:w="318" w:type="dxa"/>
            <w:tcBorders>
              <w:top w:val="nil"/>
              <w:left w:val="nil"/>
              <w:bottom w:val="nil"/>
              <w:right w:val="nil"/>
            </w:tcBorders>
            <w:shd w:val="clear" w:color="auto" w:fill="auto"/>
            <w:noWrap/>
            <w:vAlign w:val="bottom"/>
            <w:hideMark/>
          </w:tcPr>
          <w:p w14:paraId="330A5605" w14:textId="77777777" w:rsidR="008C1F1E" w:rsidRPr="00C15373" w:rsidRDefault="008C1F1E">
            <w:pPr>
              <w:rPr>
                <w:sz w:val="18"/>
                <w:szCs w:val="18"/>
              </w:rPr>
            </w:pPr>
          </w:p>
        </w:tc>
        <w:tc>
          <w:tcPr>
            <w:tcW w:w="385" w:type="dxa"/>
            <w:tcBorders>
              <w:top w:val="nil"/>
              <w:left w:val="nil"/>
              <w:bottom w:val="nil"/>
              <w:right w:val="nil"/>
            </w:tcBorders>
            <w:shd w:val="clear" w:color="auto" w:fill="auto"/>
            <w:noWrap/>
            <w:vAlign w:val="bottom"/>
            <w:hideMark/>
          </w:tcPr>
          <w:p w14:paraId="2E92CD04" w14:textId="77777777" w:rsidR="008C1F1E" w:rsidRPr="00C15373" w:rsidRDefault="008C1F1E">
            <w:pPr>
              <w:rPr>
                <w:sz w:val="18"/>
                <w:szCs w:val="18"/>
              </w:rPr>
            </w:pPr>
          </w:p>
        </w:tc>
        <w:tc>
          <w:tcPr>
            <w:tcW w:w="227" w:type="dxa"/>
            <w:tcBorders>
              <w:top w:val="nil"/>
              <w:left w:val="nil"/>
              <w:bottom w:val="nil"/>
              <w:right w:val="nil"/>
            </w:tcBorders>
            <w:shd w:val="clear" w:color="auto" w:fill="auto"/>
            <w:noWrap/>
            <w:vAlign w:val="bottom"/>
            <w:hideMark/>
          </w:tcPr>
          <w:p w14:paraId="50CFEC11"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53A02B4E"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42AA3517" w14:textId="77777777" w:rsidR="008C1F1E" w:rsidRPr="00C15373" w:rsidRDefault="008C1F1E">
            <w:pPr>
              <w:rPr>
                <w:sz w:val="18"/>
                <w:szCs w:val="18"/>
              </w:rPr>
            </w:pPr>
          </w:p>
        </w:tc>
        <w:tc>
          <w:tcPr>
            <w:tcW w:w="732" w:type="dxa"/>
            <w:tcBorders>
              <w:top w:val="nil"/>
              <w:left w:val="nil"/>
              <w:bottom w:val="nil"/>
              <w:right w:val="nil"/>
            </w:tcBorders>
            <w:shd w:val="clear" w:color="auto" w:fill="auto"/>
            <w:noWrap/>
            <w:vAlign w:val="bottom"/>
            <w:hideMark/>
          </w:tcPr>
          <w:p w14:paraId="16C38076" w14:textId="77777777" w:rsidR="008C1F1E" w:rsidRPr="00C15373" w:rsidRDefault="008C1F1E">
            <w:pPr>
              <w:rPr>
                <w:sz w:val="18"/>
                <w:szCs w:val="18"/>
              </w:rPr>
            </w:pPr>
          </w:p>
        </w:tc>
        <w:tc>
          <w:tcPr>
            <w:tcW w:w="789"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6523DED2"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Reformas estructurales</w:t>
            </w:r>
          </w:p>
        </w:tc>
        <w:tc>
          <w:tcPr>
            <w:tcW w:w="789"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2C2801B8"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Controles directos</w:t>
            </w:r>
          </w:p>
        </w:tc>
        <w:tc>
          <w:tcPr>
            <w:tcW w:w="1114"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15D6CB1C"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Herramientas indirectas (regulaciones y cargos)</w:t>
            </w:r>
          </w:p>
        </w:tc>
        <w:tc>
          <w:tcPr>
            <w:tcW w:w="1003"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6C3AADC9"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Instrumento de transferencia de riesgos</w:t>
            </w:r>
          </w:p>
        </w:tc>
        <w:tc>
          <w:tcPr>
            <w:tcW w:w="148" w:type="dxa"/>
            <w:tcBorders>
              <w:top w:val="nil"/>
              <w:left w:val="nil"/>
              <w:bottom w:val="nil"/>
              <w:right w:val="nil"/>
            </w:tcBorders>
            <w:shd w:val="clear" w:color="auto" w:fill="auto"/>
            <w:noWrap/>
            <w:vAlign w:val="bottom"/>
            <w:hideMark/>
          </w:tcPr>
          <w:p w14:paraId="2229F633" w14:textId="77777777" w:rsidR="008C1F1E" w:rsidRPr="00C15373" w:rsidRDefault="008C1F1E">
            <w:pPr>
              <w:jc w:val="center"/>
              <w:rPr>
                <w:rFonts w:ascii="Segoe UI Light" w:hAnsi="Segoe UI Light" w:cs="Segoe UI Light"/>
                <w:color w:val="FFFFFF"/>
                <w:sz w:val="18"/>
                <w:szCs w:val="18"/>
              </w:rPr>
            </w:pPr>
          </w:p>
        </w:tc>
        <w:tc>
          <w:tcPr>
            <w:tcW w:w="789"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3ED6D7DF"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Gasto</w:t>
            </w:r>
          </w:p>
        </w:tc>
        <w:tc>
          <w:tcPr>
            <w:tcW w:w="789"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53245B94"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Contingencias</w:t>
            </w:r>
          </w:p>
        </w:tc>
        <w:tc>
          <w:tcPr>
            <w:tcW w:w="789" w:type="dxa"/>
            <w:vMerge w:val="restart"/>
            <w:tcBorders>
              <w:top w:val="nil"/>
              <w:left w:val="single" w:sz="4" w:space="0" w:color="auto"/>
              <w:bottom w:val="single" w:sz="4" w:space="0" w:color="auto"/>
              <w:right w:val="single" w:sz="4" w:space="0" w:color="auto"/>
            </w:tcBorders>
            <w:shd w:val="clear" w:color="000000" w:fill="4B82AD"/>
            <w:textDirection w:val="btLr"/>
            <w:vAlign w:val="center"/>
            <w:hideMark/>
          </w:tcPr>
          <w:p w14:paraId="34DA273D"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Fondos de reserva</w:t>
            </w:r>
          </w:p>
        </w:tc>
      </w:tr>
      <w:tr w:rsidR="008C1F1E" w:rsidRPr="00C15373" w14:paraId="4C240680" w14:textId="77777777" w:rsidTr="00DE1611">
        <w:trPr>
          <w:trHeight w:val="282"/>
        </w:trPr>
        <w:tc>
          <w:tcPr>
            <w:tcW w:w="431" w:type="dxa"/>
            <w:tcBorders>
              <w:top w:val="nil"/>
              <w:left w:val="nil"/>
              <w:bottom w:val="nil"/>
              <w:right w:val="nil"/>
            </w:tcBorders>
            <w:shd w:val="clear" w:color="auto" w:fill="auto"/>
            <w:noWrap/>
            <w:vAlign w:val="bottom"/>
            <w:hideMark/>
          </w:tcPr>
          <w:p w14:paraId="5D758F4C" w14:textId="77777777" w:rsidR="008C1F1E" w:rsidRPr="00C15373" w:rsidRDefault="008C1F1E">
            <w:pPr>
              <w:jc w:val="center"/>
              <w:rPr>
                <w:rFonts w:ascii="Segoe UI Light" w:hAnsi="Segoe UI Light" w:cs="Segoe UI Light"/>
                <w:color w:val="FFFFFF"/>
                <w:sz w:val="18"/>
                <w:szCs w:val="18"/>
              </w:rPr>
            </w:pPr>
          </w:p>
        </w:tc>
        <w:tc>
          <w:tcPr>
            <w:tcW w:w="318" w:type="dxa"/>
            <w:tcBorders>
              <w:top w:val="nil"/>
              <w:left w:val="nil"/>
              <w:bottom w:val="nil"/>
              <w:right w:val="nil"/>
            </w:tcBorders>
            <w:shd w:val="clear" w:color="auto" w:fill="auto"/>
            <w:noWrap/>
            <w:vAlign w:val="bottom"/>
            <w:hideMark/>
          </w:tcPr>
          <w:p w14:paraId="020751A5" w14:textId="77777777" w:rsidR="008C1F1E" w:rsidRPr="00C15373" w:rsidRDefault="008C1F1E">
            <w:pPr>
              <w:rPr>
                <w:sz w:val="18"/>
                <w:szCs w:val="18"/>
              </w:rPr>
            </w:pPr>
          </w:p>
        </w:tc>
        <w:tc>
          <w:tcPr>
            <w:tcW w:w="385" w:type="dxa"/>
            <w:tcBorders>
              <w:top w:val="nil"/>
              <w:left w:val="nil"/>
              <w:bottom w:val="nil"/>
              <w:right w:val="nil"/>
            </w:tcBorders>
            <w:shd w:val="clear" w:color="auto" w:fill="auto"/>
            <w:noWrap/>
            <w:vAlign w:val="bottom"/>
            <w:hideMark/>
          </w:tcPr>
          <w:p w14:paraId="6DD3E428" w14:textId="77777777" w:rsidR="008C1F1E" w:rsidRPr="00C15373" w:rsidRDefault="008C1F1E">
            <w:pPr>
              <w:rPr>
                <w:sz w:val="18"/>
                <w:szCs w:val="18"/>
              </w:rPr>
            </w:pPr>
          </w:p>
        </w:tc>
        <w:tc>
          <w:tcPr>
            <w:tcW w:w="227" w:type="dxa"/>
            <w:tcBorders>
              <w:top w:val="nil"/>
              <w:left w:val="nil"/>
              <w:bottom w:val="nil"/>
              <w:right w:val="nil"/>
            </w:tcBorders>
            <w:shd w:val="clear" w:color="auto" w:fill="auto"/>
            <w:noWrap/>
            <w:vAlign w:val="bottom"/>
            <w:hideMark/>
          </w:tcPr>
          <w:p w14:paraId="74E4BBBB"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0602E6C1"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385B2A4B" w14:textId="77777777" w:rsidR="008C1F1E" w:rsidRPr="00C15373" w:rsidRDefault="008C1F1E">
            <w:pPr>
              <w:rPr>
                <w:sz w:val="18"/>
                <w:szCs w:val="18"/>
              </w:rPr>
            </w:pPr>
          </w:p>
        </w:tc>
        <w:tc>
          <w:tcPr>
            <w:tcW w:w="732" w:type="dxa"/>
            <w:tcBorders>
              <w:top w:val="nil"/>
              <w:left w:val="nil"/>
              <w:bottom w:val="nil"/>
              <w:right w:val="nil"/>
            </w:tcBorders>
            <w:shd w:val="clear" w:color="auto" w:fill="auto"/>
            <w:noWrap/>
            <w:vAlign w:val="bottom"/>
            <w:hideMark/>
          </w:tcPr>
          <w:p w14:paraId="1C725138" w14:textId="77777777" w:rsidR="008C1F1E" w:rsidRPr="00C15373" w:rsidRDefault="008C1F1E">
            <w:pPr>
              <w:rPr>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68A2A03E"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41EA4EA1" w14:textId="77777777" w:rsidR="008C1F1E" w:rsidRPr="00C15373" w:rsidRDefault="008C1F1E">
            <w:pPr>
              <w:rPr>
                <w:rFonts w:ascii="Segoe UI Light" w:hAnsi="Segoe UI Light" w:cs="Segoe UI Light"/>
                <w:color w:val="FFFFFF"/>
                <w:sz w:val="18"/>
                <w:szCs w:val="18"/>
              </w:rPr>
            </w:pPr>
          </w:p>
        </w:tc>
        <w:tc>
          <w:tcPr>
            <w:tcW w:w="1114" w:type="dxa"/>
            <w:vMerge/>
            <w:tcBorders>
              <w:top w:val="nil"/>
              <w:left w:val="single" w:sz="4" w:space="0" w:color="auto"/>
              <w:bottom w:val="single" w:sz="4" w:space="0" w:color="auto"/>
              <w:right w:val="single" w:sz="4" w:space="0" w:color="auto"/>
            </w:tcBorders>
            <w:vAlign w:val="center"/>
            <w:hideMark/>
          </w:tcPr>
          <w:p w14:paraId="54D743BD" w14:textId="77777777" w:rsidR="008C1F1E" w:rsidRPr="00C15373" w:rsidRDefault="008C1F1E">
            <w:pPr>
              <w:rPr>
                <w:rFonts w:ascii="Segoe UI Light" w:hAnsi="Segoe UI Light" w:cs="Segoe UI Light"/>
                <w:color w:val="FFFFFF"/>
                <w:sz w:val="18"/>
                <w:szCs w:val="18"/>
              </w:rPr>
            </w:pPr>
          </w:p>
        </w:tc>
        <w:tc>
          <w:tcPr>
            <w:tcW w:w="1003" w:type="dxa"/>
            <w:vMerge/>
            <w:tcBorders>
              <w:top w:val="nil"/>
              <w:left w:val="single" w:sz="4" w:space="0" w:color="auto"/>
              <w:bottom w:val="single" w:sz="4" w:space="0" w:color="auto"/>
              <w:right w:val="single" w:sz="4" w:space="0" w:color="auto"/>
            </w:tcBorders>
            <w:vAlign w:val="center"/>
            <w:hideMark/>
          </w:tcPr>
          <w:p w14:paraId="614E8DEA" w14:textId="77777777" w:rsidR="008C1F1E" w:rsidRPr="00C15373" w:rsidRDefault="008C1F1E">
            <w:pPr>
              <w:rPr>
                <w:rFonts w:ascii="Segoe UI Light" w:hAnsi="Segoe UI Light" w:cs="Segoe UI Light"/>
                <w:color w:val="FFFFFF"/>
                <w:sz w:val="18"/>
                <w:szCs w:val="18"/>
              </w:rPr>
            </w:pPr>
          </w:p>
        </w:tc>
        <w:tc>
          <w:tcPr>
            <w:tcW w:w="148" w:type="dxa"/>
            <w:tcBorders>
              <w:top w:val="nil"/>
              <w:left w:val="nil"/>
              <w:bottom w:val="nil"/>
              <w:right w:val="nil"/>
            </w:tcBorders>
            <w:shd w:val="clear" w:color="auto" w:fill="auto"/>
            <w:noWrap/>
            <w:vAlign w:val="bottom"/>
            <w:hideMark/>
          </w:tcPr>
          <w:p w14:paraId="1DA72533" w14:textId="77777777" w:rsidR="008C1F1E" w:rsidRPr="00C15373" w:rsidRDefault="008C1F1E">
            <w:pPr>
              <w:rPr>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304ACB2D"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40615949"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71AB1A7C" w14:textId="77777777" w:rsidR="008C1F1E" w:rsidRPr="00C15373" w:rsidRDefault="008C1F1E">
            <w:pPr>
              <w:rPr>
                <w:rFonts w:ascii="Segoe UI Light" w:hAnsi="Segoe UI Light" w:cs="Segoe UI Light"/>
                <w:color w:val="FFFFFF"/>
                <w:sz w:val="18"/>
                <w:szCs w:val="18"/>
              </w:rPr>
            </w:pPr>
          </w:p>
        </w:tc>
      </w:tr>
      <w:tr w:rsidR="008C1F1E" w:rsidRPr="00C15373" w14:paraId="32FAE4C2" w14:textId="77777777" w:rsidTr="00DE1611">
        <w:trPr>
          <w:trHeight w:val="282"/>
        </w:trPr>
        <w:tc>
          <w:tcPr>
            <w:tcW w:w="431" w:type="dxa"/>
            <w:tcBorders>
              <w:top w:val="nil"/>
              <w:left w:val="nil"/>
              <w:bottom w:val="nil"/>
              <w:right w:val="nil"/>
            </w:tcBorders>
            <w:shd w:val="clear" w:color="auto" w:fill="auto"/>
            <w:noWrap/>
            <w:vAlign w:val="bottom"/>
            <w:hideMark/>
          </w:tcPr>
          <w:p w14:paraId="1D1A354B" w14:textId="77777777" w:rsidR="008C1F1E" w:rsidRPr="00C15373" w:rsidRDefault="008C1F1E">
            <w:pPr>
              <w:rPr>
                <w:sz w:val="18"/>
                <w:szCs w:val="18"/>
              </w:rPr>
            </w:pPr>
          </w:p>
        </w:tc>
        <w:tc>
          <w:tcPr>
            <w:tcW w:w="318" w:type="dxa"/>
            <w:tcBorders>
              <w:top w:val="nil"/>
              <w:left w:val="nil"/>
              <w:bottom w:val="nil"/>
              <w:right w:val="nil"/>
            </w:tcBorders>
            <w:shd w:val="clear" w:color="auto" w:fill="auto"/>
            <w:noWrap/>
            <w:vAlign w:val="bottom"/>
            <w:hideMark/>
          </w:tcPr>
          <w:p w14:paraId="117B3B17" w14:textId="77777777" w:rsidR="008C1F1E" w:rsidRPr="00C15373" w:rsidRDefault="008C1F1E">
            <w:pPr>
              <w:rPr>
                <w:sz w:val="18"/>
                <w:szCs w:val="18"/>
              </w:rPr>
            </w:pPr>
          </w:p>
        </w:tc>
        <w:tc>
          <w:tcPr>
            <w:tcW w:w="385" w:type="dxa"/>
            <w:tcBorders>
              <w:top w:val="nil"/>
              <w:left w:val="nil"/>
              <w:bottom w:val="nil"/>
              <w:right w:val="nil"/>
            </w:tcBorders>
            <w:shd w:val="clear" w:color="auto" w:fill="auto"/>
            <w:noWrap/>
            <w:vAlign w:val="bottom"/>
            <w:hideMark/>
          </w:tcPr>
          <w:p w14:paraId="3F96A7B7" w14:textId="77777777" w:rsidR="008C1F1E" w:rsidRPr="00C15373" w:rsidRDefault="008C1F1E">
            <w:pPr>
              <w:rPr>
                <w:sz w:val="18"/>
                <w:szCs w:val="18"/>
              </w:rPr>
            </w:pPr>
          </w:p>
        </w:tc>
        <w:tc>
          <w:tcPr>
            <w:tcW w:w="227" w:type="dxa"/>
            <w:tcBorders>
              <w:top w:val="nil"/>
              <w:left w:val="nil"/>
              <w:bottom w:val="nil"/>
              <w:right w:val="nil"/>
            </w:tcBorders>
            <w:shd w:val="clear" w:color="auto" w:fill="auto"/>
            <w:noWrap/>
            <w:vAlign w:val="bottom"/>
            <w:hideMark/>
          </w:tcPr>
          <w:p w14:paraId="11ACE077"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302BE58F"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1F127EDC" w14:textId="77777777" w:rsidR="008C1F1E" w:rsidRPr="00C15373" w:rsidRDefault="008C1F1E">
            <w:pPr>
              <w:rPr>
                <w:sz w:val="18"/>
                <w:szCs w:val="18"/>
              </w:rPr>
            </w:pPr>
          </w:p>
        </w:tc>
        <w:tc>
          <w:tcPr>
            <w:tcW w:w="732" w:type="dxa"/>
            <w:tcBorders>
              <w:top w:val="nil"/>
              <w:left w:val="nil"/>
              <w:bottom w:val="nil"/>
              <w:right w:val="nil"/>
            </w:tcBorders>
            <w:shd w:val="clear" w:color="auto" w:fill="auto"/>
            <w:noWrap/>
            <w:vAlign w:val="bottom"/>
            <w:hideMark/>
          </w:tcPr>
          <w:p w14:paraId="23998495" w14:textId="77777777" w:rsidR="008C1F1E" w:rsidRPr="00C15373" w:rsidRDefault="008C1F1E">
            <w:pPr>
              <w:rPr>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5380069E"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718AC7F8" w14:textId="77777777" w:rsidR="008C1F1E" w:rsidRPr="00C15373" w:rsidRDefault="008C1F1E">
            <w:pPr>
              <w:rPr>
                <w:rFonts w:ascii="Segoe UI Light" w:hAnsi="Segoe UI Light" w:cs="Segoe UI Light"/>
                <w:color w:val="FFFFFF"/>
                <w:sz w:val="18"/>
                <w:szCs w:val="18"/>
              </w:rPr>
            </w:pPr>
          </w:p>
        </w:tc>
        <w:tc>
          <w:tcPr>
            <w:tcW w:w="1114" w:type="dxa"/>
            <w:vMerge/>
            <w:tcBorders>
              <w:top w:val="nil"/>
              <w:left w:val="single" w:sz="4" w:space="0" w:color="auto"/>
              <w:bottom w:val="single" w:sz="4" w:space="0" w:color="auto"/>
              <w:right w:val="single" w:sz="4" w:space="0" w:color="auto"/>
            </w:tcBorders>
            <w:vAlign w:val="center"/>
            <w:hideMark/>
          </w:tcPr>
          <w:p w14:paraId="7426567F" w14:textId="77777777" w:rsidR="008C1F1E" w:rsidRPr="00C15373" w:rsidRDefault="008C1F1E">
            <w:pPr>
              <w:rPr>
                <w:rFonts w:ascii="Segoe UI Light" w:hAnsi="Segoe UI Light" w:cs="Segoe UI Light"/>
                <w:color w:val="FFFFFF"/>
                <w:sz w:val="18"/>
                <w:szCs w:val="18"/>
              </w:rPr>
            </w:pPr>
          </w:p>
        </w:tc>
        <w:tc>
          <w:tcPr>
            <w:tcW w:w="1003" w:type="dxa"/>
            <w:vMerge/>
            <w:tcBorders>
              <w:top w:val="nil"/>
              <w:left w:val="single" w:sz="4" w:space="0" w:color="auto"/>
              <w:bottom w:val="single" w:sz="4" w:space="0" w:color="auto"/>
              <w:right w:val="single" w:sz="4" w:space="0" w:color="auto"/>
            </w:tcBorders>
            <w:vAlign w:val="center"/>
            <w:hideMark/>
          </w:tcPr>
          <w:p w14:paraId="7DD14B6E" w14:textId="77777777" w:rsidR="008C1F1E" w:rsidRPr="00C15373" w:rsidRDefault="008C1F1E">
            <w:pPr>
              <w:rPr>
                <w:rFonts w:ascii="Segoe UI Light" w:hAnsi="Segoe UI Light" w:cs="Segoe UI Light"/>
                <w:color w:val="FFFFFF"/>
                <w:sz w:val="18"/>
                <w:szCs w:val="18"/>
              </w:rPr>
            </w:pPr>
          </w:p>
        </w:tc>
        <w:tc>
          <w:tcPr>
            <w:tcW w:w="148" w:type="dxa"/>
            <w:tcBorders>
              <w:top w:val="nil"/>
              <w:left w:val="nil"/>
              <w:bottom w:val="nil"/>
              <w:right w:val="nil"/>
            </w:tcBorders>
            <w:shd w:val="clear" w:color="auto" w:fill="auto"/>
            <w:noWrap/>
            <w:vAlign w:val="bottom"/>
            <w:hideMark/>
          </w:tcPr>
          <w:p w14:paraId="6147C08E" w14:textId="77777777" w:rsidR="008C1F1E" w:rsidRPr="00C15373" w:rsidRDefault="008C1F1E">
            <w:pPr>
              <w:rPr>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18B302B2"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267B2ADA"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5E27ABE9" w14:textId="77777777" w:rsidR="008C1F1E" w:rsidRPr="00C15373" w:rsidRDefault="008C1F1E">
            <w:pPr>
              <w:rPr>
                <w:rFonts w:ascii="Segoe UI Light" w:hAnsi="Segoe UI Light" w:cs="Segoe UI Light"/>
                <w:color w:val="FFFFFF"/>
                <w:sz w:val="18"/>
                <w:szCs w:val="18"/>
              </w:rPr>
            </w:pPr>
          </w:p>
        </w:tc>
      </w:tr>
      <w:tr w:rsidR="008C1F1E" w:rsidRPr="00C15373" w14:paraId="5121BDC8" w14:textId="77777777" w:rsidTr="00DE1611">
        <w:trPr>
          <w:trHeight w:val="282"/>
        </w:trPr>
        <w:tc>
          <w:tcPr>
            <w:tcW w:w="431" w:type="dxa"/>
            <w:tcBorders>
              <w:top w:val="nil"/>
              <w:left w:val="nil"/>
              <w:bottom w:val="nil"/>
              <w:right w:val="nil"/>
            </w:tcBorders>
            <w:shd w:val="clear" w:color="auto" w:fill="auto"/>
            <w:noWrap/>
            <w:vAlign w:val="bottom"/>
            <w:hideMark/>
          </w:tcPr>
          <w:p w14:paraId="5E26BB85" w14:textId="77777777" w:rsidR="008C1F1E" w:rsidRPr="00C15373" w:rsidRDefault="008C1F1E">
            <w:pPr>
              <w:rPr>
                <w:sz w:val="18"/>
                <w:szCs w:val="18"/>
              </w:rPr>
            </w:pPr>
          </w:p>
        </w:tc>
        <w:tc>
          <w:tcPr>
            <w:tcW w:w="318" w:type="dxa"/>
            <w:tcBorders>
              <w:top w:val="nil"/>
              <w:left w:val="nil"/>
              <w:bottom w:val="nil"/>
              <w:right w:val="nil"/>
            </w:tcBorders>
            <w:shd w:val="clear" w:color="auto" w:fill="auto"/>
            <w:noWrap/>
            <w:vAlign w:val="bottom"/>
            <w:hideMark/>
          </w:tcPr>
          <w:p w14:paraId="0EF4BD61" w14:textId="77777777" w:rsidR="008C1F1E" w:rsidRPr="00C15373" w:rsidRDefault="008C1F1E">
            <w:pPr>
              <w:rPr>
                <w:sz w:val="18"/>
                <w:szCs w:val="18"/>
              </w:rPr>
            </w:pPr>
          </w:p>
        </w:tc>
        <w:tc>
          <w:tcPr>
            <w:tcW w:w="385" w:type="dxa"/>
            <w:tcBorders>
              <w:top w:val="nil"/>
              <w:left w:val="nil"/>
              <w:bottom w:val="nil"/>
              <w:right w:val="nil"/>
            </w:tcBorders>
            <w:shd w:val="clear" w:color="auto" w:fill="auto"/>
            <w:noWrap/>
            <w:vAlign w:val="bottom"/>
            <w:hideMark/>
          </w:tcPr>
          <w:p w14:paraId="5E11E078" w14:textId="77777777" w:rsidR="008C1F1E" w:rsidRPr="00C15373" w:rsidRDefault="008C1F1E">
            <w:pPr>
              <w:rPr>
                <w:sz w:val="18"/>
                <w:szCs w:val="18"/>
              </w:rPr>
            </w:pPr>
          </w:p>
        </w:tc>
        <w:tc>
          <w:tcPr>
            <w:tcW w:w="227" w:type="dxa"/>
            <w:tcBorders>
              <w:top w:val="nil"/>
              <w:left w:val="nil"/>
              <w:bottom w:val="nil"/>
              <w:right w:val="nil"/>
            </w:tcBorders>
            <w:shd w:val="clear" w:color="auto" w:fill="auto"/>
            <w:noWrap/>
            <w:vAlign w:val="bottom"/>
            <w:hideMark/>
          </w:tcPr>
          <w:p w14:paraId="6EDD3834"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37C21036" w14:textId="77777777" w:rsidR="008C1F1E" w:rsidRPr="00C15373" w:rsidRDefault="008C1F1E">
            <w:pPr>
              <w:rPr>
                <w:sz w:val="18"/>
                <w:szCs w:val="18"/>
              </w:rPr>
            </w:pPr>
          </w:p>
        </w:tc>
        <w:tc>
          <w:tcPr>
            <w:tcW w:w="337" w:type="dxa"/>
            <w:tcBorders>
              <w:top w:val="nil"/>
              <w:left w:val="nil"/>
              <w:bottom w:val="nil"/>
              <w:right w:val="nil"/>
            </w:tcBorders>
            <w:shd w:val="clear" w:color="auto" w:fill="auto"/>
            <w:noWrap/>
            <w:vAlign w:val="bottom"/>
            <w:hideMark/>
          </w:tcPr>
          <w:p w14:paraId="2AF4C20F" w14:textId="77777777" w:rsidR="008C1F1E" w:rsidRPr="00C15373" w:rsidRDefault="008C1F1E">
            <w:pPr>
              <w:rPr>
                <w:sz w:val="18"/>
                <w:szCs w:val="18"/>
              </w:rPr>
            </w:pPr>
          </w:p>
        </w:tc>
        <w:tc>
          <w:tcPr>
            <w:tcW w:w="732" w:type="dxa"/>
            <w:tcBorders>
              <w:top w:val="nil"/>
              <w:left w:val="nil"/>
              <w:bottom w:val="nil"/>
              <w:right w:val="nil"/>
            </w:tcBorders>
            <w:shd w:val="clear" w:color="auto" w:fill="auto"/>
            <w:noWrap/>
            <w:vAlign w:val="bottom"/>
            <w:hideMark/>
          </w:tcPr>
          <w:p w14:paraId="0AC57625" w14:textId="77777777" w:rsidR="008C1F1E" w:rsidRPr="00C15373" w:rsidRDefault="008C1F1E">
            <w:pPr>
              <w:rPr>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545221DD"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6DE9EC81" w14:textId="77777777" w:rsidR="008C1F1E" w:rsidRPr="00C15373" w:rsidRDefault="008C1F1E">
            <w:pPr>
              <w:rPr>
                <w:rFonts w:ascii="Segoe UI Light" w:hAnsi="Segoe UI Light" w:cs="Segoe UI Light"/>
                <w:color w:val="FFFFFF"/>
                <w:sz w:val="18"/>
                <w:szCs w:val="18"/>
              </w:rPr>
            </w:pPr>
          </w:p>
        </w:tc>
        <w:tc>
          <w:tcPr>
            <w:tcW w:w="1114" w:type="dxa"/>
            <w:vMerge/>
            <w:tcBorders>
              <w:top w:val="nil"/>
              <w:left w:val="single" w:sz="4" w:space="0" w:color="auto"/>
              <w:bottom w:val="single" w:sz="4" w:space="0" w:color="auto"/>
              <w:right w:val="single" w:sz="4" w:space="0" w:color="auto"/>
            </w:tcBorders>
            <w:vAlign w:val="center"/>
            <w:hideMark/>
          </w:tcPr>
          <w:p w14:paraId="42230D2B" w14:textId="77777777" w:rsidR="008C1F1E" w:rsidRPr="00C15373" w:rsidRDefault="008C1F1E">
            <w:pPr>
              <w:rPr>
                <w:rFonts w:ascii="Segoe UI Light" w:hAnsi="Segoe UI Light" w:cs="Segoe UI Light"/>
                <w:color w:val="FFFFFF"/>
                <w:sz w:val="18"/>
                <w:szCs w:val="18"/>
              </w:rPr>
            </w:pPr>
          </w:p>
        </w:tc>
        <w:tc>
          <w:tcPr>
            <w:tcW w:w="1003" w:type="dxa"/>
            <w:vMerge/>
            <w:tcBorders>
              <w:top w:val="nil"/>
              <w:left w:val="single" w:sz="4" w:space="0" w:color="auto"/>
              <w:bottom w:val="single" w:sz="4" w:space="0" w:color="auto"/>
              <w:right w:val="single" w:sz="4" w:space="0" w:color="auto"/>
            </w:tcBorders>
            <w:vAlign w:val="center"/>
            <w:hideMark/>
          </w:tcPr>
          <w:p w14:paraId="55BD11A6" w14:textId="77777777" w:rsidR="008C1F1E" w:rsidRPr="00C15373" w:rsidRDefault="008C1F1E">
            <w:pPr>
              <w:rPr>
                <w:rFonts w:ascii="Segoe UI Light" w:hAnsi="Segoe UI Light" w:cs="Segoe UI Light"/>
                <w:color w:val="FFFFFF"/>
                <w:sz w:val="18"/>
                <w:szCs w:val="18"/>
              </w:rPr>
            </w:pPr>
          </w:p>
        </w:tc>
        <w:tc>
          <w:tcPr>
            <w:tcW w:w="148" w:type="dxa"/>
            <w:tcBorders>
              <w:top w:val="nil"/>
              <w:left w:val="nil"/>
              <w:bottom w:val="nil"/>
              <w:right w:val="nil"/>
            </w:tcBorders>
            <w:shd w:val="clear" w:color="auto" w:fill="auto"/>
            <w:noWrap/>
            <w:vAlign w:val="bottom"/>
            <w:hideMark/>
          </w:tcPr>
          <w:p w14:paraId="515ADDC7" w14:textId="77777777" w:rsidR="008C1F1E" w:rsidRPr="00C15373" w:rsidRDefault="008C1F1E">
            <w:pPr>
              <w:rPr>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25FAF848"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2813A598"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14C47DFB" w14:textId="77777777" w:rsidR="008C1F1E" w:rsidRPr="00C15373" w:rsidRDefault="008C1F1E">
            <w:pPr>
              <w:rPr>
                <w:rFonts w:ascii="Segoe UI Light" w:hAnsi="Segoe UI Light" w:cs="Segoe UI Light"/>
                <w:color w:val="FFFFFF"/>
                <w:sz w:val="18"/>
                <w:szCs w:val="18"/>
              </w:rPr>
            </w:pPr>
          </w:p>
        </w:tc>
      </w:tr>
      <w:tr w:rsidR="008C1F1E" w:rsidRPr="00C15373" w14:paraId="49149982" w14:textId="77777777" w:rsidTr="00DE1611">
        <w:trPr>
          <w:trHeight w:val="282"/>
        </w:trPr>
        <w:tc>
          <w:tcPr>
            <w:tcW w:w="1135" w:type="dxa"/>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2F5" w14:textId="77777777" w:rsidR="008C1F1E" w:rsidRPr="00C15373" w:rsidRDefault="008C1F1E">
            <w:pPr>
              <w:jc w:val="center"/>
              <w:rPr>
                <w:rFonts w:ascii="Segoe UI Light" w:hAnsi="Segoe UI Light" w:cs="Segoe UI Light"/>
                <w:b/>
                <w:bCs/>
                <w:color w:val="000000"/>
                <w:sz w:val="18"/>
                <w:szCs w:val="18"/>
              </w:rPr>
            </w:pPr>
            <w:r w:rsidRPr="00C15373">
              <w:rPr>
                <w:rFonts w:ascii="Segoe UI Light" w:hAnsi="Segoe UI Light" w:cs="Segoe UI Light"/>
                <w:b/>
                <w:bCs/>
                <w:color w:val="000000"/>
                <w:sz w:val="18"/>
                <w:szCs w:val="18"/>
              </w:rPr>
              <w:t>Categoría de riesgo fiscal</w:t>
            </w:r>
          </w:p>
        </w:tc>
        <w:tc>
          <w:tcPr>
            <w:tcW w:w="1635" w:type="dxa"/>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98D78D" w14:textId="77777777" w:rsidR="008C1F1E" w:rsidRPr="00C15373" w:rsidRDefault="008C1F1E">
            <w:pPr>
              <w:jc w:val="center"/>
              <w:rPr>
                <w:rFonts w:ascii="Segoe UI Light" w:hAnsi="Segoe UI Light" w:cs="Segoe UI Light"/>
                <w:b/>
                <w:bCs/>
                <w:color w:val="000000"/>
                <w:sz w:val="18"/>
                <w:szCs w:val="18"/>
              </w:rPr>
            </w:pPr>
            <w:r w:rsidRPr="00C15373">
              <w:rPr>
                <w:rFonts w:ascii="Segoe UI Light" w:hAnsi="Segoe UI Light" w:cs="Segoe UI Light"/>
                <w:b/>
                <w:bCs/>
                <w:color w:val="000000"/>
                <w:sz w:val="18"/>
                <w:szCs w:val="18"/>
              </w:rPr>
              <w:t>Fuentes de riesgo fiscal</w:t>
            </w:r>
          </w:p>
        </w:tc>
        <w:tc>
          <w:tcPr>
            <w:tcW w:w="789" w:type="dxa"/>
            <w:vMerge/>
            <w:tcBorders>
              <w:top w:val="nil"/>
              <w:left w:val="single" w:sz="4" w:space="0" w:color="auto"/>
              <w:bottom w:val="single" w:sz="4" w:space="0" w:color="auto"/>
              <w:right w:val="single" w:sz="4" w:space="0" w:color="auto"/>
            </w:tcBorders>
            <w:vAlign w:val="center"/>
            <w:hideMark/>
          </w:tcPr>
          <w:p w14:paraId="6C921F0D"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3CBE260A" w14:textId="77777777" w:rsidR="008C1F1E" w:rsidRPr="00C15373" w:rsidRDefault="008C1F1E">
            <w:pPr>
              <w:rPr>
                <w:rFonts w:ascii="Segoe UI Light" w:hAnsi="Segoe UI Light" w:cs="Segoe UI Light"/>
                <w:color w:val="FFFFFF"/>
                <w:sz w:val="18"/>
                <w:szCs w:val="18"/>
              </w:rPr>
            </w:pPr>
          </w:p>
        </w:tc>
        <w:tc>
          <w:tcPr>
            <w:tcW w:w="1114" w:type="dxa"/>
            <w:vMerge/>
            <w:tcBorders>
              <w:top w:val="nil"/>
              <w:left w:val="single" w:sz="4" w:space="0" w:color="auto"/>
              <w:bottom w:val="single" w:sz="4" w:space="0" w:color="auto"/>
              <w:right w:val="single" w:sz="4" w:space="0" w:color="auto"/>
            </w:tcBorders>
            <w:vAlign w:val="center"/>
            <w:hideMark/>
          </w:tcPr>
          <w:p w14:paraId="65C63242" w14:textId="77777777" w:rsidR="008C1F1E" w:rsidRPr="00C15373" w:rsidRDefault="008C1F1E">
            <w:pPr>
              <w:rPr>
                <w:rFonts w:ascii="Segoe UI Light" w:hAnsi="Segoe UI Light" w:cs="Segoe UI Light"/>
                <w:color w:val="FFFFFF"/>
                <w:sz w:val="18"/>
                <w:szCs w:val="18"/>
              </w:rPr>
            </w:pPr>
          </w:p>
        </w:tc>
        <w:tc>
          <w:tcPr>
            <w:tcW w:w="1003" w:type="dxa"/>
            <w:vMerge/>
            <w:tcBorders>
              <w:top w:val="nil"/>
              <w:left w:val="single" w:sz="4" w:space="0" w:color="auto"/>
              <w:bottom w:val="single" w:sz="4" w:space="0" w:color="auto"/>
              <w:right w:val="single" w:sz="4" w:space="0" w:color="auto"/>
            </w:tcBorders>
            <w:vAlign w:val="center"/>
            <w:hideMark/>
          </w:tcPr>
          <w:p w14:paraId="7F830C01" w14:textId="77777777" w:rsidR="008C1F1E" w:rsidRPr="00C15373" w:rsidRDefault="008C1F1E">
            <w:pPr>
              <w:rPr>
                <w:rFonts w:ascii="Segoe UI Light" w:hAnsi="Segoe UI Light" w:cs="Segoe UI Light"/>
                <w:color w:val="FFFFFF"/>
                <w:sz w:val="18"/>
                <w:szCs w:val="18"/>
              </w:rPr>
            </w:pPr>
          </w:p>
        </w:tc>
        <w:tc>
          <w:tcPr>
            <w:tcW w:w="148" w:type="dxa"/>
            <w:tcBorders>
              <w:top w:val="nil"/>
              <w:left w:val="nil"/>
              <w:bottom w:val="nil"/>
              <w:right w:val="nil"/>
            </w:tcBorders>
            <w:shd w:val="clear" w:color="auto" w:fill="auto"/>
            <w:noWrap/>
            <w:vAlign w:val="bottom"/>
            <w:hideMark/>
          </w:tcPr>
          <w:p w14:paraId="61707022" w14:textId="77777777" w:rsidR="008C1F1E" w:rsidRPr="00C15373" w:rsidRDefault="008C1F1E">
            <w:pPr>
              <w:jc w:val="center"/>
              <w:rPr>
                <w:rFonts w:ascii="Segoe UI Light" w:hAnsi="Segoe UI Light" w:cs="Segoe UI Light"/>
                <w:b/>
                <w:bCs/>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318AA63D"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2F183C7E"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4FD56871" w14:textId="77777777" w:rsidR="008C1F1E" w:rsidRPr="00C15373" w:rsidRDefault="008C1F1E">
            <w:pPr>
              <w:rPr>
                <w:rFonts w:ascii="Segoe UI Light" w:hAnsi="Segoe UI Light" w:cs="Segoe UI Light"/>
                <w:color w:val="FFFFFF"/>
                <w:sz w:val="18"/>
                <w:szCs w:val="18"/>
              </w:rPr>
            </w:pPr>
          </w:p>
        </w:tc>
      </w:tr>
      <w:tr w:rsidR="008C1F1E" w:rsidRPr="00C15373" w14:paraId="29C167C6" w14:textId="77777777" w:rsidTr="00DE1611">
        <w:trPr>
          <w:trHeight w:val="282"/>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3651DDA1" w14:textId="77777777" w:rsidR="008C1F1E" w:rsidRPr="00C15373" w:rsidRDefault="008C1F1E">
            <w:pPr>
              <w:rPr>
                <w:rFonts w:ascii="Segoe UI Light" w:hAnsi="Segoe UI Light" w:cs="Segoe UI Light"/>
                <w:b/>
                <w:bCs/>
                <w:color w:val="000000"/>
                <w:sz w:val="18"/>
                <w:szCs w:val="18"/>
              </w:rPr>
            </w:pPr>
          </w:p>
        </w:tc>
        <w:tc>
          <w:tcPr>
            <w:tcW w:w="1635" w:type="dxa"/>
            <w:gridSpan w:val="4"/>
            <w:vMerge/>
            <w:tcBorders>
              <w:top w:val="single" w:sz="4" w:space="0" w:color="auto"/>
              <w:left w:val="single" w:sz="4" w:space="0" w:color="auto"/>
              <w:bottom w:val="single" w:sz="4" w:space="0" w:color="auto"/>
              <w:right w:val="single" w:sz="4" w:space="0" w:color="auto"/>
            </w:tcBorders>
            <w:vAlign w:val="center"/>
            <w:hideMark/>
          </w:tcPr>
          <w:p w14:paraId="7DB03550" w14:textId="77777777" w:rsidR="008C1F1E" w:rsidRPr="00C15373" w:rsidRDefault="008C1F1E">
            <w:pPr>
              <w:rPr>
                <w:rFonts w:ascii="Segoe UI Light" w:hAnsi="Segoe UI Light" w:cs="Segoe UI Light"/>
                <w:b/>
                <w:bCs/>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6BFA375E"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792B1458" w14:textId="77777777" w:rsidR="008C1F1E" w:rsidRPr="00C15373" w:rsidRDefault="008C1F1E">
            <w:pPr>
              <w:rPr>
                <w:rFonts w:ascii="Segoe UI Light" w:hAnsi="Segoe UI Light" w:cs="Segoe UI Light"/>
                <w:color w:val="FFFFFF"/>
                <w:sz w:val="18"/>
                <w:szCs w:val="18"/>
              </w:rPr>
            </w:pPr>
          </w:p>
        </w:tc>
        <w:tc>
          <w:tcPr>
            <w:tcW w:w="1114" w:type="dxa"/>
            <w:vMerge/>
            <w:tcBorders>
              <w:top w:val="nil"/>
              <w:left w:val="single" w:sz="4" w:space="0" w:color="auto"/>
              <w:bottom w:val="single" w:sz="4" w:space="0" w:color="auto"/>
              <w:right w:val="single" w:sz="4" w:space="0" w:color="auto"/>
            </w:tcBorders>
            <w:vAlign w:val="center"/>
            <w:hideMark/>
          </w:tcPr>
          <w:p w14:paraId="04B87646" w14:textId="77777777" w:rsidR="008C1F1E" w:rsidRPr="00C15373" w:rsidRDefault="008C1F1E">
            <w:pPr>
              <w:rPr>
                <w:rFonts w:ascii="Segoe UI Light" w:hAnsi="Segoe UI Light" w:cs="Segoe UI Light"/>
                <w:color w:val="FFFFFF"/>
                <w:sz w:val="18"/>
                <w:szCs w:val="18"/>
              </w:rPr>
            </w:pPr>
          </w:p>
        </w:tc>
        <w:tc>
          <w:tcPr>
            <w:tcW w:w="1003" w:type="dxa"/>
            <w:vMerge/>
            <w:tcBorders>
              <w:top w:val="nil"/>
              <w:left w:val="single" w:sz="4" w:space="0" w:color="auto"/>
              <w:bottom w:val="single" w:sz="4" w:space="0" w:color="auto"/>
              <w:right w:val="single" w:sz="4" w:space="0" w:color="auto"/>
            </w:tcBorders>
            <w:vAlign w:val="center"/>
            <w:hideMark/>
          </w:tcPr>
          <w:p w14:paraId="339E0A1C" w14:textId="77777777" w:rsidR="008C1F1E" w:rsidRPr="00C15373" w:rsidRDefault="008C1F1E">
            <w:pPr>
              <w:rPr>
                <w:rFonts w:ascii="Segoe UI Light" w:hAnsi="Segoe UI Light" w:cs="Segoe UI Light"/>
                <w:color w:val="FFFFFF"/>
                <w:sz w:val="18"/>
                <w:szCs w:val="18"/>
              </w:rPr>
            </w:pPr>
          </w:p>
        </w:tc>
        <w:tc>
          <w:tcPr>
            <w:tcW w:w="148" w:type="dxa"/>
            <w:tcBorders>
              <w:top w:val="nil"/>
              <w:left w:val="nil"/>
              <w:bottom w:val="nil"/>
              <w:right w:val="nil"/>
            </w:tcBorders>
            <w:shd w:val="clear" w:color="auto" w:fill="auto"/>
            <w:noWrap/>
            <w:vAlign w:val="bottom"/>
            <w:hideMark/>
          </w:tcPr>
          <w:p w14:paraId="50F6B43B" w14:textId="77777777" w:rsidR="008C1F1E" w:rsidRPr="00C15373" w:rsidRDefault="008C1F1E">
            <w:pPr>
              <w:rPr>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236D1008"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2A0CB928" w14:textId="77777777" w:rsidR="008C1F1E" w:rsidRPr="00C15373" w:rsidRDefault="008C1F1E">
            <w:pPr>
              <w:rPr>
                <w:rFonts w:ascii="Segoe UI Light" w:hAnsi="Segoe UI Light" w:cs="Segoe UI Light"/>
                <w:color w:val="FFFFFF"/>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4527FA7D" w14:textId="77777777" w:rsidR="008C1F1E" w:rsidRPr="00C15373" w:rsidRDefault="008C1F1E">
            <w:pPr>
              <w:rPr>
                <w:rFonts w:ascii="Segoe UI Light" w:hAnsi="Segoe UI Light" w:cs="Segoe UI Light"/>
                <w:color w:val="FFFFFF"/>
                <w:sz w:val="18"/>
                <w:szCs w:val="18"/>
              </w:rPr>
            </w:pPr>
          </w:p>
        </w:tc>
      </w:tr>
      <w:tr w:rsidR="008C1F1E" w:rsidRPr="00C15373" w14:paraId="249EA7DF" w14:textId="77777777" w:rsidTr="00DE1611">
        <w:trPr>
          <w:trHeight w:val="282"/>
        </w:trPr>
        <w:tc>
          <w:tcPr>
            <w:tcW w:w="1135" w:type="dxa"/>
            <w:gridSpan w:val="3"/>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7BB6F303" w14:textId="595B7983"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xml:space="preserve">Riesgos </w:t>
            </w:r>
            <w:proofErr w:type="spellStart"/>
            <w:r w:rsidRPr="00C15373">
              <w:rPr>
                <w:rFonts w:ascii="Segoe UI Light" w:hAnsi="Segoe UI Light" w:cs="Segoe UI Light"/>
                <w:color w:val="000000"/>
                <w:sz w:val="18"/>
                <w:szCs w:val="18"/>
              </w:rPr>
              <w:t>macro</w:t>
            </w:r>
            <w:r w:rsidR="00842054" w:rsidRPr="00C15373">
              <w:rPr>
                <w:rFonts w:ascii="Segoe UI Light" w:hAnsi="Segoe UI Light" w:cs="Segoe UI Light"/>
                <w:color w:val="000000"/>
                <w:sz w:val="18"/>
                <w:szCs w:val="18"/>
              </w:rPr>
              <w:t>-</w:t>
            </w:r>
            <w:r w:rsidRPr="00C15373">
              <w:rPr>
                <w:rFonts w:ascii="Segoe UI Light" w:hAnsi="Segoe UI Light" w:cs="Segoe UI Light"/>
                <w:color w:val="000000"/>
                <w:sz w:val="18"/>
                <w:szCs w:val="18"/>
              </w:rPr>
              <w:t>económicos</w:t>
            </w:r>
            <w:proofErr w:type="spellEnd"/>
          </w:p>
        </w:tc>
        <w:tc>
          <w:tcPr>
            <w:tcW w:w="16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5C35C" w14:textId="6B9FAE56" w:rsidR="008C1F1E" w:rsidRPr="00C15373" w:rsidRDefault="008C1F1E" w:rsidP="008C1F1E">
            <w:pPr>
              <w:rPr>
                <w:rFonts w:ascii="Segoe UI Light" w:hAnsi="Segoe UI Light" w:cs="Segoe UI Light"/>
                <w:color w:val="000000"/>
                <w:sz w:val="18"/>
                <w:szCs w:val="18"/>
              </w:rPr>
            </w:pPr>
            <w:r w:rsidRPr="00C15373">
              <w:rPr>
                <w:rFonts w:ascii="Segoe UI Light" w:hAnsi="Segoe UI Light" w:cs="Segoe UI Light"/>
                <w:color w:val="000000"/>
                <w:sz w:val="18"/>
                <w:szCs w:val="18"/>
              </w:rPr>
              <w:t xml:space="preserve">Riesgos </w:t>
            </w:r>
            <w:proofErr w:type="spellStart"/>
            <w:r w:rsidRPr="00C15373">
              <w:rPr>
                <w:rFonts w:ascii="Segoe UI Light" w:hAnsi="Segoe UI Light" w:cs="Segoe UI Light"/>
                <w:color w:val="000000"/>
                <w:sz w:val="18"/>
                <w:szCs w:val="18"/>
              </w:rPr>
              <w:t>macro</w:t>
            </w:r>
            <w:r w:rsidR="00D15483" w:rsidRPr="00C15373">
              <w:rPr>
                <w:rFonts w:ascii="Segoe UI Light" w:hAnsi="Segoe UI Light" w:cs="Segoe UI Light"/>
                <w:color w:val="000000"/>
                <w:sz w:val="18"/>
                <w:szCs w:val="18"/>
              </w:rPr>
              <w:t>-</w:t>
            </w:r>
            <w:r w:rsidRPr="00C15373">
              <w:rPr>
                <w:rFonts w:ascii="Segoe UI Light" w:hAnsi="Segoe UI Light" w:cs="Segoe UI Light"/>
                <w:color w:val="000000"/>
                <w:sz w:val="18"/>
                <w:szCs w:val="18"/>
              </w:rPr>
              <w:t>económicos</w:t>
            </w:r>
            <w:proofErr w:type="spellEnd"/>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47144"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A3D88"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114"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5875FBF"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VERDADERO</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11E51"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48" w:type="dxa"/>
            <w:tcBorders>
              <w:top w:val="nil"/>
              <w:left w:val="nil"/>
              <w:bottom w:val="nil"/>
              <w:right w:val="nil"/>
            </w:tcBorders>
            <w:shd w:val="clear" w:color="auto" w:fill="auto"/>
            <w:noWrap/>
            <w:vAlign w:val="bottom"/>
            <w:hideMark/>
          </w:tcPr>
          <w:p w14:paraId="3FA4F40D" w14:textId="77777777" w:rsidR="008C1F1E" w:rsidRPr="00C15373" w:rsidRDefault="008C1F1E">
            <w:pPr>
              <w:jc w:val="center"/>
              <w:rPr>
                <w:rFonts w:ascii="Segoe UI Light" w:hAnsi="Segoe UI Light" w:cs="Segoe UI Light"/>
                <w:color w:val="FFFFFF"/>
                <w:sz w:val="18"/>
                <w:szCs w:val="18"/>
              </w:rPr>
            </w:pP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6335C68"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CD8C5"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9C4F959"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r>
      <w:tr w:rsidR="008C1F1E" w:rsidRPr="00C15373" w14:paraId="2E758BEE" w14:textId="77777777" w:rsidTr="00DE1611">
        <w:trPr>
          <w:trHeight w:val="187"/>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759AD5FF" w14:textId="77777777" w:rsidR="008C1F1E" w:rsidRPr="00C15373" w:rsidRDefault="008C1F1E">
            <w:pPr>
              <w:rPr>
                <w:rFonts w:ascii="Segoe UI Light" w:hAnsi="Segoe UI Light" w:cs="Segoe UI Light"/>
                <w:color w:val="000000"/>
                <w:sz w:val="18"/>
                <w:szCs w:val="18"/>
              </w:rPr>
            </w:pPr>
          </w:p>
        </w:tc>
        <w:tc>
          <w:tcPr>
            <w:tcW w:w="1635" w:type="dxa"/>
            <w:gridSpan w:val="4"/>
            <w:vMerge/>
            <w:tcBorders>
              <w:top w:val="single" w:sz="4" w:space="0" w:color="auto"/>
              <w:left w:val="single" w:sz="4" w:space="0" w:color="auto"/>
              <w:bottom w:val="single" w:sz="4" w:space="0" w:color="auto"/>
              <w:right w:val="single" w:sz="4" w:space="0" w:color="auto"/>
            </w:tcBorders>
            <w:vAlign w:val="center"/>
            <w:hideMark/>
          </w:tcPr>
          <w:p w14:paraId="50109C7C" w14:textId="77777777" w:rsidR="008C1F1E" w:rsidRPr="00C15373" w:rsidRDefault="008C1F1E" w:rsidP="008C1F1E">
            <w:pPr>
              <w:jc w:val="center"/>
              <w:rPr>
                <w:rFonts w:ascii="Segoe UI Light" w:hAnsi="Segoe UI Light" w:cs="Segoe UI Light"/>
                <w:color w:val="00000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28501CD6"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246F04C7" w14:textId="77777777" w:rsidR="008C1F1E" w:rsidRPr="00C15373" w:rsidRDefault="008C1F1E">
            <w:pPr>
              <w:rPr>
                <w:rFonts w:ascii="Segoe UI Light" w:hAnsi="Segoe UI Light" w:cs="Segoe UI Light"/>
                <w:color w:val="FFFFFF"/>
                <w:sz w:val="18"/>
                <w:szCs w:val="18"/>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52170143" w14:textId="77777777" w:rsidR="008C1F1E" w:rsidRPr="00C15373" w:rsidRDefault="008C1F1E">
            <w:pPr>
              <w:rPr>
                <w:rFonts w:ascii="Segoe UI Light" w:hAnsi="Segoe UI Light" w:cs="Segoe UI Light"/>
                <w:color w:val="002060"/>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57983F4E" w14:textId="77777777" w:rsidR="008C1F1E" w:rsidRPr="00C15373" w:rsidRDefault="008C1F1E">
            <w:pPr>
              <w:rPr>
                <w:rFonts w:ascii="Segoe UI Light" w:hAnsi="Segoe UI Light" w:cs="Segoe UI Light"/>
                <w:color w:val="FFFFFF"/>
                <w:sz w:val="18"/>
                <w:szCs w:val="18"/>
              </w:rPr>
            </w:pPr>
          </w:p>
        </w:tc>
        <w:tc>
          <w:tcPr>
            <w:tcW w:w="148" w:type="dxa"/>
            <w:tcBorders>
              <w:top w:val="nil"/>
              <w:left w:val="nil"/>
              <w:bottom w:val="nil"/>
              <w:right w:val="nil"/>
            </w:tcBorders>
            <w:shd w:val="clear" w:color="auto" w:fill="auto"/>
            <w:noWrap/>
            <w:vAlign w:val="bottom"/>
            <w:hideMark/>
          </w:tcPr>
          <w:p w14:paraId="06C1769F" w14:textId="77777777" w:rsidR="008C1F1E" w:rsidRPr="00C15373" w:rsidRDefault="008C1F1E">
            <w:pPr>
              <w:jc w:val="center"/>
              <w:rPr>
                <w:rFonts w:ascii="Segoe UI Light" w:hAnsi="Segoe UI Light" w:cs="Segoe UI Light"/>
                <w:color w:val="00206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46F058B9" w14:textId="77777777" w:rsidR="008C1F1E" w:rsidRPr="00C15373" w:rsidRDefault="008C1F1E">
            <w:pPr>
              <w:rPr>
                <w:rFonts w:ascii="Segoe UI Light" w:hAnsi="Segoe UI Light" w:cs="Segoe UI Light"/>
                <w:color w:val="00206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0D889C6F"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4CE5FF07" w14:textId="77777777" w:rsidR="008C1F1E" w:rsidRPr="00C15373" w:rsidRDefault="008C1F1E">
            <w:pPr>
              <w:rPr>
                <w:rFonts w:ascii="Segoe UI Light" w:hAnsi="Segoe UI Light" w:cs="Segoe UI Light"/>
                <w:color w:val="002060"/>
                <w:sz w:val="18"/>
                <w:szCs w:val="18"/>
              </w:rPr>
            </w:pPr>
          </w:p>
        </w:tc>
      </w:tr>
      <w:tr w:rsidR="008C1F1E" w:rsidRPr="00C15373" w14:paraId="1704E6F9" w14:textId="77777777" w:rsidTr="00DE1611">
        <w:trPr>
          <w:trHeight w:val="282"/>
        </w:trPr>
        <w:tc>
          <w:tcPr>
            <w:tcW w:w="1135" w:type="dxa"/>
            <w:gridSpan w:val="3"/>
            <w:vMerge w:val="restart"/>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6E8601E0"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Riesgos específicos</w:t>
            </w:r>
          </w:p>
        </w:tc>
        <w:tc>
          <w:tcPr>
            <w:tcW w:w="16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2D51B" w14:textId="77777777" w:rsidR="008C1F1E" w:rsidRPr="00C15373" w:rsidRDefault="008C1F1E" w:rsidP="008C1F1E">
            <w:pPr>
              <w:rPr>
                <w:rFonts w:ascii="Segoe UI Light" w:hAnsi="Segoe UI Light" w:cs="Segoe UI Light"/>
                <w:color w:val="000000"/>
                <w:sz w:val="18"/>
                <w:szCs w:val="18"/>
              </w:rPr>
            </w:pPr>
            <w:r w:rsidRPr="00C15373">
              <w:rPr>
                <w:rFonts w:ascii="Segoe UI Light" w:hAnsi="Segoe UI Light" w:cs="Segoe UI Light"/>
                <w:color w:val="000000"/>
                <w:sz w:val="18"/>
                <w:szCs w:val="18"/>
              </w:rPr>
              <w:t>Empresas públicas</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6217B"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F601F"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114"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F876970"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VERDADERO</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4E846"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48" w:type="dxa"/>
            <w:tcBorders>
              <w:top w:val="nil"/>
              <w:left w:val="nil"/>
              <w:bottom w:val="nil"/>
              <w:right w:val="nil"/>
            </w:tcBorders>
            <w:shd w:val="clear" w:color="auto" w:fill="auto"/>
            <w:noWrap/>
            <w:vAlign w:val="bottom"/>
            <w:hideMark/>
          </w:tcPr>
          <w:p w14:paraId="50AF7F33" w14:textId="77777777" w:rsidR="008C1F1E" w:rsidRPr="00C15373" w:rsidRDefault="008C1F1E">
            <w:pPr>
              <w:jc w:val="center"/>
              <w:rPr>
                <w:rFonts w:ascii="Segoe UI Light" w:hAnsi="Segoe UI Light" w:cs="Segoe UI Light"/>
                <w:color w:val="FFFFFF"/>
                <w:sz w:val="18"/>
                <w:szCs w:val="18"/>
              </w:rPr>
            </w:pP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FA316"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081D9"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2293E"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r>
      <w:tr w:rsidR="008C1F1E" w:rsidRPr="00C15373" w14:paraId="71BA9809" w14:textId="77777777" w:rsidTr="00DE1611">
        <w:trPr>
          <w:trHeight w:val="56"/>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321DA1D2" w14:textId="77777777" w:rsidR="008C1F1E" w:rsidRPr="00C15373" w:rsidRDefault="008C1F1E">
            <w:pPr>
              <w:rPr>
                <w:rFonts w:ascii="Segoe UI Light" w:hAnsi="Segoe UI Light" w:cs="Segoe UI Light"/>
                <w:color w:val="000000"/>
                <w:sz w:val="18"/>
                <w:szCs w:val="18"/>
              </w:rPr>
            </w:pPr>
          </w:p>
        </w:tc>
        <w:tc>
          <w:tcPr>
            <w:tcW w:w="1635" w:type="dxa"/>
            <w:gridSpan w:val="4"/>
            <w:vMerge/>
            <w:tcBorders>
              <w:top w:val="single" w:sz="4" w:space="0" w:color="auto"/>
              <w:left w:val="single" w:sz="4" w:space="0" w:color="auto"/>
              <w:bottom w:val="single" w:sz="4" w:space="0" w:color="auto"/>
              <w:right w:val="single" w:sz="4" w:space="0" w:color="auto"/>
            </w:tcBorders>
            <w:vAlign w:val="center"/>
            <w:hideMark/>
          </w:tcPr>
          <w:p w14:paraId="35D5B414" w14:textId="77777777" w:rsidR="008C1F1E" w:rsidRPr="00C15373" w:rsidRDefault="008C1F1E" w:rsidP="008C1F1E">
            <w:pPr>
              <w:jc w:val="center"/>
              <w:rPr>
                <w:rFonts w:ascii="Segoe UI Light" w:hAnsi="Segoe UI Light" w:cs="Segoe UI Light"/>
                <w:color w:val="00000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626A4558"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21F33842" w14:textId="77777777" w:rsidR="008C1F1E" w:rsidRPr="00C15373" w:rsidRDefault="008C1F1E">
            <w:pPr>
              <w:rPr>
                <w:rFonts w:ascii="Segoe UI Light" w:hAnsi="Segoe UI Light" w:cs="Segoe UI Light"/>
                <w:color w:val="FFFFFF"/>
                <w:sz w:val="18"/>
                <w:szCs w:val="18"/>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0AC1F60D" w14:textId="77777777" w:rsidR="008C1F1E" w:rsidRPr="00C15373" w:rsidRDefault="008C1F1E">
            <w:pPr>
              <w:rPr>
                <w:rFonts w:ascii="Segoe UI Light" w:hAnsi="Segoe UI Light" w:cs="Segoe UI Light"/>
                <w:color w:val="002060"/>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4E08FB6E" w14:textId="77777777" w:rsidR="008C1F1E" w:rsidRPr="00C15373" w:rsidRDefault="008C1F1E">
            <w:pPr>
              <w:rPr>
                <w:rFonts w:ascii="Segoe UI Light" w:hAnsi="Segoe UI Light" w:cs="Segoe UI Light"/>
                <w:color w:val="FFFFFF"/>
                <w:sz w:val="18"/>
                <w:szCs w:val="18"/>
              </w:rPr>
            </w:pPr>
          </w:p>
        </w:tc>
        <w:tc>
          <w:tcPr>
            <w:tcW w:w="148" w:type="dxa"/>
            <w:tcBorders>
              <w:top w:val="nil"/>
              <w:left w:val="nil"/>
              <w:bottom w:val="nil"/>
              <w:right w:val="nil"/>
            </w:tcBorders>
            <w:shd w:val="clear" w:color="auto" w:fill="auto"/>
            <w:noWrap/>
            <w:vAlign w:val="bottom"/>
            <w:hideMark/>
          </w:tcPr>
          <w:p w14:paraId="49A29954" w14:textId="77777777" w:rsidR="008C1F1E" w:rsidRPr="00C15373" w:rsidRDefault="008C1F1E">
            <w:pPr>
              <w:jc w:val="cente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7DE11AB5"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3FCA80DF"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56BED33C" w14:textId="77777777" w:rsidR="008C1F1E" w:rsidRPr="00C15373" w:rsidRDefault="008C1F1E">
            <w:pPr>
              <w:rPr>
                <w:rFonts w:ascii="Segoe UI Light" w:hAnsi="Segoe UI Light" w:cs="Segoe UI Light"/>
                <w:color w:val="FFFFFF"/>
                <w:sz w:val="18"/>
                <w:szCs w:val="18"/>
              </w:rPr>
            </w:pPr>
          </w:p>
        </w:tc>
      </w:tr>
      <w:tr w:rsidR="008C1F1E" w:rsidRPr="00C15373" w14:paraId="13D7B0CB" w14:textId="77777777" w:rsidTr="00DE1611">
        <w:trPr>
          <w:trHeight w:val="282"/>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1E67790C" w14:textId="77777777" w:rsidR="008C1F1E" w:rsidRPr="00C15373" w:rsidRDefault="008C1F1E">
            <w:pPr>
              <w:rPr>
                <w:rFonts w:ascii="Segoe UI Light" w:hAnsi="Segoe UI Light" w:cs="Segoe UI Light"/>
                <w:color w:val="000000"/>
                <w:sz w:val="18"/>
                <w:szCs w:val="18"/>
              </w:rPr>
            </w:pPr>
          </w:p>
        </w:tc>
        <w:tc>
          <w:tcPr>
            <w:tcW w:w="16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B8ADE" w14:textId="77777777" w:rsidR="008C1F1E" w:rsidRPr="00C15373" w:rsidRDefault="008C1F1E" w:rsidP="008C1F1E">
            <w:pPr>
              <w:rPr>
                <w:rFonts w:ascii="Segoe UI Light" w:hAnsi="Segoe UI Light" w:cs="Segoe UI Light"/>
                <w:color w:val="000000"/>
                <w:sz w:val="18"/>
                <w:szCs w:val="18"/>
              </w:rPr>
            </w:pPr>
            <w:r w:rsidRPr="00C15373">
              <w:rPr>
                <w:rFonts w:ascii="Segoe UI Light" w:hAnsi="Segoe UI Light" w:cs="Segoe UI Light"/>
                <w:color w:val="000000"/>
                <w:sz w:val="18"/>
                <w:szCs w:val="18"/>
              </w:rPr>
              <w:t>Garantías del gobierno</w:t>
            </w: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2B2165"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ACE2C2"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11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3E665"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2A9A32"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148" w:type="dxa"/>
            <w:tcBorders>
              <w:top w:val="nil"/>
              <w:left w:val="nil"/>
              <w:bottom w:val="nil"/>
              <w:right w:val="nil"/>
            </w:tcBorders>
            <w:shd w:val="clear" w:color="auto" w:fill="auto"/>
            <w:noWrap/>
            <w:vAlign w:val="bottom"/>
            <w:hideMark/>
          </w:tcPr>
          <w:p w14:paraId="146A1A0D" w14:textId="77777777" w:rsidR="008C1F1E" w:rsidRPr="00C15373" w:rsidRDefault="008C1F1E">
            <w:pPr>
              <w:jc w:val="center"/>
              <w:rPr>
                <w:rFonts w:ascii="Segoe UI Light" w:hAnsi="Segoe UI Light" w:cs="Segoe UI Light"/>
                <w:color w:val="000000"/>
                <w:sz w:val="18"/>
                <w:szCs w:val="18"/>
              </w:rPr>
            </w:pP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762CCE"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A1C1A3"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8E6C26"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r>
      <w:tr w:rsidR="008C1F1E" w:rsidRPr="00C15373" w14:paraId="1827BE57" w14:textId="77777777" w:rsidTr="00DE1611">
        <w:trPr>
          <w:trHeight w:val="142"/>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54A61E0F" w14:textId="77777777" w:rsidR="008C1F1E" w:rsidRPr="00C15373" w:rsidRDefault="008C1F1E">
            <w:pPr>
              <w:rPr>
                <w:rFonts w:ascii="Segoe UI Light" w:hAnsi="Segoe UI Light" w:cs="Segoe UI Light"/>
                <w:color w:val="000000"/>
                <w:sz w:val="18"/>
                <w:szCs w:val="18"/>
              </w:rPr>
            </w:pPr>
          </w:p>
        </w:tc>
        <w:tc>
          <w:tcPr>
            <w:tcW w:w="1635" w:type="dxa"/>
            <w:gridSpan w:val="4"/>
            <w:vMerge/>
            <w:tcBorders>
              <w:top w:val="single" w:sz="4" w:space="0" w:color="auto"/>
              <w:left w:val="single" w:sz="4" w:space="0" w:color="auto"/>
              <w:bottom w:val="single" w:sz="4" w:space="0" w:color="auto"/>
              <w:right w:val="single" w:sz="4" w:space="0" w:color="auto"/>
            </w:tcBorders>
            <w:vAlign w:val="center"/>
            <w:hideMark/>
          </w:tcPr>
          <w:p w14:paraId="03DBF5C7" w14:textId="77777777" w:rsidR="008C1F1E" w:rsidRPr="00C15373" w:rsidRDefault="008C1F1E" w:rsidP="008C1F1E">
            <w:pPr>
              <w:jc w:val="cente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28707BFB" w14:textId="77777777" w:rsidR="008C1F1E" w:rsidRPr="00C15373" w:rsidRDefault="008C1F1E">
            <w:pP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7E5117DC" w14:textId="77777777" w:rsidR="008C1F1E" w:rsidRPr="00C15373" w:rsidRDefault="008C1F1E">
            <w:pPr>
              <w:rPr>
                <w:rFonts w:ascii="Segoe UI Light" w:hAnsi="Segoe UI Light" w:cs="Segoe UI Light"/>
                <w:color w:val="000000"/>
                <w:sz w:val="18"/>
                <w:szCs w:val="18"/>
              </w:rPr>
            </w:pPr>
          </w:p>
        </w:tc>
        <w:tc>
          <w:tcPr>
            <w:tcW w:w="1114" w:type="dxa"/>
            <w:vMerge/>
            <w:tcBorders>
              <w:top w:val="nil"/>
              <w:left w:val="single" w:sz="4" w:space="0" w:color="auto"/>
              <w:bottom w:val="single" w:sz="4" w:space="0" w:color="auto"/>
              <w:right w:val="single" w:sz="4" w:space="0" w:color="auto"/>
            </w:tcBorders>
            <w:vAlign w:val="center"/>
            <w:hideMark/>
          </w:tcPr>
          <w:p w14:paraId="080D3E4C" w14:textId="77777777" w:rsidR="008C1F1E" w:rsidRPr="00C15373" w:rsidRDefault="008C1F1E">
            <w:pPr>
              <w:rPr>
                <w:rFonts w:ascii="Segoe UI Light" w:hAnsi="Segoe UI Light" w:cs="Segoe UI Light"/>
                <w:color w:val="000000"/>
                <w:sz w:val="18"/>
                <w:szCs w:val="18"/>
              </w:rPr>
            </w:pPr>
          </w:p>
        </w:tc>
        <w:tc>
          <w:tcPr>
            <w:tcW w:w="1003" w:type="dxa"/>
            <w:vMerge/>
            <w:tcBorders>
              <w:top w:val="nil"/>
              <w:left w:val="single" w:sz="4" w:space="0" w:color="auto"/>
              <w:bottom w:val="single" w:sz="4" w:space="0" w:color="auto"/>
              <w:right w:val="single" w:sz="4" w:space="0" w:color="auto"/>
            </w:tcBorders>
            <w:vAlign w:val="center"/>
            <w:hideMark/>
          </w:tcPr>
          <w:p w14:paraId="7F1BA852" w14:textId="77777777" w:rsidR="008C1F1E" w:rsidRPr="00C15373" w:rsidRDefault="008C1F1E">
            <w:pPr>
              <w:rPr>
                <w:rFonts w:ascii="Segoe UI Light" w:hAnsi="Segoe UI Light" w:cs="Segoe UI Light"/>
                <w:color w:val="000000"/>
                <w:sz w:val="18"/>
                <w:szCs w:val="18"/>
              </w:rPr>
            </w:pPr>
          </w:p>
        </w:tc>
        <w:tc>
          <w:tcPr>
            <w:tcW w:w="148" w:type="dxa"/>
            <w:tcBorders>
              <w:top w:val="nil"/>
              <w:left w:val="nil"/>
              <w:bottom w:val="nil"/>
              <w:right w:val="nil"/>
            </w:tcBorders>
            <w:shd w:val="clear" w:color="auto" w:fill="auto"/>
            <w:noWrap/>
            <w:vAlign w:val="bottom"/>
            <w:hideMark/>
          </w:tcPr>
          <w:p w14:paraId="63155343" w14:textId="77777777" w:rsidR="008C1F1E" w:rsidRPr="00C15373" w:rsidRDefault="008C1F1E">
            <w:pPr>
              <w:jc w:val="cente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44282CBF" w14:textId="77777777" w:rsidR="008C1F1E" w:rsidRPr="00C15373" w:rsidRDefault="008C1F1E">
            <w:pP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54497B72" w14:textId="77777777" w:rsidR="008C1F1E" w:rsidRPr="00C15373" w:rsidRDefault="008C1F1E">
            <w:pP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22119903" w14:textId="77777777" w:rsidR="008C1F1E" w:rsidRPr="00C15373" w:rsidRDefault="008C1F1E">
            <w:pPr>
              <w:rPr>
                <w:rFonts w:ascii="Segoe UI Light" w:hAnsi="Segoe UI Light" w:cs="Segoe UI Light"/>
                <w:color w:val="000000"/>
                <w:sz w:val="18"/>
                <w:szCs w:val="18"/>
              </w:rPr>
            </w:pPr>
          </w:p>
        </w:tc>
      </w:tr>
      <w:tr w:rsidR="008C1F1E" w:rsidRPr="00C15373" w14:paraId="114682EC" w14:textId="77777777" w:rsidTr="00DE1611">
        <w:trPr>
          <w:trHeight w:val="282"/>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47BDD690" w14:textId="77777777" w:rsidR="008C1F1E" w:rsidRPr="00C15373" w:rsidRDefault="008C1F1E">
            <w:pPr>
              <w:rPr>
                <w:rFonts w:ascii="Segoe UI Light" w:hAnsi="Segoe UI Light" w:cs="Segoe UI Light"/>
                <w:color w:val="000000"/>
                <w:sz w:val="18"/>
                <w:szCs w:val="18"/>
              </w:rPr>
            </w:pPr>
          </w:p>
        </w:tc>
        <w:tc>
          <w:tcPr>
            <w:tcW w:w="16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D2CAD" w14:textId="77777777" w:rsidR="008C1F1E" w:rsidRPr="00C15373" w:rsidRDefault="008C1F1E" w:rsidP="008C1F1E">
            <w:pPr>
              <w:rPr>
                <w:rFonts w:ascii="Segoe UI Light" w:hAnsi="Segoe UI Light" w:cs="Segoe UI Light"/>
                <w:color w:val="000000"/>
                <w:sz w:val="18"/>
                <w:szCs w:val="18"/>
              </w:rPr>
            </w:pPr>
            <w:r w:rsidRPr="00C15373">
              <w:rPr>
                <w:rFonts w:ascii="Segoe UI Light" w:hAnsi="Segoe UI Light" w:cs="Segoe UI Light"/>
                <w:color w:val="000000"/>
                <w:sz w:val="18"/>
                <w:szCs w:val="18"/>
              </w:rPr>
              <w:t>Sector financiero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7C4EF"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D1AE7BB"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8C1C8"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003"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86EEF20" w14:textId="515D2CC3" w:rsidR="008C1F1E" w:rsidRPr="00C15373" w:rsidRDefault="008C1F1E" w:rsidP="00DE1611">
            <w:pP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148" w:type="dxa"/>
            <w:tcBorders>
              <w:top w:val="nil"/>
              <w:left w:val="nil"/>
              <w:bottom w:val="nil"/>
              <w:right w:val="nil"/>
            </w:tcBorders>
            <w:shd w:val="clear" w:color="auto" w:fill="auto"/>
            <w:noWrap/>
            <w:vAlign w:val="bottom"/>
            <w:hideMark/>
          </w:tcPr>
          <w:p w14:paraId="72D84D74" w14:textId="77777777" w:rsidR="008C1F1E" w:rsidRPr="00C15373" w:rsidRDefault="008C1F1E">
            <w:pPr>
              <w:jc w:val="center"/>
              <w:rPr>
                <w:rFonts w:ascii="Segoe UI Light" w:hAnsi="Segoe UI Light" w:cs="Segoe UI Light"/>
                <w:color w:val="002060"/>
                <w:sz w:val="18"/>
                <w:szCs w:val="18"/>
              </w:rPr>
            </w:pP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04922"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9011"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B7DB99D" w14:textId="71A4F84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r>
      <w:tr w:rsidR="008C1F1E" w:rsidRPr="00C15373" w14:paraId="0483DB21" w14:textId="77777777" w:rsidTr="00DE1611">
        <w:trPr>
          <w:trHeight w:val="56"/>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591944C4" w14:textId="77777777" w:rsidR="008C1F1E" w:rsidRPr="00C15373" w:rsidRDefault="008C1F1E">
            <w:pPr>
              <w:rPr>
                <w:rFonts w:ascii="Segoe UI Light" w:hAnsi="Segoe UI Light" w:cs="Segoe UI Light"/>
                <w:color w:val="000000"/>
                <w:sz w:val="18"/>
                <w:szCs w:val="18"/>
              </w:rPr>
            </w:pPr>
          </w:p>
        </w:tc>
        <w:tc>
          <w:tcPr>
            <w:tcW w:w="1635" w:type="dxa"/>
            <w:gridSpan w:val="4"/>
            <w:vMerge/>
            <w:tcBorders>
              <w:top w:val="single" w:sz="4" w:space="0" w:color="auto"/>
              <w:left w:val="single" w:sz="4" w:space="0" w:color="auto"/>
              <w:bottom w:val="single" w:sz="4" w:space="0" w:color="auto"/>
              <w:right w:val="single" w:sz="4" w:space="0" w:color="auto"/>
            </w:tcBorders>
            <w:vAlign w:val="center"/>
            <w:hideMark/>
          </w:tcPr>
          <w:p w14:paraId="396FF369" w14:textId="77777777" w:rsidR="008C1F1E" w:rsidRPr="00C15373" w:rsidRDefault="008C1F1E" w:rsidP="008C1F1E">
            <w:pPr>
              <w:jc w:val="center"/>
              <w:rPr>
                <w:rFonts w:ascii="Segoe UI Light" w:hAnsi="Segoe UI Light" w:cs="Segoe UI Light"/>
                <w:color w:val="00000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16D9E5AE"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404CF238" w14:textId="77777777" w:rsidR="008C1F1E" w:rsidRPr="00C15373" w:rsidRDefault="008C1F1E">
            <w:pPr>
              <w:rPr>
                <w:rFonts w:ascii="Segoe UI Light" w:hAnsi="Segoe UI Light" w:cs="Segoe UI Light"/>
                <w:color w:val="002060"/>
                <w:sz w:val="18"/>
                <w:szCs w:val="18"/>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62F5160C" w14:textId="77777777" w:rsidR="008C1F1E" w:rsidRPr="00C15373" w:rsidRDefault="008C1F1E">
            <w:pPr>
              <w:rPr>
                <w:rFonts w:ascii="Segoe UI Light" w:hAnsi="Segoe UI Light" w:cs="Segoe UI Light"/>
                <w:color w:val="FFFFFF"/>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6F5BC40A" w14:textId="77777777" w:rsidR="008C1F1E" w:rsidRPr="00C15373" w:rsidRDefault="008C1F1E">
            <w:pPr>
              <w:rPr>
                <w:rFonts w:ascii="Segoe UI Light" w:hAnsi="Segoe UI Light" w:cs="Segoe UI Light"/>
                <w:color w:val="002060"/>
                <w:sz w:val="18"/>
                <w:szCs w:val="18"/>
              </w:rPr>
            </w:pPr>
          </w:p>
        </w:tc>
        <w:tc>
          <w:tcPr>
            <w:tcW w:w="148" w:type="dxa"/>
            <w:tcBorders>
              <w:top w:val="nil"/>
              <w:left w:val="nil"/>
              <w:bottom w:val="nil"/>
              <w:right w:val="nil"/>
            </w:tcBorders>
            <w:shd w:val="clear" w:color="auto" w:fill="auto"/>
            <w:noWrap/>
            <w:vAlign w:val="bottom"/>
            <w:hideMark/>
          </w:tcPr>
          <w:p w14:paraId="2E7CB33D" w14:textId="77777777" w:rsidR="008C1F1E" w:rsidRPr="00C15373" w:rsidRDefault="008C1F1E">
            <w:pPr>
              <w:jc w:val="center"/>
              <w:rPr>
                <w:rFonts w:ascii="Segoe UI Light" w:hAnsi="Segoe UI Light" w:cs="Segoe UI Light"/>
                <w:color w:val="00206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00F4EB87"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4EFC4EA4"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4061D70D" w14:textId="77777777" w:rsidR="008C1F1E" w:rsidRPr="00C15373" w:rsidRDefault="008C1F1E">
            <w:pPr>
              <w:rPr>
                <w:rFonts w:ascii="Segoe UI Light" w:hAnsi="Segoe UI Light" w:cs="Segoe UI Light"/>
                <w:color w:val="002060"/>
                <w:sz w:val="18"/>
                <w:szCs w:val="18"/>
              </w:rPr>
            </w:pPr>
          </w:p>
        </w:tc>
      </w:tr>
      <w:tr w:rsidR="008C1F1E" w:rsidRPr="00C15373" w14:paraId="57CA80A6" w14:textId="77777777" w:rsidTr="00DE1611">
        <w:trPr>
          <w:trHeight w:val="282"/>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517A2674" w14:textId="77777777" w:rsidR="008C1F1E" w:rsidRPr="00C15373" w:rsidRDefault="008C1F1E">
            <w:pPr>
              <w:rPr>
                <w:rFonts w:ascii="Segoe UI Light" w:hAnsi="Segoe UI Light" w:cs="Segoe UI Light"/>
                <w:color w:val="000000"/>
                <w:sz w:val="18"/>
                <w:szCs w:val="18"/>
              </w:rPr>
            </w:pPr>
          </w:p>
        </w:tc>
        <w:tc>
          <w:tcPr>
            <w:tcW w:w="16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20316" w14:textId="77777777" w:rsidR="008C1F1E" w:rsidRPr="00C15373" w:rsidRDefault="008C1F1E" w:rsidP="008C1F1E">
            <w:pPr>
              <w:rPr>
                <w:rFonts w:ascii="Segoe UI Light" w:hAnsi="Segoe UI Light" w:cs="Segoe UI Light"/>
                <w:color w:val="000000"/>
                <w:sz w:val="18"/>
                <w:szCs w:val="18"/>
              </w:rPr>
            </w:pPr>
            <w:r w:rsidRPr="00C15373">
              <w:rPr>
                <w:rFonts w:ascii="Segoe UI Light" w:hAnsi="Segoe UI Light" w:cs="Segoe UI Light"/>
                <w:color w:val="000000"/>
                <w:sz w:val="18"/>
                <w:szCs w:val="18"/>
              </w:rPr>
              <w:t>Riesgos ambientales</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1DD3FC0"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3A402"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7B2EC"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003"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737EB8B"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148" w:type="dxa"/>
            <w:tcBorders>
              <w:top w:val="nil"/>
              <w:left w:val="nil"/>
              <w:bottom w:val="nil"/>
              <w:right w:val="nil"/>
            </w:tcBorders>
            <w:shd w:val="clear" w:color="auto" w:fill="auto"/>
            <w:noWrap/>
            <w:vAlign w:val="bottom"/>
            <w:hideMark/>
          </w:tcPr>
          <w:p w14:paraId="0753E4E1" w14:textId="77777777" w:rsidR="008C1F1E" w:rsidRPr="00C15373" w:rsidRDefault="008C1F1E">
            <w:pPr>
              <w:jc w:val="center"/>
              <w:rPr>
                <w:rFonts w:ascii="Segoe UI Light" w:hAnsi="Segoe UI Light" w:cs="Segoe UI Light"/>
                <w:color w:val="002060"/>
                <w:sz w:val="18"/>
                <w:szCs w:val="18"/>
              </w:rPr>
            </w:pP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88033C0"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94E2671"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62580C9"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r>
      <w:tr w:rsidR="008C1F1E" w:rsidRPr="00C15373" w14:paraId="7538A84C" w14:textId="77777777" w:rsidTr="00DE1611">
        <w:trPr>
          <w:trHeight w:val="141"/>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0EB65426" w14:textId="77777777" w:rsidR="008C1F1E" w:rsidRPr="00C15373" w:rsidRDefault="008C1F1E">
            <w:pPr>
              <w:rPr>
                <w:rFonts w:ascii="Segoe UI Light" w:hAnsi="Segoe UI Light" w:cs="Segoe UI Light"/>
                <w:color w:val="000000"/>
                <w:sz w:val="18"/>
                <w:szCs w:val="18"/>
              </w:rPr>
            </w:pPr>
          </w:p>
        </w:tc>
        <w:tc>
          <w:tcPr>
            <w:tcW w:w="1635" w:type="dxa"/>
            <w:gridSpan w:val="4"/>
            <w:vMerge/>
            <w:tcBorders>
              <w:top w:val="single" w:sz="4" w:space="0" w:color="auto"/>
              <w:left w:val="single" w:sz="4" w:space="0" w:color="auto"/>
              <w:bottom w:val="single" w:sz="4" w:space="0" w:color="auto"/>
              <w:right w:val="single" w:sz="4" w:space="0" w:color="auto"/>
            </w:tcBorders>
            <w:vAlign w:val="center"/>
            <w:hideMark/>
          </w:tcPr>
          <w:p w14:paraId="03C6E23E" w14:textId="77777777" w:rsidR="008C1F1E" w:rsidRPr="00C15373" w:rsidRDefault="008C1F1E" w:rsidP="008C1F1E">
            <w:pPr>
              <w:jc w:val="center"/>
              <w:rPr>
                <w:rFonts w:ascii="Segoe UI Light" w:hAnsi="Segoe UI Light" w:cs="Segoe UI Light"/>
                <w:color w:val="00000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7FE20CFB" w14:textId="77777777" w:rsidR="008C1F1E" w:rsidRPr="00C15373" w:rsidRDefault="008C1F1E">
            <w:pPr>
              <w:rPr>
                <w:rFonts w:ascii="Segoe UI Light" w:hAnsi="Segoe UI Light" w:cs="Segoe UI Light"/>
                <w:color w:val="00206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1E18FCAF" w14:textId="77777777" w:rsidR="008C1F1E" w:rsidRPr="00C15373" w:rsidRDefault="008C1F1E">
            <w:pPr>
              <w:rPr>
                <w:rFonts w:ascii="Segoe UI Light" w:hAnsi="Segoe UI Light" w:cs="Segoe UI Light"/>
                <w:color w:val="FFFFFF"/>
                <w:sz w:val="18"/>
                <w:szCs w:val="18"/>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3FA29706" w14:textId="77777777" w:rsidR="008C1F1E" w:rsidRPr="00C15373" w:rsidRDefault="008C1F1E">
            <w:pPr>
              <w:rPr>
                <w:rFonts w:ascii="Segoe UI Light" w:hAnsi="Segoe UI Light" w:cs="Segoe UI Light"/>
                <w:color w:val="FFFFFF"/>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5B8885AA" w14:textId="77777777" w:rsidR="008C1F1E" w:rsidRPr="00C15373" w:rsidRDefault="008C1F1E">
            <w:pPr>
              <w:rPr>
                <w:rFonts w:ascii="Segoe UI Light" w:hAnsi="Segoe UI Light" w:cs="Segoe UI Light"/>
                <w:color w:val="002060"/>
                <w:sz w:val="18"/>
                <w:szCs w:val="18"/>
              </w:rPr>
            </w:pPr>
          </w:p>
        </w:tc>
        <w:tc>
          <w:tcPr>
            <w:tcW w:w="148" w:type="dxa"/>
            <w:tcBorders>
              <w:top w:val="nil"/>
              <w:left w:val="nil"/>
              <w:bottom w:val="nil"/>
              <w:right w:val="nil"/>
            </w:tcBorders>
            <w:shd w:val="clear" w:color="auto" w:fill="auto"/>
            <w:noWrap/>
            <w:vAlign w:val="bottom"/>
            <w:hideMark/>
          </w:tcPr>
          <w:p w14:paraId="1F7CA559" w14:textId="77777777" w:rsidR="008C1F1E" w:rsidRPr="00C15373" w:rsidRDefault="008C1F1E">
            <w:pPr>
              <w:jc w:val="center"/>
              <w:rPr>
                <w:rFonts w:ascii="Segoe UI Light" w:hAnsi="Segoe UI Light" w:cs="Segoe UI Light"/>
                <w:color w:val="00206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0BE011F7" w14:textId="77777777" w:rsidR="008C1F1E" w:rsidRPr="00C15373" w:rsidRDefault="008C1F1E">
            <w:pPr>
              <w:rPr>
                <w:rFonts w:ascii="Segoe UI Light" w:hAnsi="Segoe UI Light" w:cs="Segoe UI Light"/>
                <w:color w:val="00206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2E1DE0E9" w14:textId="77777777" w:rsidR="008C1F1E" w:rsidRPr="00C15373" w:rsidRDefault="008C1F1E">
            <w:pPr>
              <w:rPr>
                <w:rFonts w:ascii="Segoe UI Light" w:hAnsi="Segoe UI Light" w:cs="Segoe UI Light"/>
                <w:color w:val="00206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4B4A1C9E" w14:textId="77777777" w:rsidR="008C1F1E" w:rsidRPr="00C15373" w:rsidRDefault="008C1F1E">
            <w:pPr>
              <w:rPr>
                <w:rFonts w:ascii="Segoe UI Light" w:hAnsi="Segoe UI Light" w:cs="Segoe UI Light"/>
                <w:color w:val="002060"/>
                <w:sz w:val="18"/>
                <w:szCs w:val="18"/>
              </w:rPr>
            </w:pPr>
          </w:p>
        </w:tc>
      </w:tr>
      <w:tr w:rsidR="008C1F1E" w:rsidRPr="00C15373" w14:paraId="12D391D9" w14:textId="77777777" w:rsidTr="00DE1611">
        <w:trPr>
          <w:trHeight w:val="282"/>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199D4FB7" w14:textId="77777777" w:rsidR="008C1F1E" w:rsidRPr="00C15373" w:rsidRDefault="008C1F1E">
            <w:pPr>
              <w:rPr>
                <w:rFonts w:ascii="Segoe UI Light" w:hAnsi="Segoe UI Light" w:cs="Segoe UI Light"/>
                <w:color w:val="000000"/>
                <w:sz w:val="18"/>
                <w:szCs w:val="18"/>
              </w:rPr>
            </w:pPr>
          </w:p>
        </w:tc>
        <w:tc>
          <w:tcPr>
            <w:tcW w:w="16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07ECBB" w14:textId="77777777" w:rsidR="008C1F1E" w:rsidRPr="00C15373" w:rsidRDefault="008C1F1E" w:rsidP="008C1F1E">
            <w:pPr>
              <w:rPr>
                <w:rFonts w:ascii="Segoe UI Light" w:hAnsi="Segoe UI Light" w:cs="Segoe UI Light"/>
                <w:color w:val="000000"/>
                <w:sz w:val="18"/>
                <w:szCs w:val="18"/>
              </w:rPr>
            </w:pPr>
            <w:r w:rsidRPr="00C15373">
              <w:rPr>
                <w:rFonts w:ascii="Segoe UI Light" w:hAnsi="Segoe UI Light" w:cs="Segoe UI Light"/>
                <w:color w:val="000000"/>
                <w:sz w:val="18"/>
                <w:szCs w:val="18"/>
              </w:rPr>
              <w:t>Acciones legales contra el Estado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1A631"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5AA1"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E8824"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82A7"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48" w:type="dxa"/>
            <w:tcBorders>
              <w:top w:val="nil"/>
              <w:left w:val="nil"/>
              <w:bottom w:val="nil"/>
              <w:right w:val="nil"/>
            </w:tcBorders>
            <w:shd w:val="clear" w:color="auto" w:fill="auto"/>
            <w:noWrap/>
            <w:vAlign w:val="bottom"/>
            <w:hideMark/>
          </w:tcPr>
          <w:p w14:paraId="0B7615A4" w14:textId="77777777" w:rsidR="008C1F1E" w:rsidRPr="00C15373" w:rsidRDefault="008C1F1E">
            <w:pPr>
              <w:jc w:val="center"/>
              <w:rPr>
                <w:rFonts w:ascii="Segoe UI Light" w:hAnsi="Segoe UI Light" w:cs="Segoe UI Light"/>
                <w:color w:val="FFFFFF"/>
                <w:sz w:val="18"/>
                <w:szCs w:val="18"/>
              </w:rPr>
            </w:pP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C28E74E"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E740D"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6F2F5"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r>
      <w:tr w:rsidR="008C1F1E" w:rsidRPr="00C15373" w14:paraId="5C14632F" w14:textId="77777777" w:rsidTr="00DE1611">
        <w:trPr>
          <w:trHeight w:val="81"/>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598EFA96" w14:textId="77777777" w:rsidR="008C1F1E" w:rsidRPr="00C15373" w:rsidRDefault="008C1F1E">
            <w:pPr>
              <w:rPr>
                <w:rFonts w:ascii="Segoe UI Light" w:hAnsi="Segoe UI Light" w:cs="Segoe UI Light"/>
                <w:color w:val="000000"/>
                <w:sz w:val="18"/>
                <w:szCs w:val="18"/>
              </w:rPr>
            </w:pPr>
          </w:p>
        </w:tc>
        <w:tc>
          <w:tcPr>
            <w:tcW w:w="1635" w:type="dxa"/>
            <w:gridSpan w:val="4"/>
            <w:vMerge/>
            <w:tcBorders>
              <w:top w:val="single" w:sz="4" w:space="0" w:color="auto"/>
              <w:left w:val="single" w:sz="4" w:space="0" w:color="auto"/>
              <w:bottom w:val="single" w:sz="4" w:space="0" w:color="auto"/>
              <w:right w:val="single" w:sz="4" w:space="0" w:color="auto"/>
            </w:tcBorders>
            <w:vAlign w:val="center"/>
            <w:hideMark/>
          </w:tcPr>
          <w:p w14:paraId="5D3034A4" w14:textId="77777777" w:rsidR="008C1F1E" w:rsidRPr="00C15373" w:rsidRDefault="008C1F1E" w:rsidP="008C1F1E">
            <w:pPr>
              <w:jc w:val="center"/>
              <w:rPr>
                <w:rFonts w:ascii="Segoe UI Light" w:hAnsi="Segoe UI Light" w:cs="Segoe UI Light"/>
                <w:color w:val="00000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1D6063DA"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15E367BB" w14:textId="77777777" w:rsidR="008C1F1E" w:rsidRPr="00C15373" w:rsidRDefault="008C1F1E">
            <w:pPr>
              <w:rPr>
                <w:rFonts w:ascii="Segoe UI Light" w:hAnsi="Segoe UI Light" w:cs="Segoe UI Light"/>
                <w:color w:val="FFFFFF"/>
                <w:sz w:val="18"/>
                <w:szCs w:val="18"/>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500F39FD" w14:textId="77777777" w:rsidR="008C1F1E" w:rsidRPr="00C15373" w:rsidRDefault="008C1F1E">
            <w:pPr>
              <w:rPr>
                <w:rFonts w:ascii="Segoe UI Light" w:hAnsi="Segoe UI Light" w:cs="Segoe UI Light"/>
                <w:color w:val="FFFFFF"/>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73307C91" w14:textId="77777777" w:rsidR="008C1F1E" w:rsidRPr="00C15373" w:rsidRDefault="008C1F1E">
            <w:pPr>
              <w:rPr>
                <w:rFonts w:ascii="Segoe UI Light" w:hAnsi="Segoe UI Light" w:cs="Segoe UI Light"/>
                <w:color w:val="FFFFFF"/>
                <w:sz w:val="18"/>
                <w:szCs w:val="18"/>
              </w:rPr>
            </w:pPr>
          </w:p>
        </w:tc>
        <w:tc>
          <w:tcPr>
            <w:tcW w:w="148" w:type="dxa"/>
            <w:tcBorders>
              <w:top w:val="nil"/>
              <w:left w:val="nil"/>
              <w:bottom w:val="nil"/>
              <w:right w:val="nil"/>
            </w:tcBorders>
            <w:shd w:val="clear" w:color="auto" w:fill="auto"/>
            <w:noWrap/>
            <w:vAlign w:val="bottom"/>
            <w:hideMark/>
          </w:tcPr>
          <w:p w14:paraId="2627C8D4" w14:textId="77777777" w:rsidR="008C1F1E" w:rsidRPr="00C15373" w:rsidRDefault="008C1F1E">
            <w:pPr>
              <w:jc w:val="cente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5F50341F" w14:textId="77777777" w:rsidR="008C1F1E" w:rsidRPr="00C15373" w:rsidRDefault="008C1F1E">
            <w:pPr>
              <w:rPr>
                <w:rFonts w:ascii="Segoe UI Light" w:hAnsi="Segoe UI Light" w:cs="Segoe UI Light"/>
                <w:color w:val="00206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22EC7190"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63CD7528" w14:textId="77777777" w:rsidR="008C1F1E" w:rsidRPr="00C15373" w:rsidRDefault="008C1F1E">
            <w:pPr>
              <w:rPr>
                <w:rFonts w:ascii="Segoe UI Light" w:hAnsi="Segoe UI Light" w:cs="Segoe UI Light"/>
                <w:color w:val="FFFFFF"/>
                <w:sz w:val="18"/>
                <w:szCs w:val="18"/>
              </w:rPr>
            </w:pPr>
          </w:p>
        </w:tc>
      </w:tr>
      <w:tr w:rsidR="008C1F1E" w:rsidRPr="00C15373" w14:paraId="6B740B6C" w14:textId="77777777" w:rsidTr="00DE1611">
        <w:trPr>
          <w:trHeight w:val="282"/>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152DF23F" w14:textId="77777777" w:rsidR="008C1F1E" w:rsidRPr="00C15373" w:rsidRDefault="008C1F1E">
            <w:pPr>
              <w:rPr>
                <w:rFonts w:ascii="Segoe UI Light" w:hAnsi="Segoe UI Light" w:cs="Segoe UI Light"/>
                <w:color w:val="000000"/>
                <w:sz w:val="18"/>
                <w:szCs w:val="18"/>
              </w:rPr>
            </w:pPr>
          </w:p>
        </w:tc>
        <w:tc>
          <w:tcPr>
            <w:tcW w:w="16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30B25" w14:textId="77777777" w:rsidR="008C1F1E" w:rsidRPr="00C15373" w:rsidRDefault="008C1F1E" w:rsidP="008C1F1E">
            <w:pPr>
              <w:rPr>
                <w:rFonts w:ascii="Segoe UI Light" w:hAnsi="Segoe UI Light" w:cs="Segoe UI Light"/>
                <w:color w:val="000000"/>
                <w:sz w:val="18"/>
                <w:szCs w:val="18"/>
              </w:rPr>
            </w:pPr>
            <w:r w:rsidRPr="00C15373">
              <w:rPr>
                <w:rFonts w:ascii="Segoe UI Light" w:hAnsi="Segoe UI Light" w:cs="Segoe UI Light"/>
                <w:color w:val="000000"/>
                <w:sz w:val="18"/>
                <w:szCs w:val="18"/>
              </w:rPr>
              <w:t>Gobiernos subnacionales</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5BF3D04"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494B399" w14:textId="77777777" w:rsidR="008C1F1E" w:rsidRPr="00C15373" w:rsidRDefault="008C1F1E">
            <w:pPr>
              <w:jc w:val="center"/>
              <w:rPr>
                <w:rFonts w:ascii="Segoe UI Light" w:hAnsi="Segoe UI Light" w:cs="Segoe UI Light"/>
                <w:color w:val="002060"/>
                <w:sz w:val="18"/>
                <w:szCs w:val="18"/>
              </w:rPr>
            </w:pPr>
            <w:r w:rsidRPr="00C15373">
              <w:rPr>
                <w:rFonts w:ascii="Segoe UI Light" w:hAnsi="Segoe UI Light" w:cs="Segoe UI Light"/>
                <w:color w:val="002060"/>
                <w:sz w:val="18"/>
                <w:szCs w:val="18"/>
              </w:rPr>
              <w:t>######</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AB2B2"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646C2"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148" w:type="dxa"/>
            <w:tcBorders>
              <w:top w:val="nil"/>
              <w:left w:val="nil"/>
              <w:bottom w:val="nil"/>
              <w:right w:val="nil"/>
            </w:tcBorders>
            <w:shd w:val="clear" w:color="auto" w:fill="auto"/>
            <w:noWrap/>
            <w:vAlign w:val="bottom"/>
            <w:hideMark/>
          </w:tcPr>
          <w:p w14:paraId="7EB5501F" w14:textId="77777777" w:rsidR="008C1F1E" w:rsidRPr="00C15373" w:rsidRDefault="008C1F1E">
            <w:pPr>
              <w:jc w:val="center"/>
              <w:rPr>
                <w:rFonts w:ascii="Segoe UI Light" w:hAnsi="Segoe UI Light" w:cs="Segoe UI Light"/>
                <w:color w:val="FFFFFF"/>
                <w:sz w:val="18"/>
                <w:szCs w:val="18"/>
              </w:rPr>
            </w:pP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FB8B0"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D027E"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56B58" w14:textId="77777777" w:rsidR="008C1F1E" w:rsidRPr="00C15373" w:rsidRDefault="008C1F1E">
            <w:pPr>
              <w:jc w:val="center"/>
              <w:rPr>
                <w:rFonts w:ascii="Segoe UI Light" w:hAnsi="Segoe UI Light" w:cs="Segoe UI Light"/>
                <w:color w:val="FFFFFF"/>
                <w:sz w:val="18"/>
                <w:szCs w:val="18"/>
              </w:rPr>
            </w:pPr>
            <w:r w:rsidRPr="00C15373">
              <w:rPr>
                <w:rFonts w:ascii="Segoe UI Light" w:hAnsi="Segoe UI Light" w:cs="Segoe UI Light"/>
                <w:color w:val="FFFFFF"/>
                <w:sz w:val="18"/>
                <w:szCs w:val="18"/>
              </w:rPr>
              <w:t>FALSO</w:t>
            </w:r>
          </w:p>
        </w:tc>
      </w:tr>
      <w:tr w:rsidR="008C1F1E" w:rsidRPr="00C15373" w14:paraId="2825BB39" w14:textId="77777777" w:rsidTr="00DE1611">
        <w:trPr>
          <w:trHeight w:val="56"/>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5DE72332" w14:textId="77777777" w:rsidR="008C1F1E" w:rsidRPr="00C15373" w:rsidRDefault="008C1F1E">
            <w:pPr>
              <w:rPr>
                <w:rFonts w:ascii="Segoe UI Light" w:hAnsi="Segoe UI Light" w:cs="Segoe UI Light"/>
                <w:color w:val="000000"/>
                <w:sz w:val="18"/>
                <w:szCs w:val="18"/>
              </w:rPr>
            </w:pPr>
          </w:p>
        </w:tc>
        <w:tc>
          <w:tcPr>
            <w:tcW w:w="1635" w:type="dxa"/>
            <w:gridSpan w:val="4"/>
            <w:vMerge/>
            <w:tcBorders>
              <w:top w:val="single" w:sz="4" w:space="0" w:color="auto"/>
              <w:left w:val="single" w:sz="4" w:space="0" w:color="auto"/>
              <w:bottom w:val="single" w:sz="4" w:space="0" w:color="auto"/>
              <w:right w:val="single" w:sz="4" w:space="0" w:color="auto"/>
            </w:tcBorders>
            <w:vAlign w:val="center"/>
            <w:hideMark/>
          </w:tcPr>
          <w:p w14:paraId="073E23D6" w14:textId="77777777" w:rsidR="008C1F1E" w:rsidRPr="00C15373" w:rsidRDefault="008C1F1E" w:rsidP="008C1F1E">
            <w:pPr>
              <w:jc w:val="center"/>
              <w:rPr>
                <w:rFonts w:ascii="Segoe UI Light" w:hAnsi="Segoe UI Light" w:cs="Segoe UI Light"/>
                <w:color w:val="00000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75F18714" w14:textId="77777777" w:rsidR="008C1F1E" w:rsidRPr="00C15373" w:rsidRDefault="008C1F1E">
            <w:pPr>
              <w:rPr>
                <w:rFonts w:ascii="Segoe UI Light" w:hAnsi="Segoe UI Light" w:cs="Segoe UI Light"/>
                <w:color w:val="002060"/>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4DD80F43" w14:textId="77777777" w:rsidR="008C1F1E" w:rsidRPr="00C15373" w:rsidRDefault="008C1F1E">
            <w:pPr>
              <w:rPr>
                <w:rFonts w:ascii="Segoe UI Light" w:hAnsi="Segoe UI Light" w:cs="Segoe UI Light"/>
                <w:color w:val="002060"/>
                <w:sz w:val="18"/>
                <w:szCs w:val="18"/>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74CE6710" w14:textId="77777777" w:rsidR="008C1F1E" w:rsidRPr="00C15373" w:rsidRDefault="008C1F1E">
            <w:pPr>
              <w:rPr>
                <w:rFonts w:ascii="Segoe UI Light" w:hAnsi="Segoe UI Light" w:cs="Segoe UI Light"/>
                <w:color w:val="FFFFFF"/>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2D54B5F8" w14:textId="77777777" w:rsidR="008C1F1E" w:rsidRPr="00C15373" w:rsidRDefault="008C1F1E">
            <w:pPr>
              <w:rPr>
                <w:rFonts w:ascii="Segoe UI Light" w:hAnsi="Segoe UI Light" w:cs="Segoe UI Light"/>
                <w:color w:val="FFFFFF"/>
                <w:sz w:val="18"/>
                <w:szCs w:val="18"/>
              </w:rPr>
            </w:pPr>
          </w:p>
        </w:tc>
        <w:tc>
          <w:tcPr>
            <w:tcW w:w="148" w:type="dxa"/>
            <w:tcBorders>
              <w:top w:val="nil"/>
              <w:left w:val="nil"/>
              <w:bottom w:val="nil"/>
              <w:right w:val="nil"/>
            </w:tcBorders>
            <w:shd w:val="clear" w:color="auto" w:fill="auto"/>
            <w:noWrap/>
            <w:vAlign w:val="bottom"/>
            <w:hideMark/>
          </w:tcPr>
          <w:p w14:paraId="25D5A6F7" w14:textId="77777777" w:rsidR="008C1F1E" w:rsidRPr="00C15373" w:rsidRDefault="008C1F1E">
            <w:pPr>
              <w:jc w:val="cente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10730A3B"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285C2B43" w14:textId="77777777" w:rsidR="008C1F1E" w:rsidRPr="00C15373" w:rsidRDefault="008C1F1E">
            <w:pPr>
              <w:rPr>
                <w:rFonts w:ascii="Segoe UI Light" w:hAnsi="Segoe UI Light" w:cs="Segoe UI Light"/>
                <w:color w:val="FFFFFF"/>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72F47B29" w14:textId="77777777" w:rsidR="008C1F1E" w:rsidRPr="00C15373" w:rsidRDefault="008C1F1E">
            <w:pPr>
              <w:rPr>
                <w:rFonts w:ascii="Segoe UI Light" w:hAnsi="Segoe UI Light" w:cs="Segoe UI Light"/>
                <w:color w:val="FFFFFF"/>
                <w:sz w:val="18"/>
                <w:szCs w:val="18"/>
              </w:rPr>
            </w:pPr>
          </w:p>
        </w:tc>
      </w:tr>
      <w:tr w:rsidR="008C1F1E" w:rsidRPr="00C15373" w14:paraId="7BB358A2" w14:textId="77777777" w:rsidTr="00DE1611">
        <w:trPr>
          <w:trHeight w:val="282"/>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4A8C3FC4" w14:textId="77777777" w:rsidR="008C1F1E" w:rsidRPr="00C15373" w:rsidRDefault="008C1F1E">
            <w:pPr>
              <w:rPr>
                <w:rFonts w:ascii="Segoe UI Light" w:hAnsi="Segoe UI Light" w:cs="Segoe UI Light"/>
                <w:color w:val="000000"/>
                <w:sz w:val="18"/>
                <w:szCs w:val="18"/>
              </w:rPr>
            </w:pPr>
          </w:p>
        </w:tc>
        <w:tc>
          <w:tcPr>
            <w:tcW w:w="16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715AD" w14:textId="77777777" w:rsidR="008C1F1E" w:rsidRPr="00C15373" w:rsidRDefault="008C1F1E" w:rsidP="008C1F1E">
            <w:pPr>
              <w:rPr>
                <w:rFonts w:ascii="Segoe UI Light" w:hAnsi="Segoe UI Light" w:cs="Segoe UI Light"/>
                <w:color w:val="000000"/>
                <w:sz w:val="18"/>
                <w:szCs w:val="18"/>
              </w:rPr>
            </w:pPr>
            <w:r w:rsidRPr="00C15373">
              <w:rPr>
                <w:rFonts w:ascii="Segoe UI Light" w:hAnsi="Segoe UI Light" w:cs="Segoe UI Light"/>
                <w:color w:val="000000"/>
                <w:sz w:val="18"/>
                <w:szCs w:val="18"/>
              </w:rPr>
              <w:t>Recursos naturales</w:t>
            </w: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874EA9"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E187CD"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11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23CA0A"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0AEA88"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148" w:type="dxa"/>
            <w:tcBorders>
              <w:top w:val="nil"/>
              <w:left w:val="nil"/>
              <w:bottom w:val="nil"/>
              <w:right w:val="nil"/>
            </w:tcBorders>
            <w:shd w:val="clear" w:color="auto" w:fill="auto"/>
            <w:noWrap/>
            <w:vAlign w:val="bottom"/>
            <w:hideMark/>
          </w:tcPr>
          <w:p w14:paraId="69D4117C" w14:textId="77777777" w:rsidR="008C1F1E" w:rsidRPr="00C15373" w:rsidRDefault="008C1F1E">
            <w:pPr>
              <w:jc w:val="center"/>
              <w:rPr>
                <w:rFonts w:ascii="Segoe UI Light" w:hAnsi="Segoe UI Light" w:cs="Segoe UI Light"/>
                <w:color w:val="000000"/>
                <w:sz w:val="18"/>
                <w:szCs w:val="18"/>
              </w:rPr>
            </w:pP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AFB717"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F9630"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c>
          <w:tcPr>
            <w:tcW w:w="7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01AF6B" w14:textId="77777777" w:rsidR="008C1F1E" w:rsidRPr="00C15373" w:rsidRDefault="008C1F1E">
            <w:pPr>
              <w:jc w:val="center"/>
              <w:rPr>
                <w:rFonts w:ascii="Segoe UI Light" w:hAnsi="Segoe UI Light" w:cs="Segoe UI Light"/>
                <w:color w:val="000000"/>
                <w:sz w:val="18"/>
                <w:szCs w:val="18"/>
              </w:rPr>
            </w:pPr>
            <w:r w:rsidRPr="00C15373">
              <w:rPr>
                <w:rFonts w:ascii="Segoe UI Light" w:hAnsi="Segoe UI Light" w:cs="Segoe UI Light"/>
                <w:color w:val="000000"/>
                <w:sz w:val="18"/>
                <w:szCs w:val="18"/>
              </w:rPr>
              <w:t> </w:t>
            </w:r>
          </w:p>
        </w:tc>
      </w:tr>
      <w:tr w:rsidR="008C1F1E" w:rsidRPr="00C15373" w14:paraId="31E18EC9" w14:textId="77777777" w:rsidTr="00DE1611">
        <w:trPr>
          <w:trHeight w:val="282"/>
        </w:trPr>
        <w:tc>
          <w:tcPr>
            <w:tcW w:w="1135" w:type="dxa"/>
            <w:gridSpan w:val="3"/>
            <w:vMerge/>
            <w:tcBorders>
              <w:top w:val="single" w:sz="4" w:space="0" w:color="auto"/>
              <w:left w:val="single" w:sz="4" w:space="0" w:color="auto"/>
              <w:bottom w:val="single" w:sz="4" w:space="0" w:color="auto"/>
              <w:right w:val="single" w:sz="4" w:space="0" w:color="auto"/>
            </w:tcBorders>
            <w:vAlign w:val="center"/>
            <w:hideMark/>
          </w:tcPr>
          <w:p w14:paraId="2A5C4AF8" w14:textId="77777777" w:rsidR="008C1F1E" w:rsidRPr="00C15373" w:rsidRDefault="008C1F1E">
            <w:pPr>
              <w:rPr>
                <w:rFonts w:ascii="Segoe UI Light" w:hAnsi="Segoe UI Light" w:cs="Segoe UI Light"/>
                <w:color w:val="000000"/>
                <w:sz w:val="18"/>
                <w:szCs w:val="18"/>
              </w:rPr>
            </w:pPr>
          </w:p>
        </w:tc>
        <w:tc>
          <w:tcPr>
            <w:tcW w:w="1635" w:type="dxa"/>
            <w:gridSpan w:val="4"/>
            <w:vMerge/>
            <w:tcBorders>
              <w:top w:val="single" w:sz="4" w:space="0" w:color="auto"/>
              <w:left w:val="single" w:sz="4" w:space="0" w:color="auto"/>
              <w:bottom w:val="single" w:sz="4" w:space="0" w:color="auto"/>
              <w:right w:val="single" w:sz="4" w:space="0" w:color="auto"/>
            </w:tcBorders>
            <w:vAlign w:val="center"/>
            <w:hideMark/>
          </w:tcPr>
          <w:p w14:paraId="31B4D959" w14:textId="77777777" w:rsidR="008C1F1E" w:rsidRPr="00C15373" w:rsidRDefault="008C1F1E">
            <w:pP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0202E93A" w14:textId="77777777" w:rsidR="008C1F1E" w:rsidRPr="00C15373" w:rsidRDefault="008C1F1E">
            <w:pP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44BA0AE5" w14:textId="77777777" w:rsidR="008C1F1E" w:rsidRPr="00C15373" w:rsidRDefault="008C1F1E">
            <w:pPr>
              <w:rPr>
                <w:rFonts w:ascii="Segoe UI Light" w:hAnsi="Segoe UI Light" w:cs="Segoe UI Light"/>
                <w:color w:val="000000"/>
                <w:sz w:val="18"/>
                <w:szCs w:val="18"/>
              </w:rPr>
            </w:pPr>
          </w:p>
        </w:tc>
        <w:tc>
          <w:tcPr>
            <w:tcW w:w="1114" w:type="dxa"/>
            <w:vMerge/>
            <w:tcBorders>
              <w:top w:val="nil"/>
              <w:left w:val="single" w:sz="4" w:space="0" w:color="auto"/>
              <w:bottom w:val="single" w:sz="4" w:space="0" w:color="auto"/>
              <w:right w:val="single" w:sz="4" w:space="0" w:color="auto"/>
            </w:tcBorders>
            <w:vAlign w:val="center"/>
            <w:hideMark/>
          </w:tcPr>
          <w:p w14:paraId="3040CF35" w14:textId="77777777" w:rsidR="008C1F1E" w:rsidRPr="00C15373" w:rsidRDefault="008C1F1E">
            <w:pPr>
              <w:rPr>
                <w:rFonts w:ascii="Segoe UI Light" w:hAnsi="Segoe UI Light" w:cs="Segoe UI Light"/>
                <w:color w:val="000000"/>
                <w:sz w:val="18"/>
                <w:szCs w:val="18"/>
              </w:rPr>
            </w:pPr>
          </w:p>
        </w:tc>
        <w:tc>
          <w:tcPr>
            <w:tcW w:w="1003" w:type="dxa"/>
            <w:vMerge/>
            <w:tcBorders>
              <w:top w:val="nil"/>
              <w:left w:val="single" w:sz="4" w:space="0" w:color="auto"/>
              <w:bottom w:val="single" w:sz="4" w:space="0" w:color="auto"/>
              <w:right w:val="single" w:sz="4" w:space="0" w:color="auto"/>
            </w:tcBorders>
            <w:vAlign w:val="center"/>
            <w:hideMark/>
          </w:tcPr>
          <w:p w14:paraId="4159F0D5" w14:textId="77777777" w:rsidR="008C1F1E" w:rsidRPr="00C15373" w:rsidRDefault="008C1F1E">
            <w:pPr>
              <w:rPr>
                <w:rFonts w:ascii="Segoe UI Light" w:hAnsi="Segoe UI Light" w:cs="Segoe UI Light"/>
                <w:color w:val="000000"/>
                <w:sz w:val="18"/>
                <w:szCs w:val="18"/>
              </w:rPr>
            </w:pPr>
          </w:p>
        </w:tc>
        <w:tc>
          <w:tcPr>
            <w:tcW w:w="148" w:type="dxa"/>
            <w:tcBorders>
              <w:top w:val="nil"/>
              <w:left w:val="nil"/>
              <w:bottom w:val="nil"/>
              <w:right w:val="nil"/>
            </w:tcBorders>
            <w:shd w:val="clear" w:color="auto" w:fill="auto"/>
            <w:noWrap/>
            <w:vAlign w:val="bottom"/>
            <w:hideMark/>
          </w:tcPr>
          <w:p w14:paraId="3278E748" w14:textId="77777777" w:rsidR="008C1F1E" w:rsidRPr="00C15373" w:rsidRDefault="008C1F1E" w:rsidP="00DE1611">
            <w:pP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634D8F12" w14:textId="77777777" w:rsidR="008C1F1E" w:rsidRPr="00C15373" w:rsidRDefault="008C1F1E">
            <w:pP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31767E2E" w14:textId="77777777" w:rsidR="008C1F1E" w:rsidRPr="00C15373" w:rsidRDefault="008C1F1E">
            <w:pPr>
              <w:rPr>
                <w:rFonts w:ascii="Segoe UI Light" w:hAnsi="Segoe UI Light" w:cs="Segoe UI Light"/>
                <w:color w:val="000000"/>
                <w:sz w:val="18"/>
                <w:szCs w:val="18"/>
              </w:rPr>
            </w:pPr>
          </w:p>
        </w:tc>
        <w:tc>
          <w:tcPr>
            <w:tcW w:w="789" w:type="dxa"/>
            <w:vMerge/>
            <w:tcBorders>
              <w:top w:val="nil"/>
              <w:left w:val="single" w:sz="4" w:space="0" w:color="auto"/>
              <w:bottom w:val="single" w:sz="4" w:space="0" w:color="auto"/>
              <w:right w:val="single" w:sz="4" w:space="0" w:color="auto"/>
            </w:tcBorders>
            <w:vAlign w:val="center"/>
            <w:hideMark/>
          </w:tcPr>
          <w:p w14:paraId="29D37FFB" w14:textId="77777777" w:rsidR="008C1F1E" w:rsidRPr="00C15373" w:rsidRDefault="008C1F1E">
            <w:pPr>
              <w:rPr>
                <w:rFonts w:ascii="Segoe UI Light" w:hAnsi="Segoe UI Light" w:cs="Segoe UI Light"/>
                <w:color w:val="000000"/>
                <w:sz w:val="18"/>
                <w:szCs w:val="18"/>
              </w:rPr>
            </w:pPr>
          </w:p>
        </w:tc>
      </w:tr>
    </w:tbl>
    <w:p w14:paraId="45696C21" w14:textId="12F0655E" w:rsidR="009A4D38" w:rsidRDefault="00DE1611" w:rsidP="008C1F1E">
      <w:pPr>
        <w:rPr>
          <w:sz w:val="16"/>
          <w:szCs w:val="16"/>
        </w:rPr>
      </w:pPr>
      <w:r>
        <w:rPr>
          <w:sz w:val="16"/>
          <w:szCs w:val="16"/>
        </w:rPr>
        <w:tab/>
      </w:r>
    </w:p>
    <w:p w14:paraId="7088B61D" w14:textId="27BAD426" w:rsidR="008C1F1E" w:rsidRDefault="008C1F1E" w:rsidP="008C1F1E">
      <w:pPr>
        <w:rPr>
          <w:sz w:val="16"/>
          <w:szCs w:val="16"/>
        </w:rPr>
      </w:pPr>
      <w:r w:rsidRPr="00721715">
        <w:rPr>
          <w:sz w:val="16"/>
          <w:szCs w:val="16"/>
        </w:rPr>
        <w:t xml:space="preserve">Fuente: DAPF haciendo uso de la herramienta analítica FRAT </w:t>
      </w:r>
    </w:p>
    <w:p w14:paraId="7791F26B" w14:textId="77777777" w:rsidR="00DE1611" w:rsidRDefault="00DE1611" w:rsidP="00D15483">
      <w:pPr>
        <w:jc w:val="both"/>
      </w:pPr>
    </w:p>
    <w:p w14:paraId="16522CF6" w14:textId="13C7EB13" w:rsidR="008C1F1E" w:rsidRDefault="008C1F1E" w:rsidP="00D15483">
      <w:pPr>
        <w:jc w:val="both"/>
      </w:pPr>
      <w:r>
        <w:t xml:space="preserve">Es importante </w:t>
      </w:r>
      <w:r w:rsidR="00D15483">
        <w:t xml:space="preserve">considerar que los riesgos evaluados cuentan con un análisis individual, donde se evalúa las particularidades del riesgo y donde se puede encontrar un mayor desglose de información. </w:t>
      </w:r>
    </w:p>
    <w:p w14:paraId="41E0E843" w14:textId="7865FBE9" w:rsidR="00244284" w:rsidRDefault="008C1F1E" w:rsidP="00660DE7">
      <w:r>
        <w:t xml:space="preserve"> </w:t>
      </w:r>
    </w:p>
    <w:p w14:paraId="4D79C095" w14:textId="77777777" w:rsidR="005F38A6" w:rsidRPr="00C36261" w:rsidRDefault="005F38A6" w:rsidP="00CC7591">
      <w:pPr>
        <w:pStyle w:val="Prrafodelista"/>
        <w:numPr>
          <w:ilvl w:val="0"/>
          <w:numId w:val="44"/>
        </w:numPr>
        <w:spacing w:line="259" w:lineRule="auto"/>
        <w:ind w:left="284" w:hanging="284"/>
        <w:jc w:val="both"/>
        <w:outlineLvl w:val="0"/>
        <w:rPr>
          <w:b/>
          <w:bCs/>
        </w:rPr>
      </w:pPr>
      <w:bookmarkStart w:id="14" w:name="_Toc83302152"/>
      <w:bookmarkStart w:id="15" w:name="_Toc114495232"/>
      <w:bookmarkStart w:id="16" w:name="_Toc144114346"/>
      <w:r w:rsidRPr="00C36261">
        <w:rPr>
          <w:b/>
          <w:bCs/>
        </w:rPr>
        <w:lastRenderedPageBreak/>
        <w:t>Riesgos Macroeconómicos</w:t>
      </w:r>
      <w:bookmarkEnd w:id="14"/>
      <w:bookmarkEnd w:id="15"/>
      <w:bookmarkEnd w:id="16"/>
    </w:p>
    <w:p w14:paraId="52DDF516" w14:textId="77777777" w:rsidR="005F38A6" w:rsidRDefault="005F38A6" w:rsidP="005F38A6">
      <w:pPr>
        <w:ind w:right="49"/>
        <w:jc w:val="both"/>
        <w:rPr>
          <w:lang w:val="es-ES"/>
        </w:rPr>
      </w:pPr>
    </w:p>
    <w:p w14:paraId="2810287B" w14:textId="77777777" w:rsidR="005F38A6" w:rsidRDefault="005F38A6" w:rsidP="005F38A6">
      <w:pPr>
        <w:ind w:right="49"/>
        <w:jc w:val="both"/>
        <w:rPr>
          <w:lang w:val="es-ES"/>
        </w:rPr>
      </w:pPr>
      <w:r w:rsidRPr="00ED483A">
        <w:rPr>
          <w:lang w:val="es-ES"/>
        </w:rPr>
        <w:t xml:space="preserve">Justo cuando los efectos de la pandemia COVID-19 estaban estabilizándose, surge el conflicto bélico entre Rusia y Ucrania, lo que </w:t>
      </w:r>
      <w:r>
        <w:rPr>
          <w:lang w:val="es-ES"/>
        </w:rPr>
        <w:t xml:space="preserve">provocó incertidumbre en la economía global. Aparte de la erosión del capital humano, la disminución de la oferta de materias primas de energía y de agricultura ocasionaron, en conjunto con las distorsiones en la cadena de suministro y otros factores, una alta inflación en la mayoría de economías del mundo. Para lo cual, los bancos centrales aumentaron sus tasas de interés con el fin de disminuir la inflación. Sin embargo, esto con el costo de contraer la oferta y la demanda agregada, disminuyendo también el crecimiento previsto de las economías en 2022 y en el presente año. Por lo que, en esta sección se analizan los riesgos en el sector externo, las desviaciones de la economía mundial e internacional, además, de los riesgos en la economía nacional y su impacto fiscal asociados al tipo de cambio, las tasas de interés, variaciones en los precios del petróleo y por el surgimiento de nuevas variantes de </w:t>
      </w:r>
      <w:r w:rsidRPr="00ED483A">
        <w:rPr>
          <w:lang w:val="es-ES"/>
        </w:rPr>
        <w:t>COVID-19</w:t>
      </w:r>
      <w:r>
        <w:rPr>
          <w:lang w:val="es-ES"/>
        </w:rPr>
        <w:t>.</w:t>
      </w:r>
    </w:p>
    <w:p w14:paraId="532664B5" w14:textId="77777777" w:rsidR="005F38A6" w:rsidRDefault="005F38A6" w:rsidP="005F38A6">
      <w:bookmarkStart w:id="17" w:name="_Toc83302153"/>
    </w:p>
    <w:p w14:paraId="73894892" w14:textId="77777777" w:rsidR="00AF445F" w:rsidRPr="00AF445F" w:rsidRDefault="00AF445F" w:rsidP="00AF445F">
      <w:pPr>
        <w:pStyle w:val="Prrafodelista"/>
        <w:keepNext/>
        <w:widowControl w:val="0"/>
        <w:numPr>
          <w:ilvl w:val="0"/>
          <w:numId w:val="35"/>
        </w:numPr>
        <w:contextualSpacing w:val="0"/>
        <w:outlineLvl w:val="1"/>
        <w:rPr>
          <w:rFonts w:eastAsiaTheme="minorHAnsi"/>
          <w:b/>
          <w:bCs/>
          <w:vanish/>
          <w:color w:val="000000"/>
          <w:lang w:eastAsia="en-US"/>
        </w:rPr>
      </w:pPr>
      <w:bookmarkStart w:id="18" w:name="_Toc143252172"/>
      <w:bookmarkStart w:id="19" w:name="_Toc143252316"/>
      <w:bookmarkStart w:id="20" w:name="_Toc143252458"/>
      <w:bookmarkStart w:id="21" w:name="_Toc143873988"/>
      <w:bookmarkStart w:id="22" w:name="_Toc143874133"/>
      <w:bookmarkStart w:id="23" w:name="_Toc144113899"/>
      <w:bookmarkStart w:id="24" w:name="_Toc144114057"/>
      <w:bookmarkStart w:id="25" w:name="_Toc144114203"/>
      <w:bookmarkStart w:id="26" w:name="_Toc144114347"/>
      <w:bookmarkStart w:id="27" w:name="_Toc114495233"/>
      <w:bookmarkStart w:id="28" w:name="_Hlk141955418"/>
      <w:bookmarkEnd w:id="18"/>
      <w:bookmarkEnd w:id="19"/>
      <w:bookmarkEnd w:id="20"/>
      <w:bookmarkEnd w:id="21"/>
      <w:bookmarkEnd w:id="22"/>
      <w:bookmarkEnd w:id="23"/>
      <w:bookmarkEnd w:id="24"/>
      <w:bookmarkEnd w:id="25"/>
      <w:bookmarkEnd w:id="26"/>
    </w:p>
    <w:p w14:paraId="02F24A3A" w14:textId="6B95F949" w:rsidR="005F38A6" w:rsidRPr="006014B3" w:rsidRDefault="005F38A6" w:rsidP="005F07F9">
      <w:pPr>
        <w:pStyle w:val="Ttulo2"/>
        <w:numPr>
          <w:ilvl w:val="1"/>
          <w:numId w:val="35"/>
        </w:numPr>
        <w:tabs>
          <w:tab w:val="left" w:pos="567"/>
        </w:tabs>
        <w:ind w:left="426" w:hanging="284"/>
        <w:rPr>
          <w:bCs/>
        </w:rPr>
      </w:pPr>
      <w:bookmarkStart w:id="29" w:name="_Toc144114348"/>
      <w:r w:rsidRPr="006014B3">
        <w:rPr>
          <w:bCs/>
        </w:rPr>
        <w:t>Riesgos en el sector externo. Desviaciones en los pronósticos de la economía mundial</w:t>
      </w:r>
      <w:bookmarkEnd w:id="17"/>
      <w:bookmarkEnd w:id="27"/>
      <w:bookmarkEnd w:id="29"/>
      <w:r w:rsidRPr="006014B3">
        <w:rPr>
          <w:bCs/>
        </w:rPr>
        <w:t xml:space="preserve"> </w:t>
      </w:r>
    </w:p>
    <w:bookmarkEnd w:id="28"/>
    <w:p w14:paraId="241637B6" w14:textId="77777777" w:rsidR="005F38A6" w:rsidRPr="00616E7C" w:rsidRDefault="005F38A6" w:rsidP="005F38A6">
      <w:pPr>
        <w:ind w:left="708" w:right="49" w:hanging="141"/>
        <w:jc w:val="both"/>
        <w:rPr>
          <w:color w:val="FF0000"/>
          <w:sz w:val="14"/>
          <w:szCs w:val="14"/>
        </w:rPr>
      </w:pPr>
    </w:p>
    <w:p w14:paraId="03641425" w14:textId="044EE136" w:rsidR="005F38A6" w:rsidRDefault="005F38A6" w:rsidP="005F38A6">
      <w:pPr>
        <w:ind w:right="49"/>
        <w:jc w:val="both"/>
        <w:rPr>
          <w:lang w:val="es-ES"/>
        </w:rPr>
      </w:pPr>
      <w:r>
        <w:rPr>
          <w:lang w:val="es-ES"/>
        </w:rPr>
        <w:t xml:space="preserve">De acuerdo a los pronósticos de crecimiento publicados por el Fondo Monetario Internacional -FMI-; se prevé que la economía mundial presente para el año en curso una senda moderada de crecimiento del 2.8 % en 2023, valor reportado en el informe más reciente de abril del presente año. Al comparar con el previsto para enero, se observa una reducción en 0.1 puntos porcentuales. Las economías de la Zona del </w:t>
      </w:r>
      <w:proofErr w:type="gramStart"/>
      <w:r>
        <w:rPr>
          <w:lang w:val="es-ES"/>
        </w:rPr>
        <w:t>Euro</w:t>
      </w:r>
      <w:proofErr w:type="gramEnd"/>
      <w:r>
        <w:rPr>
          <w:lang w:val="es-ES"/>
        </w:rPr>
        <w:t xml:space="preserve"> y las Economías Avanzadas señalan los pronósticos más bajos, con 0.8% y 1.3% respectivamente, debido en parte a los fuertes choques sobre los precios de los alimentos y de la energía, encausados por los rezagos de la Pandemia del COVID-19 y el conflicto entre Rusia y Ucrania. </w:t>
      </w:r>
    </w:p>
    <w:p w14:paraId="31657D73" w14:textId="77777777" w:rsidR="005F38A6" w:rsidRDefault="005F38A6" w:rsidP="005F38A6">
      <w:pPr>
        <w:ind w:right="49"/>
        <w:jc w:val="both"/>
        <w:rPr>
          <w:lang w:val="es-ES"/>
        </w:rPr>
      </w:pPr>
    </w:p>
    <w:p w14:paraId="1D8A6C7C" w14:textId="77777777" w:rsidR="005F38A6" w:rsidRPr="007B3CF6" w:rsidRDefault="005F38A6" w:rsidP="005F38A6">
      <w:pPr>
        <w:ind w:right="49"/>
        <w:jc w:val="both"/>
        <w:rPr>
          <w:lang w:val="es-ES"/>
        </w:rPr>
      </w:pPr>
      <w:r>
        <w:rPr>
          <w:lang w:val="es-ES"/>
        </w:rPr>
        <w:t>Por otra parte, las Economías Emergente y en Desarrollo, marcan una proyección de crecimiento del 3.9%, siendo China un gran impulsor del sector, puesto que está dejando atrás las interrupciones en la cadena de suministros y ha apostado por la reapertura y la comercialización con la región. También se espera observar en el corto plazo los efectos del endurecimiento de las políticas monetarias que los Bancos Centrales han impuesto como control de la inflación. Para el FMI, l</w:t>
      </w:r>
      <w:r w:rsidRPr="00032FEC">
        <w:rPr>
          <w:lang w:val="es-ES"/>
        </w:rPr>
        <w:t>a inflación global disminuirá,</w:t>
      </w:r>
      <w:r>
        <w:rPr>
          <w:lang w:val="es-ES"/>
        </w:rPr>
        <w:t xml:space="preserve"> </w:t>
      </w:r>
      <w:r w:rsidRPr="00032FEC">
        <w:rPr>
          <w:lang w:val="es-ES"/>
        </w:rPr>
        <w:t>aunque más lentamente de lo inicialmente previsto, desde</w:t>
      </w:r>
      <w:r>
        <w:rPr>
          <w:lang w:val="es-ES"/>
        </w:rPr>
        <w:t xml:space="preserve"> </w:t>
      </w:r>
      <w:r w:rsidRPr="00032FEC">
        <w:rPr>
          <w:lang w:val="es-ES"/>
        </w:rPr>
        <w:t>8</w:t>
      </w:r>
      <w:r>
        <w:rPr>
          <w:lang w:val="es-ES"/>
        </w:rPr>
        <w:t xml:space="preserve">.9% </w:t>
      </w:r>
      <w:r w:rsidRPr="00032FEC">
        <w:rPr>
          <w:lang w:val="es-ES"/>
        </w:rPr>
        <w:t xml:space="preserve">en 2022 a </w:t>
      </w:r>
      <w:r>
        <w:rPr>
          <w:lang w:val="es-ES"/>
        </w:rPr>
        <w:t xml:space="preserve">6.1% </w:t>
      </w:r>
      <w:r w:rsidRPr="00032FEC">
        <w:rPr>
          <w:lang w:val="es-ES"/>
        </w:rPr>
        <w:t>este año y 4</w:t>
      </w:r>
      <w:r>
        <w:rPr>
          <w:lang w:val="es-ES"/>
        </w:rPr>
        <w:t>.1%</w:t>
      </w:r>
      <w:r w:rsidRPr="00032FEC">
        <w:rPr>
          <w:lang w:val="es-ES"/>
        </w:rPr>
        <w:t xml:space="preserve"> en 2024.</w:t>
      </w:r>
      <w:r>
        <w:rPr>
          <w:lang w:val="es-ES"/>
        </w:rPr>
        <w:t xml:space="preserve"> </w:t>
      </w:r>
    </w:p>
    <w:p w14:paraId="494AAC38" w14:textId="77777777" w:rsidR="009A4D38" w:rsidRDefault="009A4D38" w:rsidP="005F38A6">
      <w:pPr>
        <w:ind w:right="49"/>
        <w:jc w:val="both"/>
        <w:rPr>
          <w:lang w:val="es-ES"/>
        </w:rPr>
      </w:pPr>
    </w:p>
    <w:p w14:paraId="24B7116C" w14:textId="6745BBFF" w:rsidR="009A4D38" w:rsidRPr="009A4D38" w:rsidRDefault="009A4D38" w:rsidP="009A4D38">
      <w:pPr>
        <w:pStyle w:val="Descripcin"/>
        <w:keepNext/>
        <w:rPr>
          <w:color w:val="auto"/>
        </w:rPr>
      </w:pPr>
      <w:bookmarkStart w:id="30" w:name="_Toc143593507"/>
      <w:r w:rsidRPr="009A4D38">
        <w:rPr>
          <w:color w:val="auto"/>
        </w:rPr>
        <w:t xml:space="preserve">Tabla </w:t>
      </w:r>
      <w:r w:rsidRPr="009A4D38">
        <w:rPr>
          <w:color w:val="auto"/>
        </w:rPr>
        <w:fldChar w:fldCharType="begin"/>
      </w:r>
      <w:r w:rsidRPr="009A4D38">
        <w:rPr>
          <w:color w:val="auto"/>
        </w:rPr>
        <w:instrText xml:space="preserve"> SEQ Tabla \* ARABIC </w:instrText>
      </w:r>
      <w:r w:rsidRPr="009A4D38">
        <w:rPr>
          <w:color w:val="auto"/>
        </w:rPr>
        <w:fldChar w:fldCharType="separate"/>
      </w:r>
      <w:r w:rsidR="00A62AFA">
        <w:rPr>
          <w:noProof/>
          <w:color w:val="auto"/>
        </w:rPr>
        <w:t>5</w:t>
      </w:r>
      <w:r w:rsidRPr="009A4D38">
        <w:rPr>
          <w:color w:val="auto"/>
        </w:rPr>
        <w:fldChar w:fldCharType="end"/>
      </w:r>
      <w:r w:rsidRPr="009A4D38">
        <w:rPr>
          <w:color w:val="auto"/>
        </w:rPr>
        <w:t xml:space="preserve">. </w:t>
      </w:r>
      <w:bookmarkStart w:id="31" w:name="_Toc114493924"/>
      <w:r w:rsidRPr="009A4D38">
        <w:rPr>
          <w:color w:val="auto"/>
        </w:rPr>
        <w:t>Evolución de proyecciones de crecimiento económico para 202</w:t>
      </w:r>
      <w:bookmarkEnd w:id="31"/>
      <w:r w:rsidRPr="009A4D38">
        <w:rPr>
          <w:color w:val="auto"/>
        </w:rPr>
        <w:t>3</w:t>
      </w:r>
      <w:bookmarkEnd w:id="30"/>
    </w:p>
    <w:tbl>
      <w:tblPr>
        <w:tblW w:w="5000" w:type="pct"/>
        <w:tblLook w:val="04A0" w:firstRow="1" w:lastRow="0" w:firstColumn="1" w:lastColumn="0" w:noHBand="0" w:noVBand="1"/>
      </w:tblPr>
      <w:tblGrid>
        <w:gridCol w:w="8838"/>
      </w:tblGrid>
      <w:tr w:rsidR="005F38A6" w14:paraId="2847F5EC" w14:textId="77777777" w:rsidTr="006A7377">
        <w:tc>
          <w:tcPr>
            <w:tcW w:w="5000" w:type="pct"/>
          </w:tcPr>
          <w:p w14:paraId="260BA865" w14:textId="77777777" w:rsidR="005F38A6" w:rsidRDefault="005F38A6" w:rsidP="009A4D38">
            <w:pPr>
              <w:ind w:right="49"/>
              <w:jc w:val="center"/>
            </w:pPr>
            <w:r w:rsidRPr="005D360B">
              <w:t>Porcentajes</w:t>
            </w:r>
          </w:p>
        </w:tc>
      </w:tr>
      <w:tr w:rsidR="005F38A6" w14:paraId="2B8DDAFA" w14:textId="77777777" w:rsidTr="006A7377">
        <w:tc>
          <w:tcPr>
            <w:tcW w:w="5000" w:type="pct"/>
          </w:tcPr>
          <w:p w14:paraId="6BB2204B" w14:textId="77777777" w:rsidR="005F38A6" w:rsidRDefault="005F38A6" w:rsidP="009A4D38">
            <w:pPr>
              <w:ind w:right="49"/>
              <w:jc w:val="center"/>
            </w:pPr>
            <w:r w:rsidRPr="005D360B">
              <w:t>Por fechas de revisión de proyecciones</w:t>
            </w:r>
          </w:p>
        </w:tc>
      </w:tr>
      <w:tr w:rsidR="005F38A6" w14:paraId="7D5C33DC" w14:textId="77777777" w:rsidTr="006A7377">
        <w:trPr>
          <w:trHeight w:val="1964"/>
        </w:trPr>
        <w:tc>
          <w:tcPr>
            <w:tcW w:w="5000" w:type="pct"/>
          </w:tcPr>
          <w:tbl>
            <w:tblPr>
              <w:tblW w:w="10080" w:type="dxa"/>
              <w:tblCellMar>
                <w:left w:w="70" w:type="dxa"/>
                <w:right w:w="70" w:type="dxa"/>
              </w:tblCellMar>
              <w:tblLook w:val="04A0" w:firstRow="1" w:lastRow="0" w:firstColumn="1" w:lastColumn="0" w:noHBand="0" w:noVBand="1"/>
            </w:tblPr>
            <w:tblGrid>
              <w:gridCol w:w="3645"/>
              <w:gridCol w:w="827"/>
              <w:gridCol w:w="828"/>
              <w:gridCol w:w="828"/>
              <w:gridCol w:w="828"/>
              <w:gridCol w:w="828"/>
              <w:gridCol w:w="828"/>
            </w:tblGrid>
            <w:tr w:rsidR="005F38A6" w:rsidRPr="00753F14" w14:paraId="5E73E416" w14:textId="77777777" w:rsidTr="006A7377">
              <w:trPr>
                <w:trHeight w:val="227"/>
              </w:trPr>
              <w:tc>
                <w:tcPr>
                  <w:tcW w:w="4320" w:type="dxa"/>
                  <w:tcBorders>
                    <w:top w:val="single" w:sz="4" w:space="0" w:color="auto"/>
                    <w:left w:val="single" w:sz="4" w:space="0" w:color="auto"/>
                    <w:bottom w:val="nil"/>
                    <w:right w:val="single" w:sz="4" w:space="0" w:color="auto"/>
                  </w:tcBorders>
                  <w:shd w:val="clear" w:color="000000" w:fill="95B3D7"/>
                  <w:noWrap/>
                  <w:vAlign w:val="center"/>
                  <w:hideMark/>
                </w:tcPr>
                <w:p w14:paraId="7C167ADD" w14:textId="77777777" w:rsidR="005F38A6" w:rsidRPr="00753F14" w:rsidRDefault="005F38A6" w:rsidP="006A7377">
                  <w:pPr>
                    <w:jc w:val="center"/>
                    <w:rPr>
                      <w:b/>
                      <w:bCs/>
                      <w:color w:val="000000"/>
                      <w:sz w:val="20"/>
                      <w:szCs w:val="20"/>
                    </w:rPr>
                  </w:pPr>
                  <w:r w:rsidRPr="00753F14">
                    <w:rPr>
                      <w:b/>
                      <w:bCs/>
                      <w:color w:val="000000"/>
                      <w:sz w:val="20"/>
                      <w:szCs w:val="20"/>
                    </w:rPr>
                    <w:t>Grupo</w:t>
                  </w:r>
                </w:p>
              </w:tc>
              <w:tc>
                <w:tcPr>
                  <w:tcW w:w="5760" w:type="dxa"/>
                  <w:gridSpan w:val="6"/>
                  <w:tcBorders>
                    <w:top w:val="single" w:sz="4" w:space="0" w:color="auto"/>
                    <w:left w:val="nil"/>
                    <w:bottom w:val="single" w:sz="4" w:space="0" w:color="auto"/>
                    <w:right w:val="single" w:sz="4" w:space="0" w:color="000000"/>
                  </w:tcBorders>
                  <w:shd w:val="clear" w:color="000000" w:fill="95B3D7"/>
                  <w:vAlign w:val="center"/>
                  <w:hideMark/>
                </w:tcPr>
                <w:p w14:paraId="05746C85" w14:textId="77777777" w:rsidR="005F38A6" w:rsidRPr="00753F14" w:rsidRDefault="005F38A6" w:rsidP="006A7377">
                  <w:pPr>
                    <w:jc w:val="center"/>
                    <w:rPr>
                      <w:b/>
                      <w:bCs/>
                      <w:color w:val="000000"/>
                      <w:sz w:val="20"/>
                      <w:szCs w:val="20"/>
                    </w:rPr>
                  </w:pPr>
                  <w:r w:rsidRPr="00753F14">
                    <w:rPr>
                      <w:b/>
                      <w:bCs/>
                      <w:color w:val="000000"/>
                      <w:sz w:val="20"/>
                      <w:szCs w:val="20"/>
                    </w:rPr>
                    <w:t>WEO</w:t>
                  </w:r>
                </w:p>
              </w:tc>
            </w:tr>
            <w:tr w:rsidR="005F38A6" w:rsidRPr="00753F14" w14:paraId="471DCFFB" w14:textId="77777777" w:rsidTr="006A7377">
              <w:trPr>
                <w:trHeight w:val="227"/>
              </w:trPr>
              <w:tc>
                <w:tcPr>
                  <w:tcW w:w="4320" w:type="dxa"/>
                  <w:tcBorders>
                    <w:top w:val="nil"/>
                    <w:left w:val="single" w:sz="4" w:space="0" w:color="auto"/>
                    <w:bottom w:val="single" w:sz="4" w:space="0" w:color="auto"/>
                    <w:right w:val="single" w:sz="4" w:space="0" w:color="auto"/>
                  </w:tcBorders>
                  <w:shd w:val="clear" w:color="000000" w:fill="95B3D7"/>
                  <w:noWrap/>
                  <w:vAlign w:val="center"/>
                  <w:hideMark/>
                </w:tcPr>
                <w:p w14:paraId="1F01FB8F" w14:textId="77777777" w:rsidR="005F38A6" w:rsidRPr="00753F14" w:rsidRDefault="005F38A6" w:rsidP="006A7377">
                  <w:pPr>
                    <w:jc w:val="center"/>
                    <w:rPr>
                      <w:b/>
                      <w:bCs/>
                      <w:color w:val="000000"/>
                      <w:sz w:val="20"/>
                      <w:szCs w:val="20"/>
                    </w:rPr>
                  </w:pPr>
                  <w:r w:rsidRPr="00753F14">
                    <w:rPr>
                      <w:b/>
                      <w:bCs/>
                      <w:color w:val="000000"/>
                      <w:sz w:val="20"/>
                      <w:szCs w:val="20"/>
                    </w:rPr>
                    <w:t> </w:t>
                  </w:r>
                </w:p>
              </w:tc>
              <w:tc>
                <w:tcPr>
                  <w:tcW w:w="960" w:type="dxa"/>
                  <w:tcBorders>
                    <w:top w:val="nil"/>
                    <w:left w:val="nil"/>
                    <w:bottom w:val="single" w:sz="4" w:space="0" w:color="auto"/>
                    <w:right w:val="single" w:sz="4" w:space="0" w:color="auto"/>
                  </w:tcBorders>
                  <w:shd w:val="clear" w:color="000000" w:fill="95B3D7"/>
                  <w:noWrap/>
                  <w:vAlign w:val="center"/>
                  <w:hideMark/>
                </w:tcPr>
                <w:p w14:paraId="2A1C4F14" w14:textId="77777777" w:rsidR="005F38A6" w:rsidRPr="00753F14" w:rsidRDefault="005F38A6" w:rsidP="006A7377">
                  <w:pPr>
                    <w:jc w:val="center"/>
                    <w:rPr>
                      <w:b/>
                      <w:bCs/>
                      <w:color w:val="000000"/>
                      <w:sz w:val="20"/>
                      <w:szCs w:val="20"/>
                    </w:rPr>
                  </w:pPr>
                  <w:r w:rsidRPr="00753F14">
                    <w:rPr>
                      <w:b/>
                      <w:bCs/>
                      <w:color w:val="000000"/>
                      <w:sz w:val="20"/>
                      <w:szCs w:val="20"/>
                    </w:rPr>
                    <w:t>01-2022</w:t>
                  </w:r>
                </w:p>
              </w:tc>
              <w:tc>
                <w:tcPr>
                  <w:tcW w:w="960" w:type="dxa"/>
                  <w:tcBorders>
                    <w:top w:val="nil"/>
                    <w:left w:val="nil"/>
                    <w:bottom w:val="single" w:sz="4" w:space="0" w:color="auto"/>
                    <w:right w:val="single" w:sz="4" w:space="0" w:color="auto"/>
                  </w:tcBorders>
                  <w:shd w:val="clear" w:color="000000" w:fill="95B3D7"/>
                  <w:noWrap/>
                  <w:vAlign w:val="center"/>
                  <w:hideMark/>
                </w:tcPr>
                <w:p w14:paraId="1B12799A" w14:textId="77777777" w:rsidR="005F38A6" w:rsidRPr="00753F14" w:rsidRDefault="005F38A6" w:rsidP="006A7377">
                  <w:pPr>
                    <w:jc w:val="center"/>
                    <w:rPr>
                      <w:b/>
                      <w:bCs/>
                      <w:color w:val="000000"/>
                      <w:sz w:val="20"/>
                      <w:szCs w:val="20"/>
                    </w:rPr>
                  </w:pPr>
                  <w:r w:rsidRPr="00753F14">
                    <w:rPr>
                      <w:b/>
                      <w:bCs/>
                      <w:color w:val="000000"/>
                      <w:sz w:val="20"/>
                      <w:szCs w:val="20"/>
                    </w:rPr>
                    <w:t>04-2022</w:t>
                  </w:r>
                </w:p>
              </w:tc>
              <w:tc>
                <w:tcPr>
                  <w:tcW w:w="960" w:type="dxa"/>
                  <w:tcBorders>
                    <w:top w:val="nil"/>
                    <w:left w:val="nil"/>
                    <w:bottom w:val="single" w:sz="4" w:space="0" w:color="auto"/>
                    <w:right w:val="single" w:sz="4" w:space="0" w:color="auto"/>
                  </w:tcBorders>
                  <w:shd w:val="clear" w:color="000000" w:fill="95B3D7"/>
                  <w:noWrap/>
                  <w:vAlign w:val="center"/>
                  <w:hideMark/>
                </w:tcPr>
                <w:p w14:paraId="2ECFB96D" w14:textId="77777777" w:rsidR="005F38A6" w:rsidRPr="00753F14" w:rsidRDefault="005F38A6" w:rsidP="006A7377">
                  <w:pPr>
                    <w:jc w:val="center"/>
                    <w:rPr>
                      <w:b/>
                      <w:bCs/>
                      <w:color w:val="000000"/>
                      <w:sz w:val="20"/>
                      <w:szCs w:val="20"/>
                    </w:rPr>
                  </w:pPr>
                  <w:r w:rsidRPr="00753F14">
                    <w:rPr>
                      <w:b/>
                      <w:bCs/>
                      <w:color w:val="000000"/>
                      <w:sz w:val="20"/>
                      <w:szCs w:val="20"/>
                    </w:rPr>
                    <w:t>07-2022</w:t>
                  </w:r>
                </w:p>
              </w:tc>
              <w:tc>
                <w:tcPr>
                  <w:tcW w:w="960" w:type="dxa"/>
                  <w:tcBorders>
                    <w:top w:val="nil"/>
                    <w:left w:val="nil"/>
                    <w:bottom w:val="single" w:sz="4" w:space="0" w:color="auto"/>
                    <w:right w:val="single" w:sz="4" w:space="0" w:color="auto"/>
                  </w:tcBorders>
                  <w:shd w:val="clear" w:color="000000" w:fill="95B3D7"/>
                  <w:noWrap/>
                  <w:vAlign w:val="center"/>
                  <w:hideMark/>
                </w:tcPr>
                <w:p w14:paraId="72095214" w14:textId="77777777" w:rsidR="005F38A6" w:rsidRPr="00753F14" w:rsidRDefault="005F38A6" w:rsidP="006A7377">
                  <w:pPr>
                    <w:jc w:val="center"/>
                    <w:rPr>
                      <w:b/>
                      <w:bCs/>
                      <w:color w:val="000000"/>
                      <w:sz w:val="20"/>
                      <w:szCs w:val="20"/>
                    </w:rPr>
                  </w:pPr>
                  <w:r w:rsidRPr="00753F14">
                    <w:rPr>
                      <w:b/>
                      <w:bCs/>
                      <w:color w:val="000000"/>
                      <w:sz w:val="20"/>
                      <w:szCs w:val="20"/>
                    </w:rPr>
                    <w:t>10-2022</w:t>
                  </w:r>
                </w:p>
              </w:tc>
              <w:tc>
                <w:tcPr>
                  <w:tcW w:w="960" w:type="dxa"/>
                  <w:tcBorders>
                    <w:top w:val="nil"/>
                    <w:left w:val="nil"/>
                    <w:bottom w:val="single" w:sz="4" w:space="0" w:color="auto"/>
                    <w:right w:val="single" w:sz="4" w:space="0" w:color="auto"/>
                  </w:tcBorders>
                  <w:shd w:val="clear" w:color="000000" w:fill="95B3D7"/>
                  <w:noWrap/>
                  <w:vAlign w:val="center"/>
                  <w:hideMark/>
                </w:tcPr>
                <w:p w14:paraId="6A9EAE0B" w14:textId="77777777" w:rsidR="005F38A6" w:rsidRPr="00753F14" w:rsidRDefault="005F38A6" w:rsidP="006A7377">
                  <w:pPr>
                    <w:jc w:val="center"/>
                    <w:rPr>
                      <w:b/>
                      <w:bCs/>
                      <w:color w:val="000000"/>
                      <w:sz w:val="20"/>
                      <w:szCs w:val="20"/>
                    </w:rPr>
                  </w:pPr>
                  <w:r w:rsidRPr="00753F14">
                    <w:rPr>
                      <w:b/>
                      <w:bCs/>
                      <w:color w:val="000000"/>
                      <w:sz w:val="20"/>
                      <w:szCs w:val="20"/>
                    </w:rPr>
                    <w:t>01-2023</w:t>
                  </w:r>
                </w:p>
              </w:tc>
              <w:tc>
                <w:tcPr>
                  <w:tcW w:w="960" w:type="dxa"/>
                  <w:tcBorders>
                    <w:top w:val="nil"/>
                    <w:left w:val="nil"/>
                    <w:bottom w:val="single" w:sz="4" w:space="0" w:color="auto"/>
                    <w:right w:val="single" w:sz="4" w:space="0" w:color="auto"/>
                  </w:tcBorders>
                  <w:shd w:val="clear" w:color="000000" w:fill="95B3D7"/>
                  <w:noWrap/>
                  <w:vAlign w:val="center"/>
                  <w:hideMark/>
                </w:tcPr>
                <w:p w14:paraId="6487C1AC" w14:textId="77777777" w:rsidR="005F38A6" w:rsidRPr="00753F14" w:rsidRDefault="005F38A6" w:rsidP="006A7377">
                  <w:pPr>
                    <w:jc w:val="center"/>
                    <w:rPr>
                      <w:b/>
                      <w:bCs/>
                      <w:color w:val="000000"/>
                      <w:sz w:val="20"/>
                      <w:szCs w:val="20"/>
                    </w:rPr>
                  </w:pPr>
                  <w:r w:rsidRPr="00753F14">
                    <w:rPr>
                      <w:b/>
                      <w:bCs/>
                      <w:color w:val="000000"/>
                      <w:sz w:val="20"/>
                      <w:szCs w:val="20"/>
                    </w:rPr>
                    <w:t>04-2023</w:t>
                  </w:r>
                </w:p>
              </w:tc>
            </w:tr>
            <w:tr w:rsidR="005F38A6" w:rsidRPr="00753F14" w14:paraId="50B3615B" w14:textId="77777777" w:rsidTr="006A7377">
              <w:trPr>
                <w:trHeight w:val="227"/>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DC0AA9F" w14:textId="77777777" w:rsidR="005F38A6" w:rsidRPr="00753F14" w:rsidRDefault="005F38A6" w:rsidP="006A7377">
                  <w:pPr>
                    <w:rPr>
                      <w:color w:val="000000"/>
                      <w:sz w:val="20"/>
                      <w:szCs w:val="20"/>
                    </w:rPr>
                  </w:pPr>
                  <w:r w:rsidRPr="00753F14">
                    <w:rPr>
                      <w:color w:val="000000"/>
                      <w:sz w:val="20"/>
                      <w:szCs w:val="20"/>
                    </w:rPr>
                    <w:t>Mundo</w:t>
                  </w:r>
                </w:p>
              </w:tc>
              <w:tc>
                <w:tcPr>
                  <w:tcW w:w="960" w:type="dxa"/>
                  <w:tcBorders>
                    <w:top w:val="nil"/>
                    <w:left w:val="nil"/>
                    <w:bottom w:val="single" w:sz="4" w:space="0" w:color="auto"/>
                    <w:right w:val="single" w:sz="4" w:space="0" w:color="auto"/>
                  </w:tcBorders>
                  <w:shd w:val="clear" w:color="auto" w:fill="auto"/>
                  <w:noWrap/>
                  <w:vAlign w:val="center"/>
                  <w:hideMark/>
                </w:tcPr>
                <w:p w14:paraId="435E78D1" w14:textId="77777777" w:rsidR="005F38A6" w:rsidRPr="00753F14" w:rsidRDefault="005F38A6" w:rsidP="006A7377">
                  <w:pPr>
                    <w:jc w:val="center"/>
                    <w:rPr>
                      <w:color w:val="000000"/>
                      <w:sz w:val="20"/>
                      <w:szCs w:val="20"/>
                    </w:rPr>
                  </w:pPr>
                  <w:r w:rsidRPr="00753F14">
                    <w:rPr>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center"/>
                  <w:hideMark/>
                </w:tcPr>
                <w:p w14:paraId="1A4DC8B6" w14:textId="77777777" w:rsidR="005F38A6" w:rsidRPr="00753F14" w:rsidRDefault="005F38A6" w:rsidP="006A7377">
                  <w:pPr>
                    <w:jc w:val="center"/>
                    <w:rPr>
                      <w:color w:val="000000"/>
                      <w:sz w:val="20"/>
                      <w:szCs w:val="20"/>
                    </w:rPr>
                  </w:pPr>
                  <w:r w:rsidRPr="00753F14">
                    <w:rPr>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3519BF57" w14:textId="77777777" w:rsidR="005F38A6" w:rsidRPr="00753F14" w:rsidRDefault="005F38A6" w:rsidP="006A7377">
                  <w:pPr>
                    <w:jc w:val="center"/>
                    <w:rPr>
                      <w:color w:val="000000"/>
                      <w:sz w:val="20"/>
                      <w:szCs w:val="20"/>
                    </w:rPr>
                  </w:pPr>
                  <w:r w:rsidRPr="00753F14">
                    <w:rPr>
                      <w:color w:val="000000"/>
                      <w:sz w:val="20"/>
                      <w:szCs w:val="20"/>
                    </w:rPr>
                    <w:t>2.9</w:t>
                  </w:r>
                </w:p>
              </w:tc>
              <w:tc>
                <w:tcPr>
                  <w:tcW w:w="960" w:type="dxa"/>
                  <w:tcBorders>
                    <w:top w:val="nil"/>
                    <w:left w:val="nil"/>
                    <w:bottom w:val="single" w:sz="4" w:space="0" w:color="auto"/>
                    <w:right w:val="single" w:sz="4" w:space="0" w:color="auto"/>
                  </w:tcBorders>
                  <w:shd w:val="clear" w:color="auto" w:fill="auto"/>
                  <w:noWrap/>
                  <w:vAlign w:val="center"/>
                  <w:hideMark/>
                </w:tcPr>
                <w:p w14:paraId="37CE428D" w14:textId="77777777" w:rsidR="005F38A6" w:rsidRPr="00753F14" w:rsidRDefault="005F38A6" w:rsidP="006A7377">
                  <w:pPr>
                    <w:jc w:val="center"/>
                    <w:rPr>
                      <w:color w:val="000000"/>
                      <w:sz w:val="20"/>
                      <w:szCs w:val="20"/>
                    </w:rPr>
                  </w:pPr>
                  <w:r w:rsidRPr="00753F14">
                    <w:rPr>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center"/>
                  <w:hideMark/>
                </w:tcPr>
                <w:p w14:paraId="7EDBDBCF" w14:textId="77777777" w:rsidR="005F38A6" w:rsidRPr="00753F14" w:rsidRDefault="005F38A6" w:rsidP="006A7377">
                  <w:pPr>
                    <w:jc w:val="center"/>
                    <w:rPr>
                      <w:color w:val="000000"/>
                      <w:sz w:val="20"/>
                      <w:szCs w:val="20"/>
                    </w:rPr>
                  </w:pPr>
                  <w:r w:rsidRPr="00753F14">
                    <w:rPr>
                      <w:color w:val="000000"/>
                      <w:sz w:val="20"/>
                      <w:szCs w:val="20"/>
                    </w:rPr>
                    <w:t>2.9</w:t>
                  </w:r>
                </w:p>
              </w:tc>
              <w:tc>
                <w:tcPr>
                  <w:tcW w:w="960" w:type="dxa"/>
                  <w:tcBorders>
                    <w:top w:val="nil"/>
                    <w:left w:val="nil"/>
                    <w:bottom w:val="single" w:sz="4" w:space="0" w:color="auto"/>
                    <w:right w:val="single" w:sz="4" w:space="0" w:color="auto"/>
                  </w:tcBorders>
                  <w:shd w:val="clear" w:color="auto" w:fill="auto"/>
                  <w:noWrap/>
                  <w:vAlign w:val="center"/>
                  <w:hideMark/>
                </w:tcPr>
                <w:p w14:paraId="538C8411" w14:textId="77777777" w:rsidR="005F38A6" w:rsidRPr="00753F14" w:rsidRDefault="005F38A6" w:rsidP="006A7377">
                  <w:pPr>
                    <w:jc w:val="center"/>
                    <w:rPr>
                      <w:color w:val="000000"/>
                      <w:sz w:val="20"/>
                      <w:szCs w:val="20"/>
                    </w:rPr>
                  </w:pPr>
                  <w:r w:rsidRPr="00753F14">
                    <w:rPr>
                      <w:color w:val="000000"/>
                      <w:sz w:val="20"/>
                      <w:szCs w:val="20"/>
                    </w:rPr>
                    <w:t>2.8</w:t>
                  </w:r>
                </w:p>
              </w:tc>
            </w:tr>
            <w:tr w:rsidR="005F38A6" w:rsidRPr="00753F14" w14:paraId="1DBDB921" w14:textId="77777777" w:rsidTr="006A7377">
              <w:trPr>
                <w:trHeight w:val="227"/>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CAAD074" w14:textId="77777777" w:rsidR="005F38A6" w:rsidRPr="00753F14" w:rsidRDefault="005F38A6" w:rsidP="006A7377">
                  <w:pPr>
                    <w:rPr>
                      <w:color w:val="000000"/>
                      <w:sz w:val="20"/>
                      <w:szCs w:val="20"/>
                    </w:rPr>
                  </w:pPr>
                  <w:r w:rsidRPr="00753F14">
                    <w:rPr>
                      <w:color w:val="000000"/>
                      <w:sz w:val="20"/>
                      <w:szCs w:val="20"/>
                    </w:rPr>
                    <w:t>Economías Avanzadas</w:t>
                  </w:r>
                </w:p>
              </w:tc>
              <w:tc>
                <w:tcPr>
                  <w:tcW w:w="960" w:type="dxa"/>
                  <w:tcBorders>
                    <w:top w:val="nil"/>
                    <w:left w:val="nil"/>
                    <w:bottom w:val="single" w:sz="4" w:space="0" w:color="auto"/>
                    <w:right w:val="single" w:sz="4" w:space="0" w:color="auto"/>
                  </w:tcBorders>
                  <w:shd w:val="clear" w:color="auto" w:fill="auto"/>
                  <w:noWrap/>
                  <w:vAlign w:val="center"/>
                  <w:hideMark/>
                </w:tcPr>
                <w:p w14:paraId="100BB74D" w14:textId="77777777" w:rsidR="005F38A6" w:rsidRPr="00753F14" w:rsidRDefault="005F38A6" w:rsidP="006A7377">
                  <w:pPr>
                    <w:jc w:val="center"/>
                    <w:rPr>
                      <w:color w:val="000000"/>
                      <w:sz w:val="20"/>
                      <w:szCs w:val="20"/>
                    </w:rPr>
                  </w:pPr>
                  <w:r w:rsidRPr="00753F14">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14:paraId="2C83D18D" w14:textId="77777777" w:rsidR="005F38A6" w:rsidRPr="00753F14" w:rsidRDefault="005F38A6" w:rsidP="006A7377">
                  <w:pPr>
                    <w:jc w:val="center"/>
                    <w:rPr>
                      <w:color w:val="000000"/>
                      <w:sz w:val="20"/>
                      <w:szCs w:val="20"/>
                    </w:rPr>
                  </w:pPr>
                  <w:r w:rsidRPr="00753F14">
                    <w:rPr>
                      <w:color w:val="000000"/>
                      <w:sz w:val="20"/>
                      <w:szCs w:val="20"/>
                    </w:rPr>
                    <w:t>2.4</w:t>
                  </w:r>
                </w:p>
              </w:tc>
              <w:tc>
                <w:tcPr>
                  <w:tcW w:w="960" w:type="dxa"/>
                  <w:tcBorders>
                    <w:top w:val="nil"/>
                    <w:left w:val="nil"/>
                    <w:bottom w:val="single" w:sz="4" w:space="0" w:color="auto"/>
                    <w:right w:val="single" w:sz="4" w:space="0" w:color="auto"/>
                  </w:tcBorders>
                  <w:shd w:val="clear" w:color="auto" w:fill="auto"/>
                  <w:noWrap/>
                  <w:vAlign w:val="center"/>
                  <w:hideMark/>
                </w:tcPr>
                <w:p w14:paraId="580ADA20" w14:textId="77777777" w:rsidR="005F38A6" w:rsidRPr="00753F14" w:rsidRDefault="005F38A6" w:rsidP="006A7377">
                  <w:pPr>
                    <w:jc w:val="center"/>
                    <w:rPr>
                      <w:color w:val="000000"/>
                      <w:sz w:val="20"/>
                      <w:szCs w:val="20"/>
                    </w:rPr>
                  </w:pPr>
                  <w:r w:rsidRPr="00753F14">
                    <w:rPr>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14:paraId="335ED78A" w14:textId="77777777" w:rsidR="005F38A6" w:rsidRPr="00753F14" w:rsidRDefault="005F38A6" w:rsidP="006A7377">
                  <w:pPr>
                    <w:jc w:val="center"/>
                    <w:rPr>
                      <w:color w:val="000000"/>
                      <w:sz w:val="20"/>
                      <w:szCs w:val="20"/>
                    </w:rPr>
                  </w:pPr>
                  <w:r w:rsidRPr="00753F14">
                    <w:rPr>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14:paraId="587FA1C6" w14:textId="77777777" w:rsidR="005F38A6" w:rsidRPr="00753F14" w:rsidRDefault="005F38A6" w:rsidP="006A7377">
                  <w:pPr>
                    <w:jc w:val="center"/>
                    <w:rPr>
                      <w:color w:val="000000"/>
                      <w:sz w:val="20"/>
                      <w:szCs w:val="20"/>
                    </w:rPr>
                  </w:pPr>
                  <w:r w:rsidRPr="00753F14">
                    <w:rPr>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14:paraId="336DFE33" w14:textId="77777777" w:rsidR="005F38A6" w:rsidRPr="00753F14" w:rsidRDefault="005F38A6" w:rsidP="006A7377">
                  <w:pPr>
                    <w:jc w:val="center"/>
                    <w:rPr>
                      <w:color w:val="000000"/>
                      <w:sz w:val="20"/>
                      <w:szCs w:val="20"/>
                    </w:rPr>
                  </w:pPr>
                  <w:r w:rsidRPr="00753F14">
                    <w:rPr>
                      <w:color w:val="000000"/>
                      <w:sz w:val="20"/>
                      <w:szCs w:val="20"/>
                    </w:rPr>
                    <w:t>1.3</w:t>
                  </w:r>
                </w:p>
              </w:tc>
            </w:tr>
            <w:tr w:rsidR="005F38A6" w:rsidRPr="00753F14" w14:paraId="11E4A7F7" w14:textId="77777777" w:rsidTr="006A7377">
              <w:trPr>
                <w:trHeight w:val="227"/>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273EF39" w14:textId="77777777" w:rsidR="005F38A6" w:rsidRPr="00753F14" w:rsidRDefault="005F38A6" w:rsidP="006A7377">
                  <w:pPr>
                    <w:rPr>
                      <w:color w:val="000000"/>
                      <w:sz w:val="20"/>
                      <w:szCs w:val="20"/>
                    </w:rPr>
                  </w:pPr>
                  <w:r w:rsidRPr="00753F14">
                    <w:rPr>
                      <w:color w:val="000000"/>
                      <w:sz w:val="20"/>
                      <w:szCs w:val="20"/>
                    </w:rPr>
                    <w:t xml:space="preserve">Zona del </w:t>
                  </w:r>
                  <w:proofErr w:type="gramStart"/>
                  <w:r w:rsidRPr="00753F14">
                    <w:rPr>
                      <w:color w:val="000000"/>
                      <w:sz w:val="20"/>
                      <w:szCs w:val="20"/>
                    </w:rPr>
                    <w:t>Euro</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4AD1515" w14:textId="77777777" w:rsidR="005F38A6" w:rsidRPr="00753F14" w:rsidRDefault="005F38A6" w:rsidP="006A7377">
                  <w:pPr>
                    <w:jc w:val="center"/>
                    <w:rPr>
                      <w:color w:val="000000"/>
                      <w:sz w:val="20"/>
                      <w:szCs w:val="20"/>
                    </w:rPr>
                  </w:pPr>
                  <w:r w:rsidRPr="00753F14">
                    <w:rPr>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center"/>
                  <w:hideMark/>
                </w:tcPr>
                <w:p w14:paraId="7F0E8305" w14:textId="77777777" w:rsidR="005F38A6" w:rsidRPr="00753F14" w:rsidRDefault="005F38A6" w:rsidP="006A7377">
                  <w:pPr>
                    <w:jc w:val="center"/>
                    <w:rPr>
                      <w:color w:val="000000"/>
                      <w:sz w:val="20"/>
                      <w:szCs w:val="20"/>
                    </w:rPr>
                  </w:pPr>
                  <w:r w:rsidRPr="00753F14">
                    <w:rPr>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14:paraId="6AC54017" w14:textId="77777777" w:rsidR="005F38A6" w:rsidRPr="00753F14" w:rsidRDefault="005F38A6" w:rsidP="006A7377">
                  <w:pPr>
                    <w:jc w:val="center"/>
                    <w:rPr>
                      <w:color w:val="000000"/>
                      <w:sz w:val="20"/>
                      <w:szCs w:val="20"/>
                    </w:rPr>
                  </w:pPr>
                  <w:r w:rsidRPr="00753F14">
                    <w:rPr>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14:paraId="2C389423" w14:textId="77777777" w:rsidR="005F38A6" w:rsidRPr="00753F14" w:rsidRDefault="005F38A6" w:rsidP="006A7377">
                  <w:pPr>
                    <w:jc w:val="center"/>
                    <w:rPr>
                      <w:color w:val="000000"/>
                      <w:sz w:val="20"/>
                      <w:szCs w:val="20"/>
                    </w:rPr>
                  </w:pPr>
                  <w:r w:rsidRPr="00753F14">
                    <w:rPr>
                      <w:color w:val="000000"/>
                      <w:sz w:val="20"/>
                      <w:szCs w:val="20"/>
                    </w:rPr>
                    <w:t>0.5</w:t>
                  </w:r>
                </w:p>
              </w:tc>
              <w:tc>
                <w:tcPr>
                  <w:tcW w:w="960" w:type="dxa"/>
                  <w:tcBorders>
                    <w:top w:val="nil"/>
                    <w:left w:val="nil"/>
                    <w:bottom w:val="single" w:sz="4" w:space="0" w:color="auto"/>
                    <w:right w:val="single" w:sz="4" w:space="0" w:color="auto"/>
                  </w:tcBorders>
                  <w:shd w:val="clear" w:color="auto" w:fill="auto"/>
                  <w:noWrap/>
                  <w:vAlign w:val="center"/>
                  <w:hideMark/>
                </w:tcPr>
                <w:p w14:paraId="1197DE35" w14:textId="77777777" w:rsidR="005F38A6" w:rsidRPr="00753F14" w:rsidRDefault="005F38A6" w:rsidP="006A7377">
                  <w:pPr>
                    <w:jc w:val="center"/>
                    <w:rPr>
                      <w:color w:val="000000"/>
                      <w:sz w:val="20"/>
                      <w:szCs w:val="20"/>
                    </w:rPr>
                  </w:pPr>
                  <w:r w:rsidRPr="00753F14">
                    <w:rPr>
                      <w:color w:val="000000"/>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14:paraId="0A34426B" w14:textId="77777777" w:rsidR="005F38A6" w:rsidRPr="00753F14" w:rsidRDefault="005F38A6" w:rsidP="006A7377">
                  <w:pPr>
                    <w:jc w:val="center"/>
                    <w:rPr>
                      <w:color w:val="000000"/>
                      <w:sz w:val="20"/>
                      <w:szCs w:val="20"/>
                    </w:rPr>
                  </w:pPr>
                  <w:r w:rsidRPr="00753F14">
                    <w:rPr>
                      <w:color w:val="000000"/>
                      <w:sz w:val="20"/>
                      <w:szCs w:val="20"/>
                    </w:rPr>
                    <w:t>0.8</w:t>
                  </w:r>
                </w:p>
              </w:tc>
            </w:tr>
            <w:tr w:rsidR="005F38A6" w:rsidRPr="00753F14" w14:paraId="0F013138" w14:textId="77777777" w:rsidTr="006A7377">
              <w:trPr>
                <w:trHeight w:val="227"/>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C0C5ED7" w14:textId="77777777" w:rsidR="005F38A6" w:rsidRPr="00753F14" w:rsidRDefault="005F38A6" w:rsidP="006A7377">
                  <w:pPr>
                    <w:rPr>
                      <w:color w:val="000000"/>
                      <w:sz w:val="20"/>
                      <w:szCs w:val="20"/>
                    </w:rPr>
                  </w:pPr>
                  <w:r w:rsidRPr="00753F14">
                    <w:rPr>
                      <w:color w:val="000000"/>
                      <w:sz w:val="20"/>
                      <w:szCs w:val="20"/>
                    </w:rPr>
                    <w:t xml:space="preserve">Otras Economías avanzadas </w:t>
                  </w:r>
                </w:p>
              </w:tc>
              <w:tc>
                <w:tcPr>
                  <w:tcW w:w="960" w:type="dxa"/>
                  <w:tcBorders>
                    <w:top w:val="nil"/>
                    <w:left w:val="nil"/>
                    <w:bottom w:val="single" w:sz="4" w:space="0" w:color="auto"/>
                    <w:right w:val="single" w:sz="4" w:space="0" w:color="auto"/>
                  </w:tcBorders>
                  <w:shd w:val="clear" w:color="auto" w:fill="auto"/>
                  <w:noWrap/>
                  <w:vAlign w:val="center"/>
                  <w:hideMark/>
                </w:tcPr>
                <w:p w14:paraId="519F02BF" w14:textId="77777777" w:rsidR="005F38A6" w:rsidRPr="00753F14" w:rsidRDefault="005F38A6" w:rsidP="006A7377">
                  <w:pPr>
                    <w:jc w:val="center"/>
                    <w:rPr>
                      <w:color w:val="000000"/>
                      <w:sz w:val="20"/>
                      <w:szCs w:val="20"/>
                    </w:rPr>
                  </w:pPr>
                  <w:r w:rsidRPr="00753F14">
                    <w:rPr>
                      <w:color w:val="000000"/>
                      <w:sz w:val="20"/>
                      <w:szCs w:val="20"/>
                    </w:rPr>
                    <w:t>2.9</w:t>
                  </w:r>
                </w:p>
              </w:tc>
              <w:tc>
                <w:tcPr>
                  <w:tcW w:w="960" w:type="dxa"/>
                  <w:tcBorders>
                    <w:top w:val="nil"/>
                    <w:left w:val="nil"/>
                    <w:bottom w:val="single" w:sz="4" w:space="0" w:color="auto"/>
                    <w:right w:val="single" w:sz="4" w:space="0" w:color="auto"/>
                  </w:tcBorders>
                  <w:shd w:val="clear" w:color="auto" w:fill="auto"/>
                  <w:noWrap/>
                  <w:vAlign w:val="center"/>
                  <w:hideMark/>
                </w:tcPr>
                <w:p w14:paraId="5C392C68" w14:textId="77777777" w:rsidR="005F38A6" w:rsidRPr="00753F14" w:rsidRDefault="005F38A6" w:rsidP="006A7377">
                  <w:pPr>
                    <w:jc w:val="center"/>
                    <w:rPr>
                      <w:color w:val="000000"/>
                      <w:sz w:val="20"/>
                      <w:szCs w:val="20"/>
                    </w:rPr>
                  </w:pPr>
                  <w:r w:rsidRPr="00753F14">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18697583" w14:textId="77777777" w:rsidR="005F38A6" w:rsidRPr="00753F14" w:rsidRDefault="005F38A6" w:rsidP="006A7377">
                  <w:pPr>
                    <w:jc w:val="center"/>
                    <w:rPr>
                      <w:color w:val="000000"/>
                      <w:sz w:val="20"/>
                      <w:szCs w:val="20"/>
                    </w:rPr>
                  </w:pPr>
                  <w:r w:rsidRPr="00753F14">
                    <w:rPr>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center"/>
                  <w:hideMark/>
                </w:tcPr>
                <w:p w14:paraId="20CDF35D" w14:textId="77777777" w:rsidR="005F38A6" w:rsidRPr="00753F14" w:rsidRDefault="005F38A6" w:rsidP="006A7377">
                  <w:pPr>
                    <w:jc w:val="center"/>
                    <w:rPr>
                      <w:color w:val="000000"/>
                      <w:sz w:val="20"/>
                      <w:szCs w:val="20"/>
                    </w:rPr>
                  </w:pPr>
                  <w:r w:rsidRPr="00753F14">
                    <w:rPr>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14:paraId="17FE0949" w14:textId="77777777" w:rsidR="005F38A6" w:rsidRPr="00753F14" w:rsidRDefault="005F38A6" w:rsidP="006A7377">
                  <w:pPr>
                    <w:jc w:val="center"/>
                    <w:rPr>
                      <w:color w:val="000000"/>
                      <w:sz w:val="20"/>
                      <w:szCs w:val="20"/>
                    </w:rPr>
                  </w:pPr>
                  <w:r w:rsidRPr="00753F14">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07B6E879" w14:textId="77777777" w:rsidR="005F38A6" w:rsidRPr="00753F14" w:rsidRDefault="005F38A6" w:rsidP="006A7377">
                  <w:pPr>
                    <w:jc w:val="center"/>
                    <w:rPr>
                      <w:color w:val="000000"/>
                      <w:sz w:val="20"/>
                      <w:szCs w:val="20"/>
                    </w:rPr>
                  </w:pPr>
                  <w:r w:rsidRPr="00753F14">
                    <w:rPr>
                      <w:color w:val="000000"/>
                      <w:sz w:val="20"/>
                      <w:szCs w:val="20"/>
                    </w:rPr>
                    <w:t>1.8</w:t>
                  </w:r>
                </w:p>
              </w:tc>
            </w:tr>
            <w:tr w:rsidR="005F38A6" w:rsidRPr="00753F14" w14:paraId="77879D82" w14:textId="77777777" w:rsidTr="006A7377">
              <w:trPr>
                <w:trHeight w:val="227"/>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BC9DADB" w14:textId="77777777" w:rsidR="005F38A6" w:rsidRPr="00753F14" w:rsidRDefault="005F38A6" w:rsidP="006A7377">
                  <w:pPr>
                    <w:rPr>
                      <w:color w:val="000000"/>
                      <w:sz w:val="20"/>
                      <w:szCs w:val="20"/>
                    </w:rPr>
                  </w:pPr>
                  <w:r w:rsidRPr="00753F14">
                    <w:rPr>
                      <w:color w:val="000000"/>
                      <w:sz w:val="20"/>
                      <w:szCs w:val="20"/>
                    </w:rPr>
                    <w:t>Economías Emergentes y en Desarrollo</w:t>
                  </w:r>
                </w:p>
              </w:tc>
              <w:tc>
                <w:tcPr>
                  <w:tcW w:w="960" w:type="dxa"/>
                  <w:tcBorders>
                    <w:top w:val="nil"/>
                    <w:left w:val="nil"/>
                    <w:bottom w:val="single" w:sz="4" w:space="0" w:color="auto"/>
                    <w:right w:val="single" w:sz="4" w:space="0" w:color="auto"/>
                  </w:tcBorders>
                  <w:shd w:val="clear" w:color="auto" w:fill="auto"/>
                  <w:noWrap/>
                  <w:vAlign w:val="center"/>
                  <w:hideMark/>
                </w:tcPr>
                <w:p w14:paraId="49DDCF29" w14:textId="77777777" w:rsidR="005F38A6" w:rsidRPr="00753F14" w:rsidRDefault="005F38A6" w:rsidP="006A7377">
                  <w:pPr>
                    <w:jc w:val="center"/>
                    <w:rPr>
                      <w:color w:val="000000"/>
                      <w:sz w:val="20"/>
                      <w:szCs w:val="20"/>
                    </w:rPr>
                  </w:pPr>
                  <w:r w:rsidRPr="00753F14">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5D613C4C" w14:textId="77777777" w:rsidR="005F38A6" w:rsidRPr="00753F14" w:rsidRDefault="005F38A6" w:rsidP="006A7377">
                  <w:pPr>
                    <w:jc w:val="center"/>
                    <w:rPr>
                      <w:color w:val="000000"/>
                      <w:sz w:val="20"/>
                      <w:szCs w:val="20"/>
                    </w:rPr>
                  </w:pPr>
                  <w:r w:rsidRPr="00753F14">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765318BB" w14:textId="77777777" w:rsidR="005F38A6" w:rsidRPr="00753F14" w:rsidRDefault="005F38A6" w:rsidP="006A7377">
                  <w:pPr>
                    <w:jc w:val="center"/>
                    <w:rPr>
                      <w:color w:val="000000"/>
                      <w:sz w:val="20"/>
                      <w:szCs w:val="20"/>
                    </w:rPr>
                  </w:pPr>
                  <w:r w:rsidRPr="00753F14">
                    <w:rPr>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center"/>
                  <w:hideMark/>
                </w:tcPr>
                <w:p w14:paraId="6CE8B810" w14:textId="77777777" w:rsidR="005F38A6" w:rsidRPr="00753F14" w:rsidRDefault="005F38A6" w:rsidP="006A7377">
                  <w:pPr>
                    <w:jc w:val="center"/>
                    <w:rPr>
                      <w:color w:val="000000"/>
                      <w:sz w:val="20"/>
                      <w:szCs w:val="20"/>
                    </w:rPr>
                  </w:pPr>
                  <w:r w:rsidRPr="00753F14">
                    <w:rPr>
                      <w:color w:val="000000"/>
                      <w:sz w:val="20"/>
                      <w:szCs w:val="20"/>
                    </w:rPr>
                    <w:t>3.7</w:t>
                  </w:r>
                </w:p>
              </w:tc>
              <w:tc>
                <w:tcPr>
                  <w:tcW w:w="960" w:type="dxa"/>
                  <w:tcBorders>
                    <w:top w:val="nil"/>
                    <w:left w:val="nil"/>
                    <w:bottom w:val="single" w:sz="4" w:space="0" w:color="auto"/>
                    <w:right w:val="single" w:sz="4" w:space="0" w:color="auto"/>
                  </w:tcBorders>
                  <w:shd w:val="clear" w:color="auto" w:fill="auto"/>
                  <w:noWrap/>
                  <w:vAlign w:val="center"/>
                  <w:hideMark/>
                </w:tcPr>
                <w:p w14:paraId="36EA4103" w14:textId="77777777" w:rsidR="005F38A6" w:rsidRPr="00753F14" w:rsidRDefault="005F38A6" w:rsidP="006A7377">
                  <w:pPr>
                    <w:jc w:val="center"/>
                    <w:rPr>
                      <w:color w:val="000000"/>
                      <w:sz w:val="20"/>
                      <w:szCs w:val="20"/>
                    </w:rPr>
                  </w:pPr>
                  <w:r w:rsidRPr="00753F14">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53CCEC07" w14:textId="77777777" w:rsidR="005F38A6" w:rsidRPr="00753F14" w:rsidRDefault="005F38A6" w:rsidP="006A7377">
                  <w:pPr>
                    <w:jc w:val="center"/>
                    <w:rPr>
                      <w:color w:val="000000"/>
                      <w:sz w:val="20"/>
                      <w:szCs w:val="20"/>
                    </w:rPr>
                  </w:pPr>
                  <w:r w:rsidRPr="00753F14">
                    <w:rPr>
                      <w:color w:val="000000"/>
                      <w:sz w:val="20"/>
                      <w:szCs w:val="20"/>
                    </w:rPr>
                    <w:t>3.9</w:t>
                  </w:r>
                </w:p>
              </w:tc>
            </w:tr>
            <w:tr w:rsidR="005F38A6" w:rsidRPr="00753F14" w14:paraId="28EB125B" w14:textId="77777777" w:rsidTr="006A7377">
              <w:trPr>
                <w:trHeight w:val="227"/>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28B283AE" w14:textId="77777777" w:rsidR="005F38A6" w:rsidRPr="00753F14" w:rsidRDefault="005F38A6" w:rsidP="006A7377">
                  <w:pPr>
                    <w:rPr>
                      <w:color w:val="000000"/>
                      <w:sz w:val="20"/>
                      <w:szCs w:val="20"/>
                    </w:rPr>
                  </w:pPr>
                  <w:r w:rsidRPr="00753F14">
                    <w:rPr>
                      <w:color w:val="000000"/>
                      <w:sz w:val="20"/>
                      <w:szCs w:val="20"/>
                    </w:rPr>
                    <w:t>Latinoamérica y el Caribe</w:t>
                  </w:r>
                </w:p>
              </w:tc>
              <w:tc>
                <w:tcPr>
                  <w:tcW w:w="960" w:type="dxa"/>
                  <w:tcBorders>
                    <w:top w:val="nil"/>
                    <w:left w:val="nil"/>
                    <w:bottom w:val="single" w:sz="4" w:space="0" w:color="auto"/>
                    <w:right w:val="single" w:sz="4" w:space="0" w:color="auto"/>
                  </w:tcBorders>
                  <w:shd w:val="clear" w:color="auto" w:fill="auto"/>
                  <w:noWrap/>
                  <w:vAlign w:val="center"/>
                  <w:hideMark/>
                </w:tcPr>
                <w:p w14:paraId="63728300" w14:textId="77777777" w:rsidR="005F38A6" w:rsidRPr="00753F14" w:rsidRDefault="005F38A6" w:rsidP="006A7377">
                  <w:pPr>
                    <w:jc w:val="center"/>
                    <w:rPr>
                      <w:color w:val="000000"/>
                      <w:sz w:val="20"/>
                      <w:szCs w:val="20"/>
                    </w:rPr>
                  </w:pPr>
                  <w:r w:rsidRPr="00753F14">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14:paraId="3B187A35" w14:textId="77777777" w:rsidR="005F38A6" w:rsidRPr="00753F14" w:rsidRDefault="005F38A6" w:rsidP="006A7377">
                  <w:pPr>
                    <w:jc w:val="center"/>
                    <w:rPr>
                      <w:color w:val="000000"/>
                      <w:sz w:val="20"/>
                      <w:szCs w:val="20"/>
                    </w:rPr>
                  </w:pPr>
                  <w:r w:rsidRPr="00753F14">
                    <w:rPr>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center"/>
                  <w:hideMark/>
                </w:tcPr>
                <w:p w14:paraId="3515099D" w14:textId="77777777" w:rsidR="005F38A6" w:rsidRPr="00753F14" w:rsidRDefault="005F38A6" w:rsidP="006A7377">
                  <w:pPr>
                    <w:jc w:val="center"/>
                    <w:rPr>
                      <w:color w:val="000000"/>
                      <w:sz w:val="20"/>
                      <w:szCs w:val="20"/>
                    </w:rPr>
                  </w:pPr>
                  <w:r w:rsidRPr="00753F14">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031E9505" w14:textId="77777777" w:rsidR="005F38A6" w:rsidRPr="00753F14" w:rsidRDefault="005F38A6" w:rsidP="006A7377">
                  <w:pPr>
                    <w:jc w:val="center"/>
                    <w:rPr>
                      <w:color w:val="000000"/>
                      <w:sz w:val="20"/>
                      <w:szCs w:val="20"/>
                    </w:rPr>
                  </w:pPr>
                  <w:r w:rsidRPr="00753F14">
                    <w:rPr>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center"/>
                  <w:hideMark/>
                </w:tcPr>
                <w:p w14:paraId="47479125" w14:textId="77777777" w:rsidR="005F38A6" w:rsidRPr="00753F14" w:rsidRDefault="005F38A6" w:rsidP="006A7377">
                  <w:pPr>
                    <w:jc w:val="center"/>
                    <w:rPr>
                      <w:color w:val="000000"/>
                      <w:sz w:val="20"/>
                      <w:szCs w:val="20"/>
                    </w:rPr>
                  </w:pPr>
                  <w:r w:rsidRPr="00753F14">
                    <w:rPr>
                      <w:color w:val="000000"/>
                      <w:sz w:val="20"/>
                      <w:szCs w:val="20"/>
                    </w:rPr>
                    <w:t>1.8</w:t>
                  </w:r>
                </w:p>
              </w:tc>
              <w:tc>
                <w:tcPr>
                  <w:tcW w:w="960" w:type="dxa"/>
                  <w:tcBorders>
                    <w:top w:val="nil"/>
                    <w:left w:val="nil"/>
                    <w:bottom w:val="single" w:sz="4" w:space="0" w:color="auto"/>
                    <w:right w:val="single" w:sz="4" w:space="0" w:color="auto"/>
                  </w:tcBorders>
                  <w:shd w:val="clear" w:color="auto" w:fill="auto"/>
                  <w:noWrap/>
                  <w:vAlign w:val="center"/>
                  <w:hideMark/>
                </w:tcPr>
                <w:p w14:paraId="1F98185B" w14:textId="77777777" w:rsidR="005F38A6" w:rsidRPr="00753F14" w:rsidRDefault="005F38A6" w:rsidP="006A7377">
                  <w:pPr>
                    <w:jc w:val="center"/>
                    <w:rPr>
                      <w:color w:val="000000"/>
                      <w:sz w:val="20"/>
                      <w:szCs w:val="20"/>
                    </w:rPr>
                  </w:pPr>
                  <w:r w:rsidRPr="00753F14">
                    <w:rPr>
                      <w:color w:val="000000"/>
                      <w:sz w:val="20"/>
                      <w:szCs w:val="20"/>
                    </w:rPr>
                    <w:t>1.6</w:t>
                  </w:r>
                </w:p>
              </w:tc>
            </w:tr>
          </w:tbl>
          <w:p w14:paraId="5D2C08D8" w14:textId="77777777" w:rsidR="005F38A6" w:rsidRPr="00E2711F" w:rsidRDefault="005F38A6" w:rsidP="006A7377">
            <w:pPr>
              <w:ind w:right="49"/>
              <w:jc w:val="both"/>
              <w:rPr>
                <w:sz w:val="8"/>
              </w:rPr>
            </w:pPr>
          </w:p>
        </w:tc>
      </w:tr>
      <w:tr w:rsidR="005F38A6" w14:paraId="5ABF3370" w14:textId="77777777" w:rsidTr="006A7377">
        <w:trPr>
          <w:trHeight w:val="190"/>
        </w:trPr>
        <w:tc>
          <w:tcPr>
            <w:tcW w:w="5000" w:type="pct"/>
          </w:tcPr>
          <w:p w14:paraId="553E869E" w14:textId="77777777" w:rsidR="005F38A6" w:rsidRPr="00753F14" w:rsidRDefault="005F38A6" w:rsidP="006A7377">
            <w:pPr>
              <w:jc w:val="both"/>
              <w:rPr>
                <w:bCs/>
                <w:color w:val="000000"/>
                <w:sz w:val="20"/>
                <w:szCs w:val="20"/>
              </w:rPr>
            </w:pPr>
            <w:r w:rsidRPr="005D360B">
              <w:rPr>
                <w:sz w:val="16"/>
              </w:rPr>
              <w:t>Fuente: Fondo Monetario Internacional</w:t>
            </w:r>
            <w:r>
              <w:rPr>
                <w:sz w:val="16"/>
              </w:rPr>
              <w:t xml:space="preserve"> (FMI)</w:t>
            </w:r>
          </w:p>
        </w:tc>
      </w:tr>
    </w:tbl>
    <w:p w14:paraId="742539EF" w14:textId="77777777" w:rsidR="005F38A6" w:rsidRDefault="005F38A6" w:rsidP="005F38A6">
      <w:pPr>
        <w:ind w:right="49"/>
        <w:jc w:val="both"/>
      </w:pPr>
    </w:p>
    <w:p w14:paraId="532C7564" w14:textId="77777777" w:rsidR="005F38A6" w:rsidRDefault="005F38A6" w:rsidP="005F38A6">
      <w:pPr>
        <w:ind w:right="49"/>
        <w:jc w:val="both"/>
        <w:rPr>
          <w:lang w:val="es-ES"/>
        </w:rPr>
      </w:pPr>
      <w:r>
        <w:rPr>
          <w:lang w:val="es-ES"/>
        </w:rPr>
        <w:lastRenderedPageBreak/>
        <w:t xml:space="preserve">El impacto del conflicto entre Rusia y Ucrania, ha provocado, que los gobiernos europeos, establezcan medidas de contingencia tales como apoyos presupuestarios para hogares y empresas, que, de acuerdo al FMI, representan alrededor del 1.3% del PIB. Los esfuerzos se han centrado ayudar en la crisis energética y al alza en los precios del gas y los alimentos. Mientras que las continuas recaídas de China y el riesgo por la aparición de nuevas variantes de COVID-19, han provocado interrupciones en la cadena de suministro, en especial en las ventas a minoristas. El gobierno chino, respondió ante la crisis con medidas de carácter monetario, tales como flexibilización y desgravación fiscal para las empresas, nuevos objetivos de vacunación e incentivos para la finalización y entrega de proyectos inmobiliarios. </w:t>
      </w:r>
    </w:p>
    <w:p w14:paraId="6BA068FF" w14:textId="77777777" w:rsidR="005F38A6" w:rsidRDefault="005F38A6" w:rsidP="005F38A6">
      <w:pPr>
        <w:ind w:right="49"/>
        <w:jc w:val="both"/>
        <w:rPr>
          <w:lang w:val="es-ES"/>
        </w:rPr>
      </w:pPr>
    </w:p>
    <w:p w14:paraId="03E8FF84" w14:textId="77777777" w:rsidR="005F38A6" w:rsidRPr="00905714" w:rsidRDefault="005F38A6" w:rsidP="005F38A6">
      <w:pPr>
        <w:ind w:right="49"/>
        <w:jc w:val="both"/>
      </w:pPr>
      <w:r>
        <w:rPr>
          <w:lang w:val="es-ES"/>
        </w:rPr>
        <w:t xml:space="preserve">China es responsable del 25% de las exportaciones de Asia y de entre el 5.0% al 10.0% con otras regiones geográficas. En el caso de América Latina, se corre el riesgo, que la inversión en la producción de materias primas se desestimule, lo que se reflejaría en las ganancias de las exportaciones, desacelerando el volumen y la demanda interna. Tal escenario, provocaría un crecimiento débil y prolongado, potencialmente reforzado por una tendencia </w:t>
      </w:r>
      <w:r>
        <w:t xml:space="preserve">hacia la </w:t>
      </w:r>
      <w:proofErr w:type="spellStart"/>
      <w:r>
        <w:t>prociclicidad</w:t>
      </w:r>
      <w:proofErr w:type="spellEnd"/>
      <w:r>
        <w:t xml:space="preserve"> fiscal para el sector exportador de materias primas.  </w:t>
      </w:r>
    </w:p>
    <w:p w14:paraId="1C9F2E9E" w14:textId="77777777" w:rsidR="005F38A6" w:rsidRDefault="005F38A6" w:rsidP="005F38A6">
      <w:pPr>
        <w:ind w:right="49"/>
        <w:jc w:val="both"/>
        <w:rPr>
          <w:lang w:val="es-ES"/>
        </w:rPr>
      </w:pPr>
    </w:p>
    <w:tbl>
      <w:tblPr>
        <w:tblW w:w="5000" w:type="pct"/>
        <w:tblLook w:val="04A0" w:firstRow="1" w:lastRow="0" w:firstColumn="1" w:lastColumn="0" w:noHBand="0" w:noVBand="1"/>
      </w:tblPr>
      <w:tblGrid>
        <w:gridCol w:w="8838"/>
      </w:tblGrid>
      <w:tr w:rsidR="005F38A6" w:rsidRPr="00ED483A" w14:paraId="2DB5FFA0" w14:textId="77777777" w:rsidTr="006A7377">
        <w:tc>
          <w:tcPr>
            <w:tcW w:w="5000" w:type="pct"/>
          </w:tcPr>
          <w:p w14:paraId="21CC17B3" w14:textId="02854EB6" w:rsidR="005F38A6" w:rsidRPr="00551C20" w:rsidRDefault="009A4D38" w:rsidP="009A4D38">
            <w:pPr>
              <w:pStyle w:val="Descripcin"/>
            </w:pPr>
            <w:bookmarkStart w:id="32" w:name="_Toc143593559"/>
            <w:r w:rsidRPr="009A4D38">
              <w:rPr>
                <w:color w:val="auto"/>
              </w:rPr>
              <w:t xml:space="preserve">Gráfico </w:t>
            </w:r>
            <w:r w:rsidRPr="009A4D38">
              <w:rPr>
                <w:color w:val="auto"/>
              </w:rPr>
              <w:fldChar w:fldCharType="begin"/>
            </w:r>
            <w:r w:rsidRPr="009A4D38">
              <w:rPr>
                <w:color w:val="auto"/>
              </w:rPr>
              <w:instrText xml:space="preserve"> SEQ Gráfico \* ARABIC </w:instrText>
            </w:r>
            <w:r w:rsidRPr="009A4D38">
              <w:rPr>
                <w:color w:val="auto"/>
              </w:rPr>
              <w:fldChar w:fldCharType="separate"/>
            </w:r>
            <w:r w:rsidR="00A62AFA">
              <w:rPr>
                <w:noProof/>
                <w:color w:val="auto"/>
              </w:rPr>
              <w:t>1</w:t>
            </w:r>
            <w:r w:rsidRPr="009A4D38">
              <w:rPr>
                <w:color w:val="auto"/>
              </w:rPr>
              <w:fldChar w:fldCharType="end"/>
            </w:r>
            <w:r w:rsidRPr="009A4D38">
              <w:rPr>
                <w:color w:val="auto"/>
              </w:rPr>
              <w:t xml:space="preserve">. </w:t>
            </w:r>
            <w:bookmarkStart w:id="33" w:name="_Toc114493843"/>
            <w:r w:rsidRPr="009A4D38">
              <w:rPr>
                <w:color w:val="auto"/>
              </w:rPr>
              <w:t>Panorama del crecimiento inflacionario mundial 2018-202</w:t>
            </w:r>
            <w:bookmarkEnd w:id="33"/>
            <w:r w:rsidRPr="009A4D38">
              <w:rPr>
                <w:color w:val="auto"/>
              </w:rPr>
              <w:t>8</w:t>
            </w:r>
            <w:bookmarkEnd w:id="32"/>
          </w:p>
        </w:tc>
      </w:tr>
      <w:tr w:rsidR="005F38A6" w14:paraId="6FF02034" w14:textId="77777777" w:rsidTr="006A7377">
        <w:tc>
          <w:tcPr>
            <w:tcW w:w="5000" w:type="pct"/>
          </w:tcPr>
          <w:p w14:paraId="3A1C6F8C" w14:textId="77777777" w:rsidR="005F38A6" w:rsidRDefault="005F38A6" w:rsidP="009A4D38">
            <w:pPr>
              <w:ind w:right="49"/>
              <w:jc w:val="center"/>
            </w:pPr>
            <w:r w:rsidRPr="005D360B">
              <w:t>Porcentajes</w:t>
            </w:r>
          </w:p>
        </w:tc>
      </w:tr>
      <w:tr w:rsidR="005F38A6" w14:paraId="10BE8281" w14:textId="77777777" w:rsidTr="006A7377">
        <w:tblPrEx>
          <w:tblCellMar>
            <w:left w:w="70" w:type="dxa"/>
            <w:right w:w="70" w:type="dxa"/>
          </w:tblCellMar>
        </w:tblPrEx>
        <w:tc>
          <w:tcPr>
            <w:tcW w:w="5000" w:type="pct"/>
          </w:tcPr>
          <w:p w14:paraId="6A105CA1" w14:textId="77777777" w:rsidR="005F38A6" w:rsidRPr="00551C20" w:rsidRDefault="005F38A6" w:rsidP="006A7377">
            <w:pPr>
              <w:rPr>
                <w:sz w:val="16"/>
              </w:rPr>
            </w:pPr>
            <w:r>
              <w:rPr>
                <w:noProof/>
              </w:rPr>
              <w:drawing>
                <wp:inline distT="0" distB="0" distL="0" distR="0" wp14:anchorId="3F5C9ECA" wp14:editId="2C8ABA90">
                  <wp:extent cx="5533390" cy="1751610"/>
                  <wp:effectExtent l="0" t="0" r="0" b="1270"/>
                  <wp:docPr id="1" name="Gráfico 1">
                    <a:extLst xmlns:a="http://schemas.openxmlformats.org/drawingml/2006/main">
                      <a:ext uri="{FF2B5EF4-FFF2-40B4-BE49-F238E27FC236}">
                        <a16:creationId xmlns:a16="http://schemas.microsoft.com/office/drawing/2014/main" id="{751BA220-D91D-4144-A036-B1ECB0795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5F38A6" w14:paraId="00F66FB8" w14:textId="77777777" w:rsidTr="006A7377">
        <w:tblPrEx>
          <w:tblCellMar>
            <w:left w:w="70" w:type="dxa"/>
            <w:right w:w="70" w:type="dxa"/>
          </w:tblCellMar>
        </w:tblPrEx>
        <w:tc>
          <w:tcPr>
            <w:tcW w:w="5000" w:type="pct"/>
          </w:tcPr>
          <w:p w14:paraId="77A1458F" w14:textId="77777777" w:rsidR="005F38A6" w:rsidRPr="009C46D7" w:rsidRDefault="005F38A6" w:rsidP="006A7377">
            <w:pPr>
              <w:rPr>
                <w:sz w:val="16"/>
              </w:rPr>
            </w:pPr>
            <w:r w:rsidRPr="009C46D7">
              <w:rPr>
                <w:sz w:val="16"/>
              </w:rPr>
              <w:t xml:space="preserve">Fuente: Fondo Monetario Internacional (FMI), WEO abril 2023, </w:t>
            </w:r>
            <w:r>
              <w:rPr>
                <w:sz w:val="16"/>
              </w:rPr>
              <w:t>WEO</w:t>
            </w:r>
            <w:r w:rsidRPr="009C46D7">
              <w:rPr>
                <w:sz w:val="16"/>
              </w:rPr>
              <w:t xml:space="preserve"> enero 2023</w:t>
            </w:r>
          </w:p>
        </w:tc>
      </w:tr>
    </w:tbl>
    <w:p w14:paraId="0928A78F" w14:textId="77777777" w:rsidR="005F38A6" w:rsidRDefault="005F38A6" w:rsidP="005F38A6">
      <w:pPr>
        <w:jc w:val="both"/>
        <w:rPr>
          <w:lang w:val="es-ES_tradnl"/>
        </w:rPr>
      </w:pPr>
    </w:p>
    <w:p w14:paraId="77B0D7E3" w14:textId="77777777" w:rsidR="005F38A6" w:rsidRDefault="005F38A6" w:rsidP="005F38A6">
      <w:pPr>
        <w:jc w:val="both"/>
        <w:rPr>
          <w:lang w:val="es-ES_tradnl"/>
        </w:rPr>
      </w:pPr>
      <w:bookmarkStart w:id="34" w:name="_Hlk141954354"/>
      <w:r>
        <w:rPr>
          <w:lang w:val="es-ES_tradnl"/>
        </w:rPr>
        <w:t>Existe un alto riesgo que la inflación persista y que obligue a los Bancos Centrales, en especial a la Reserva Federal, a continuar con incrementos en las tasas lideres, provocando un severo choque en el financiamiento externo, que a su vez incite las salidas de capital, aumentando la deuda para los países deudores y depreciando la moneda local. En América Latina, los países permanecen, en su mayoría, con balanzas comerciales negativas, por lo que son vulnerables a los cambios en el mercado.</w:t>
      </w:r>
    </w:p>
    <w:bookmarkEnd w:id="34"/>
    <w:p w14:paraId="56571AFC" w14:textId="77777777" w:rsidR="005F38A6" w:rsidRDefault="005F38A6" w:rsidP="005F38A6">
      <w:pPr>
        <w:jc w:val="both"/>
        <w:rPr>
          <w:lang w:val="es-ES_tradnl"/>
        </w:rPr>
      </w:pPr>
    </w:p>
    <w:p w14:paraId="66B30CFC" w14:textId="77777777" w:rsidR="005F38A6" w:rsidRDefault="005F38A6" w:rsidP="005F38A6">
      <w:pPr>
        <w:jc w:val="both"/>
      </w:pPr>
      <w:bookmarkStart w:id="35" w:name="_Hlk141954518"/>
      <w:r>
        <w:t xml:space="preserve">Entre las economías centroamericanas y del caribe, que se encuentran más endeudadas en relación a su PIB, corren riesgo de crisis financiera, debido al endurecimiento de las condiciones financieras de Estados Unidos. La persistencia en precios altos para productos esenciales, acrecientan el riesgo de aumentos en las expectativas de inflación y devaluación del tipo de cambio por políticas de indexación. </w:t>
      </w:r>
    </w:p>
    <w:bookmarkEnd w:id="35"/>
    <w:p w14:paraId="7E061EC6" w14:textId="77777777" w:rsidR="005F38A6" w:rsidRDefault="005F38A6" w:rsidP="005F38A6">
      <w:pPr>
        <w:jc w:val="both"/>
      </w:pPr>
    </w:p>
    <w:p w14:paraId="24C0DA1F" w14:textId="77777777" w:rsidR="005F38A6" w:rsidRDefault="005F38A6" w:rsidP="005F38A6">
      <w:pPr>
        <w:jc w:val="both"/>
      </w:pPr>
      <w:r>
        <w:t>De acuerdo con el Banco Mundial, se</w:t>
      </w:r>
      <w:r w:rsidRPr="00A92B80">
        <w:t xml:space="preserve"> prevé que el crecimiento en las economías avanzadas se desacelere drásticamente del </w:t>
      </w:r>
      <w:r>
        <w:t>2.5</w:t>
      </w:r>
      <w:r w:rsidRPr="00A92B80">
        <w:t xml:space="preserve">% en </w:t>
      </w:r>
      <w:r w:rsidRPr="000D1155">
        <w:t>202</w:t>
      </w:r>
      <w:r>
        <w:t>2</w:t>
      </w:r>
      <w:r w:rsidRPr="000D1155">
        <w:t xml:space="preserve"> al </w:t>
      </w:r>
      <w:r>
        <w:t>0</w:t>
      </w:r>
      <w:r w:rsidRPr="000D1155">
        <w:t>.</w:t>
      </w:r>
      <w:r>
        <w:t>5</w:t>
      </w:r>
      <w:r w:rsidRPr="000D1155">
        <w:t>% en 202</w:t>
      </w:r>
      <w:r>
        <w:t>3</w:t>
      </w:r>
      <w:r w:rsidRPr="00A92B80">
        <w:t xml:space="preserve"> (</w:t>
      </w:r>
      <w:r>
        <w:t>2</w:t>
      </w:r>
      <w:r w:rsidRPr="00A92B80">
        <w:t xml:space="preserve"> puntos porcentuales por </w:t>
      </w:r>
      <w:r w:rsidRPr="00A92B80">
        <w:lastRenderedPageBreak/>
        <w:t>debajo).</w:t>
      </w:r>
      <w:r>
        <w:t xml:space="preserve"> E</w:t>
      </w:r>
      <w:r w:rsidRPr="00A92B80">
        <w:t xml:space="preserve">ntre los mercados emergentes y las economías en desarrollo, se </w:t>
      </w:r>
      <w:r>
        <w:t>espera estabilidad con un crecimiento de 3.4% para ambos años</w:t>
      </w:r>
      <w:r w:rsidRPr="00A92B80">
        <w:t xml:space="preserve">, </w:t>
      </w:r>
      <w:r>
        <w:t>aun por debajo</w:t>
      </w:r>
      <w:r w:rsidRPr="00A92B80">
        <w:t xml:space="preserve"> del promedio anual del 4</w:t>
      </w:r>
      <w:r>
        <w:t>.</w:t>
      </w:r>
      <w:r w:rsidRPr="00A92B80">
        <w:t>8% durante el período 2011</w:t>
      </w:r>
      <w:r>
        <w:t>-2</w:t>
      </w:r>
      <w:r w:rsidRPr="00A92B80">
        <w:t>0</w:t>
      </w:r>
      <w:r>
        <w:t>21</w:t>
      </w:r>
      <w:r w:rsidRPr="00A92B80">
        <w:t xml:space="preserve">. </w:t>
      </w:r>
      <w:r>
        <w:t xml:space="preserve">Para </w:t>
      </w:r>
      <w:r w:rsidRPr="00BD5A5E">
        <w:t xml:space="preserve">América Latina y el Caribe </w:t>
      </w:r>
      <w:r>
        <w:t xml:space="preserve">se espera que </w:t>
      </w:r>
      <w:r w:rsidRPr="00571870">
        <w:t xml:space="preserve">el crecimiento regional </w:t>
      </w:r>
      <w:r w:rsidRPr="006241F3">
        <w:t>en 202</w:t>
      </w:r>
      <w:r>
        <w:t>3</w:t>
      </w:r>
      <w:r w:rsidRPr="006241F3">
        <w:t xml:space="preserve"> </w:t>
      </w:r>
      <w:r w:rsidRPr="00571870">
        <w:t>se desaceler</w:t>
      </w:r>
      <w:r>
        <w:t>e</w:t>
      </w:r>
      <w:r w:rsidRPr="00571870">
        <w:t xml:space="preserve"> marcadamente hasta llegar al </w:t>
      </w:r>
      <w:r>
        <w:t>1.3</w:t>
      </w:r>
      <w:r w:rsidRPr="00571870">
        <w:t>%</w:t>
      </w:r>
      <w:r>
        <w:t xml:space="preserve"> </w:t>
      </w:r>
      <w:r w:rsidRPr="00571870">
        <w:t>en 202</w:t>
      </w:r>
      <w:r>
        <w:t>3</w:t>
      </w:r>
      <w:r w:rsidRPr="00571870">
        <w:t>, luego de</w:t>
      </w:r>
      <w:r>
        <w:t>l 3</w:t>
      </w:r>
      <w:r w:rsidRPr="00B37E9B">
        <w:t>.</w:t>
      </w:r>
      <w:r>
        <w:t>6</w:t>
      </w:r>
      <w:r w:rsidRPr="00B37E9B">
        <w:t xml:space="preserve">% </w:t>
      </w:r>
      <w:r>
        <w:t>reportado en</w:t>
      </w:r>
      <w:r w:rsidRPr="00B37E9B">
        <w:t xml:space="preserve"> 202</w:t>
      </w:r>
      <w:r>
        <w:t>2</w:t>
      </w:r>
      <w:r w:rsidRPr="00571870">
        <w:t>.</w:t>
      </w:r>
      <w:r>
        <w:t xml:space="preserve"> Se espera que China, aumente 1.6 puntos porcentuales en su crecimiento económico.</w:t>
      </w:r>
    </w:p>
    <w:p w14:paraId="157CA796" w14:textId="77777777" w:rsidR="005F38A6" w:rsidRDefault="005F38A6" w:rsidP="005F38A6">
      <w:pPr>
        <w:jc w:val="both"/>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8"/>
      </w:tblGrid>
      <w:tr w:rsidR="005F38A6" w:rsidRPr="00AC3A41" w14:paraId="32F3442D" w14:textId="77777777" w:rsidTr="006A7377">
        <w:tc>
          <w:tcPr>
            <w:tcW w:w="8828" w:type="dxa"/>
          </w:tcPr>
          <w:p w14:paraId="6A35F48A" w14:textId="10147C54" w:rsidR="005F38A6" w:rsidRPr="00551C20" w:rsidRDefault="009A4D38" w:rsidP="009A4D38">
            <w:pPr>
              <w:pStyle w:val="Descripcin"/>
              <w:keepNext/>
            </w:pPr>
            <w:bookmarkStart w:id="36" w:name="_Toc114493925"/>
            <w:bookmarkStart w:id="37" w:name="_Toc143593508"/>
            <w:r w:rsidRPr="009A4D38">
              <w:rPr>
                <w:color w:val="auto"/>
              </w:rPr>
              <w:t xml:space="preserve">Tabla </w:t>
            </w:r>
            <w:r w:rsidRPr="009A4D38">
              <w:rPr>
                <w:color w:val="auto"/>
              </w:rPr>
              <w:fldChar w:fldCharType="begin"/>
            </w:r>
            <w:r w:rsidRPr="009A4D38">
              <w:rPr>
                <w:color w:val="auto"/>
              </w:rPr>
              <w:instrText xml:space="preserve"> SEQ Tabla \* ARABIC </w:instrText>
            </w:r>
            <w:r w:rsidRPr="009A4D38">
              <w:rPr>
                <w:color w:val="auto"/>
              </w:rPr>
              <w:fldChar w:fldCharType="separate"/>
            </w:r>
            <w:r w:rsidR="00A62AFA">
              <w:rPr>
                <w:noProof/>
                <w:color w:val="auto"/>
              </w:rPr>
              <w:t>6</w:t>
            </w:r>
            <w:r w:rsidRPr="009A4D38">
              <w:rPr>
                <w:color w:val="auto"/>
              </w:rPr>
              <w:fldChar w:fldCharType="end"/>
            </w:r>
            <w:r w:rsidRPr="009A4D38">
              <w:rPr>
                <w:color w:val="auto"/>
              </w:rPr>
              <w:t xml:space="preserve">. </w:t>
            </w:r>
            <w:r w:rsidR="005F38A6" w:rsidRPr="009A4D38">
              <w:rPr>
                <w:color w:val="auto"/>
                <w:lang w:val="es-ES_tradnl" w:eastAsia="es-ES"/>
              </w:rPr>
              <w:t>Panorama del crecimiento de la economía mundial 2022-2023</w:t>
            </w:r>
            <w:bookmarkEnd w:id="36"/>
            <w:bookmarkEnd w:id="37"/>
          </w:p>
        </w:tc>
      </w:tr>
      <w:tr w:rsidR="005F38A6" w:rsidRPr="00AC3A41" w14:paraId="2CD78310" w14:textId="77777777" w:rsidTr="006A7377">
        <w:tc>
          <w:tcPr>
            <w:tcW w:w="8828" w:type="dxa"/>
          </w:tcPr>
          <w:p w14:paraId="398B375B" w14:textId="77777777" w:rsidR="005F38A6" w:rsidRPr="00AC3A41" w:rsidRDefault="005F38A6" w:rsidP="006A7377">
            <w:pPr>
              <w:jc w:val="center"/>
            </w:pPr>
            <w:r w:rsidRPr="00AC3A41">
              <w:t>Porcentajes</w:t>
            </w:r>
          </w:p>
        </w:tc>
      </w:tr>
      <w:tr w:rsidR="005F38A6" w:rsidRPr="00AC3A41" w14:paraId="128CA321" w14:textId="77777777" w:rsidTr="006A7377">
        <w:tblPrEx>
          <w:tblCellMar>
            <w:left w:w="70" w:type="dxa"/>
            <w:right w:w="70" w:type="dxa"/>
          </w:tblCellMar>
        </w:tblPrEx>
        <w:tc>
          <w:tcPr>
            <w:tcW w:w="8828" w:type="dxa"/>
          </w:tcPr>
          <w:tbl>
            <w:tblPr>
              <w:tblW w:w="7800" w:type="dxa"/>
              <w:jc w:val="center"/>
              <w:tblLayout w:type="fixed"/>
              <w:tblCellMar>
                <w:left w:w="70" w:type="dxa"/>
                <w:right w:w="70" w:type="dxa"/>
              </w:tblCellMar>
              <w:tblLook w:val="04A0" w:firstRow="1" w:lastRow="0" w:firstColumn="1" w:lastColumn="0" w:noHBand="0" w:noVBand="1"/>
            </w:tblPr>
            <w:tblGrid>
              <w:gridCol w:w="5281"/>
              <w:gridCol w:w="629"/>
              <w:gridCol w:w="630"/>
              <w:gridCol w:w="630"/>
              <w:gridCol w:w="630"/>
            </w:tblGrid>
            <w:tr w:rsidR="005F38A6" w:rsidRPr="009C46D7" w14:paraId="48D81574" w14:textId="77777777" w:rsidTr="009A4D38">
              <w:trPr>
                <w:trHeight w:val="22"/>
                <w:jc w:val="center"/>
              </w:trPr>
              <w:tc>
                <w:tcPr>
                  <w:tcW w:w="5281" w:type="dxa"/>
                  <w:vMerge w:val="restart"/>
                  <w:tcBorders>
                    <w:top w:val="single" w:sz="4" w:space="0" w:color="auto"/>
                    <w:left w:val="single" w:sz="4" w:space="0" w:color="auto"/>
                    <w:bottom w:val="single" w:sz="4" w:space="0" w:color="000000"/>
                    <w:right w:val="nil"/>
                  </w:tcBorders>
                  <w:shd w:val="clear" w:color="000000" w:fill="95B3D7"/>
                  <w:noWrap/>
                  <w:hideMark/>
                </w:tcPr>
                <w:p w14:paraId="62CBD0F5" w14:textId="77777777" w:rsidR="005F38A6" w:rsidRPr="009C46D7" w:rsidRDefault="005F38A6" w:rsidP="006A7377">
                  <w:pPr>
                    <w:jc w:val="center"/>
                    <w:rPr>
                      <w:b/>
                      <w:bCs/>
                      <w:color w:val="000000"/>
                      <w:sz w:val="20"/>
                      <w:szCs w:val="20"/>
                    </w:rPr>
                  </w:pPr>
                  <w:bookmarkStart w:id="38" w:name="_Hlk141953145"/>
                </w:p>
              </w:tc>
              <w:tc>
                <w:tcPr>
                  <w:tcW w:w="1259" w:type="dxa"/>
                  <w:gridSpan w:val="2"/>
                  <w:tcBorders>
                    <w:top w:val="single" w:sz="4" w:space="0" w:color="auto"/>
                    <w:left w:val="single" w:sz="4" w:space="0" w:color="auto"/>
                    <w:bottom w:val="single" w:sz="4" w:space="0" w:color="auto"/>
                    <w:right w:val="single" w:sz="4" w:space="0" w:color="000000"/>
                  </w:tcBorders>
                  <w:shd w:val="clear" w:color="000000" w:fill="95B3D7"/>
                  <w:noWrap/>
                  <w:vAlign w:val="center"/>
                  <w:hideMark/>
                </w:tcPr>
                <w:p w14:paraId="401C202B" w14:textId="77777777" w:rsidR="005F38A6" w:rsidRPr="009C46D7" w:rsidRDefault="005F38A6" w:rsidP="006A7377">
                  <w:pPr>
                    <w:jc w:val="center"/>
                    <w:rPr>
                      <w:b/>
                      <w:bCs/>
                      <w:color w:val="000000"/>
                      <w:sz w:val="20"/>
                      <w:szCs w:val="20"/>
                    </w:rPr>
                  </w:pPr>
                  <w:r w:rsidRPr="009C46D7">
                    <w:rPr>
                      <w:b/>
                      <w:bCs/>
                      <w:color w:val="000000"/>
                      <w:sz w:val="20"/>
                      <w:szCs w:val="20"/>
                    </w:rPr>
                    <w:t>2022</w:t>
                  </w:r>
                </w:p>
              </w:tc>
              <w:tc>
                <w:tcPr>
                  <w:tcW w:w="1260" w:type="dxa"/>
                  <w:gridSpan w:val="2"/>
                  <w:tcBorders>
                    <w:top w:val="single" w:sz="4" w:space="0" w:color="auto"/>
                    <w:left w:val="nil"/>
                    <w:bottom w:val="single" w:sz="4" w:space="0" w:color="auto"/>
                    <w:right w:val="single" w:sz="4" w:space="0" w:color="000000"/>
                  </w:tcBorders>
                  <w:shd w:val="clear" w:color="000000" w:fill="95B3D7"/>
                  <w:noWrap/>
                  <w:vAlign w:val="center"/>
                  <w:hideMark/>
                </w:tcPr>
                <w:p w14:paraId="120AF14F" w14:textId="77777777" w:rsidR="005F38A6" w:rsidRPr="009C46D7" w:rsidRDefault="005F38A6" w:rsidP="006A7377">
                  <w:pPr>
                    <w:jc w:val="center"/>
                    <w:rPr>
                      <w:b/>
                      <w:bCs/>
                      <w:color w:val="000000"/>
                      <w:sz w:val="20"/>
                      <w:szCs w:val="20"/>
                    </w:rPr>
                  </w:pPr>
                  <w:r w:rsidRPr="009C46D7">
                    <w:rPr>
                      <w:b/>
                      <w:bCs/>
                      <w:color w:val="000000"/>
                      <w:sz w:val="20"/>
                      <w:szCs w:val="20"/>
                    </w:rPr>
                    <w:t>2023</w:t>
                  </w:r>
                </w:p>
              </w:tc>
            </w:tr>
            <w:tr w:rsidR="005F38A6" w:rsidRPr="009C46D7" w14:paraId="33459817" w14:textId="77777777" w:rsidTr="009A4D38">
              <w:trPr>
                <w:trHeight w:val="22"/>
                <w:jc w:val="center"/>
              </w:trPr>
              <w:tc>
                <w:tcPr>
                  <w:tcW w:w="5281" w:type="dxa"/>
                  <w:vMerge/>
                  <w:tcBorders>
                    <w:top w:val="single" w:sz="4" w:space="0" w:color="auto"/>
                    <w:left w:val="single" w:sz="4" w:space="0" w:color="auto"/>
                    <w:bottom w:val="single" w:sz="4" w:space="0" w:color="000000"/>
                    <w:right w:val="nil"/>
                  </w:tcBorders>
                  <w:vAlign w:val="center"/>
                  <w:hideMark/>
                </w:tcPr>
                <w:p w14:paraId="24BBCDFF" w14:textId="77777777" w:rsidR="005F38A6" w:rsidRPr="009C46D7" w:rsidRDefault="005F38A6" w:rsidP="006A7377">
                  <w:pPr>
                    <w:rPr>
                      <w:b/>
                      <w:bCs/>
                      <w:color w:val="000000"/>
                      <w:sz w:val="20"/>
                      <w:szCs w:val="20"/>
                    </w:rPr>
                  </w:pPr>
                </w:p>
              </w:tc>
              <w:tc>
                <w:tcPr>
                  <w:tcW w:w="629" w:type="dxa"/>
                  <w:tcBorders>
                    <w:top w:val="nil"/>
                    <w:left w:val="single" w:sz="4" w:space="0" w:color="auto"/>
                    <w:bottom w:val="single" w:sz="4" w:space="0" w:color="auto"/>
                    <w:right w:val="nil"/>
                  </w:tcBorders>
                  <w:shd w:val="clear" w:color="000000" w:fill="95B3D7"/>
                  <w:noWrap/>
                  <w:vAlign w:val="center"/>
                  <w:hideMark/>
                </w:tcPr>
                <w:p w14:paraId="53DA74B8" w14:textId="77777777" w:rsidR="005F38A6" w:rsidRPr="009C46D7" w:rsidRDefault="005F38A6" w:rsidP="006A7377">
                  <w:pPr>
                    <w:jc w:val="center"/>
                    <w:rPr>
                      <w:b/>
                      <w:bCs/>
                      <w:color w:val="000000"/>
                      <w:sz w:val="20"/>
                      <w:szCs w:val="20"/>
                    </w:rPr>
                  </w:pPr>
                  <w:r w:rsidRPr="009C46D7">
                    <w:rPr>
                      <w:b/>
                      <w:bCs/>
                      <w:color w:val="000000"/>
                      <w:sz w:val="20"/>
                      <w:szCs w:val="20"/>
                    </w:rPr>
                    <w:t>BM</w:t>
                  </w:r>
                </w:p>
              </w:tc>
              <w:tc>
                <w:tcPr>
                  <w:tcW w:w="630" w:type="dxa"/>
                  <w:tcBorders>
                    <w:top w:val="nil"/>
                    <w:left w:val="single" w:sz="4" w:space="0" w:color="auto"/>
                    <w:bottom w:val="single" w:sz="4" w:space="0" w:color="auto"/>
                    <w:right w:val="single" w:sz="4" w:space="0" w:color="auto"/>
                  </w:tcBorders>
                  <w:shd w:val="clear" w:color="000000" w:fill="95B3D7"/>
                  <w:noWrap/>
                  <w:vAlign w:val="center"/>
                  <w:hideMark/>
                </w:tcPr>
                <w:p w14:paraId="7EBCA2D0" w14:textId="77777777" w:rsidR="005F38A6" w:rsidRPr="009C46D7" w:rsidRDefault="005F38A6" w:rsidP="006A7377">
                  <w:pPr>
                    <w:jc w:val="center"/>
                    <w:rPr>
                      <w:b/>
                      <w:bCs/>
                      <w:color w:val="000000"/>
                      <w:sz w:val="20"/>
                      <w:szCs w:val="20"/>
                    </w:rPr>
                  </w:pPr>
                  <w:r w:rsidRPr="009C46D7">
                    <w:rPr>
                      <w:b/>
                      <w:bCs/>
                      <w:color w:val="000000"/>
                      <w:sz w:val="20"/>
                      <w:szCs w:val="20"/>
                    </w:rPr>
                    <w:t>FMI</w:t>
                  </w:r>
                </w:p>
              </w:tc>
              <w:tc>
                <w:tcPr>
                  <w:tcW w:w="630" w:type="dxa"/>
                  <w:tcBorders>
                    <w:top w:val="nil"/>
                    <w:left w:val="nil"/>
                    <w:bottom w:val="single" w:sz="4" w:space="0" w:color="auto"/>
                    <w:right w:val="nil"/>
                  </w:tcBorders>
                  <w:shd w:val="clear" w:color="000000" w:fill="95B3D7"/>
                  <w:noWrap/>
                  <w:vAlign w:val="center"/>
                  <w:hideMark/>
                </w:tcPr>
                <w:p w14:paraId="25BEFBF3" w14:textId="77777777" w:rsidR="005F38A6" w:rsidRPr="009C46D7" w:rsidRDefault="005F38A6" w:rsidP="006A7377">
                  <w:pPr>
                    <w:jc w:val="center"/>
                    <w:rPr>
                      <w:b/>
                      <w:bCs/>
                      <w:color w:val="000000"/>
                      <w:sz w:val="20"/>
                      <w:szCs w:val="20"/>
                    </w:rPr>
                  </w:pPr>
                  <w:r w:rsidRPr="009C46D7">
                    <w:rPr>
                      <w:b/>
                      <w:bCs/>
                      <w:color w:val="000000"/>
                      <w:sz w:val="20"/>
                      <w:szCs w:val="20"/>
                    </w:rPr>
                    <w:t>BM</w:t>
                  </w:r>
                </w:p>
              </w:tc>
              <w:tc>
                <w:tcPr>
                  <w:tcW w:w="630" w:type="dxa"/>
                  <w:tcBorders>
                    <w:top w:val="nil"/>
                    <w:left w:val="single" w:sz="4" w:space="0" w:color="auto"/>
                    <w:bottom w:val="single" w:sz="4" w:space="0" w:color="auto"/>
                    <w:right w:val="single" w:sz="4" w:space="0" w:color="auto"/>
                  </w:tcBorders>
                  <w:shd w:val="clear" w:color="000000" w:fill="95B3D7"/>
                  <w:noWrap/>
                  <w:vAlign w:val="center"/>
                  <w:hideMark/>
                </w:tcPr>
                <w:p w14:paraId="2AD472D1" w14:textId="77777777" w:rsidR="005F38A6" w:rsidRPr="009C46D7" w:rsidRDefault="005F38A6" w:rsidP="006A7377">
                  <w:pPr>
                    <w:jc w:val="center"/>
                    <w:rPr>
                      <w:b/>
                      <w:bCs/>
                      <w:color w:val="000000"/>
                      <w:sz w:val="20"/>
                      <w:szCs w:val="20"/>
                    </w:rPr>
                  </w:pPr>
                  <w:r w:rsidRPr="009C46D7">
                    <w:rPr>
                      <w:b/>
                      <w:bCs/>
                      <w:color w:val="000000"/>
                      <w:sz w:val="20"/>
                      <w:szCs w:val="20"/>
                    </w:rPr>
                    <w:t>FMI</w:t>
                  </w:r>
                </w:p>
              </w:tc>
            </w:tr>
            <w:tr w:rsidR="005F38A6" w:rsidRPr="009C46D7" w14:paraId="1DA52D2D" w14:textId="77777777" w:rsidTr="00DE1611">
              <w:trPr>
                <w:trHeight w:val="139"/>
                <w:jc w:val="center"/>
              </w:trPr>
              <w:tc>
                <w:tcPr>
                  <w:tcW w:w="5281" w:type="dxa"/>
                  <w:tcBorders>
                    <w:top w:val="single" w:sz="4" w:space="0" w:color="auto"/>
                    <w:left w:val="single" w:sz="4" w:space="0" w:color="auto"/>
                    <w:bottom w:val="nil"/>
                    <w:right w:val="single" w:sz="4" w:space="0" w:color="auto"/>
                  </w:tcBorders>
                  <w:shd w:val="clear" w:color="auto" w:fill="auto"/>
                  <w:noWrap/>
                  <w:hideMark/>
                </w:tcPr>
                <w:p w14:paraId="0FE86DDE" w14:textId="77777777" w:rsidR="005F38A6" w:rsidRPr="009C46D7" w:rsidRDefault="005F38A6" w:rsidP="006A7377">
                  <w:pPr>
                    <w:rPr>
                      <w:b/>
                      <w:bCs/>
                      <w:color w:val="000000"/>
                      <w:sz w:val="20"/>
                      <w:szCs w:val="20"/>
                    </w:rPr>
                  </w:pPr>
                  <w:r w:rsidRPr="009C46D7">
                    <w:rPr>
                      <w:b/>
                      <w:bCs/>
                      <w:color w:val="000000"/>
                      <w:sz w:val="20"/>
                      <w:szCs w:val="20"/>
                    </w:rPr>
                    <w:t>Mundo</w:t>
                  </w:r>
                </w:p>
              </w:tc>
              <w:tc>
                <w:tcPr>
                  <w:tcW w:w="629" w:type="dxa"/>
                  <w:tcBorders>
                    <w:top w:val="nil"/>
                    <w:left w:val="nil"/>
                    <w:bottom w:val="nil"/>
                    <w:right w:val="nil"/>
                  </w:tcBorders>
                  <w:shd w:val="clear" w:color="auto" w:fill="auto"/>
                  <w:noWrap/>
                  <w:vAlign w:val="center"/>
                  <w:hideMark/>
                </w:tcPr>
                <w:p w14:paraId="62CBAA60" w14:textId="77777777" w:rsidR="005F38A6" w:rsidRPr="009C46D7" w:rsidRDefault="005F38A6" w:rsidP="006A7377">
                  <w:pPr>
                    <w:jc w:val="center"/>
                    <w:rPr>
                      <w:b/>
                      <w:bCs/>
                      <w:color w:val="000000"/>
                      <w:sz w:val="20"/>
                      <w:szCs w:val="20"/>
                    </w:rPr>
                  </w:pPr>
                  <w:r w:rsidRPr="009C46D7">
                    <w:rPr>
                      <w:b/>
                      <w:bCs/>
                      <w:color w:val="000000"/>
                      <w:sz w:val="20"/>
                      <w:szCs w:val="20"/>
                    </w:rPr>
                    <w:t>2.9</w:t>
                  </w:r>
                </w:p>
              </w:tc>
              <w:tc>
                <w:tcPr>
                  <w:tcW w:w="630" w:type="dxa"/>
                  <w:tcBorders>
                    <w:top w:val="nil"/>
                    <w:left w:val="single" w:sz="4" w:space="0" w:color="auto"/>
                    <w:bottom w:val="nil"/>
                    <w:right w:val="single" w:sz="4" w:space="0" w:color="auto"/>
                  </w:tcBorders>
                  <w:shd w:val="clear" w:color="000000" w:fill="FDE9D9"/>
                  <w:noWrap/>
                  <w:vAlign w:val="center"/>
                  <w:hideMark/>
                </w:tcPr>
                <w:p w14:paraId="3A53FEB7" w14:textId="77777777" w:rsidR="005F38A6" w:rsidRPr="009C46D7" w:rsidRDefault="005F38A6" w:rsidP="006A7377">
                  <w:pPr>
                    <w:jc w:val="center"/>
                    <w:rPr>
                      <w:b/>
                      <w:bCs/>
                      <w:color w:val="000000"/>
                      <w:sz w:val="20"/>
                      <w:szCs w:val="20"/>
                    </w:rPr>
                  </w:pPr>
                  <w:r w:rsidRPr="009C46D7">
                    <w:rPr>
                      <w:b/>
                      <w:bCs/>
                      <w:color w:val="000000"/>
                      <w:sz w:val="20"/>
                      <w:szCs w:val="20"/>
                    </w:rPr>
                    <w:t>3.4</w:t>
                  </w:r>
                </w:p>
              </w:tc>
              <w:tc>
                <w:tcPr>
                  <w:tcW w:w="630" w:type="dxa"/>
                  <w:tcBorders>
                    <w:top w:val="nil"/>
                    <w:left w:val="nil"/>
                    <w:bottom w:val="nil"/>
                    <w:right w:val="nil"/>
                  </w:tcBorders>
                  <w:shd w:val="clear" w:color="auto" w:fill="auto"/>
                  <w:noWrap/>
                  <w:vAlign w:val="center"/>
                  <w:hideMark/>
                </w:tcPr>
                <w:p w14:paraId="435F8427" w14:textId="77777777" w:rsidR="005F38A6" w:rsidRPr="009C46D7" w:rsidRDefault="005F38A6" w:rsidP="006A7377">
                  <w:pPr>
                    <w:jc w:val="center"/>
                    <w:rPr>
                      <w:b/>
                      <w:bCs/>
                      <w:color w:val="000000"/>
                      <w:sz w:val="20"/>
                      <w:szCs w:val="20"/>
                    </w:rPr>
                  </w:pPr>
                  <w:r w:rsidRPr="009C46D7">
                    <w:rPr>
                      <w:b/>
                      <w:bCs/>
                      <w:color w:val="000000"/>
                      <w:sz w:val="20"/>
                      <w:szCs w:val="20"/>
                    </w:rPr>
                    <w:t>1.7</w:t>
                  </w:r>
                </w:p>
              </w:tc>
              <w:tc>
                <w:tcPr>
                  <w:tcW w:w="630" w:type="dxa"/>
                  <w:tcBorders>
                    <w:top w:val="nil"/>
                    <w:left w:val="single" w:sz="4" w:space="0" w:color="auto"/>
                    <w:bottom w:val="nil"/>
                    <w:right w:val="single" w:sz="4" w:space="0" w:color="auto"/>
                  </w:tcBorders>
                  <w:shd w:val="clear" w:color="000000" w:fill="FDE9D9"/>
                  <w:noWrap/>
                  <w:vAlign w:val="center"/>
                  <w:hideMark/>
                </w:tcPr>
                <w:p w14:paraId="425DA58F" w14:textId="77777777" w:rsidR="005F38A6" w:rsidRPr="009C46D7" w:rsidRDefault="005F38A6" w:rsidP="006A7377">
                  <w:pPr>
                    <w:jc w:val="center"/>
                    <w:rPr>
                      <w:b/>
                      <w:bCs/>
                      <w:color w:val="000000"/>
                      <w:sz w:val="20"/>
                      <w:szCs w:val="20"/>
                    </w:rPr>
                  </w:pPr>
                  <w:r w:rsidRPr="009C46D7">
                    <w:rPr>
                      <w:b/>
                      <w:bCs/>
                      <w:color w:val="000000"/>
                      <w:sz w:val="20"/>
                      <w:szCs w:val="20"/>
                    </w:rPr>
                    <w:t>2.8</w:t>
                  </w:r>
                </w:p>
              </w:tc>
            </w:tr>
            <w:tr w:rsidR="005F38A6" w:rsidRPr="009C46D7" w14:paraId="427B5C08" w14:textId="77777777" w:rsidTr="00DE1611">
              <w:trPr>
                <w:trHeight w:val="70"/>
                <w:jc w:val="center"/>
              </w:trPr>
              <w:tc>
                <w:tcPr>
                  <w:tcW w:w="5281" w:type="dxa"/>
                  <w:tcBorders>
                    <w:top w:val="nil"/>
                    <w:left w:val="single" w:sz="4" w:space="0" w:color="auto"/>
                    <w:bottom w:val="nil"/>
                    <w:right w:val="single" w:sz="4" w:space="0" w:color="auto"/>
                  </w:tcBorders>
                  <w:shd w:val="clear" w:color="auto" w:fill="auto"/>
                  <w:noWrap/>
                  <w:hideMark/>
                </w:tcPr>
                <w:p w14:paraId="64C2E319" w14:textId="77777777" w:rsidR="005F38A6" w:rsidRPr="009C46D7" w:rsidRDefault="005F38A6" w:rsidP="006A7377">
                  <w:pPr>
                    <w:ind w:firstLineChars="100" w:firstLine="201"/>
                    <w:rPr>
                      <w:b/>
                      <w:bCs/>
                      <w:color w:val="000000"/>
                      <w:sz w:val="20"/>
                      <w:szCs w:val="20"/>
                    </w:rPr>
                  </w:pPr>
                  <w:r w:rsidRPr="009C46D7">
                    <w:rPr>
                      <w:b/>
                      <w:bCs/>
                      <w:color w:val="000000"/>
                      <w:sz w:val="20"/>
                      <w:szCs w:val="20"/>
                    </w:rPr>
                    <w:t>Economías avanzadas</w:t>
                  </w:r>
                </w:p>
              </w:tc>
              <w:tc>
                <w:tcPr>
                  <w:tcW w:w="629" w:type="dxa"/>
                  <w:tcBorders>
                    <w:top w:val="nil"/>
                    <w:left w:val="nil"/>
                    <w:bottom w:val="nil"/>
                    <w:right w:val="nil"/>
                  </w:tcBorders>
                  <w:shd w:val="clear" w:color="auto" w:fill="auto"/>
                  <w:noWrap/>
                  <w:vAlign w:val="center"/>
                  <w:hideMark/>
                </w:tcPr>
                <w:p w14:paraId="238F286D" w14:textId="77777777" w:rsidR="005F38A6" w:rsidRPr="009C46D7" w:rsidRDefault="005F38A6" w:rsidP="006A7377">
                  <w:pPr>
                    <w:jc w:val="center"/>
                    <w:rPr>
                      <w:b/>
                      <w:bCs/>
                      <w:color w:val="000000"/>
                      <w:sz w:val="20"/>
                      <w:szCs w:val="20"/>
                    </w:rPr>
                  </w:pPr>
                  <w:r w:rsidRPr="009C46D7">
                    <w:rPr>
                      <w:b/>
                      <w:bCs/>
                      <w:color w:val="000000"/>
                      <w:sz w:val="20"/>
                      <w:szCs w:val="20"/>
                    </w:rPr>
                    <w:t>2.5</w:t>
                  </w:r>
                </w:p>
              </w:tc>
              <w:tc>
                <w:tcPr>
                  <w:tcW w:w="630" w:type="dxa"/>
                  <w:tcBorders>
                    <w:top w:val="nil"/>
                    <w:left w:val="single" w:sz="4" w:space="0" w:color="auto"/>
                    <w:bottom w:val="nil"/>
                    <w:right w:val="single" w:sz="4" w:space="0" w:color="auto"/>
                  </w:tcBorders>
                  <w:shd w:val="clear" w:color="000000" w:fill="FDE9D9"/>
                  <w:noWrap/>
                  <w:vAlign w:val="center"/>
                  <w:hideMark/>
                </w:tcPr>
                <w:p w14:paraId="460E981E" w14:textId="77777777" w:rsidR="005F38A6" w:rsidRPr="009C46D7" w:rsidRDefault="005F38A6" w:rsidP="006A7377">
                  <w:pPr>
                    <w:jc w:val="center"/>
                    <w:rPr>
                      <w:b/>
                      <w:bCs/>
                      <w:color w:val="000000"/>
                      <w:sz w:val="20"/>
                      <w:szCs w:val="20"/>
                    </w:rPr>
                  </w:pPr>
                  <w:r w:rsidRPr="009C46D7">
                    <w:rPr>
                      <w:b/>
                      <w:bCs/>
                      <w:color w:val="000000"/>
                      <w:sz w:val="20"/>
                      <w:szCs w:val="20"/>
                    </w:rPr>
                    <w:t>2.7</w:t>
                  </w:r>
                </w:p>
              </w:tc>
              <w:tc>
                <w:tcPr>
                  <w:tcW w:w="630" w:type="dxa"/>
                  <w:tcBorders>
                    <w:top w:val="nil"/>
                    <w:left w:val="nil"/>
                    <w:bottom w:val="nil"/>
                    <w:right w:val="nil"/>
                  </w:tcBorders>
                  <w:shd w:val="clear" w:color="auto" w:fill="auto"/>
                  <w:noWrap/>
                  <w:vAlign w:val="center"/>
                  <w:hideMark/>
                </w:tcPr>
                <w:p w14:paraId="38EE8B6B" w14:textId="77777777" w:rsidR="005F38A6" w:rsidRPr="009C46D7" w:rsidRDefault="005F38A6" w:rsidP="006A7377">
                  <w:pPr>
                    <w:jc w:val="center"/>
                    <w:rPr>
                      <w:b/>
                      <w:bCs/>
                      <w:color w:val="000000"/>
                      <w:sz w:val="20"/>
                      <w:szCs w:val="20"/>
                    </w:rPr>
                  </w:pPr>
                  <w:r w:rsidRPr="009C46D7">
                    <w:rPr>
                      <w:b/>
                      <w:bCs/>
                      <w:color w:val="000000"/>
                      <w:sz w:val="20"/>
                      <w:szCs w:val="20"/>
                    </w:rPr>
                    <w:t>0.5</w:t>
                  </w:r>
                </w:p>
              </w:tc>
              <w:tc>
                <w:tcPr>
                  <w:tcW w:w="630" w:type="dxa"/>
                  <w:tcBorders>
                    <w:top w:val="nil"/>
                    <w:left w:val="single" w:sz="4" w:space="0" w:color="auto"/>
                    <w:bottom w:val="nil"/>
                    <w:right w:val="single" w:sz="4" w:space="0" w:color="auto"/>
                  </w:tcBorders>
                  <w:shd w:val="clear" w:color="000000" w:fill="FDE9D9"/>
                  <w:noWrap/>
                  <w:vAlign w:val="center"/>
                  <w:hideMark/>
                </w:tcPr>
                <w:p w14:paraId="32675D84" w14:textId="77777777" w:rsidR="005F38A6" w:rsidRPr="009C46D7" w:rsidRDefault="005F38A6" w:rsidP="006A7377">
                  <w:pPr>
                    <w:jc w:val="center"/>
                    <w:rPr>
                      <w:b/>
                      <w:bCs/>
                      <w:color w:val="000000"/>
                      <w:sz w:val="20"/>
                      <w:szCs w:val="20"/>
                    </w:rPr>
                  </w:pPr>
                  <w:r w:rsidRPr="009C46D7">
                    <w:rPr>
                      <w:b/>
                      <w:bCs/>
                      <w:color w:val="000000"/>
                      <w:sz w:val="20"/>
                      <w:szCs w:val="20"/>
                    </w:rPr>
                    <w:t>1.3</w:t>
                  </w:r>
                </w:p>
              </w:tc>
            </w:tr>
            <w:tr w:rsidR="005F38A6" w:rsidRPr="009C46D7" w14:paraId="676AF188" w14:textId="77777777" w:rsidTr="009A4D38">
              <w:trPr>
                <w:trHeight w:val="22"/>
                <w:jc w:val="center"/>
              </w:trPr>
              <w:tc>
                <w:tcPr>
                  <w:tcW w:w="5281" w:type="dxa"/>
                  <w:tcBorders>
                    <w:top w:val="nil"/>
                    <w:left w:val="single" w:sz="4" w:space="0" w:color="auto"/>
                    <w:bottom w:val="nil"/>
                    <w:right w:val="single" w:sz="4" w:space="0" w:color="auto"/>
                  </w:tcBorders>
                  <w:shd w:val="clear" w:color="auto" w:fill="auto"/>
                  <w:noWrap/>
                  <w:hideMark/>
                </w:tcPr>
                <w:p w14:paraId="118678E6" w14:textId="77777777" w:rsidR="005F38A6" w:rsidRPr="009C46D7" w:rsidRDefault="005F38A6" w:rsidP="006A7377">
                  <w:pPr>
                    <w:ind w:firstLineChars="200" w:firstLine="400"/>
                    <w:rPr>
                      <w:color w:val="000000"/>
                      <w:sz w:val="20"/>
                      <w:szCs w:val="20"/>
                    </w:rPr>
                  </w:pPr>
                  <w:r w:rsidRPr="009C46D7">
                    <w:rPr>
                      <w:color w:val="000000"/>
                      <w:sz w:val="20"/>
                      <w:szCs w:val="20"/>
                    </w:rPr>
                    <w:t>Estados Unidos</w:t>
                  </w:r>
                </w:p>
              </w:tc>
              <w:tc>
                <w:tcPr>
                  <w:tcW w:w="629" w:type="dxa"/>
                  <w:tcBorders>
                    <w:top w:val="nil"/>
                    <w:left w:val="nil"/>
                    <w:bottom w:val="nil"/>
                    <w:right w:val="nil"/>
                  </w:tcBorders>
                  <w:shd w:val="clear" w:color="auto" w:fill="auto"/>
                  <w:noWrap/>
                  <w:vAlign w:val="center"/>
                  <w:hideMark/>
                </w:tcPr>
                <w:p w14:paraId="6ED8C8CC" w14:textId="77777777" w:rsidR="005F38A6" w:rsidRPr="009C46D7" w:rsidRDefault="005F38A6" w:rsidP="006A7377">
                  <w:pPr>
                    <w:jc w:val="center"/>
                    <w:rPr>
                      <w:color w:val="000000"/>
                      <w:sz w:val="20"/>
                      <w:szCs w:val="20"/>
                    </w:rPr>
                  </w:pPr>
                  <w:r w:rsidRPr="009C46D7">
                    <w:rPr>
                      <w:color w:val="000000"/>
                      <w:sz w:val="20"/>
                      <w:szCs w:val="20"/>
                    </w:rPr>
                    <w:t>1.9</w:t>
                  </w:r>
                </w:p>
              </w:tc>
              <w:tc>
                <w:tcPr>
                  <w:tcW w:w="630" w:type="dxa"/>
                  <w:tcBorders>
                    <w:top w:val="nil"/>
                    <w:left w:val="single" w:sz="4" w:space="0" w:color="auto"/>
                    <w:bottom w:val="nil"/>
                    <w:right w:val="single" w:sz="4" w:space="0" w:color="auto"/>
                  </w:tcBorders>
                  <w:shd w:val="clear" w:color="000000" w:fill="FDE9D9"/>
                  <w:noWrap/>
                  <w:vAlign w:val="center"/>
                  <w:hideMark/>
                </w:tcPr>
                <w:p w14:paraId="0D9C31A0" w14:textId="77777777" w:rsidR="005F38A6" w:rsidRPr="009C46D7" w:rsidRDefault="005F38A6" w:rsidP="006A7377">
                  <w:pPr>
                    <w:jc w:val="center"/>
                    <w:rPr>
                      <w:color w:val="000000"/>
                      <w:sz w:val="20"/>
                      <w:szCs w:val="20"/>
                    </w:rPr>
                  </w:pPr>
                  <w:r w:rsidRPr="009C46D7">
                    <w:rPr>
                      <w:color w:val="000000"/>
                      <w:sz w:val="20"/>
                      <w:szCs w:val="20"/>
                    </w:rPr>
                    <w:t>2.1</w:t>
                  </w:r>
                </w:p>
              </w:tc>
              <w:tc>
                <w:tcPr>
                  <w:tcW w:w="630" w:type="dxa"/>
                  <w:tcBorders>
                    <w:top w:val="nil"/>
                    <w:left w:val="nil"/>
                    <w:bottom w:val="nil"/>
                    <w:right w:val="nil"/>
                  </w:tcBorders>
                  <w:shd w:val="clear" w:color="auto" w:fill="auto"/>
                  <w:noWrap/>
                  <w:vAlign w:val="center"/>
                  <w:hideMark/>
                </w:tcPr>
                <w:p w14:paraId="3C286FD0" w14:textId="77777777" w:rsidR="005F38A6" w:rsidRPr="009C46D7" w:rsidRDefault="005F38A6" w:rsidP="006A7377">
                  <w:pPr>
                    <w:jc w:val="center"/>
                    <w:rPr>
                      <w:color w:val="000000"/>
                      <w:sz w:val="20"/>
                      <w:szCs w:val="20"/>
                    </w:rPr>
                  </w:pPr>
                  <w:r w:rsidRPr="009C46D7">
                    <w:rPr>
                      <w:color w:val="000000"/>
                      <w:sz w:val="20"/>
                      <w:szCs w:val="20"/>
                    </w:rPr>
                    <w:t>0.5</w:t>
                  </w:r>
                </w:p>
              </w:tc>
              <w:tc>
                <w:tcPr>
                  <w:tcW w:w="630" w:type="dxa"/>
                  <w:tcBorders>
                    <w:top w:val="nil"/>
                    <w:left w:val="single" w:sz="4" w:space="0" w:color="auto"/>
                    <w:bottom w:val="nil"/>
                    <w:right w:val="single" w:sz="4" w:space="0" w:color="auto"/>
                  </w:tcBorders>
                  <w:shd w:val="clear" w:color="000000" w:fill="FDE9D9"/>
                  <w:noWrap/>
                  <w:vAlign w:val="center"/>
                  <w:hideMark/>
                </w:tcPr>
                <w:p w14:paraId="76564A3D" w14:textId="77777777" w:rsidR="005F38A6" w:rsidRPr="009C46D7" w:rsidRDefault="005F38A6" w:rsidP="006A7377">
                  <w:pPr>
                    <w:jc w:val="center"/>
                    <w:rPr>
                      <w:color w:val="000000"/>
                      <w:sz w:val="20"/>
                      <w:szCs w:val="20"/>
                    </w:rPr>
                  </w:pPr>
                  <w:r w:rsidRPr="009C46D7">
                    <w:rPr>
                      <w:color w:val="000000"/>
                      <w:sz w:val="20"/>
                      <w:szCs w:val="20"/>
                    </w:rPr>
                    <w:t>1.6</w:t>
                  </w:r>
                </w:p>
              </w:tc>
            </w:tr>
            <w:tr w:rsidR="005F38A6" w:rsidRPr="009C46D7" w14:paraId="44A68F09" w14:textId="77777777" w:rsidTr="009A4D38">
              <w:trPr>
                <w:trHeight w:val="22"/>
                <w:jc w:val="center"/>
              </w:trPr>
              <w:tc>
                <w:tcPr>
                  <w:tcW w:w="5281" w:type="dxa"/>
                  <w:tcBorders>
                    <w:top w:val="nil"/>
                    <w:left w:val="single" w:sz="4" w:space="0" w:color="auto"/>
                    <w:bottom w:val="nil"/>
                    <w:right w:val="single" w:sz="4" w:space="0" w:color="auto"/>
                  </w:tcBorders>
                  <w:shd w:val="clear" w:color="auto" w:fill="auto"/>
                  <w:noWrap/>
                  <w:hideMark/>
                </w:tcPr>
                <w:p w14:paraId="0CC0D37D" w14:textId="77777777" w:rsidR="005F38A6" w:rsidRPr="009C46D7" w:rsidRDefault="005F38A6" w:rsidP="006A7377">
                  <w:pPr>
                    <w:ind w:firstLineChars="200" w:firstLine="400"/>
                    <w:rPr>
                      <w:color w:val="000000"/>
                      <w:sz w:val="20"/>
                      <w:szCs w:val="20"/>
                    </w:rPr>
                  </w:pPr>
                  <w:r w:rsidRPr="009C46D7">
                    <w:rPr>
                      <w:color w:val="000000"/>
                      <w:sz w:val="20"/>
                      <w:szCs w:val="20"/>
                    </w:rPr>
                    <w:t xml:space="preserve">Zona del </w:t>
                  </w:r>
                  <w:proofErr w:type="gramStart"/>
                  <w:r w:rsidRPr="009C46D7">
                    <w:rPr>
                      <w:color w:val="000000"/>
                      <w:sz w:val="20"/>
                      <w:szCs w:val="20"/>
                    </w:rPr>
                    <w:t>Euro</w:t>
                  </w:r>
                  <w:proofErr w:type="gramEnd"/>
                </w:p>
              </w:tc>
              <w:tc>
                <w:tcPr>
                  <w:tcW w:w="629" w:type="dxa"/>
                  <w:tcBorders>
                    <w:top w:val="nil"/>
                    <w:left w:val="nil"/>
                    <w:bottom w:val="nil"/>
                    <w:right w:val="nil"/>
                  </w:tcBorders>
                  <w:shd w:val="clear" w:color="auto" w:fill="auto"/>
                  <w:noWrap/>
                  <w:vAlign w:val="center"/>
                  <w:hideMark/>
                </w:tcPr>
                <w:p w14:paraId="5C7E1729" w14:textId="77777777" w:rsidR="005F38A6" w:rsidRPr="009C46D7" w:rsidRDefault="005F38A6" w:rsidP="006A7377">
                  <w:pPr>
                    <w:jc w:val="center"/>
                    <w:rPr>
                      <w:color w:val="000000"/>
                      <w:sz w:val="20"/>
                      <w:szCs w:val="20"/>
                    </w:rPr>
                  </w:pPr>
                  <w:r w:rsidRPr="009C46D7">
                    <w:rPr>
                      <w:color w:val="000000"/>
                      <w:sz w:val="20"/>
                      <w:szCs w:val="20"/>
                    </w:rPr>
                    <w:t>3.3</w:t>
                  </w:r>
                </w:p>
              </w:tc>
              <w:tc>
                <w:tcPr>
                  <w:tcW w:w="630" w:type="dxa"/>
                  <w:tcBorders>
                    <w:top w:val="nil"/>
                    <w:left w:val="single" w:sz="4" w:space="0" w:color="auto"/>
                    <w:bottom w:val="nil"/>
                    <w:right w:val="single" w:sz="4" w:space="0" w:color="auto"/>
                  </w:tcBorders>
                  <w:shd w:val="clear" w:color="000000" w:fill="FDE9D9"/>
                  <w:noWrap/>
                  <w:vAlign w:val="center"/>
                  <w:hideMark/>
                </w:tcPr>
                <w:p w14:paraId="6C4B54F0" w14:textId="77777777" w:rsidR="005F38A6" w:rsidRPr="009C46D7" w:rsidRDefault="005F38A6" w:rsidP="006A7377">
                  <w:pPr>
                    <w:jc w:val="center"/>
                    <w:rPr>
                      <w:color w:val="000000"/>
                      <w:sz w:val="20"/>
                      <w:szCs w:val="20"/>
                    </w:rPr>
                  </w:pPr>
                  <w:r w:rsidRPr="009C46D7">
                    <w:rPr>
                      <w:color w:val="000000"/>
                      <w:sz w:val="20"/>
                      <w:szCs w:val="20"/>
                    </w:rPr>
                    <w:t>3.5</w:t>
                  </w:r>
                </w:p>
              </w:tc>
              <w:tc>
                <w:tcPr>
                  <w:tcW w:w="630" w:type="dxa"/>
                  <w:tcBorders>
                    <w:top w:val="nil"/>
                    <w:left w:val="nil"/>
                    <w:bottom w:val="nil"/>
                    <w:right w:val="nil"/>
                  </w:tcBorders>
                  <w:shd w:val="clear" w:color="auto" w:fill="auto"/>
                  <w:noWrap/>
                  <w:vAlign w:val="center"/>
                  <w:hideMark/>
                </w:tcPr>
                <w:p w14:paraId="21065B3F" w14:textId="77777777" w:rsidR="005F38A6" w:rsidRPr="009C46D7" w:rsidRDefault="005F38A6" w:rsidP="006A7377">
                  <w:pPr>
                    <w:jc w:val="center"/>
                    <w:rPr>
                      <w:color w:val="000000"/>
                      <w:sz w:val="20"/>
                      <w:szCs w:val="20"/>
                    </w:rPr>
                  </w:pPr>
                  <w:r w:rsidRPr="009C46D7">
                    <w:rPr>
                      <w:color w:val="000000"/>
                      <w:sz w:val="20"/>
                      <w:szCs w:val="20"/>
                    </w:rPr>
                    <w:t>0.0</w:t>
                  </w:r>
                </w:p>
              </w:tc>
              <w:tc>
                <w:tcPr>
                  <w:tcW w:w="630" w:type="dxa"/>
                  <w:tcBorders>
                    <w:top w:val="nil"/>
                    <w:left w:val="single" w:sz="4" w:space="0" w:color="auto"/>
                    <w:bottom w:val="nil"/>
                    <w:right w:val="single" w:sz="4" w:space="0" w:color="auto"/>
                  </w:tcBorders>
                  <w:shd w:val="clear" w:color="000000" w:fill="FDE9D9"/>
                  <w:noWrap/>
                  <w:vAlign w:val="center"/>
                  <w:hideMark/>
                </w:tcPr>
                <w:p w14:paraId="0BE754A2" w14:textId="77777777" w:rsidR="005F38A6" w:rsidRPr="009C46D7" w:rsidRDefault="005F38A6" w:rsidP="006A7377">
                  <w:pPr>
                    <w:jc w:val="center"/>
                    <w:rPr>
                      <w:color w:val="000000"/>
                      <w:sz w:val="20"/>
                      <w:szCs w:val="20"/>
                    </w:rPr>
                  </w:pPr>
                  <w:r w:rsidRPr="009C46D7">
                    <w:rPr>
                      <w:color w:val="000000"/>
                      <w:sz w:val="20"/>
                      <w:szCs w:val="20"/>
                    </w:rPr>
                    <w:t>0.8</w:t>
                  </w:r>
                </w:p>
              </w:tc>
            </w:tr>
            <w:tr w:rsidR="005F38A6" w:rsidRPr="009C46D7" w14:paraId="6F7100E4" w14:textId="77777777" w:rsidTr="009A4D38">
              <w:trPr>
                <w:trHeight w:val="22"/>
                <w:jc w:val="center"/>
              </w:trPr>
              <w:tc>
                <w:tcPr>
                  <w:tcW w:w="5281" w:type="dxa"/>
                  <w:tcBorders>
                    <w:top w:val="nil"/>
                    <w:left w:val="single" w:sz="4" w:space="0" w:color="auto"/>
                    <w:bottom w:val="nil"/>
                    <w:right w:val="single" w:sz="4" w:space="0" w:color="auto"/>
                  </w:tcBorders>
                  <w:shd w:val="clear" w:color="auto" w:fill="auto"/>
                  <w:noWrap/>
                  <w:hideMark/>
                </w:tcPr>
                <w:p w14:paraId="44CA3159" w14:textId="77777777" w:rsidR="005F38A6" w:rsidRPr="009C46D7" w:rsidRDefault="005F38A6" w:rsidP="006A7377">
                  <w:pPr>
                    <w:ind w:firstLineChars="200" w:firstLine="400"/>
                    <w:rPr>
                      <w:color w:val="000000"/>
                      <w:sz w:val="20"/>
                      <w:szCs w:val="20"/>
                    </w:rPr>
                  </w:pPr>
                  <w:r w:rsidRPr="009C46D7">
                    <w:rPr>
                      <w:color w:val="000000"/>
                      <w:sz w:val="20"/>
                      <w:szCs w:val="20"/>
                    </w:rPr>
                    <w:t>Japón</w:t>
                  </w:r>
                </w:p>
              </w:tc>
              <w:tc>
                <w:tcPr>
                  <w:tcW w:w="629" w:type="dxa"/>
                  <w:tcBorders>
                    <w:top w:val="nil"/>
                    <w:left w:val="nil"/>
                    <w:bottom w:val="nil"/>
                    <w:right w:val="nil"/>
                  </w:tcBorders>
                  <w:shd w:val="clear" w:color="auto" w:fill="auto"/>
                  <w:noWrap/>
                  <w:vAlign w:val="center"/>
                  <w:hideMark/>
                </w:tcPr>
                <w:p w14:paraId="1BD3FE73" w14:textId="77777777" w:rsidR="005F38A6" w:rsidRPr="009C46D7" w:rsidRDefault="005F38A6" w:rsidP="006A7377">
                  <w:pPr>
                    <w:jc w:val="center"/>
                    <w:rPr>
                      <w:color w:val="000000"/>
                      <w:sz w:val="20"/>
                      <w:szCs w:val="20"/>
                    </w:rPr>
                  </w:pPr>
                  <w:r w:rsidRPr="009C46D7">
                    <w:rPr>
                      <w:color w:val="000000"/>
                      <w:sz w:val="20"/>
                      <w:szCs w:val="20"/>
                    </w:rPr>
                    <w:t>1.2</w:t>
                  </w:r>
                </w:p>
              </w:tc>
              <w:tc>
                <w:tcPr>
                  <w:tcW w:w="630" w:type="dxa"/>
                  <w:tcBorders>
                    <w:top w:val="nil"/>
                    <w:left w:val="single" w:sz="4" w:space="0" w:color="auto"/>
                    <w:bottom w:val="nil"/>
                    <w:right w:val="single" w:sz="4" w:space="0" w:color="auto"/>
                  </w:tcBorders>
                  <w:shd w:val="clear" w:color="000000" w:fill="FDE9D9"/>
                  <w:noWrap/>
                  <w:vAlign w:val="center"/>
                  <w:hideMark/>
                </w:tcPr>
                <w:p w14:paraId="2ED53076" w14:textId="77777777" w:rsidR="005F38A6" w:rsidRPr="009C46D7" w:rsidRDefault="005F38A6" w:rsidP="006A7377">
                  <w:pPr>
                    <w:jc w:val="center"/>
                    <w:rPr>
                      <w:color w:val="000000"/>
                      <w:sz w:val="20"/>
                      <w:szCs w:val="20"/>
                    </w:rPr>
                  </w:pPr>
                  <w:r w:rsidRPr="009C46D7">
                    <w:rPr>
                      <w:color w:val="000000"/>
                      <w:sz w:val="20"/>
                      <w:szCs w:val="20"/>
                    </w:rPr>
                    <w:t>1.1</w:t>
                  </w:r>
                </w:p>
              </w:tc>
              <w:tc>
                <w:tcPr>
                  <w:tcW w:w="630" w:type="dxa"/>
                  <w:tcBorders>
                    <w:top w:val="nil"/>
                    <w:left w:val="nil"/>
                    <w:bottom w:val="nil"/>
                    <w:right w:val="nil"/>
                  </w:tcBorders>
                  <w:shd w:val="clear" w:color="auto" w:fill="auto"/>
                  <w:noWrap/>
                  <w:vAlign w:val="center"/>
                  <w:hideMark/>
                </w:tcPr>
                <w:p w14:paraId="43B0D890" w14:textId="77777777" w:rsidR="005F38A6" w:rsidRPr="009C46D7" w:rsidRDefault="005F38A6" w:rsidP="006A7377">
                  <w:pPr>
                    <w:jc w:val="center"/>
                    <w:rPr>
                      <w:color w:val="000000"/>
                      <w:sz w:val="20"/>
                      <w:szCs w:val="20"/>
                    </w:rPr>
                  </w:pPr>
                  <w:r w:rsidRPr="009C46D7">
                    <w:rPr>
                      <w:color w:val="000000"/>
                      <w:sz w:val="20"/>
                      <w:szCs w:val="20"/>
                    </w:rPr>
                    <w:t>1.0</w:t>
                  </w:r>
                </w:p>
              </w:tc>
              <w:tc>
                <w:tcPr>
                  <w:tcW w:w="630" w:type="dxa"/>
                  <w:tcBorders>
                    <w:top w:val="nil"/>
                    <w:left w:val="single" w:sz="4" w:space="0" w:color="auto"/>
                    <w:bottom w:val="nil"/>
                    <w:right w:val="single" w:sz="4" w:space="0" w:color="auto"/>
                  </w:tcBorders>
                  <w:shd w:val="clear" w:color="000000" w:fill="FDE9D9"/>
                  <w:noWrap/>
                  <w:vAlign w:val="center"/>
                  <w:hideMark/>
                </w:tcPr>
                <w:p w14:paraId="7270E0E7" w14:textId="77777777" w:rsidR="005F38A6" w:rsidRPr="009C46D7" w:rsidRDefault="005F38A6" w:rsidP="006A7377">
                  <w:pPr>
                    <w:jc w:val="center"/>
                    <w:rPr>
                      <w:color w:val="000000"/>
                      <w:sz w:val="20"/>
                      <w:szCs w:val="20"/>
                    </w:rPr>
                  </w:pPr>
                  <w:r w:rsidRPr="009C46D7">
                    <w:rPr>
                      <w:color w:val="000000"/>
                      <w:sz w:val="20"/>
                      <w:szCs w:val="20"/>
                    </w:rPr>
                    <w:t>1.3</w:t>
                  </w:r>
                </w:p>
              </w:tc>
            </w:tr>
            <w:tr w:rsidR="005F38A6" w:rsidRPr="009C46D7" w14:paraId="6710A65B" w14:textId="77777777" w:rsidTr="009A4D38">
              <w:trPr>
                <w:trHeight w:val="22"/>
                <w:jc w:val="center"/>
              </w:trPr>
              <w:tc>
                <w:tcPr>
                  <w:tcW w:w="5281" w:type="dxa"/>
                  <w:tcBorders>
                    <w:top w:val="nil"/>
                    <w:left w:val="single" w:sz="4" w:space="0" w:color="auto"/>
                    <w:bottom w:val="nil"/>
                    <w:right w:val="single" w:sz="4" w:space="0" w:color="auto"/>
                  </w:tcBorders>
                  <w:shd w:val="clear" w:color="auto" w:fill="auto"/>
                  <w:noWrap/>
                  <w:hideMark/>
                </w:tcPr>
                <w:p w14:paraId="5D3C1826" w14:textId="77777777" w:rsidR="005F38A6" w:rsidRPr="009C46D7" w:rsidRDefault="005F38A6" w:rsidP="006A7377">
                  <w:pPr>
                    <w:ind w:firstLineChars="100" w:firstLine="201"/>
                    <w:rPr>
                      <w:b/>
                      <w:bCs/>
                      <w:color w:val="000000"/>
                      <w:sz w:val="20"/>
                      <w:szCs w:val="20"/>
                    </w:rPr>
                  </w:pPr>
                  <w:r w:rsidRPr="009C46D7">
                    <w:rPr>
                      <w:b/>
                      <w:bCs/>
                      <w:color w:val="000000"/>
                      <w:sz w:val="20"/>
                      <w:szCs w:val="20"/>
                    </w:rPr>
                    <w:t>Mercados emergentes y economías en desarrollo (MEED)</w:t>
                  </w:r>
                </w:p>
              </w:tc>
              <w:tc>
                <w:tcPr>
                  <w:tcW w:w="629" w:type="dxa"/>
                  <w:tcBorders>
                    <w:top w:val="nil"/>
                    <w:left w:val="nil"/>
                    <w:bottom w:val="nil"/>
                    <w:right w:val="nil"/>
                  </w:tcBorders>
                  <w:shd w:val="clear" w:color="auto" w:fill="auto"/>
                  <w:noWrap/>
                  <w:vAlign w:val="center"/>
                  <w:hideMark/>
                </w:tcPr>
                <w:p w14:paraId="6577443E" w14:textId="77777777" w:rsidR="005F38A6" w:rsidRPr="009C46D7" w:rsidRDefault="005F38A6" w:rsidP="006A7377">
                  <w:pPr>
                    <w:jc w:val="center"/>
                    <w:rPr>
                      <w:b/>
                      <w:bCs/>
                      <w:color w:val="000000"/>
                      <w:sz w:val="20"/>
                      <w:szCs w:val="20"/>
                    </w:rPr>
                  </w:pPr>
                  <w:r w:rsidRPr="009C46D7">
                    <w:rPr>
                      <w:b/>
                      <w:bCs/>
                      <w:color w:val="000000"/>
                      <w:sz w:val="20"/>
                      <w:szCs w:val="20"/>
                    </w:rPr>
                    <w:t>3.4</w:t>
                  </w:r>
                </w:p>
              </w:tc>
              <w:tc>
                <w:tcPr>
                  <w:tcW w:w="630" w:type="dxa"/>
                  <w:tcBorders>
                    <w:top w:val="nil"/>
                    <w:left w:val="single" w:sz="4" w:space="0" w:color="auto"/>
                    <w:bottom w:val="nil"/>
                    <w:right w:val="single" w:sz="4" w:space="0" w:color="auto"/>
                  </w:tcBorders>
                  <w:shd w:val="clear" w:color="000000" w:fill="FDE9D9"/>
                  <w:noWrap/>
                  <w:vAlign w:val="center"/>
                  <w:hideMark/>
                </w:tcPr>
                <w:p w14:paraId="2B81E195" w14:textId="77777777" w:rsidR="005F38A6" w:rsidRPr="009C46D7" w:rsidRDefault="005F38A6" w:rsidP="006A7377">
                  <w:pPr>
                    <w:jc w:val="center"/>
                    <w:rPr>
                      <w:b/>
                      <w:bCs/>
                      <w:color w:val="000000"/>
                      <w:sz w:val="20"/>
                      <w:szCs w:val="20"/>
                    </w:rPr>
                  </w:pPr>
                  <w:r w:rsidRPr="009C46D7">
                    <w:rPr>
                      <w:b/>
                      <w:bCs/>
                      <w:color w:val="000000"/>
                      <w:sz w:val="20"/>
                      <w:szCs w:val="20"/>
                    </w:rPr>
                    <w:t>4.0</w:t>
                  </w:r>
                </w:p>
              </w:tc>
              <w:tc>
                <w:tcPr>
                  <w:tcW w:w="630" w:type="dxa"/>
                  <w:tcBorders>
                    <w:top w:val="nil"/>
                    <w:left w:val="nil"/>
                    <w:bottom w:val="nil"/>
                    <w:right w:val="nil"/>
                  </w:tcBorders>
                  <w:shd w:val="clear" w:color="auto" w:fill="auto"/>
                  <w:noWrap/>
                  <w:vAlign w:val="center"/>
                  <w:hideMark/>
                </w:tcPr>
                <w:p w14:paraId="30B7C98D" w14:textId="77777777" w:rsidR="005F38A6" w:rsidRPr="009C46D7" w:rsidRDefault="005F38A6" w:rsidP="006A7377">
                  <w:pPr>
                    <w:jc w:val="center"/>
                    <w:rPr>
                      <w:b/>
                      <w:bCs/>
                      <w:color w:val="000000"/>
                      <w:sz w:val="20"/>
                      <w:szCs w:val="20"/>
                    </w:rPr>
                  </w:pPr>
                  <w:r w:rsidRPr="009C46D7">
                    <w:rPr>
                      <w:b/>
                      <w:bCs/>
                      <w:color w:val="000000"/>
                      <w:sz w:val="20"/>
                      <w:szCs w:val="20"/>
                    </w:rPr>
                    <w:t>3.4</w:t>
                  </w:r>
                </w:p>
              </w:tc>
              <w:tc>
                <w:tcPr>
                  <w:tcW w:w="630" w:type="dxa"/>
                  <w:tcBorders>
                    <w:top w:val="nil"/>
                    <w:left w:val="single" w:sz="4" w:space="0" w:color="auto"/>
                    <w:bottom w:val="nil"/>
                    <w:right w:val="single" w:sz="4" w:space="0" w:color="auto"/>
                  </w:tcBorders>
                  <w:shd w:val="clear" w:color="000000" w:fill="FDE9D9"/>
                  <w:noWrap/>
                  <w:vAlign w:val="center"/>
                  <w:hideMark/>
                </w:tcPr>
                <w:p w14:paraId="15BBF773" w14:textId="77777777" w:rsidR="005F38A6" w:rsidRPr="009C46D7" w:rsidRDefault="005F38A6" w:rsidP="006A7377">
                  <w:pPr>
                    <w:jc w:val="center"/>
                    <w:rPr>
                      <w:b/>
                      <w:bCs/>
                      <w:color w:val="000000"/>
                      <w:sz w:val="20"/>
                      <w:szCs w:val="20"/>
                    </w:rPr>
                  </w:pPr>
                  <w:r w:rsidRPr="009C46D7">
                    <w:rPr>
                      <w:b/>
                      <w:bCs/>
                      <w:color w:val="000000"/>
                      <w:sz w:val="20"/>
                      <w:szCs w:val="20"/>
                    </w:rPr>
                    <w:t>3.9</w:t>
                  </w:r>
                </w:p>
              </w:tc>
            </w:tr>
            <w:tr w:rsidR="005F38A6" w:rsidRPr="009C46D7" w14:paraId="06567091" w14:textId="77777777" w:rsidTr="009A4D38">
              <w:trPr>
                <w:trHeight w:val="22"/>
                <w:jc w:val="center"/>
              </w:trPr>
              <w:tc>
                <w:tcPr>
                  <w:tcW w:w="5281" w:type="dxa"/>
                  <w:tcBorders>
                    <w:top w:val="nil"/>
                    <w:left w:val="single" w:sz="4" w:space="0" w:color="auto"/>
                    <w:bottom w:val="nil"/>
                    <w:right w:val="single" w:sz="4" w:space="0" w:color="auto"/>
                  </w:tcBorders>
                  <w:shd w:val="clear" w:color="auto" w:fill="auto"/>
                  <w:noWrap/>
                  <w:hideMark/>
                </w:tcPr>
                <w:p w14:paraId="04CAD804" w14:textId="77777777" w:rsidR="005F38A6" w:rsidRPr="009C46D7" w:rsidRDefault="005F38A6" w:rsidP="006A7377">
                  <w:pPr>
                    <w:ind w:firstLineChars="200" w:firstLine="400"/>
                    <w:rPr>
                      <w:color w:val="000000"/>
                      <w:sz w:val="20"/>
                      <w:szCs w:val="20"/>
                    </w:rPr>
                  </w:pPr>
                  <w:r w:rsidRPr="009C46D7">
                    <w:rPr>
                      <w:color w:val="000000"/>
                      <w:sz w:val="20"/>
                      <w:szCs w:val="20"/>
                    </w:rPr>
                    <w:t>China</w:t>
                  </w:r>
                </w:p>
              </w:tc>
              <w:tc>
                <w:tcPr>
                  <w:tcW w:w="629" w:type="dxa"/>
                  <w:tcBorders>
                    <w:top w:val="nil"/>
                    <w:left w:val="nil"/>
                    <w:bottom w:val="nil"/>
                    <w:right w:val="nil"/>
                  </w:tcBorders>
                  <w:shd w:val="clear" w:color="auto" w:fill="auto"/>
                  <w:noWrap/>
                  <w:vAlign w:val="center"/>
                  <w:hideMark/>
                </w:tcPr>
                <w:p w14:paraId="74CDB497" w14:textId="77777777" w:rsidR="005F38A6" w:rsidRPr="009C46D7" w:rsidRDefault="005F38A6" w:rsidP="006A7377">
                  <w:pPr>
                    <w:jc w:val="center"/>
                    <w:rPr>
                      <w:color w:val="000000"/>
                      <w:sz w:val="20"/>
                      <w:szCs w:val="20"/>
                    </w:rPr>
                  </w:pPr>
                  <w:r w:rsidRPr="009C46D7">
                    <w:rPr>
                      <w:color w:val="000000"/>
                      <w:sz w:val="20"/>
                      <w:szCs w:val="20"/>
                    </w:rPr>
                    <w:t>2.7</w:t>
                  </w:r>
                </w:p>
              </w:tc>
              <w:tc>
                <w:tcPr>
                  <w:tcW w:w="630" w:type="dxa"/>
                  <w:tcBorders>
                    <w:top w:val="nil"/>
                    <w:left w:val="single" w:sz="4" w:space="0" w:color="auto"/>
                    <w:bottom w:val="nil"/>
                    <w:right w:val="single" w:sz="4" w:space="0" w:color="auto"/>
                  </w:tcBorders>
                  <w:shd w:val="clear" w:color="000000" w:fill="FDE9D9"/>
                  <w:noWrap/>
                  <w:vAlign w:val="center"/>
                  <w:hideMark/>
                </w:tcPr>
                <w:p w14:paraId="12960C54" w14:textId="77777777" w:rsidR="005F38A6" w:rsidRPr="009C46D7" w:rsidRDefault="005F38A6" w:rsidP="006A7377">
                  <w:pPr>
                    <w:jc w:val="center"/>
                    <w:rPr>
                      <w:color w:val="000000"/>
                      <w:sz w:val="20"/>
                      <w:szCs w:val="20"/>
                    </w:rPr>
                  </w:pPr>
                  <w:r w:rsidRPr="009C46D7">
                    <w:rPr>
                      <w:color w:val="000000"/>
                      <w:sz w:val="20"/>
                      <w:szCs w:val="20"/>
                    </w:rPr>
                    <w:t>3.0</w:t>
                  </w:r>
                </w:p>
              </w:tc>
              <w:tc>
                <w:tcPr>
                  <w:tcW w:w="630" w:type="dxa"/>
                  <w:tcBorders>
                    <w:top w:val="nil"/>
                    <w:left w:val="nil"/>
                    <w:bottom w:val="nil"/>
                    <w:right w:val="nil"/>
                  </w:tcBorders>
                  <w:shd w:val="clear" w:color="auto" w:fill="auto"/>
                  <w:noWrap/>
                  <w:vAlign w:val="center"/>
                  <w:hideMark/>
                </w:tcPr>
                <w:p w14:paraId="2163B594" w14:textId="77777777" w:rsidR="005F38A6" w:rsidRPr="009C46D7" w:rsidRDefault="005F38A6" w:rsidP="006A7377">
                  <w:pPr>
                    <w:jc w:val="center"/>
                    <w:rPr>
                      <w:color w:val="000000"/>
                      <w:sz w:val="20"/>
                      <w:szCs w:val="20"/>
                    </w:rPr>
                  </w:pPr>
                  <w:r w:rsidRPr="009C46D7">
                    <w:rPr>
                      <w:color w:val="000000"/>
                      <w:sz w:val="20"/>
                      <w:szCs w:val="20"/>
                    </w:rPr>
                    <w:t>4.3</w:t>
                  </w:r>
                </w:p>
              </w:tc>
              <w:tc>
                <w:tcPr>
                  <w:tcW w:w="630" w:type="dxa"/>
                  <w:tcBorders>
                    <w:top w:val="nil"/>
                    <w:left w:val="single" w:sz="4" w:space="0" w:color="auto"/>
                    <w:bottom w:val="nil"/>
                    <w:right w:val="single" w:sz="4" w:space="0" w:color="auto"/>
                  </w:tcBorders>
                  <w:shd w:val="clear" w:color="000000" w:fill="FDE9D9"/>
                  <w:noWrap/>
                  <w:vAlign w:val="center"/>
                  <w:hideMark/>
                </w:tcPr>
                <w:p w14:paraId="0939B80D" w14:textId="77777777" w:rsidR="005F38A6" w:rsidRPr="009C46D7" w:rsidRDefault="005F38A6" w:rsidP="006A7377">
                  <w:pPr>
                    <w:jc w:val="center"/>
                    <w:rPr>
                      <w:color w:val="000000"/>
                      <w:sz w:val="20"/>
                      <w:szCs w:val="20"/>
                    </w:rPr>
                  </w:pPr>
                  <w:r w:rsidRPr="009C46D7">
                    <w:rPr>
                      <w:color w:val="000000"/>
                      <w:sz w:val="20"/>
                      <w:szCs w:val="20"/>
                    </w:rPr>
                    <w:t>5.2</w:t>
                  </w:r>
                </w:p>
              </w:tc>
            </w:tr>
            <w:tr w:rsidR="005F38A6" w:rsidRPr="009C46D7" w14:paraId="211A02E6" w14:textId="77777777" w:rsidTr="009A4D38">
              <w:trPr>
                <w:trHeight w:val="22"/>
                <w:jc w:val="center"/>
              </w:trPr>
              <w:tc>
                <w:tcPr>
                  <w:tcW w:w="5281" w:type="dxa"/>
                  <w:tcBorders>
                    <w:top w:val="nil"/>
                    <w:left w:val="single" w:sz="4" w:space="0" w:color="auto"/>
                    <w:bottom w:val="nil"/>
                    <w:right w:val="single" w:sz="4" w:space="0" w:color="auto"/>
                  </w:tcBorders>
                  <w:shd w:val="clear" w:color="auto" w:fill="auto"/>
                  <w:noWrap/>
                  <w:hideMark/>
                </w:tcPr>
                <w:p w14:paraId="3D2913BD" w14:textId="77777777" w:rsidR="005F38A6" w:rsidRPr="009C46D7" w:rsidRDefault="005F38A6" w:rsidP="006A7377">
                  <w:pPr>
                    <w:ind w:firstLineChars="100" w:firstLine="201"/>
                    <w:rPr>
                      <w:b/>
                      <w:bCs/>
                      <w:color w:val="000000"/>
                      <w:sz w:val="20"/>
                      <w:szCs w:val="20"/>
                    </w:rPr>
                  </w:pPr>
                  <w:r w:rsidRPr="009C46D7">
                    <w:rPr>
                      <w:b/>
                      <w:bCs/>
                      <w:color w:val="000000"/>
                      <w:sz w:val="20"/>
                      <w:szCs w:val="20"/>
                    </w:rPr>
                    <w:t>América Latina y el Caribe</w:t>
                  </w:r>
                </w:p>
              </w:tc>
              <w:tc>
                <w:tcPr>
                  <w:tcW w:w="629" w:type="dxa"/>
                  <w:tcBorders>
                    <w:top w:val="nil"/>
                    <w:left w:val="nil"/>
                    <w:bottom w:val="nil"/>
                    <w:right w:val="nil"/>
                  </w:tcBorders>
                  <w:shd w:val="clear" w:color="auto" w:fill="auto"/>
                  <w:noWrap/>
                  <w:vAlign w:val="center"/>
                  <w:hideMark/>
                </w:tcPr>
                <w:p w14:paraId="6BE701D0" w14:textId="77777777" w:rsidR="005F38A6" w:rsidRPr="009C46D7" w:rsidRDefault="005F38A6" w:rsidP="006A7377">
                  <w:pPr>
                    <w:jc w:val="center"/>
                    <w:rPr>
                      <w:b/>
                      <w:bCs/>
                      <w:color w:val="000000"/>
                      <w:sz w:val="20"/>
                      <w:szCs w:val="20"/>
                    </w:rPr>
                  </w:pPr>
                  <w:r w:rsidRPr="009C46D7">
                    <w:rPr>
                      <w:b/>
                      <w:bCs/>
                      <w:color w:val="000000"/>
                      <w:sz w:val="20"/>
                      <w:szCs w:val="20"/>
                    </w:rPr>
                    <w:t>3.6</w:t>
                  </w:r>
                </w:p>
              </w:tc>
              <w:tc>
                <w:tcPr>
                  <w:tcW w:w="630" w:type="dxa"/>
                  <w:tcBorders>
                    <w:top w:val="nil"/>
                    <w:left w:val="single" w:sz="4" w:space="0" w:color="auto"/>
                    <w:bottom w:val="nil"/>
                    <w:right w:val="single" w:sz="4" w:space="0" w:color="auto"/>
                  </w:tcBorders>
                  <w:shd w:val="clear" w:color="000000" w:fill="FDE9D9"/>
                  <w:noWrap/>
                  <w:vAlign w:val="center"/>
                  <w:hideMark/>
                </w:tcPr>
                <w:p w14:paraId="183D85B2" w14:textId="77777777" w:rsidR="005F38A6" w:rsidRPr="009C46D7" w:rsidRDefault="005F38A6" w:rsidP="006A7377">
                  <w:pPr>
                    <w:jc w:val="center"/>
                    <w:rPr>
                      <w:b/>
                      <w:bCs/>
                      <w:sz w:val="20"/>
                      <w:szCs w:val="20"/>
                    </w:rPr>
                  </w:pPr>
                  <w:r w:rsidRPr="009C46D7">
                    <w:rPr>
                      <w:b/>
                      <w:bCs/>
                      <w:sz w:val="20"/>
                      <w:szCs w:val="20"/>
                    </w:rPr>
                    <w:t>4.0</w:t>
                  </w:r>
                </w:p>
              </w:tc>
              <w:tc>
                <w:tcPr>
                  <w:tcW w:w="630" w:type="dxa"/>
                  <w:tcBorders>
                    <w:top w:val="nil"/>
                    <w:left w:val="nil"/>
                    <w:bottom w:val="nil"/>
                    <w:right w:val="nil"/>
                  </w:tcBorders>
                  <w:shd w:val="clear" w:color="auto" w:fill="auto"/>
                  <w:noWrap/>
                  <w:vAlign w:val="center"/>
                  <w:hideMark/>
                </w:tcPr>
                <w:p w14:paraId="0B3EBE55" w14:textId="77777777" w:rsidR="005F38A6" w:rsidRPr="009C46D7" w:rsidRDefault="005F38A6" w:rsidP="006A7377">
                  <w:pPr>
                    <w:jc w:val="center"/>
                    <w:rPr>
                      <w:b/>
                      <w:bCs/>
                      <w:color w:val="000000"/>
                      <w:sz w:val="20"/>
                      <w:szCs w:val="20"/>
                    </w:rPr>
                  </w:pPr>
                  <w:r w:rsidRPr="009C46D7">
                    <w:rPr>
                      <w:b/>
                      <w:bCs/>
                      <w:color w:val="000000"/>
                      <w:sz w:val="20"/>
                      <w:szCs w:val="20"/>
                    </w:rPr>
                    <w:t>1.3</w:t>
                  </w:r>
                </w:p>
              </w:tc>
              <w:tc>
                <w:tcPr>
                  <w:tcW w:w="630" w:type="dxa"/>
                  <w:tcBorders>
                    <w:top w:val="nil"/>
                    <w:left w:val="single" w:sz="4" w:space="0" w:color="auto"/>
                    <w:bottom w:val="nil"/>
                    <w:right w:val="single" w:sz="4" w:space="0" w:color="auto"/>
                  </w:tcBorders>
                  <w:shd w:val="clear" w:color="000000" w:fill="FDE9D9"/>
                  <w:noWrap/>
                  <w:vAlign w:val="center"/>
                  <w:hideMark/>
                </w:tcPr>
                <w:p w14:paraId="01186CFE" w14:textId="77777777" w:rsidR="005F38A6" w:rsidRPr="009C46D7" w:rsidRDefault="005F38A6" w:rsidP="006A7377">
                  <w:pPr>
                    <w:jc w:val="center"/>
                    <w:rPr>
                      <w:b/>
                      <w:bCs/>
                      <w:sz w:val="20"/>
                      <w:szCs w:val="20"/>
                    </w:rPr>
                  </w:pPr>
                  <w:r w:rsidRPr="009C46D7">
                    <w:rPr>
                      <w:b/>
                      <w:bCs/>
                      <w:sz w:val="20"/>
                      <w:szCs w:val="20"/>
                    </w:rPr>
                    <w:t>1.6</w:t>
                  </w:r>
                </w:p>
              </w:tc>
            </w:tr>
            <w:tr w:rsidR="005F38A6" w:rsidRPr="009C46D7" w14:paraId="55B423ED" w14:textId="77777777" w:rsidTr="009A4D38">
              <w:trPr>
                <w:trHeight w:val="22"/>
                <w:jc w:val="center"/>
              </w:trPr>
              <w:tc>
                <w:tcPr>
                  <w:tcW w:w="5281" w:type="dxa"/>
                  <w:tcBorders>
                    <w:top w:val="nil"/>
                    <w:left w:val="single" w:sz="4" w:space="0" w:color="auto"/>
                    <w:bottom w:val="nil"/>
                    <w:right w:val="single" w:sz="4" w:space="0" w:color="auto"/>
                  </w:tcBorders>
                  <w:shd w:val="clear" w:color="auto" w:fill="auto"/>
                  <w:noWrap/>
                  <w:hideMark/>
                </w:tcPr>
                <w:p w14:paraId="7DEDF4FD" w14:textId="77777777" w:rsidR="005F38A6" w:rsidRPr="009C46D7" w:rsidRDefault="005F38A6" w:rsidP="006A7377">
                  <w:pPr>
                    <w:ind w:firstLineChars="200" w:firstLine="400"/>
                    <w:rPr>
                      <w:color w:val="000000"/>
                      <w:sz w:val="20"/>
                      <w:szCs w:val="20"/>
                    </w:rPr>
                  </w:pPr>
                  <w:r w:rsidRPr="009C46D7">
                    <w:rPr>
                      <w:color w:val="000000"/>
                      <w:sz w:val="20"/>
                      <w:szCs w:val="20"/>
                    </w:rPr>
                    <w:t>Brasil</w:t>
                  </w:r>
                </w:p>
              </w:tc>
              <w:tc>
                <w:tcPr>
                  <w:tcW w:w="629" w:type="dxa"/>
                  <w:tcBorders>
                    <w:top w:val="nil"/>
                    <w:left w:val="nil"/>
                    <w:bottom w:val="nil"/>
                    <w:right w:val="nil"/>
                  </w:tcBorders>
                  <w:shd w:val="clear" w:color="auto" w:fill="auto"/>
                  <w:noWrap/>
                  <w:vAlign w:val="center"/>
                  <w:hideMark/>
                </w:tcPr>
                <w:p w14:paraId="2CDC8589" w14:textId="77777777" w:rsidR="005F38A6" w:rsidRPr="009C46D7" w:rsidRDefault="005F38A6" w:rsidP="006A7377">
                  <w:pPr>
                    <w:jc w:val="center"/>
                    <w:rPr>
                      <w:color w:val="000000"/>
                      <w:sz w:val="20"/>
                      <w:szCs w:val="20"/>
                    </w:rPr>
                  </w:pPr>
                  <w:r w:rsidRPr="009C46D7">
                    <w:rPr>
                      <w:color w:val="000000"/>
                      <w:sz w:val="20"/>
                      <w:szCs w:val="20"/>
                    </w:rPr>
                    <w:t>3</w:t>
                  </w:r>
                </w:p>
              </w:tc>
              <w:tc>
                <w:tcPr>
                  <w:tcW w:w="630" w:type="dxa"/>
                  <w:tcBorders>
                    <w:top w:val="nil"/>
                    <w:left w:val="single" w:sz="4" w:space="0" w:color="auto"/>
                    <w:bottom w:val="nil"/>
                    <w:right w:val="single" w:sz="4" w:space="0" w:color="auto"/>
                  </w:tcBorders>
                  <w:shd w:val="clear" w:color="000000" w:fill="FDE9D9"/>
                  <w:noWrap/>
                  <w:vAlign w:val="center"/>
                  <w:hideMark/>
                </w:tcPr>
                <w:p w14:paraId="22FB9F21" w14:textId="77777777" w:rsidR="005F38A6" w:rsidRPr="009C46D7" w:rsidRDefault="005F38A6" w:rsidP="006A7377">
                  <w:pPr>
                    <w:jc w:val="center"/>
                    <w:rPr>
                      <w:color w:val="000000"/>
                      <w:sz w:val="20"/>
                      <w:szCs w:val="20"/>
                    </w:rPr>
                  </w:pPr>
                  <w:r w:rsidRPr="009C46D7">
                    <w:rPr>
                      <w:color w:val="000000"/>
                      <w:sz w:val="20"/>
                      <w:szCs w:val="20"/>
                    </w:rPr>
                    <w:t>2.9</w:t>
                  </w:r>
                </w:p>
              </w:tc>
              <w:tc>
                <w:tcPr>
                  <w:tcW w:w="630" w:type="dxa"/>
                  <w:tcBorders>
                    <w:top w:val="nil"/>
                    <w:left w:val="nil"/>
                    <w:bottom w:val="nil"/>
                    <w:right w:val="nil"/>
                  </w:tcBorders>
                  <w:shd w:val="clear" w:color="auto" w:fill="auto"/>
                  <w:noWrap/>
                  <w:vAlign w:val="center"/>
                  <w:hideMark/>
                </w:tcPr>
                <w:p w14:paraId="2A147DF8" w14:textId="77777777" w:rsidR="005F38A6" w:rsidRPr="009C46D7" w:rsidRDefault="005F38A6" w:rsidP="006A7377">
                  <w:pPr>
                    <w:jc w:val="center"/>
                    <w:rPr>
                      <w:color w:val="000000"/>
                      <w:sz w:val="20"/>
                      <w:szCs w:val="20"/>
                    </w:rPr>
                  </w:pPr>
                  <w:r w:rsidRPr="009C46D7">
                    <w:rPr>
                      <w:color w:val="000000"/>
                      <w:sz w:val="20"/>
                      <w:szCs w:val="20"/>
                    </w:rPr>
                    <w:t>0.8</w:t>
                  </w:r>
                </w:p>
              </w:tc>
              <w:tc>
                <w:tcPr>
                  <w:tcW w:w="630" w:type="dxa"/>
                  <w:tcBorders>
                    <w:top w:val="nil"/>
                    <w:left w:val="single" w:sz="4" w:space="0" w:color="auto"/>
                    <w:bottom w:val="nil"/>
                    <w:right w:val="single" w:sz="4" w:space="0" w:color="auto"/>
                  </w:tcBorders>
                  <w:shd w:val="clear" w:color="000000" w:fill="FDE9D9"/>
                  <w:noWrap/>
                  <w:vAlign w:val="center"/>
                  <w:hideMark/>
                </w:tcPr>
                <w:p w14:paraId="6F3169C9" w14:textId="77777777" w:rsidR="005F38A6" w:rsidRPr="009C46D7" w:rsidRDefault="005F38A6" w:rsidP="006A7377">
                  <w:pPr>
                    <w:jc w:val="center"/>
                    <w:rPr>
                      <w:color w:val="000000"/>
                      <w:sz w:val="20"/>
                      <w:szCs w:val="20"/>
                    </w:rPr>
                  </w:pPr>
                  <w:r w:rsidRPr="009C46D7">
                    <w:rPr>
                      <w:color w:val="000000"/>
                      <w:sz w:val="20"/>
                      <w:szCs w:val="20"/>
                    </w:rPr>
                    <w:t>0.9</w:t>
                  </w:r>
                </w:p>
              </w:tc>
            </w:tr>
            <w:tr w:rsidR="005F38A6" w:rsidRPr="009C46D7" w14:paraId="2E221FB9" w14:textId="77777777" w:rsidTr="009A4D38">
              <w:trPr>
                <w:trHeight w:val="22"/>
                <w:jc w:val="center"/>
              </w:trPr>
              <w:tc>
                <w:tcPr>
                  <w:tcW w:w="5281" w:type="dxa"/>
                  <w:tcBorders>
                    <w:top w:val="nil"/>
                    <w:left w:val="single" w:sz="4" w:space="0" w:color="auto"/>
                    <w:bottom w:val="nil"/>
                    <w:right w:val="single" w:sz="4" w:space="0" w:color="auto"/>
                  </w:tcBorders>
                  <w:shd w:val="clear" w:color="auto" w:fill="auto"/>
                  <w:noWrap/>
                  <w:hideMark/>
                </w:tcPr>
                <w:p w14:paraId="7AD3281D" w14:textId="77777777" w:rsidR="005F38A6" w:rsidRPr="009C46D7" w:rsidRDefault="005F38A6" w:rsidP="006A7377">
                  <w:pPr>
                    <w:ind w:firstLineChars="200" w:firstLine="400"/>
                    <w:rPr>
                      <w:color w:val="000000"/>
                      <w:sz w:val="20"/>
                      <w:szCs w:val="20"/>
                    </w:rPr>
                  </w:pPr>
                  <w:r w:rsidRPr="009C46D7">
                    <w:rPr>
                      <w:color w:val="000000"/>
                      <w:sz w:val="20"/>
                      <w:szCs w:val="20"/>
                    </w:rPr>
                    <w:t>México</w:t>
                  </w:r>
                </w:p>
              </w:tc>
              <w:tc>
                <w:tcPr>
                  <w:tcW w:w="629" w:type="dxa"/>
                  <w:tcBorders>
                    <w:top w:val="nil"/>
                    <w:left w:val="nil"/>
                    <w:bottom w:val="nil"/>
                    <w:right w:val="nil"/>
                  </w:tcBorders>
                  <w:shd w:val="clear" w:color="auto" w:fill="auto"/>
                  <w:noWrap/>
                  <w:vAlign w:val="center"/>
                  <w:hideMark/>
                </w:tcPr>
                <w:p w14:paraId="11B6EBC1" w14:textId="77777777" w:rsidR="005F38A6" w:rsidRPr="009C46D7" w:rsidRDefault="005F38A6" w:rsidP="006A7377">
                  <w:pPr>
                    <w:jc w:val="center"/>
                    <w:rPr>
                      <w:color w:val="000000"/>
                      <w:sz w:val="20"/>
                      <w:szCs w:val="20"/>
                    </w:rPr>
                  </w:pPr>
                  <w:r w:rsidRPr="009C46D7">
                    <w:rPr>
                      <w:color w:val="000000"/>
                      <w:sz w:val="20"/>
                      <w:szCs w:val="20"/>
                    </w:rPr>
                    <w:t>2.6</w:t>
                  </w:r>
                </w:p>
              </w:tc>
              <w:tc>
                <w:tcPr>
                  <w:tcW w:w="630" w:type="dxa"/>
                  <w:tcBorders>
                    <w:top w:val="nil"/>
                    <w:left w:val="single" w:sz="4" w:space="0" w:color="auto"/>
                    <w:bottom w:val="nil"/>
                    <w:right w:val="single" w:sz="4" w:space="0" w:color="auto"/>
                  </w:tcBorders>
                  <w:shd w:val="clear" w:color="000000" w:fill="FDE9D9"/>
                  <w:noWrap/>
                  <w:vAlign w:val="center"/>
                  <w:hideMark/>
                </w:tcPr>
                <w:p w14:paraId="317F1179" w14:textId="77777777" w:rsidR="005F38A6" w:rsidRPr="009C46D7" w:rsidRDefault="005F38A6" w:rsidP="006A7377">
                  <w:pPr>
                    <w:jc w:val="center"/>
                    <w:rPr>
                      <w:color w:val="000000"/>
                      <w:sz w:val="20"/>
                      <w:szCs w:val="20"/>
                    </w:rPr>
                  </w:pPr>
                  <w:r w:rsidRPr="009C46D7">
                    <w:rPr>
                      <w:color w:val="000000"/>
                      <w:sz w:val="20"/>
                      <w:szCs w:val="20"/>
                    </w:rPr>
                    <w:t>3.1</w:t>
                  </w:r>
                </w:p>
              </w:tc>
              <w:tc>
                <w:tcPr>
                  <w:tcW w:w="630" w:type="dxa"/>
                  <w:tcBorders>
                    <w:top w:val="nil"/>
                    <w:left w:val="nil"/>
                    <w:bottom w:val="nil"/>
                    <w:right w:val="nil"/>
                  </w:tcBorders>
                  <w:shd w:val="clear" w:color="auto" w:fill="auto"/>
                  <w:noWrap/>
                  <w:vAlign w:val="center"/>
                  <w:hideMark/>
                </w:tcPr>
                <w:p w14:paraId="72CE17EF" w14:textId="77777777" w:rsidR="005F38A6" w:rsidRPr="009C46D7" w:rsidRDefault="005F38A6" w:rsidP="006A7377">
                  <w:pPr>
                    <w:jc w:val="center"/>
                    <w:rPr>
                      <w:color w:val="000000"/>
                      <w:sz w:val="20"/>
                      <w:szCs w:val="20"/>
                    </w:rPr>
                  </w:pPr>
                  <w:r w:rsidRPr="009C46D7">
                    <w:rPr>
                      <w:color w:val="000000"/>
                      <w:sz w:val="20"/>
                      <w:szCs w:val="20"/>
                    </w:rPr>
                    <w:t>0.9</w:t>
                  </w:r>
                </w:p>
              </w:tc>
              <w:tc>
                <w:tcPr>
                  <w:tcW w:w="630" w:type="dxa"/>
                  <w:tcBorders>
                    <w:top w:val="nil"/>
                    <w:left w:val="single" w:sz="4" w:space="0" w:color="auto"/>
                    <w:bottom w:val="nil"/>
                    <w:right w:val="single" w:sz="4" w:space="0" w:color="auto"/>
                  </w:tcBorders>
                  <w:shd w:val="clear" w:color="000000" w:fill="FDE9D9"/>
                  <w:noWrap/>
                  <w:vAlign w:val="center"/>
                  <w:hideMark/>
                </w:tcPr>
                <w:p w14:paraId="677928E1" w14:textId="77777777" w:rsidR="005F38A6" w:rsidRPr="009C46D7" w:rsidRDefault="005F38A6" w:rsidP="006A7377">
                  <w:pPr>
                    <w:jc w:val="center"/>
                    <w:rPr>
                      <w:color w:val="000000"/>
                      <w:sz w:val="20"/>
                      <w:szCs w:val="20"/>
                    </w:rPr>
                  </w:pPr>
                  <w:r w:rsidRPr="009C46D7">
                    <w:rPr>
                      <w:color w:val="000000"/>
                      <w:sz w:val="20"/>
                      <w:szCs w:val="20"/>
                    </w:rPr>
                    <w:t>1.8</w:t>
                  </w:r>
                </w:p>
              </w:tc>
            </w:tr>
            <w:tr w:rsidR="005F38A6" w:rsidRPr="009C46D7" w14:paraId="0BCB6463" w14:textId="77777777" w:rsidTr="009A4D38">
              <w:trPr>
                <w:trHeight w:val="22"/>
                <w:jc w:val="center"/>
              </w:trPr>
              <w:tc>
                <w:tcPr>
                  <w:tcW w:w="5281" w:type="dxa"/>
                  <w:tcBorders>
                    <w:top w:val="nil"/>
                    <w:left w:val="single" w:sz="4" w:space="0" w:color="auto"/>
                    <w:bottom w:val="single" w:sz="4" w:space="0" w:color="auto"/>
                    <w:right w:val="single" w:sz="4" w:space="0" w:color="auto"/>
                  </w:tcBorders>
                  <w:shd w:val="clear" w:color="auto" w:fill="auto"/>
                  <w:noWrap/>
                  <w:hideMark/>
                </w:tcPr>
                <w:p w14:paraId="6E27C9D5" w14:textId="77777777" w:rsidR="005F38A6" w:rsidRPr="009C46D7" w:rsidRDefault="005F38A6" w:rsidP="006A7377">
                  <w:pPr>
                    <w:ind w:firstLineChars="100" w:firstLine="201"/>
                    <w:rPr>
                      <w:b/>
                      <w:bCs/>
                      <w:color w:val="000000"/>
                      <w:sz w:val="20"/>
                      <w:szCs w:val="20"/>
                    </w:rPr>
                  </w:pPr>
                  <w:r w:rsidRPr="009C46D7">
                    <w:rPr>
                      <w:b/>
                      <w:bCs/>
                      <w:color w:val="000000"/>
                      <w:sz w:val="20"/>
                      <w:szCs w:val="20"/>
                    </w:rPr>
                    <w:t>África al sur del Sahara</w:t>
                  </w:r>
                </w:p>
              </w:tc>
              <w:tc>
                <w:tcPr>
                  <w:tcW w:w="629" w:type="dxa"/>
                  <w:tcBorders>
                    <w:top w:val="nil"/>
                    <w:left w:val="nil"/>
                    <w:bottom w:val="single" w:sz="4" w:space="0" w:color="auto"/>
                    <w:right w:val="nil"/>
                  </w:tcBorders>
                  <w:shd w:val="clear" w:color="auto" w:fill="auto"/>
                  <w:noWrap/>
                  <w:vAlign w:val="center"/>
                  <w:hideMark/>
                </w:tcPr>
                <w:p w14:paraId="0776D11D" w14:textId="77777777" w:rsidR="005F38A6" w:rsidRPr="009C46D7" w:rsidRDefault="005F38A6" w:rsidP="006A7377">
                  <w:pPr>
                    <w:jc w:val="center"/>
                    <w:rPr>
                      <w:b/>
                      <w:bCs/>
                      <w:color w:val="000000"/>
                      <w:sz w:val="20"/>
                      <w:szCs w:val="20"/>
                    </w:rPr>
                  </w:pPr>
                  <w:r w:rsidRPr="009C46D7">
                    <w:rPr>
                      <w:b/>
                      <w:bCs/>
                      <w:color w:val="000000"/>
                      <w:sz w:val="20"/>
                      <w:szCs w:val="20"/>
                    </w:rPr>
                    <w:t>3.4</w:t>
                  </w:r>
                </w:p>
              </w:tc>
              <w:tc>
                <w:tcPr>
                  <w:tcW w:w="630" w:type="dxa"/>
                  <w:tcBorders>
                    <w:top w:val="nil"/>
                    <w:left w:val="single" w:sz="4" w:space="0" w:color="auto"/>
                    <w:bottom w:val="single" w:sz="4" w:space="0" w:color="auto"/>
                    <w:right w:val="single" w:sz="4" w:space="0" w:color="auto"/>
                  </w:tcBorders>
                  <w:shd w:val="clear" w:color="000000" w:fill="FDE9D9"/>
                  <w:noWrap/>
                  <w:vAlign w:val="center"/>
                  <w:hideMark/>
                </w:tcPr>
                <w:p w14:paraId="74410C31" w14:textId="77777777" w:rsidR="005F38A6" w:rsidRPr="009C46D7" w:rsidRDefault="005F38A6" w:rsidP="006A7377">
                  <w:pPr>
                    <w:jc w:val="center"/>
                    <w:rPr>
                      <w:b/>
                      <w:bCs/>
                      <w:color w:val="000000"/>
                      <w:sz w:val="20"/>
                      <w:szCs w:val="20"/>
                    </w:rPr>
                  </w:pPr>
                  <w:r w:rsidRPr="009C46D7">
                    <w:rPr>
                      <w:b/>
                      <w:bCs/>
                      <w:color w:val="000000"/>
                      <w:sz w:val="20"/>
                      <w:szCs w:val="20"/>
                    </w:rPr>
                    <w:t>3.9</w:t>
                  </w:r>
                </w:p>
              </w:tc>
              <w:tc>
                <w:tcPr>
                  <w:tcW w:w="630" w:type="dxa"/>
                  <w:tcBorders>
                    <w:top w:val="nil"/>
                    <w:left w:val="nil"/>
                    <w:bottom w:val="single" w:sz="4" w:space="0" w:color="auto"/>
                    <w:right w:val="nil"/>
                  </w:tcBorders>
                  <w:shd w:val="clear" w:color="auto" w:fill="auto"/>
                  <w:noWrap/>
                  <w:vAlign w:val="center"/>
                  <w:hideMark/>
                </w:tcPr>
                <w:p w14:paraId="7E7D98A7" w14:textId="77777777" w:rsidR="005F38A6" w:rsidRPr="009C46D7" w:rsidRDefault="005F38A6" w:rsidP="006A7377">
                  <w:pPr>
                    <w:jc w:val="center"/>
                    <w:rPr>
                      <w:b/>
                      <w:bCs/>
                      <w:color w:val="000000"/>
                      <w:sz w:val="20"/>
                      <w:szCs w:val="20"/>
                    </w:rPr>
                  </w:pPr>
                  <w:r w:rsidRPr="009C46D7">
                    <w:rPr>
                      <w:b/>
                      <w:bCs/>
                      <w:color w:val="000000"/>
                      <w:sz w:val="20"/>
                      <w:szCs w:val="20"/>
                    </w:rPr>
                    <w:t>3.6</w:t>
                  </w:r>
                </w:p>
              </w:tc>
              <w:tc>
                <w:tcPr>
                  <w:tcW w:w="630" w:type="dxa"/>
                  <w:tcBorders>
                    <w:top w:val="nil"/>
                    <w:left w:val="single" w:sz="4" w:space="0" w:color="auto"/>
                    <w:bottom w:val="single" w:sz="4" w:space="0" w:color="auto"/>
                    <w:right w:val="single" w:sz="4" w:space="0" w:color="auto"/>
                  </w:tcBorders>
                  <w:shd w:val="clear" w:color="000000" w:fill="FDE9D9"/>
                  <w:noWrap/>
                  <w:vAlign w:val="center"/>
                  <w:hideMark/>
                </w:tcPr>
                <w:p w14:paraId="33562B64" w14:textId="77777777" w:rsidR="005F38A6" w:rsidRPr="009C46D7" w:rsidRDefault="005F38A6" w:rsidP="006A7377">
                  <w:pPr>
                    <w:jc w:val="center"/>
                    <w:rPr>
                      <w:b/>
                      <w:bCs/>
                      <w:color w:val="000000"/>
                      <w:sz w:val="20"/>
                      <w:szCs w:val="20"/>
                    </w:rPr>
                  </w:pPr>
                  <w:r w:rsidRPr="009C46D7">
                    <w:rPr>
                      <w:b/>
                      <w:bCs/>
                      <w:color w:val="000000"/>
                      <w:sz w:val="20"/>
                      <w:szCs w:val="20"/>
                    </w:rPr>
                    <w:t>3.6</w:t>
                  </w:r>
                </w:p>
              </w:tc>
            </w:tr>
            <w:bookmarkEnd w:id="38"/>
          </w:tbl>
          <w:p w14:paraId="14D6E144" w14:textId="77777777" w:rsidR="005F38A6" w:rsidRPr="00AC3A41" w:rsidRDefault="005F38A6" w:rsidP="006A7377"/>
        </w:tc>
      </w:tr>
      <w:tr w:rsidR="005F38A6" w:rsidRPr="00AC3A41" w14:paraId="13B6D127" w14:textId="77777777" w:rsidTr="006A7377">
        <w:tc>
          <w:tcPr>
            <w:tcW w:w="8828" w:type="dxa"/>
          </w:tcPr>
          <w:p w14:paraId="385AF005" w14:textId="77777777" w:rsidR="005F38A6" w:rsidRPr="00AC3A41" w:rsidRDefault="005F38A6" w:rsidP="006A7377">
            <w:pPr>
              <w:rPr>
                <w:sz w:val="16"/>
                <w:szCs w:val="16"/>
              </w:rPr>
            </w:pPr>
            <w:r w:rsidRPr="009C46D7">
              <w:rPr>
                <w:sz w:val="16"/>
              </w:rPr>
              <w:t>Fuente: Fondo Monetario Internacional, WEO abril 2023 y Banco Mundial, enero 2023</w:t>
            </w:r>
          </w:p>
        </w:tc>
      </w:tr>
    </w:tbl>
    <w:p w14:paraId="678276C5" w14:textId="77777777" w:rsidR="005F38A6" w:rsidRDefault="005F38A6" w:rsidP="005F38A6">
      <w:pPr>
        <w:jc w:val="both"/>
        <w:rPr>
          <w:sz w:val="4"/>
          <w:szCs w:val="4"/>
        </w:rPr>
      </w:pPr>
    </w:p>
    <w:p w14:paraId="131346D9" w14:textId="77777777" w:rsidR="005F38A6" w:rsidRDefault="005F38A6" w:rsidP="005F38A6">
      <w:pPr>
        <w:jc w:val="both"/>
      </w:pPr>
    </w:p>
    <w:p w14:paraId="6591C028" w14:textId="1EBBBBD7" w:rsidR="005F38A6" w:rsidRPr="006014B3" w:rsidRDefault="005F38A6" w:rsidP="00CC7591">
      <w:pPr>
        <w:pStyle w:val="Ttulo2"/>
        <w:numPr>
          <w:ilvl w:val="2"/>
          <w:numId w:val="35"/>
        </w:numPr>
        <w:ind w:left="426" w:hanging="284"/>
        <w:rPr>
          <w:bCs/>
        </w:rPr>
      </w:pPr>
      <w:bookmarkStart w:id="39" w:name="_Toc114495234"/>
      <w:bookmarkStart w:id="40" w:name="_Toc144114349"/>
      <w:bookmarkStart w:id="41" w:name="_Hlk141956028"/>
      <w:r w:rsidRPr="006014B3">
        <w:rPr>
          <w:bCs/>
        </w:rPr>
        <w:t>Volatilidad en los precios de las materias primas</w:t>
      </w:r>
      <w:bookmarkEnd w:id="39"/>
      <w:bookmarkEnd w:id="40"/>
    </w:p>
    <w:bookmarkEnd w:id="41"/>
    <w:p w14:paraId="2385A9C1" w14:textId="77777777" w:rsidR="005F38A6" w:rsidRDefault="005F38A6" w:rsidP="005F38A6">
      <w:pPr>
        <w:ind w:right="49"/>
        <w:jc w:val="both"/>
      </w:pPr>
    </w:p>
    <w:p w14:paraId="59CE282E" w14:textId="75B1627A" w:rsidR="005F38A6" w:rsidRDefault="005F38A6" w:rsidP="005F38A6">
      <w:pPr>
        <w:ind w:right="49"/>
        <w:jc w:val="both"/>
      </w:pPr>
      <w:r>
        <w:t xml:space="preserve">Se ha observado en los </w:t>
      </w:r>
      <w:r w:rsidRPr="00981823">
        <w:t xml:space="preserve">últimos seis meses </w:t>
      </w:r>
      <w:r>
        <w:t>que los</w:t>
      </w:r>
      <w:r w:rsidRPr="00981823">
        <w:t xml:space="preserve"> precios de las materias primas </w:t>
      </w:r>
      <w:r>
        <w:t xml:space="preserve">continúan mostrando tendencia hacia la baja, justo </w:t>
      </w:r>
      <w:r w:rsidRPr="00981823">
        <w:t>después de que muchos registraran niveles récord el año pasado. El índice de precios de las materias primas del Banco Mundial disminuyó un 32</w:t>
      </w:r>
      <w:r>
        <w:t>.0</w:t>
      </w:r>
      <w:r w:rsidRPr="00981823">
        <w:t xml:space="preserve"> </w:t>
      </w:r>
      <w:r>
        <w:t xml:space="preserve">% </w:t>
      </w:r>
      <w:r w:rsidRPr="00981823">
        <w:t xml:space="preserve">desde su máximo histórico en junio de 2022. Como resultado, </w:t>
      </w:r>
      <w:bookmarkStart w:id="42" w:name="_Hlk141953853"/>
      <w:r w:rsidRPr="00981823">
        <w:t>los aumentos de precios que siguieron a</w:t>
      </w:r>
      <w:r>
        <w:t xml:space="preserve">l conflicto entre Rusia y Ucrania </w:t>
      </w:r>
      <w:r w:rsidRPr="00981823">
        <w:t>se han revertido en gran medida debido a una combinación de desaceleración de la actividad económica mundial, clima invernal favorable y la redirección del comercio de exportaciones de productos básicos clave de Rusia y Ucrania.</w:t>
      </w:r>
      <w:bookmarkEnd w:id="42"/>
    </w:p>
    <w:p w14:paraId="311BCFA4" w14:textId="77777777" w:rsidR="00DE1611" w:rsidRDefault="00DE1611" w:rsidP="005F38A6">
      <w:pPr>
        <w:ind w:right="49"/>
        <w:jc w:val="both"/>
      </w:pPr>
    </w:p>
    <w:tbl>
      <w:tblPr>
        <w:tblW w:w="9004" w:type="dxa"/>
        <w:tblLook w:val="04A0" w:firstRow="1" w:lastRow="0" w:firstColumn="1" w:lastColumn="0" w:noHBand="0" w:noVBand="1"/>
      </w:tblPr>
      <w:tblGrid>
        <w:gridCol w:w="9004"/>
      </w:tblGrid>
      <w:tr w:rsidR="005F38A6" w:rsidRPr="005D360B" w14:paraId="05D71ADE" w14:textId="77777777" w:rsidTr="00DE1611">
        <w:trPr>
          <w:trHeight w:val="3547"/>
        </w:trPr>
        <w:tc>
          <w:tcPr>
            <w:tcW w:w="9004" w:type="dxa"/>
          </w:tcPr>
          <w:p w14:paraId="72D2BF39" w14:textId="409EFA61" w:rsidR="009A4D38" w:rsidRPr="009A4D38" w:rsidRDefault="009A4D38" w:rsidP="009A4D38">
            <w:pPr>
              <w:keepNext/>
              <w:jc w:val="center"/>
              <w:rPr>
                <w:b/>
                <w:bCs/>
              </w:rPr>
            </w:pPr>
            <w:bookmarkStart w:id="43" w:name="_Toc143593560"/>
            <w:r w:rsidRPr="009A4D38">
              <w:rPr>
                <w:b/>
                <w:bCs/>
              </w:rPr>
              <w:t xml:space="preserve">Gráfico </w:t>
            </w:r>
            <w:r w:rsidRPr="009A4D38">
              <w:rPr>
                <w:b/>
                <w:bCs/>
              </w:rPr>
              <w:fldChar w:fldCharType="begin"/>
            </w:r>
            <w:r w:rsidRPr="009A4D38">
              <w:rPr>
                <w:b/>
                <w:bCs/>
              </w:rPr>
              <w:instrText xml:space="preserve"> SEQ Gráfico \* ARABIC </w:instrText>
            </w:r>
            <w:r w:rsidRPr="009A4D38">
              <w:rPr>
                <w:b/>
                <w:bCs/>
              </w:rPr>
              <w:fldChar w:fldCharType="separate"/>
            </w:r>
            <w:r w:rsidR="00A62AFA">
              <w:rPr>
                <w:b/>
                <w:bCs/>
                <w:noProof/>
              </w:rPr>
              <w:t>2</w:t>
            </w:r>
            <w:r w:rsidRPr="009A4D38">
              <w:rPr>
                <w:b/>
                <w:bCs/>
              </w:rPr>
              <w:fldChar w:fldCharType="end"/>
            </w:r>
            <w:r w:rsidRPr="009A4D38">
              <w:rPr>
                <w:b/>
                <w:bCs/>
              </w:rPr>
              <w:t xml:space="preserve">. </w:t>
            </w:r>
            <w:bookmarkStart w:id="44" w:name="_Toc114493844"/>
            <w:r w:rsidRPr="009A4D38">
              <w:rPr>
                <w:b/>
                <w:bCs/>
              </w:rPr>
              <w:t>Comportamiento de los índices de precios de materias primas</w:t>
            </w:r>
            <w:bookmarkEnd w:id="43"/>
            <w:bookmarkEnd w:id="44"/>
          </w:p>
          <w:p w14:paraId="6E491C7F" w14:textId="6768385F" w:rsidR="005F38A6" w:rsidRPr="00DE1611" w:rsidRDefault="009A4D38" w:rsidP="00DE1611">
            <w:pPr>
              <w:pStyle w:val="Descripcin"/>
            </w:pPr>
            <w:r>
              <w:rPr>
                <w:noProof/>
              </w:rPr>
              <w:drawing>
                <wp:inline distT="0" distB="0" distL="0" distR="0" wp14:anchorId="116C11C0" wp14:editId="50563374">
                  <wp:extent cx="5399405" cy="2194560"/>
                  <wp:effectExtent l="0" t="0" r="0" b="0"/>
                  <wp:docPr id="4" name="Gráfico 4">
                    <a:extLst xmlns:a="http://schemas.openxmlformats.org/drawingml/2006/main">
                      <a:ext uri="{FF2B5EF4-FFF2-40B4-BE49-F238E27FC236}">
                        <a16:creationId xmlns:a16="http://schemas.microsoft.com/office/drawing/2014/main" id="{601A26E2-6EC2-4C53-9AA6-4014DEE59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5F38A6" w:rsidRPr="005D360B" w14:paraId="0F235179" w14:textId="77777777" w:rsidTr="00DE1611">
        <w:trPr>
          <w:trHeight w:val="174"/>
        </w:trPr>
        <w:tc>
          <w:tcPr>
            <w:tcW w:w="9004" w:type="dxa"/>
          </w:tcPr>
          <w:p w14:paraId="58E61E40" w14:textId="77777777" w:rsidR="005F38A6" w:rsidRPr="005D360B" w:rsidRDefault="005F38A6" w:rsidP="006A7377">
            <w:pPr>
              <w:ind w:right="49"/>
              <w:jc w:val="both"/>
              <w:rPr>
                <w:sz w:val="16"/>
                <w:lang w:val="es-MX"/>
              </w:rPr>
            </w:pPr>
            <w:r w:rsidRPr="005D360B">
              <w:rPr>
                <w:sz w:val="16"/>
                <w:lang w:val="es-MX"/>
              </w:rPr>
              <w:t>Fuente: Banco Mundial.</w:t>
            </w:r>
          </w:p>
        </w:tc>
      </w:tr>
    </w:tbl>
    <w:p w14:paraId="228167D8" w14:textId="77777777" w:rsidR="005F38A6" w:rsidRDefault="005F38A6" w:rsidP="005F38A6">
      <w:pPr>
        <w:ind w:right="49"/>
        <w:jc w:val="both"/>
      </w:pPr>
      <w:r>
        <w:lastRenderedPageBreak/>
        <w:t xml:space="preserve">A pesar de lo acontecido, </w:t>
      </w:r>
      <w:r w:rsidRPr="00981823">
        <w:t xml:space="preserve">los precios </w:t>
      </w:r>
      <w:r>
        <w:t>de los</w:t>
      </w:r>
      <w:r w:rsidRPr="00981823">
        <w:t xml:space="preserve"> principales productos básicos se mantienen por encima de </w:t>
      </w:r>
      <w:r>
        <w:t xml:space="preserve">los </w:t>
      </w:r>
      <w:r w:rsidRPr="00981823">
        <w:t>niveles promedio de 2015-19</w:t>
      </w:r>
      <w:r>
        <w:t xml:space="preserve">. </w:t>
      </w:r>
      <w:r w:rsidRPr="00981823">
        <w:t>Los precios de los fertilizantes alcanzaron un máximo histórico en términos reales en 2022, mientras que el índice de precios de los alimentos alcanzó su segundo nivel más alto en términos reales, detrás del período de escasez de cereales de 1973-75.</w:t>
      </w:r>
    </w:p>
    <w:p w14:paraId="597990E0" w14:textId="77777777" w:rsidR="005F38A6" w:rsidRDefault="005F38A6" w:rsidP="005F38A6">
      <w:pPr>
        <w:ind w:right="49"/>
        <w:jc w:val="both"/>
      </w:pPr>
    </w:p>
    <w:p w14:paraId="27B7BF30" w14:textId="77777777" w:rsidR="005F38A6" w:rsidRDefault="005F38A6" w:rsidP="005F38A6">
      <w:pPr>
        <w:ind w:right="49"/>
        <w:jc w:val="both"/>
      </w:pPr>
      <w:r>
        <w:t xml:space="preserve">Entre los principales riesgos se encuentran las políticas que pueda tomar China con respecto a la demanda. Si la recuperación se inclina hacia sectores intensivos en productos básicos, se puede inferir a un aumento en los precios de la energía y metales, como consecuencia del aumento en la demanda industrial, generando una presión sobre el aluminio, cobre, litio y níquel y su influencia a mediano plazo para la fabricación de baterías para vehículos eléctricos. </w:t>
      </w:r>
    </w:p>
    <w:p w14:paraId="4F2E57CC" w14:textId="77777777" w:rsidR="005F38A6" w:rsidRDefault="005F38A6" w:rsidP="005F38A6">
      <w:pPr>
        <w:ind w:right="49"/>
        <w:jc w:val="both"/>
      </w:pPr>
    </w:p>
    <w:p w14:paraId="3FEB1243" w14:textId="77777777" w:rsidR="005F38A6" w:rsidRDefault="005F38A6" w:rsidP="005F38A6">
      <w:pPr>
        <w:ind w:right="49"/>
        <w:jc w:val="both"/>
      </w:pPr>
      <w:r>
        <w:t>Otro riesgo, a tomar en cuenta es la intensificación de las tensiones políticas por el suministro de cereales, carbón y gas natural. La interrupción de rutas comerciales, en especial alrededor del Mar Negro y Ucrania, puede generar aumentos en precio en estas materias primas, profundizando en riesgos de seguridad alimentaria.</w:t>
      </w:r>
    </w:p>
    <w:p w14:paraId="3828766C" w14:textId="77777777" w:rsidR="005F38A6" w:rsidRDefault="005F38A6" w:rsidP="005F38A6">
      <w:pPr>
        <w:ind w:right="49"/>
        <w:jc w:val="both"/>
      </w:pPr>
      <w:r>
        <w:t xml:space="preserve"> </w:t>
      </w:r>
    </w:p>
    <w:tbl>
      <w:tblPr>
        <w:tblW w:w="0" w:type="auto"/>
        <w:tblLook w:val="04A0" w:firstRow="1" w:lastRow="0" w:firstColumn="1" w:lastColumn="0" w:noHBand="0" w:noVBand="1"/>
      </w:tblPr>
      <w:tblGrid>
        <w:gridCol w:w="8838"/>
      </w:tblGrid>
      <w:tr w:rsidR="005F38A6" w:rsidRPr="005D360B" w14:paraId="437E84F7" w14:textId="77777777" w:rsidTr="006A7377">
        <w:tc>
          <w:tcPr>
            <w:tcW w:w="8838" w:type="dxa"/>
          </w:tcPr>
          <w:p w14:paraId="0FD2ABAF" w14:textId="07B2B9C2" w:rsidR="009A4D38" w:rsidRPr="009A4D38" w:rsidRDefault="009A4D38" w:rsidP="009A4D38">
            <w:pPr>
              <w:keepNext/>
              <w:rPr>
                <w:sz w:val="6"/>
                <w:szCs w:val="6"/>
              </w:rPr>
            </w:pPr>
          </w:p>
          <w:p w14:paraId="0353DE29" w14:textId="205120A0" w:rsidR="005F38A6" w:rsidRPr="002333A9" w:rsidRDefault="009A4D38" w:rsidP="009A4D38">
            <w:pPr>
              <w:pStyle w:val="Descripcin"/>
            </w:pPr>
            <w:bookmarkStart w:id="45" w:name="_Toc143593561"/>
            <w:r w:rsidRPr="009A4D38">
              <w:rPr>
                <w:color w:val="auto"/>
              </w:rPr>
              <w:t xml:space="preserve">Gráfico </w:t>
            </w:r>
            <w:r w:rsidRPr="009A4D38">
              <w:rPr>
                <w:color w:val="auto"/>
              </w:rPr>
              <w:fldChar w:fldCharType="begin"/>
            </w:r>
            <w:r w:rsidRPr="009A4D38">
              <w:rPr>
                <w:color w:val="auto"/>
              </w:rPr>
              <w:instrText xml:space="preserve"> SEQ Gráfico \* ARABIC </w:instrText>
            </w:r>
            <w:r w:rsidRPr="009A4D38">
              <w:rPr>
                <w:color w:val="auto"/>
              </w:rPr>
              <w:fldChar w:fldCharType="separate"/>
            </w:r>
            <w:r w:rsidR="00A62AFA">
              <w:rPr>
                <w:noProof/>
                <w:color w:val="auto"/>
              </w:rPr>
              <w:t>3</w:t>
            </w:r>
            <w:r w:rsidRPr="009A4D38">
              <w:rPr>
                <w:color w:val="auto"/>
              </w:rPr>
              <w:fldChar w:fldCharType="end"/>
            </w:r>
            <w:r w:rsidRPr="009A4D38">
              <w:rPr>
                <w:color w:val="auto"/>
              </w:rPr>
              <w:t xml:space="preserve">. </w:t>
            </w:r>
            <w:bookmarkStart w:id="46" w:name="_Toc114493845"/>
            <w:r w:rsidRPr="009A4D38">
              <w:rPr>
                <w:bCs/>
                <w:color w:val="auto"/>
              </w:rPr>
              <w:t>Comportamiento del valor del WTI</w:t>
            </w:r>
            <w:bookmarkEnd w:id="45"/>
            <w:bookmarkEnd w:id="46"/>
          </w:p>
        </w:tc>
      </w:tr>
      <w:tr w:rsidR="005F38A6" w:rsidRPr="005D360B" w14:paraId="438765D8" w14:textId="77777777" w:rsidTr="006A7377">
        <w:tblPrEx>
          <w:tblCellMar>
            <w:left w:w="70" w:type="dxa"/>
            <w:right w:w="70" w:type="dxa"/>
          </w:tblCellMar>
        </w:tblPrEx>
        <w:tc>
          <w:tcPr>
            <w:tcW w:w="8838" w:type="dxa"/>
            <w:vAlign w:val="center"/>
          </w:tcPr>
          <w:p w14:paraId="67BFC8CE" w14:textId="77777777" w:rsidR="005F38A6" w:rsidRPr="005D360B" w:rsidRDefault="005F38A6" w:rsidP="006A7377">
            <w:r>
              <w:rPr>
                <w:noProof/>
              </w:rPr>
              <w:drawing>
                <wp:inline distT="0" distB="0" distL="0" distR="0" wp14:anchorId="44457E28" wp14:editId="7A656680">
                  <wp:extent cx="5399405" cy="2115047"/>
                  <wp:effectExtent l="0" t="0" r="0" b="0"/>
                  <wp:docPr id="7" name="Gráfico 7">
                    <a:extLst xmlns:a="http://schemas.openxmlformats.org/drawingml/2006/main">
                      <a:ext uri="{FF2B5EF4-FFF2-40B4-BE49-F238E27FC236}">
                        <a16:creationId xmlns:a16="http://schemas.microsoft.com/office/drawing/2014/main" id="{0630EB42-B606-4A9B-A889-238CA7851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5F38A6" w:rsidRPr="005D360B" w14:paraId="088CB82A" w14:textId="77777777" w:rsidTr="006A7377">
        <w:tc>
          <w:tcPr>
            <w:tcW w:w="8838" w:type="dxa"/>
          </w:tcPr>
          <w:p w14:paraId="3C5AF599" w14:textId="77777777" w:rsidR="005F38A6" w:rsidRPr="005D360B" w:rsidRDefault="005F38A6" w:rsidP="006A7377">
            <w:pPr>
              <w:ind w:right="49"/>
              <w:jc w:val="both"/>
              <w:rPr>
                <w:sz w:val="16"/>
                <w:lang w:val="es-MX"/>
              </w:rPr>
            </w:pPr>
            <w:r w:rsidRPr="005D360B">
              <w:rPr>
                <w:sz w:val="16"/>
                <w:lang w:val="es-MX"/>
              </w:rPr>
              <w:t xml:space="preserve">Fuente: </w:t>
            </w:r>
            <w:proofErr w:type="spellStart"/>
            <w:r>
              <w:rPr>
                <w:sz w:val="16"/>
                <w:lang w:val="es-MX"/>
              </w:rPr>
              <w:t>Investing</w:t>
            </w:r>
            <w:proofErr w:type="spellEnd"/>
          </w:p>
        </w:tc>
      </w:tr>
    </w:tbl>
    <w:p w14:paraId="1981E4F9" w14:textId="77777777" w:rsidR="005F38A6" w:rsidRPr="00DE1611" w:rsidRDefault="005F38A6" w:rsidP="005F38A6">
      <w:pPr>
        <w:ind w:right="49"/>
        <w:jc w:val="both"/>
      </w:pPr>
    </w:p>
    <w:p w14:paraId="2739E366" w14:textId="77777777" w:rsidR="005F38A6" w:rsidRDefault="005F38A6" w:rsidP="005F38A6">
      <w:pPr>
        <w:ind w:right="49"/>
        <w:jc w:val="both"/>
      </w:pPr>
      <w:r>
        <w:t xml:space="preserve">El suministro de petróleo, ha presentado tendencias a no cumplir con los requerimientos. Las sanciones impuestas por la guerra, han provocado que los países miembros afiliados a OPEP+, trabajen a plena capacidad. El sistema financiero susceptible, infiere negativamente a que las empresas de carbón y de petróleo, aumenten su capacidad instalada y satisfagan la demanda insatisfecha. Por otra parte, las políticas gubernamentales que buscan acelerar la transición a energías más limpias, desalientan la producción de combustible fósil. </w:t>
      </w:r>
    </w:p>
    <w:p w14:paraId="72D589B5" w14:textId="77777777" w:rsidR="005F38A6" w:rsidRDefault="005F38A6" w:rsidP="005F38A6">
      <w:pPr>
        <w:ind w:right="49"/>
        <w:jc w:val="both"/>
      </w:pPr>
    </w:p>
    <w:p w14:paraId="0510D3CD" w14:textId="77777777" w:rsidR="005F38A6" w:rsidRPr="00FD30BC" w:rsidRDefault="005F38A6" w:rsidP="00CC7591">
      <w:pPr>
        <w:pStyle w:val="Ttulo2"/>
        <w:numPr>
          <w:ilvl w:val="2"/>
          <w:numId w:val="35"/>
        </w:numPr>
        <w:ind w:left="426" w:hanging="284"/>
        <w:rPr>
          <w:bCs/>
        </w:rPr>
      </w:pPr>
      <w:bookmarkStart w:id="47" w:name="_Toc83302156"/>
      <w:bookmarkStart w:id="48" w:name="_Toc114495235"/>
      <w:bookmarkStart w:id="49" w:name="_Toc144114350"/>
      <w:r w:rsidRPr="006014B3">
        <w:rPr>
          <w:bCs/>
        </w:rPr>
        <w:t>Alta volatilidad en los mercados financieros</w:t>
      </w:r>
      <w:bookmarkEnd w:id="47"/>
      <w:bookmarkEnd w:id="48"/>
      <w:bookmarkEnd w:id="49"/>
    </w:p>
    <w:p w14:paraId="719A1A70" w14:textId="77777777" w:rsidR="005F38A6" w:rsidRPr="009A4D38" w:rsidRDefault="005F38A6" w:rsidP="009A4D38">
      <w:pPr>
        <w:ind w:right="49"/>
        <w:jc w:val="both"/>
        <w:rPr>
          <w:lang w:val="es-MX"/>
        </w:rPr>
      </w:pPr>
    </w:p>
    <w:p w14:paraId="3FF53904" w14:textId="0A98AE2A" w:rsidR="005F38A6" w:rsidRDefault="005F38A6" w:rsidP="009A4D38">
      <w:pPr>
        <w:ind w:right="49"/>
        <w:jc w:val="both"/>
        <w:rPr>
          <w:lang w:val="es-MX"/>
        </w:rPr>
      </w:pPr>
      <w:bookmarkStart w:id="50" w:name="_Hlk141954605"/>
      <w:r>
        <w:rPr>
          <w:lang w:val="es-MX"/>
        </w:rPr>
        <w:t>La presión ejercida por la alta inflación y la guerra, han provocado grandes salidas de capitales y depreciaciones en las monedas de varios países, en especial para aquellos en vías de desarrollo</w:t>
      </w:r>
      <w:r w:rsidRPr="00462A0A">
        <w:rPr>
          <w:lang w:val="es-MX"/>
        </w:rPr>
        <w:t>.</w:t>
      </w:r>
      <w:r>
        <w:rPr>
          <w:lang w:val="es-MX"/>
        </w:rPr>
        <w:t xml:space="preserve"> Como consecuencia se ha observado que los costos de refinanciamiento han aumentado, provocando que mayor cantidad de países encuentren complicado acceder a préstamos. </w:t>
      </w:r>
    </w:p>
    <w:p w14:paraId="3D9931E2" w14:textId="77777777" w:rsidR="005F38A6" w:rsidRDefault="005F38A6" w:rsidP="009A4D38">
      <w:pPr>
        <w:ind w:right="49"/>
        <w:jc w:val="both"/>
        <w:rPr>
          <w:lang w:val="es-MX"/>
        </w:rPr>
      </w:pPr>
      <w:r>
        <w:rPr>
          <w:lang w:val="es-MX"/>
        </w:rPr>
        <w:lastRenderedPageBreak/>
        <w:t>A nivel privado, los mercados financieros, han resentido el endurecimiento del crédito, lo que puede conducir a perdidas de préstamos, deterioros en los balances de pagos y liquidez, así como problemas entre bancos e instituciones financieras. La incertidumbre del mercado financiero del 2022 ha disminuido gradualmente como se observa en el índice de volatilidad del mercado -VIX- que mide la volatilidad implícita del S&amp;P 500</w:t>
      </w:r>
      <w:bookmarkEnd w:id="50"/>
      <w:r>
        <w:rPr>
          <w:lang w:val="es-MX"/>
        </w:rPr>
        <w:t>.</w:t>
      </w:r>
    </w:p>
    <w:p w14:paraId="391B865D" w14:textId="77777777" w:rsidR="005F38A6" w:rsidRPr="00462A0A" w:rsidRDefault="005F38A6" w:rsidP="005F38A6">
      <w:pPr>
        <w:ind w:right="49"/>
        <w:jc w:val="both"/>
        <w:rPr>
          <w:sz w:val="22"/>
          <w:szCs w:val="22"/>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38"/>
      </w:tblGrid>
      <w:tr w:rsidR="005F38A6" w:rsidRPr="009A4D38" w14:paraId="119EB706" w14:textId="77777777" w:rsidTr="006A7377">
        <w:trPr>
          <w:trHeight w:val="253"/>
        </w:trPr>
        <w:tc>
          <w:tcPr>
            <w:tcW w:w="8838" w:type="dxa"/>
          </w:tcPr>
          <w:p w14:paraId="1F7970C2" w14:textId="4BF06E11" w:rsidR="009A4D38" w:rsidRPr="009A4D38" w:rsidRDefault="009A4D38" w:rsidP="009A4D38">
            <w:pPr>
              <w:keepNext/>
              <w:rPr>
                <w:sz w:val="2"/>
                <w:szCs w:val="2"/>
              </w:rPr>
            </w:pPr>
            <w:bookmarkStart w:id="51" w:name="_Toc114493846"/>
            <w:bookmarkStart w:id="52" w:name="_Hlk141954742"/>
          </w:p>
          <w:p w14:paraId="10E77D13" w14:textId="6016C05E" w:rsidR="009A4D38" w:rsidRPr="009A4D38" w:rsidRDefault="009A4D38" w:rsidP="009A4D38">
            <w:pPr>
              <w:pStyle w:val="Descripcin"/>
              <w:rPr>
                <w:color w:val="auto"/>
              </w:rPr>
            </w:pPr>
            <w:bookmarkStart w:id="53" w:name="_Toc143593562"/>
            <w:r w:rsidRPr="009A4D38">
              <w:rPr>
                <w:color w:val="auto"/>
              </w:rPr>
              <w:t xml:space="preserve">Gráfico </w:t>
            </w:r>
            <w:r w:rsidRPr="009A4D38">
              <w:rPr>
                <w:color w:val="auto"/>
              </w:rPr>
              <w:fldChar w:fldCharType="begin"/>
            </w:r>
            <w:r w:rsidRPr="009A4D38">
              <w:rPr>
                <w:color w:val="auto"/>
              </w:rPr>
              <w:instrText xml:space="preserve"> SEQ Gráfico \* ARABIC </w:instrText>
            </w:r>
            <w:r w:rsidRPr="009A4D38">
              <w:rPr>
                <w:color w:val="auto"/>
              </w:rPr>
              <w:fldChar w:fldCharType="separate"/>
            </w:r>
            <w:r w:rsidR="00A62AFA">
              <w:rPr>
                <w:noProof/>
                <w:color w:val="auto"/>
              </w:rPr>
              <w:t>4</w:t>
            </w:r>
            <w:r w:rsidRPr="009A4D38">
              <w:rPr>
                <w:color w:val="auto"/>
              </w:rPr>
              <w:fldChar w:fldCharType="end"/>
            </w:r>
            <w:r w:rsidRPr="009A4D38">
              <w:rPr>
                <w:color w:val="auto"/>
              </w:rPr>
              <w:t>.</w:t>
            </w:r>
            <w:r w:rsidRPr="009A4D38">
              <w:rPr>
                <w:color w:val="auto"/>
                <w:lang w:val="en-US"/>
              </w:rPr>
              <w:t xml:space="preserve"> </w:t>
            </w:r>
            <w:proofErr w:type="spellStart"/>
            <w:r w:rsidRPr="009A4D38">
              <w:rPr>
                <w:color w:val="auto"/>
                <w:lang w:val="en-US"/>
              </w:rPr>
              <w:t>Índice</w:t>
            </w:r>
            <w:proofErr w:type="spellEnd"/>
            <w:r w:rsidRPr="009A4D38">
              <w:rPr>
                <w:color w:val="auto"/>
                <w:lang w:val="en-US"/>
              </w:rPr>
              <w:t xml:space="preserve"> Market Volatility Index</w:t>
            </w:r>
            <w:r w:rsidRPr="009A4D38">
              <w:rPr>
                <w:rFonts w:ascii="Arial" w:hAnsi="Arial" w:cs="Arial"/>
                <w:color w:val="auto"/>
                <w:sz w:val="21"/>
                <w:szCs w:val="21"/>
                <w:shd w:val="clear" w:color="auto" w:fill="FFFFFF"/>
                <w:lang w:val="en-US"/>
              </w:rPr>
              <w:t xml:space="preserve"> -</w:t>
            </w:r>
            <w:r w:rsidRPr="009A4D38">
              <w:rPr>
                <w:color w:val="auto"/>
                <w:lang w:val="en-US"/>
              </w:rPr>
              <w:t>VIX-</w:t>
            </w:r>
            <w:bookmarkEnd w:id="53"/>
          </w:p>
          <w:p w14:paraId="6FFE80C3" w14:textId="24B8278A" w:rsidR="005F38A6" w:rsidRPr="009A4D38" w:rsidRDefault="005F38A6" w:rsidP="006A7377">
            <w:pPr>
              <w:keepNext/>
              <w:rPr>
                <w:b/>
                <w:lang w:val="en-US"/>
              </w:rPr>
            </w:pPr>
            <w:r w:rsidRPr="009A4D38">
              <w:rPr>
                <w:lang w:val="en-US"/>
              </w:rPr>
              <w:t xml:space="preserve"> </w:t>
            </w:r>
            <w:bookmarkEnd w:id="51"/>
            <w:bookmarkEnd w:id="52"/>
            <w:r w:rsidR="00344F23">
              <w:rPr>
                <w:noProof/>
              </w:rPr>
              <w:drawing>
                <wp:inline distT="0" distB="0" distL="0" distR="0" wp14:anchorId="6924DB3E" wp14:editId="08F6DEDA">
                  <wp:extent cx="5399405" cy="2258170"/>
                  <wp:effectExtent l="0" t="0" r="0" b="8890"/>
                  <wp:docPr id="9" name="Gráfico 9">
                    <a:extLst xmlns:a="http://schemas.openxmlformats.org/drawingml/2006/main">
                      <a:ext uri="{FF2B5EF4-FFF2-40B4-BE49-F238E27FC236}">
                        <a16:creationId xmlns:a16="http://schemas.microsoft.com/office/drawing/2014/main" id="{76963EC8-FF2A-4EC9-8CE5-2BB2FFAEF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5F38A6" w:rsidRPr="00462A0A" w14:paraId="7ED8CA76" w14:textId="77777777" w:rsidTr="006A7377">
        <w:trPr>
          <w:trHeight w:val="486"/>
        </w:trPr>
        <w:tc>
          <w:tcPr>
            <w:tcW w:w="8838" w:type="dxa"/>
            <w:vAlign w:val="center"/>
          </w:tcPr>
          <w:p w14:paraId="10E0102A" w14:textId="24F680D7" w:rsidR="005F38A6" w:rsidRPr="00C43CBD" w:rsidRDefault="00344F23" w:rsidP="00344F23">
            <w:pPr>
              <w:ind w:right="49"/>
            </w:pPr>
            <w:r w:rsidRPr="00FF236A">
              <w:rPr>
                <w:sz w:val="18"/>
                <w:szCs w:val="28"/>
                <w:lang w:val="es-MX" w:eastAsia="es-ES"/>
              </w:rPr>
              <w:t xml:space="preserve">Fuente: </w:t>
            </w:r>
            <w:proofErr w:type="spellStart"/>
            <w:r w:rsidRPr="00FF236A">
              <w:rPr>
                <w:sz w:val="18"/>
                <w:szCs w:val="28"/>
                <w:lang w:val="es-MX" w:eastAsia="es-ES"/>
              </w:rPr>
              <w:t>Investing</w:t>
            </w:r>
            <w:proofErr w:type="spellEnd"/>
            <w:r w:rsidRPr="00FF236A">
              <w:rPr>
                <w:sz w:val="18"/>
                <w:szCs w:val="28"/>
                <w:lang w:val="es-MX" w:eastAsia="es-ES"/>
              </w:rPr>
              <w:t>.</w:t>
            </w:r>
          </w:p>
        </w:tc>
      </w:tr>
    </w:tbl>
    <w:p w14:paraId="3A902A1F" w14:textId="77777777" w:rsidR="005F38A6" w:rsidRPr="00B4595D" w:rsidRDefault="005F38A6" w:rsidP="005F38A6">
      <w:pPr>
        <w:rPr>
          <w:szCs w:val="22"/>
          <w:lang w:val="es-MX"/>
        </w:rPr>
      </w:pPr>
    </w:p>
    <w:p w14:paraId="47ACB124" w14:textId="77777777" w:rsidR="005F38A6" w:rsidRPr="006014B3" w:rsidRDefault="005F38A6" w:rsidP="00CC7591">
      <w:pPr>
        <w:pStyle w:val="Ttulo2"/>
        <w:numPr>
          <w:ilvl w:val="2"/>
          <w:numId w:val="35"/>
        </w:numPr>
        <w:ind w:left="426" w:hanging="284"/>
        <w:rPr>
          <w:bCs/>
        </w:rPr>
      </w:pPr>
      <w:bookmarkStart w:id="54" w:name="_Toc16519883"/>
      <w:bookmarkStart w:id="55" w:name="_Toc83302158"/>
      <w:bookmarkStart w:id="56" w:name="_Toc114495237"/>
      <w:bookmarkStart w:id="57" w:name="_Toc144114351"/>
      <w:r w:rsidRPr="006014B3">
        <w:rPr>
          <w:bCs/>
        </w:rPr>
        <w:t>Riesgos en la economía nacional. Desviaciones de los pronósticos macroeconómicos</w:t>
      </w:r>
      <w:bookmarkEnd w:id="54"/>
      <w:bookmarkEnd w:id="55"/>
      <w:bookmarkEnd w:id="56"/>
      <w:bookmarkEnd w:id="57"/>
    </w:p>
    <w:p w14:paraId="47148FAA" w14:textId="77777777" w:rsidR="005F38A6" w:rsidRPr="00712A78" w:rsidRDefault="005F38A6" w:rsidP="005F38A6">
      <w:pPr>
        <w:ind w:right="49"/>
        <w:jc w:val="both"/>
      </w:pPr>
    </w:p>
    <w:p w14:paraId="7AD84193" w14:textId="77777777" w:rsidR="005F38A6" w:rsidRDefault="005F38A6" w:rsidP="005F38A6">
      <w:pPr>
        <w:jc w:val="both"/>
      </w:pPr>
      <w:r w:rsidRPr="002C2B96">
        <w:t xml:space="preserve">El error de pronóstico se define </w:t>
      </w:r>
      <w:r>
        <w:t xml:space="preserve">en este documento como </w:t>
      </w:r>
      <w:r w:rsidRPr="002C2B96">
        <w:t xml:space="preserve">la desviación entre el pronóstico </w:t>
      </w:r>
      <w:r>
        <w:t xml:space="preserve">utilizado en el presupuesto </w:t>
      </w:r>
      <w:r w:rsidRPr="002C2B96">
        <w:t>y el dato observado</w:t>
      </w:r>
      <w:r>
        <w:t>. En lo que respecta al crecimiento económico se observó que el error de pronóstico del 2012 al 2022 para el año del presupuesto estuvo en promedio subestimado y que el error absoluto promedio fue de 1.38. El mismo error promedio absoluto tuvo un valor de 0.47 de 2012 al 2019, mostrando el deterioro del crecimiento observado con respecto al esperado en el año por la pandemia y la recuperación mayor a la prevista en el 2021. La resiliencia que permitió un alto crecimiento en 2021 se debió al impulso del consumo final que fue financiado también por las remesas, las cuales también mostraron un crecimiento extraordinario en 2021 y 2022.</w:t>
      </w:r>
    </w:p>
    <w:p w14:paraId="555895EB" w14:textId="77777777" w:rsidR="005F38A6" w:rsidRDefault="005F38A6" w:rsidP="005F38A6">
      <w:pPr>
        <w:jc w:val="both"/>
      </w:pPr>
    </w:p>
    <w:p w14:paraId="427C3967" w14:textId="77777777" w:rsidR="005F38A6" w:rsidRDefault="005F38A6" w:rsidP="005F38A6">
      <w:pPr>
        <w:jc w:val="both"/>
      </w:pPr>
      <w:r w:rsidRPr="003355EE">
        <w:t>El error del pronóstico del PI</w:t>
      </w:r>
      <w:r>
        <w:t xml:space="preserve">B nominal utilizado en el presupuesto, estuvo levemente sobre estimado del 2012 al 2022 y el error promedio absoluto de pronóstico fue de 1.92, considerando los años atípicos del 2020 y 2021. En 2022 el deflactor fue sobreestimado debido principalmente al crecimiento de los precios de las materias prima y los productos importados de los principales socios comerciales, que tuvieron su impacto en los precios nacionales. </w:t>
      </w:r>
    </w:p>
    <w:p w14:paraId="24043710" w14:textId="01CFF577" w:rsidR="008678BE" w:rsidRDefault="008678BE" w:rsidP="005F38A6">
      <w:pPr>
        <w:jc w:val="both"/>
      </w:pPr>
    </w:p>
    <w:p w14:paraId="7CA086A9" w14:textId="355B0BF0" w:rsidR="00DE1611" w:rsidRDefault="00DE1611" w:rsidP="005F38A6">
      <w:pPr>
        <w:jc w:val="both"/>
      </w:pPr>
    </w:p>
    <w:p w14:paraId="00E5CA7C" w14:textId="77777777" w:rsidR="00DE1611" w:rsidRDefault="00DE1611" w:rsidP="005F38A6">
      <w:pPr>
        <w:jc w:val="both"/>
      </w:pPr>
    </w:p>
    <w:tbl>
      <w:tblPr>
        <w:tblW w:w="8815" w:type="dxa"/>
        <w:tblLook w:val="04A0" w:firstRow="1" w:lastRow="0" w:firstColumn="1" w:lastColumn="0" w:noHBand="0" w:noVBand="1"/>
      </w:tblPr>
      <w:tblGrid>
        <w:gridCol w:w="4406"/>
        <w:gridCol w:w="4409"/>
      </w:tblGrid>
      <w:tr w:rsidR="005F38A6" w14:paraId="191B8CC7" w14:textId="77777777" w:rsidTr="006A7377">
        <w:trPr>
          <w:trHeight w:val="399"/>
        </w:trPr>
        <w:tc>
          <w:tcPr>
            <w:tcW w:w="8815" w:type="dxa"/>
            <w:gridSpan w:val="2"/>
          </w:tcPr>
          <w:p w14:paraId="3FB16C35" w14:textId="35A34803" w:rsidR="009A4D38" w:rsidRPr="009A4D38" w:rsidRDefault="009A4D38" w:rsidP="009A4D38">
            <w:pPr>
              <w:keepNext/>
              <w:jc w:val="center"/>
              <w:rPr>
                <w:sz w:val="4"/>
                <w:szCs w:val="4"/>
              </w:rPr>
            </w:pPr>
          </w:p>
          <w:p w14:paraId="14910719" w14:textId="42E5DD61" w:rsidR="009A4D38" w:rsidRPr="009A4D38" w:rsidRDefault="009A4D38" w:rsidP="009A4D38">
            <w:pPr>
              <w:pStyle w:val="Descripcin"/>
              <w:rPr>
                <w:color w:val="auto"/>
              </w:rPr>
            </w:pPr>
            <w:bookmarkStart w:id="58" w:name="_Toc143593563"/>
            <w:r w:rsidRPr="009A4D38">
              <w:rPr>
                <w:color w:val="auto"/>
              </w:rPr>
              <w:t xml:space="preserve">Gráfico </w:t>
            </w:r>
            <w:r w:rsidRPr="009A4D38">
              <w:rPr>
                <w:color w:val="auto"/>
              </w:rPr>
              <w:fldChar w:fldCharType="begin"/>
            </w:r>
            <w:r w:rsidRPr="009A4D38">
              <w:rPr>
                <w:color w:val="auto"/>
              </w:rPr>
              <w:instrText xml:space="preserve"> SEQ Gráfico \* ARABIC </w:instrText>
            </w:r>
            <w:r w:rsidRPr="009A4D38">
              <w:rPr>
                <w:color w:val="auto"/>
              </w:rPr>
              <w:fldChar w:fldCharType="separate"/>
            </w:r>
            <w:r w:rsidR="00A62AFA">
              <w:rPr>
                <w:noProof/>
                <w:color w:val="auto"/>
              </w:rPr>
              <w:t>5</w:t>
            </w:r>
            <w:r w:rsidRPr="009A4D38">
              <w:rPr>
                <w:color w:val="auto"/>
              </w:rPr>
              <w:fldChar w:fldCharType="end"/>
            </w:r>
            <w:r w:rsidRPr="009A4D38">
              <w:rPr>
                <w:color w:val="auto"/>
              </w:rPr>
              <w:t>. Errores de pronóstico del PIB real y PIB nominal</w:t>
            </w:r>
            <w:bookmarkEnd w:id="58"/>
          </w:p>
          <w:p w14:paraId="32B306E0" w14:textId="3450A914" w:rsidR="005F38A6" w:rsidRPr="009A4D38" w:rsidRDefault="005F38A6" w:rsidP="009A4D38">
            <w:pPr>
              <w:jc w:val="center"/>
              <w:rPr>
                <w:b/>
                <w:sz w:val="14"/>
                <w:szCs w:val="14"/>
              </w:rPr>
            </w:pPr>
          </w:p>
        </w:tc>
      </w:tr>
      <w:tr w:rsidR="005F38A6" w14:paraId="4DFDCA35" w14:textId="77777777" w:rsidTr="006A7377">
        <w:trPr>
          <w:trHeight w:val="169"/>
        </w:trPr>
        <w:tc>
          <w:tcPr>
            <w:tcW w:w="8815" w:type="dxa"/>
            <w:gridSpan w:val="2"/>
          </w:tcPr>
          <w:p w14:paraId="50F47A1F" w14:textId="77777777" w:rsidR="005F38A6" w:rsidRPr="009A4D38" w:rsidRDefault="005F38A6" w:rsidP="009A4D38">
            <w:pPr>
              <w:jc w:val="center"/>
              <w:rPr>
                <w:b/>
                <w:sz w:val="18"/>
                <w:szCs w:val="18"/>
              </w:rPr>
            </w:pPr>
            <w:r w:rsidRPr="009A4D38">
              <w:rPr>
                <w:b/>
                <w:sz w:val="20"/>
                <w:szCs w:val="20"/>
              </w:rPr>
              <w:t>PIB real</w:t>
            </w:r>
          </w:p>
        </w:tc>
      </w:tr>
      <w:tr w:rsidR="005F38A6" w14:paraId="087FCE75" w14:textId="77777777" w:rsidTr="006A7377">
        <w:trPr>
          <w:trHeight w:val="169"/>
        </w:trPr>
        <w:tc>
          <w:tcPr>
            <w:tcW w:w="4406" w:type="dxa"/>
          </w:tcPr>
          <w:p w14:paraId="1C433005" w14:textId="77777777" w:rsidR="005F38A6" w:rsidRPr="009A4D38" w:rsidRDefault="005F38A6" w:rsidP="009A4D38">
            <w:pPr>
              <w:jc w:val="center"/>
              <w:rPr>
                <w:b/>
                <w:sz w:val="18"/>
                <w:szCs w:val="18"/>
              </w:rPr>
            </w:pPr>
            <w:r w:rsidRPr="009A4D38">
              <w:rPr>
                <w:b/>
                <w:sz w:val="18"/>
                <w:szCs w:val="18"/>
              </w:rPr>
              <w:t>Errores históricos de pronóstico</w:t>
            </w:r>
          </w:p>
        </w:tc>
        <w:tc>
          <w:tcPr>
            <w:tcW w:w="4409" w:type="dxa"/>
          </w:tcPr>
          <w:p w14:paraId="5895DE59" w14:textId="77777777" w:rsidR="005F38A6" w:rsidRPr="009A4D38" w:rsidRDefault="005F38A6" w:rsidP="009A4D38">
            <w:pPr>
              <w:jc w:val="center"/>
              <w:rPr>
                <w:b/>
                <w:sz w:val="18"/>
                <w:szCs w:val="18"/>
              </w:rPr>
            </w:pPr>
            <w:r w:rsidRPr="009A4D38">
              <w:rPr>
                <w:b/>
                <w:sz w:val="18"/>
                <w:szCs w:val="18"/>
              </w:rPr>
              <w:t>Error promedio absoluto de pronóstico</w:t>
            </w:r>
          </w:p>
        </w:tc>
      </w:tr>
      <w:tr w:rsidR="005F38A6" w14:paraId="228E8594" w14:textId="77777777" w:rsidTr="006A7377">
        <w:tblPrEx>
          <w:tblCellMar>
            <w:left w:w="70" w:type="dxa"/>
            <w:right w:w="70" w:type="dxa"/>
          </w:tblCellMar>
        </w:tblPrEx>
        <w:trPr>
          <w:trHeight w:val="1818"/>
        </w:trPr>
        <w:tc>
          <w:tcPr>
            <w:tcW w:w="4406" w:type="dxa"/>
          </w:tcPr>
          <w:p w14:paraId="2A2014FA" w14:textId="77777777" w:rsidR="005F38A6" w:rsidRPr="009A4D38" w:rsidRDefault="005F38A6" w:rsidP="009A4D38">
            <w:pPr>
              <w:jc w:val="center"/>
            </w:pPr>
            <w:r w:rsidRPr="009A4D38">
              <w:rPr>
                <w:noProof/>
              </w:rPr>
              <w:drawing>
                <wp:inline distT="0" distB="0" distL="0" distR="0" wp14:anchorId="76F7C5C6" wp14:editId="54FBE8E1">
                  <wp:extent cx="2519680" cy="1804946"/>
                  <wp:effectExtent l="0" t="0" r="0" b="5080"/>
                  <wp:docPr id="12" name="Gráfico 12">
                    <a:extLst xmlns:a="http://schemas.openxmlformats.org/drawingml/2006/main">
                      <a:ext uri="{FF2B5EF4-FFF2-40B4-BE49-F238E27FC236}">
                        <a16:creationId xmlns:a16="http://schemas.microsoft.com/office/drawing/2014/main" id="{F347BE96-A1E1-4490-B3F5-864567446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409" w:type="dxa"/>
          </w:tcPr>
          <w:p w14:paraId="2BD196AF" w14:textId="77777777" w:rsidR="005F38A6" w:rsidRPr="009A4D38" w:rsidRDefault="005F38A6" w:rsidP="009A4D38">
            <w:pPr>
              <w:jc w:val="center"/>
            </w:pPr>
            <w:r w:rsidRPr="009A4D38">
              <w:rPr>
                <w:noProof/>
              </w:rPr>
              <w:drawing>
                <wp:inline distT="0" distB="0" distL="0" distR="0" wp14:anchorId="204005A7" wp14:editId="32B32EF7">
                  <wp:extent cx="2519680" cy="1804670"/>
                  <wp:effectExtent l="0" t="0" r="0" b="5080"/>
                  <wp:docPr id="3" name="Gráfico 3">
                    <a:extLst xmlns:a="http://schemas.openxmlformats.org/drawingml/2006/main">
                      <a:ext uri="{FF2B5EF4-FFF2-40B4-BE49-F238E27FC236}">
                        <a16:creationId xmlns:a16="http://schemas.microsoft.com/office/drawing/2014/main" id="{EE772488-422C-4D41-859E-9199D8F83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5F38A6" w14:paraId="39C0A060" w14:textId="77777777" w:rsidTr="006A7377">
        <w:trPr>
          <w:trHeight w:val="288"/>
        </w:trPr>
        <w:tc>
          <w:tcPr>
            <w:tcW w:w="8815" w:type="dxa"/>
            <w:gridSpan w:val="2"/>
          </w:tcPr>
          <w:p w14:paraId="50A7359D" w14:textId="77777777" w:rsidR="005F38A6" w:rsidRPr="009A4D38" w:rsidRDefault="005F38A6" w:rsidP="009A4D38">
            <w:pPr>
              <w:jc w:val="center"/>
              <w:rPr>
                <w:b/>
                <w:sz w:val="16"/>
                <w:szCs w:val="16"/>
              </w:rPr>
            </w:pPr>
            <w:r w:rsidRPr="009A4D38">
              <w:rPr>
                <w:b/>
                <w:sz w:val="22"/>
                <w:szCs w:val="22"/>
              </w:rPr>
              <w:t>PIB nominal</w:t>
            </w:r>
          </w:p>
        </w:tc>
      </w:tr>
      <w:tr w:rsidR="005F38A6" w14:paraId="1F1120EC" w14:textId="77777777" w:rsidTr="006A7377">
        <w:trPr>
          <w:trHeight w:val="288"/>
        </w:trPr>
        <w:tc>
          <w:tcPr>
            <w:tcW w:w="4406" w:type="dxa"/>
          </w:tcPr>
          <w:p w14:paraId="2DD562A3" w14:textId="77777777" w:rsidR="005F38A6" w:rsidRPr="009A4D38" w:rsidRDefault="005F38A6" w:rsidP="009A4D38">
            <w:pPr>
              <w:jc w:val="center"/>
              <w:rPr>
                <w:b/>
                <w:sz w:val="16"/>
                <w:szCs w:val="16"/>
              </w:rPr>
            </w:pPr>
            <w:r w:rsidRPr="009A4D38">
              <w:rPr>
                <w:b/>
                <w:sz w:val="18"/>
                <w:szCs w:val="18"/>
              </w:rPr>
              <w:t>Errores históricos de pronóstico</w:t>
            </w:r>
          </w:p>
        </w:tc>
        <w:tc>
          <w:tcPr>
            <w:tcW w:w="4409" w:type="dxa"/>
          </w:tcPr>
          <w:p w14:paraId="6E35BFEF" w14:textId="77777777" w:rsidR="005F38A6" w:rsidRPr="009A4D38" w:rsidRDefault="005F38A6" w:rsidP="009A4D38">
            <w:pPr>
              <w:jc w:val="center"/>
              <w:rPr>
                <w:b/>
                <w:sz w:val="16"/>
                <w:szCs w:val="16"/>
              </w:rPr>
            </w:pPr>
            <w:r w:rsidRPr="009A4D38">
              <w:rPr>
                <w:b/>
                <w:sz w:val="18"/>
                <w:szCs w:val="18"/>
              </w:rPr>
              <w:t>Error promedio absoluto de pronóstico</w:t>
            </w:r>
          </w:p>
        </w:tc>
      </w:tr>
      <w:tr w:rsidR="005F38A6" w14:paraId="4EE9D42E" w14:textId="77777777" w:rsidTr="006A7377">
        <w:trPr>
          <w:trHeight w:val="288"/>
        </w:trPr>
        <w:tc>
          <w:tcPr>
            <w:tcW w:w="4406" w:type="dxa"/>
          </w:tcPr>
          <w:p w14:paraId="6F28C331" w14:textId="77777777" w:rsidR="005F38A6" w:rsidRPr="009A4D38" w:rsidRDefault="005F38A6" w:rsidP="009A4D38">
            <w:pPr>
              <w:jc w:val="center"/>
              <w:rPr>
                <w:sz w:val="16"/>
                <w:szCs w:val="16"/>
              </w:rPr>
            </w:pPr>
            <w:r w:rsidRPr="009A4D38">
              <w:rPr>
                <w:noProof/>
              </w:rPr>
              <w:drawing>
                <wp:inline distT="0" distB="0" distL="0" distR="0" wp14:anchorId="6254FC3E" wp14:editId="1566BDC5">
                  <wp:extent cx="2439035" cy="1781092"/>
                  <wp:effectExtent l="0" t="0" r="0" b="0"/>
                  <wp:docPr id="6" name="Gráfico 6">
                    <a:extLst xmlns:a="http://schemas.openxmlformats.org/drawingml/2006/main">
                      <a:ext uri="{FF2B5EF4-FFF2-40B4-BE49-F238E27FC236}">
                        <a16:creationId xmlns:a16="http://schemas.microsoft.com/office/drawing/2014/main" id="{FAA9BB58-3862-4666-9597-92DE84385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409" w:type="dxa"/>
          </w:tcPr>
          <w:p w14:paraId="09D51741" w14:textId="77777777" w:rsidR="005F38A6" w:rsidRPr="009A4D38" w:rsidRDefault="005F38A6" w:rsidP="009A4D38">
            <w:pPr>
              <w:jc w:val="center"/>
              <w:rPr>
                <w:sz w:val="16"/>
                <w:szCs w:val="16"/>
              </w:rPr>
            </w:pPr>
            <w:r w:rsidRPr="009A4D38">
              <w:rPr>
                <w:noProof/>
              </w:rPr>
              <w:drawing>
                <wp:inline distT="0" distB="0" distL="0" distR="0" wp14:anchorId="32D08B1F" wp14:editId="20E06200">
                  <wp:extent cx="2519680" cy="1780540"/>
                  <wp:effectExtent l="0" t="0" r="0" b="0"/>
                  <wp:docPr id="15" name="Gráfico 15">
                    <a:extLst xmlns:a="http://schemas.openxmlformats.org/drawingml/2006/main">
                      <a:ext uri="{FF2B5EF4-FFF2-40B4-BE49-F238E27FC236}">
                        <a16:creationId xmlns:a16="http://schemas.microsoft.com/office/drawing/2014/main" id="{11DFE410-D3E1-4D7C-B778-1F6C63BE2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5F38A6" w14:paraId="37570606" w14:textId="77777777" w:rsidTr="006A7377">
        <w:trPr>
          <w:trHeight w:val="288"/>
        </w:trPr>
        <w:tc>
          <w:tcPr>
            <w:tcW w:w="8815" w:type="dxa"/>
            <w:gridSpan w:val="2"/>
          </w:tcPr>
          <w:p w14:paraId="7B7DD20F" w14:textId="77777777" w:rsidR="005F38A6" w:rsidRPr="009A4D38" w:rsidRDefault="005F38A6" w:rsidP="009A4D38">
            <w:pPr>
              <w:jc w:val="center"/>
              <w:rPr>
                <w:sz w:val="16"/>
                <w:szCs w:val="16"/>
              </w:rPr>
            </w:pPr>
            <w:r w:rsidRPr="009A4D38">
              <w:rPr>
                <w:sz w:val="16"/>
                <w:szCs w:val="16"/>
              </w:rPr>
              <w:t>Fuente: Presupuestos aprobados, proyectos de presupuesto y marcos fiscales.</w:t>
            </w:r>
          </w:p>
          <w:p w14:paraId="24F07220" w14:textId="77777777" w:rsidR="005F38A6" w:rsidRPr="009A4D38" w:rsidRDefault="005F38A6" w:rsidP="009A4D38">
            <w:pPr>
              <w:jc w:val="center"/>
              <w:rPr>
                <w:sz w:val="16"/>
                <w:szCs w:val="16"/>
              </w:rPr>
            </w:pPr>
            <w:r w:rsidRPr="009A4D38">
              <w:rPr>
                <w:sz w:val="16"/>
                <w:szCs w:val="16"/>
              </w:rPr>
              <w:t>Nota: Elaboración con metodología del FRAT del FMI</w:t>
            </w:r>
          </w:p>
        </w:tc>
      </w:tr>
    </w:tbl>
    <w:p w14:paraId="208EEA33" w14:textId="77777777" w:rsidR="005F38A6" w:rsidRDefault="005F38A6" w:rsidP="005F38A6"/>
    <w:p w14:paraId="64D6CF5B" w14:textId="460E1029" w:rsidR="005F38A6" w:rsidRDefault="005F38A6" w:rsidP="005F38A6">
      <w:pPr>
        <w:jc w:val="both"/>
      </w:pPr>
      <w:r w:rsidRPr="00075468">
        <w:t>Para las importaciones</w:t>
      </w:r>
      <w:r w:rsidR="00B91F1D">
        <w:t>,</w:t>
      </w:r>
      <w:r w:rsidRPr="00075468">
        <w:t xml:space="preserve"> el error de pronóstico promedio absoluto fue de 9.49 para el año de presupuesto</w:t>
      </w:r>
      <w:r>
        <w:t>. En el</w:t>
      </w:r>
      <w:r w:rsidRPr="00075468">
        <w:t xml:space="preserve"> periodo antes de la pandemia dicho error se ubicó en 5.04</w:t>
      </w:r>
      <w:r>
        <w:t xml:space="preserve"> y el pronóstico </w:t>
      </w:r>
      <w:r w:rsidRPr="00141C29">
        <w:t xml:space="preserve">utilizado estuvo sobreestimado. Para el año 2021 y 2022 el crecimiento fuera de lo esperado se debió en su mayor parte al crecimiento de los precios de las importaciones, y al impulso de la demanda interna que aumentó el volumen de las importaciones.  </w:t>
      </w:r>
    </w:p>
    <w:p w14:paraId="15C5D02E" w14:textId="77777777" w:rsidR="009A4D38" w:rsidRPr="00141C29" w:rsidRDefault="009A4D38" w:rsidP="005F38A6">
      <w:pPr>
        <w:jc w:val="both"/>
      </w:pPr>
    </w:p>
    <w:p w14:paraId="1880A768" w14:textId="1F1D8722" w:rsidR="005F38A6" w:rsidRDefault="005F38A6" w:rsidP="005F38A6">
      <w:pPr>
        <w:jc w:val="both"/>
      </w:pPr>
      <w:r w:rsidRPr="00141C29">
        <w:t xml:space="preserve">Por su parte las exportaciones utilizadas en los presupuestos han estado generalmente sobre estimadas, </w:t>
      </w:r>
      <w:r>
        <w:t>esto se debe a que en la última década el crecimiento de las exportaciones ha disminuido, incluso con tasas negativas en algunos años, con la excepción en 2014, 2017 y los años posteriores a la pandemia, en los cuales el efecto precio también influyó en las altas tasas de crecimiento. E</w:t>
      </w:r>
      <w:r w:rsidRPr="00141C29">
        <w:t>l error de pronóstico</w:t>
      </w:r>
      <w:r>
        <w:t xml:space="preserve"> promedio absoluto</w:t>
      </w:r>
      <w:r w:rsidRPr="00141C29">
        <w:t xml:space="preserve"> para el primer año de pronóstico es de 7.34. </w:t>
      </w:r>
    </w:p>
    <w:p w14:paraId="4AD5EF2E" w14:textId="0C458AA9" w:rsidR="00DE1611" w:rsidRDefault="00DE1611" w:rsidP="005F38A6">
      <w:pPr>
        <w:jc w:val="both"/>
      </w:pPr>
    </w:p>
    <w:p w14:paraId="62E52BCA" w14:textId="0CCDDFA5" w:rsidR="00DE1611" w:rsidRDefault="00DE1611" w:rsidP="005F38A6">
      <w:pPr>
        <w:jc w:val="both"/>
      </w:pPr>
    </w:p>
    <w:p w14:paraId="510968B3" w14:textId="710277DC" w:rsidR="00DE1611" w:rsidRDefault="00DE1611" w:rsidP="005F38A6">
      <w:pPr>
        <w:jc w:val="both"/>
      </w:pPr>
    </w:p>
    <w:p w14:paraId="06BD3527" w14:textId="23ACC0F5" w:rsidR="00DE1611" w:rsidRDefault="00DE1611" w:rsidP="005F38A6">
      <w:pPr>
        <w:jc w:val="both"/>
      </w:pPr>
    </w:p>
    <w:p w14:paraId="35733BCA" w14:textId="77777777" w:rsidR="00DE1611" w:rsidRPr="00141C29" w:rsidRDefault="00DE1611" w:rsidP="005F38A6">
      <w:pPr>
        <w:jc w:val="both"/>
      </w:pPr>
    </w:p>
    <w:tbl>
      <w:tblPr>
        <w:tblW w:w="8815" w:type="dxa"/>
        <w:tblLook w:val="04A0" w:firstRow="1" w:lastRow="0" w:firstColumn="1" w:lastColumn="0" w:noHBand="0" w:noVBand="1"/>
      </w:tblPr>
      <w:tblGrid>
        <w:gridCol w:w="4406"/>
        <w:gridCol w:w="4409"/>
      </w:tblGrid>
      <w:tr w:rsidR="005F38A6" w14:paraId="7C7DCBBC" w14:textId="77777777" w:rsidTr="006A7377">
        <w:trPr>
          <w:trHeight w:val="399"/>
        </w:trPr>
        <w:tc>
          <w:tcPr>
            <w:tcW w:w="8815" w:type="dxa"/>
            <w:gridSpan w:val="2"/>
          </w:tcPr>
          <w:p w14:paraId="77F04DF8" w14:textId="2142361E" w:rsidR="009A4D38" w:rsidRPr="009A4D38" w:rsidRDefault="009A4D38" w:rsidP="009A4D38">
            <w:pPr>
              <w:keepNext/>
              <w:rPr>
                <w:sz w:val="2"/>
                <w:szCs w:val="2"/>
              </w:rPr>
            </w:pPr>
          </w:p>
          <w:p w14:paraId="58EC2338" w14:textId="7318B05B" w:rsidR="009A4D38" w:rsidRPr="009A4D38" w:rsidRDefault="009A4D38" w:rsidP="009A4D38">
            <w:pPr>
              <w:pStyle w:val="Descripcin"/>
              <w:rPr>
                <w:color w:val="auto"/>
              </w:rPr>
            </w:pPr>
            <w:bookmarkStart w:id="59" w:name="_Toc143593564"/>
            <w:r w:rsidRPr="009A4D38">
              <w:rPr>
                <w:color w:val="auto"/>
              </w:rPr>
              <w:t xml:space="preserve">Gráfico </w:t>
            </w:r>
            <w:r w:rsidRPr="009A4D38">
              <w:rPr>
                <w:color w:val="auto"/>
              </w:rPr>
              <w:fldChar w:fldCharType="begin"/>
            </w:r>
            <w:r w:rsidRPr="009A4D38">
              <w:rPr>
                <w:color w:val="auto"/>
              </w:rPr>
              <w:instrText xml:space="preserve"> SEQ Gráfico \* ARABIC </w:instrText>
            </w:r>
            <w:r w:rsidRPr="009A4D38">
              <w:rPr>
                <w:color w:val="auto"/>
              </w:rPr>
              <w:fldChar w:fldCharType="separate"/>
            </w:r>
            <w:r w:rsidR="00A62AFA">
              <w:rPr>
                <w:noProof/>
                <w:color w:val="auto"/>
              </w:rPr>
              <w:t>6</w:t>
            </w:r>
            <w:r w:rsidRPr="009A4D38">
              <w:rPr>
                <w:color w:val="auto"/>
              </w:rPr>
              <w:fldChar w:fldCharType="end"/>
            </w:r>
            <w:r w:rsidRPr="009A4D38">
              <w:rPr>
                <w:color w:val="auto"/>
              </w:rPr>
              <w:t xml:space="preserve">. </w:t>
            </w:r>
            <w:r w:rsidRPr="009A4D38">
              <w:rPr>
                <w:bCs/>
                <w:color w:val="auto"/>
              </w:rPr>
              <w:t>Errores de pronóstico de las exportaciones e importaciones</w:t>
            </w:r>
            <w:bookmarkEnd w:id="59"/>
          </w:p>
          <w:p w14:paraId="1AA30EDC" w14:textId="2E83235C" w:rsidR="005F38A6" w:rsidRPr="009A4D38" w:rsidRDefault="005F38A6" w:rsidP="006A7377">
            <w:pPr>
              <w:rPr>
                <w:bCs/>
                <w:sz w:val="12"/>
                <w:szCs w:val="12"/>
              </w:rPr>
            </w:pPr>
            <w:r w:rsidRPr="00660A1A">
              <w:rPr>
                <w:bCs/>
              </w:rPr>
              <w:t xml:space="preserve"> </w:t>
            </w:r>
          </w:p>
        </w:tc>
      </w:tr>
      <w:tr w:rsidR="005F38A6" w14:paraId="2768C8E0" w14:textId="77777777" w:rsidTr="006A7377">
        <w:trPr>
          <w:trHeight w:val="169"/>
        </w:trPr>
        <w:tc>
          <w:tcPr>
            <w:tcW w:w="8815" w:type="dxa"/>
            <w:gridSpan w:val="2"/>
          </w:tcPr>
          <w:p w14:paraId="00FDE5E2" w14:textId="77777777" w:rsidR="005F38A6" w:rsidRPr="009A4D38" w:rsidRDefault="005F38A6" w:rsidP="00DE1611">
            <w:pPr>
              <w:jc w:val="center"/>
              <w:rPr>
                <w:b/>
                <w:sz w:val="18"/>
                <w:szCs w:val="18"/>
              </w:rPr>
            </w:pPr>
            <w:r w:rsidRPr="009A4D38">
              <w:rPr>
                <w:b/>
              </w:rPr>
              <w:t>Importaciones</w:t>
            </w:r>
          </w:p>
        </w:tc>
      </w:tr>
      <w:tr w:rsidR="005F38A6" w14:paraId="59FC35C8" w14:textId="77777777" w:rsidTr="006A7377">
        <w:trPr>
          <w:trHeight w:val="169"/>
        </w:trPr>
        <w:tc>
          <w:tcPr>
            <w:tcW w:w="4406" w:type="dxa"/>
          </w:tcPr>
          <w:p w14:paraId="79EEEE92" w14:textId="77777777" w:rsidR="005F38A6" w:rsidRPr="009A4D38" w:rsidRDefault="005F38A6" w:rsidP="006A7377">
            <w:pPr>
              <w:rPr>
                <w:b/>
                <w:sz w:val="18"/>
                <w:szCs w:val="18"/>
              </w:rPr>
            </w:pPr>
            <w:r w:rsidRPr="009A4D38">
              <w:rPr>
                <w:b/>
                <w:sz w:val="18"/>
                <w:szCs w:val="18"/>
              </w:rPr>
              <w:t>Errores históricos de pronóstico</w:t>
            </w:r>
          </w:p>
        </w:tc>
        <w:tc>
          <w:tcPr>
            <w:tcW w:w="4409" w:type="dxa"/>
          </w:tcPr>
          <w:p w14:paraId="5E436165" w14:textId="77777777" w:rsidR="005F38A6" w:rsidRPr="009A4D38" w:rsidRDefault="005F38A6" w:rsidP="006A7377">
            <w:pPr>
              <w:rPr>
                <w:b/>
                <w:sz w:val="18"/>
                <w:szCs w:val="18"/>
              </w:rPr>
            </w:pPr>
            <w:r w:rsidRPr="009A4D38">
              <w:rPr>
                <w:b/>
                <w:sz w:val="18"/>
                <w:szCs w:val="18"/>
              </w:rPr>
              <w:t>Error promedio absoluto de pronóstico</w:t>
            </w:r>
          </w:p>
        </w:tc>
      </w:tr>
      <w:tr w:rsidR="005F38A6" w14:paraId="4B3CF11E" w14:textId="77777777" w:rsidTr="006A7377">
        <w:tblPrEx>
          <w:tblCellMar>
            <w:left w:w="70" w:type="dxa"/>
            <w:right w:w="70" w:type="dxa"/>
          </w:tblCellMar>
        </w:tblPrEx>
        <w:trPr>
          <w:trHeight w:val="1818"/>
        </w:trPr>
        <w:tc>
          <w:tcPr>
            <w:tcW w:w="4406" w:type="dxa"/>
          </w:tcPr>
          <w:p w14:paraId="3BA82E8C" w14:textId="77777777" w:rsidR="005F38A6" w:rsidRDefault="005F38A6" w:rsidP="006A7377">
            <w:r>
              <w:rPr>
                <w:noProof/>
              </w:rPr>
              <w:drawing>
                <wp:inline distT="0" distB="0" distL="0" distR="0" wp14:anchorId="190F8F3A" wp14:editId="20C9847C">
                  <wp:extent cx="2519680" cy="1610436"/>
                  <wp:effectExtent l="0" t="0" r="0" b="8890"/>
                  <wp:docPr id="10" name="Gráfico 10">
                    <a:extLst xmlns:a="http://schemas.openxmlformats.org/drawingml/2006/main">
                      <a:ext uri="{FF2B5EF4-FFF2-40B4-BE49-F238E27FC236}">
                        <a16:creationId xmlns:a16="http://schemas.microsoft.com/office/drawing/2014/main" id="{A1E3684A-ED3E-44A4-9989-2A1B83628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409" w:type="dxa"/>
          </w:tcPr>
          <w:p w14:paraId="646FAFFD" w14:textId="77777777" w:rsidR="005F38A6" w:rsidRDefault="005F38A6" w:rsidP="006A7377">
            <w:r>
              <w:rPr>
                <w:noProof/>
              </w:rPr>
              <w:drawing>
                <wp:inline distT="0" distB="0" distL="0" distR="0" wp14:anchorId="79B1A5B8" wp14:editId="41DBE47B">
                  <wp:extent cx="2519680" cy="1610360"/>
                  <wp:effectExtent l="0" t="0" r="0" b="8890"/>
                  <wp:docPr id="16" name="Gráfico 16">
                    <a:extLst xmlns:a="http://schemas.openxmlformats.org/drawingml/2006/main">
                      <a:ext uri="{FF2B5EF4-FFF2-40B4-BE49-F238E27FC236}">
                        <a16:creationId xmlns:a16="http://schemas.microsoft.com/office/drawing/2014/main" id="{885966E5-3F63-46B8-81F9-C261FE6F3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0E721F" w14:textId="617D3CFB" w:rsidR="008678BE" w:rsidRPr="00344F23" w:rsidRDefault="008678BE" w:rsidP="006A7377">
            <w:pPr>
              <w:rPr>
                <w:sz w:val="8"/>
                <w:szCs w:val="8"/>
              </w:rPr>
            </w:pPr>
          </w:p>
        </w:tc>
      </w:tr>
      <w:tr w:rsidR="005F38A6" w14:paraId="64940696" w14:textId="77777777" w:rsidTr="006A7377">
        <w:trPr>
          <w:trHeight w:val="288"/>
        </w:trPr>
        <w:tc>
          <w:tcPr>
            <w:tcW w:w="8815" w:type="dxa"/>
            <w:gridSpan w:val="2"/>
          </w:tcPr>
          <w:p w14:paraId="7BFAEE47" w14:textId="77777777" w:rsidR="005F38A6" w:rsidRPr="008678BE" w:rsidRDefault="005F38A6" w:rsidP="00DE1611">
            <w:pPr>
              <w:jc w:val="center"/>
              <w:rPr>
                <w:b/>
                <w:sz w:val="16"/>
                <w:szCs w:val="16"/>
              </w:rPr>
            </w:pPr>
            <w:r w:rsidRPr="008678BE">
              <w:rPr>
                <w:b/>
              </w:rPr>
              <w:t>Exportaciones</w:t>
            </w:r>
          </w:p>
        </w:tc>
      </w:tr>
      <w:tr w:rsidR="005F38A6" w14:paraId="0C58D111" w14:textId="77777777" w:rsidTr="006A7377">
        <w:trPr>
          <w:trHeight w:val="288"/>
        </w:trPr>
        <w:tc>
          <w:tcPr>
            <w:tcW w:w="4406" w:type="dxa"/>
          </w:tcPr>
          <w:p w14:paraId="1DCD9ECE" w14:textId="77777777" w:rsidR="005F38A6" w:rsidRPr="008678BE" w:rsidRDefault="005F38A6" w:rsidP="006A7377">
            <w:pPr>
              <w:rPr>
                <w:b/>
                <w:sz w:val="16"/>
                <w:szCs w:val="16"/>
              </w:rPr>
            </w:pPr>
            <w:r w:rsidRPr="008678BE">
              <w:rPr>
                <w:b/>
                <w:sz w:val="18"/>
                <w:szCs w:val="18"/>
              </w:rPr>
              <w:t>Errores históricos de pronóstico</w:t>
            </w:r>
          </w:p>
        </w:tc>
        <w:tc>
          <w:tcPr>
            <w:tcW w:w="4409" w:type="dxa"/>
          </w:tcPr>
          <w:p w14:paraId="74521767" w14:textId="77777777" w:rsidR="005F38A6" w:rsidRPr="008678BE" w:rsidRDefault="005F38A6" w:rsidP="006A7377">
            <w:pPr>
              <w:rPr>
                <w:b/>
                <w:sz w:val="16"/>
                <w:szCs w:val="16"/>
              </w:rPr>
            </w:pPr>
            <w:r w:rsidRPr="008678BE">
              <w:rPr>
                <w:b/>
                <w:sz w:val="18"/>
                <w:szCs w:val="18"/>
              </w:rPr>
              <w:t>Error promedio absoluto de pronóstico</w:t>
            </w:r>
          </w:p>
        </w:tc>
      </w:tr>
      <w:tr w:rsidR="005F38A6" w14:paraId="712BC408" w14:textId="77777777" w:rsidTr="006A7377">
        <w:trPr>
          <w:trHeight w:val="288"/>
        </w:trPr>
        <w:tc>
          <w:tcPr>
            <w:tcW w:w="4406" w:type="dxa"/>
          </w:tcPr>
          <w:p w14:paraId="46593C63" w14:textId="77777777" w:rsidR="005F38A6" w:rsidRPr="00290644" w:rsidRDefault="005F38A6" w:rsidP="006A7377">
            <w:pPr>
              <w:rPr>
                <w:sz w:val="16"/>
                <w:szCs w:val="16"/>
              </w:rPr>
            </w:pPr>
            <w:r>
              <w:rPr>
                <w:noProof/>
              </w:rPr>
              <w:drawing>
                <wp:inline distT="0" distB="0" distL="0" distR="0" wp14:anchorId="49F2B43F" wp14:editId="6DEC4330">
                  <wp:extent cx="2520000" cy="1440000"/>
                  <wp:effectExtent l="0" t="0" r="0" b="8255"/>
                  <wp:docPr id="35" name="Gráfico 35">
                    <a:extLst xmlns:a="http://schemas.openxmlformats.org/drawingml/2006/main">
                      <a:ext uri="{FF2B5EF4-FFF2-40B4-BE49-F238E27FC236}">
                        <a16:creationId xmlns:a16="http://schemas.microsoft.com/office/drawing/2014/main" id="{9BB153FA-C124-4E37-8725-7201477B1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409" w:type="dxa"/>
          </w:tcPr>
          <w:p w14:paraId="686E792E" w14:textId="77777777" w:rsidR="005F38A6" w:rsidRPr="00290644" w:rsidRDefault="005F38A6" w:rsidP="006A7377">
            <w:pPr>
              <w:rPr>
                <w:sz w:val="16"/>
                <w:szCs w:val="16"/>
              </w:rPr>
            </w:pPr>
            <w:r>
              <w:rPr>
                <w:noProof/>
              </w:rPr>
              <w:drawing>
                <wp:inline distT="0" distB="0" distL="0" distR="0" wp14:anchorId="4EBBE432" wp14:editId="3E89AE2C">
                  <wp:extent cx="2520000" cy="1440000"/>
                  <wp:effectExtent l="0" t="0" r="0" b="8255"/>
                  <wp:docPr id="36" name="Gráfico 36">
                    <a:extLst xmlns:a="http://schemas.openxmlformats.org/drawingml/2006/main">
                      <a:ext uri="{FF2B5EF4-FFF2-40B4-BE49-F238E27FC236}">
                        <a16:creationId xmlns:a16="http://schemas.microsoft.com/office/drawing/2014/main" id="{14921052-6C4C-405F-BE76-4B8EBBB80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5F38A6" w14:paraId="1F1F91B5" w14:textId="77777777" w:rsidTr="006A7377">
        <w:trPr>
          <w:trHeight w:val="288"/>
        </w:trPr>
        <w:tc>
          <w:tcPr>
            <w:tcW w:w="8815" w:type="dxa"/>
            <w:gridSpan w:val="2"/>
          </w:tcPr>
          <w:p w14:paraId="370C5D72" w14:textId="77777777" w:rsidR="005F38A6" w:rsidRPr="00290644" w:rsidRDefault="005F38A6" w:rsidP="006A7377">
            <w:pPr>
              <w:rPr>
                <w:sz w:val="16"/>
                <w:szCs w:val="16"/>
              </w:rPr>
            </w:pPr>
            <w:r w:rsidRPr="00290644">
              <w:rPr>
                <w:sz w:val="16"/>
                <w:szCs w:val="16"/>
              </w:rPr>
              <w:t>Fuente: Presupuestos aprobados, proyectos de presupuesto y marcos fiscales.</w:t>
            </w:r>
          </w:p>
          <w:p w14:paraId="70699FAD" w14:textId="77777777" w:rsidR="005F38A6" w:rsidRPr="00290644" w:rsidRDefault="005F38A6" w:rsidP="006A7377">
            <w:pPr>
              <w:rPr>
                <w:sz w:val="16"/>
                <w:szCs w:val="16"/>
              </w:rPr>
            </w:pPr>
            <w:r w:rsidRPr="00290644">
              <w:rPr>
                <w:sz w:val="16"/>
                <w:szCs w:val="16"/>
              </w:rPr>
              <w:t>Nota: Elaboración con metodología del FRAT del FMI</w:t>
            </w:r>
          </w:p>
        </w:tc>
      </w:tr>
    </w:tbl>
    <w:p w14:paraId="192588ED" w14:textId="77777777" w:rsidR="005F38A6" w:rsidRDefault="005F38A6" w:rsidP="005F38A6">
      <w:pPr>
        <w:jc w:val="both"/>
      </w:pPr>
    </w:p>
    <w:p w14:paraId="53544F7E" w14:textId="612286F8" w:rsidR="009A4D38" w:rsidRDefault="005F38A6" w:rsidP="005F38A6">
      <w:pPr>
        <w:jc w:val="both"/>
      </w:pPr>
      <w:r w:rsidRPr="00463283">
        <w:t>Los errores de pronóstico de la inflación han sido moderados, el promedio absoluto fue de 1.67 del 2012 al 2022 y en el periodo previo a la pandemia, dicho error se encontró en 1.19. Antes de la pandemia el pronóstico fue sobreestimad</w:t>
      </w:r>
      <w:r w:rsidR="00B91F1D">
        <w:t>o</w:t>
      </w:r>
      <w:r w:rsidRPr="00463283">
        <w:t xml:space="preserve">, esto principalmente para el año 2018, en el cual la inflación se encontró en 2.3%. En el año de la pandemia la inflación se encontró cerca del límite superior de la meta, y en 2021 disminuyó al límite inferior. En 2022 debido al fenómeno inflacionario de los principales socios comerciales y también al aumento de los precios de las materias prima, la inflación se encontró en 9.2% y la inflación </w:t>
      </w:r>
      <w:r>
        <w:t xml:space="preserve">esperada </w:t>
      </w:r>
      <w:r w:rsidRPr="00463283">
        <w:t xml:space="preserve">en la elaboración del presupuesto </w:t>
      </w:r>
      <w:r>
        <w:t xml:space="preserve">de dicho año </w:t>
      </w:r>
      <w:r w:rsidRPr="00463283">
        <w:t>fue de 3.0%.</w:t>
      </w:r>
    </w:p>
    <w:p w14:paraId="7F4864ED" w14:textId="77777777" w:rsidR="00344F23" w:rsidRDefault="00344F23" w:rsidP="005F38A6">
      <w:pPr>
        <w:jc w:val="both"/>
      </w:pPr>
    </w:p>
    <w:tbl>
      <w:tblPr>
        <w:tblW w:w="0" w:type="auto"/>
        <w:tblLook w:val="04A0" w:firstRow="1" w:lastRow="0" w:firstColumn="1" w:lastColumn="0" w:noHBand="0" w:noVBand="1"/>
      </w:tblPr>
      <w:tblGrid>
        <w:gridCol w:w="4414"/>
        <w:gridCol w:w="4414"/>
      </w:tblGrid>
      <w:tr w:rsidR="005F38A6" w14:paraId="00BA9014" w14:textId="77777777" w:rsidTr="006A7377">
        <w:tc>
          <w:tcPr>
            <w:tcW w:w="8828" w:type="dxa"/>
            <w:gridSpan w:val="2"/>
          </w:tcPr>
          <w:p w14:paraId="21D5AE87" w14:textId="40AB536F" w:rsidR="009A4D38" w:rsidRPr="009A4D38" w:rsidRDefault="009A4D38" w:rsidP="009A4D38">
            <w:pPr>
              <w:keepNext/>
              <w:rPr>
                <w:sz w:val="4"/>
                <w:szCs w:val="4"/>
              </w:rPr>
            </w:pPr>
          </w:p>
          <w:p w14:paraId="20AF50C6" w14:textId="00E76C0F" w:rsidR="005F38A6" w:rsidRPr="008678BE" w:rsidRDefault="009A4D38" w:rsidP="009A4D38">
            <w:pPr>
              <w:pStyle w:val="Descripcin"/>
              <w:rPr>
                <w:b w:val="0"/>
              </w:rPr>
            </w:pPr>
            <w:bookmarkStart w:id="60" w:name="_Toc143593565"/>
            <w:r w:rsidRPr="009A4D38">
              <w:rPr>
                <w:color w:val="auto"/>
              </w:rPr>
              <w:t xml:space="preserve">Gráfico </w:t>
            </w:r>
            <w:r w:rsidRPr="009A4D38">
              <w:rPr>
                <w:color w:val="auto"/>
              </w:rPr>
              <w:fldChar w:fldCharType="begin"/>
            </w:r>
            <w:r w:rsidRPr="009A4D38">
              <w:rPr>
                <w:color w:val="auto"/>
              </w:rPr>
              <w:instrText xml:space="preserve"> SEQ Gráfico \* ARABIC </w:instrText>
            </w:r>
            <w:r w:rsidRPr="009A4D38">
              <w:rPr>
                <w:color w:val="auto"/>
              </w:rPr>
              <w:fldChar w:fldCharType="separate"/>
            </w:r>
            <w:r w:rsidR="00A62AFA">
              <w:rPr>
                <w:noProof/>
                <w:color w:val="auto"/>
              </w:rPr>
              <w:t>7</w:t>
            </w:r>
            <w:r w:rsidRPr="009A4D38">
              <w:rPr>
                <w:color w:val="auto"/>
              </w:rPr>
              <w:fldChar w:fldCharType="end"/>
            </w:r>
            <w:r w:rsidRPr="009A4D38">
              <w:rPr>
                <w:color w:val="auto"/>
              </w:rPr>
              <w:t>. Errores de pronóstico de la inflación</w:t>
            </w:r>
            <w:bookmarkEnd w:id="60"/>
          </w:p>
        </w:tc>
      </w:tr>
      <w:tr w:rsidR="005F38A6" w14:paraId="518B4C8A" w14:textId="77777777" w:rsidTr="006A7377">
        <w:tc>
          <w:tcPr>
            <w:tcW w:w="4414" w:type="dxa"/>
          </w:tcPr>
          <w:p w14:paraId="10360212" w14:textId="77777777" w:rsidR="005F38A6" w:rsidRPr="008678BE" w:rsidRDefault="005F38A6" w:rsidP="006A7377">
            <w:pPr>
              <w:rPr>
                <w:b/>
                <w:sz w:val="18"/>
                <w:szCs w:val="18"/>
              </w:rPr>
            </w:pPr>
            <w:r w:rsidRPr="008678BE">
              <w:rPr>
                <w:b/>
                <w:sz w:val="18"/>
                <w:szCs w:val="18"/>
              </w:rPr>
              <w:t>Errores históricos de pronóstico</w:t>
            </w:r>
          </w:p>
        </w:tc>
        <w:tc>
          <w:tcPr>
            <w:tcW w:w="4414" w:type="dxa"/>
          </w:tcPr>
          <w:p w14:paraId="02FA25DD" w14:textId="77777777" w:rsidR="005F38A6" w:rsidRPr="008678BE" w:rsidRDefault="005F38A6" w:rsidP="006A7377">
            <w:pPr>
              <w:rPr>
                <w:b/>
                <w:sz w:val="18"/>
                <w:szCs w:val="18"/>
              </w:rPr>
            </w:pPr>
            <w:r w:rsidRPr="008678BE">
              <w:rPr>
                <w:b/>
                <w:sz w:val="18"/>
                <w:szCs w:val="18"/>
              </w:rPr>
              <w:t>Error promedio absoluto de pronóstico</w:t>
            </w:r>
          </w:p>
        </w:tc>
      </w:tr>
      <w:tr w:rsidR="005F38A6" w14:paraId="250DD60B" w14:textId="77777777" w:rsidTr="006A7377">
        <w:tblPrEx>
          <w:tblCellMar>
            <w:left w:w="70" w:type="dxa"/>
            <w:right w:w="70" w:type="dxa"/>
          </w:tblCellMar>
        </w:tblPrEx>
        <w:tc>
          <w:tcPr>
            <w:tcW w:w="4414" w:type="dxa"/>
          </w:tcPr>
          <w:p w14:paraId="01D800AE" w14:textId="77777777" w:rsidR="005F38A6" w:rsidRPr="002E6C30" w:rsidRDefault="005F38A6" w:rsidP="006A7377">
            <w:r>
              <w:rPr>
                <w:noProof/>
              </w:rPr>
              <w:drawing>
                <wp:inline distT="0" distB="0" distL="0" distR="0" wp14:anchorId="1AA8BC0E" wp14:editId="207F8D32">
                  <wp:extent cx="2519680" cy="1590261"/>
                  <wp:effectExtent l="0" t="0" r="0" b="0"/>
                  <wp:docPr id="37" name="Gráfico 37">
                    <a:extLst xmlns:a="http://schemas.openxmlformats.org/drawingml/2006/main">
                      <a:ext uri="{FF2B5EF4-FFF2-40B4-BE49-F238E27FC236}">
                        <a16:creationId xmlns:a16="http://schemas.microsoft.com/office/drawing/2014/main" id="{BA79B25B-51B4-4D49-A2B4-CD00F1D8B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414" w:type="dxa"/>
          </w:tcPr>
          <w:p w14:paraId="569ECC3B" w14:textId="77777777" w:rsidR="005F38A6" w:rsidRDefault="005F38A6" w:rsidP="006A7377">
            <w:r>
              <w:rPr>
                <w:noProof/>
              </w:rPr>
              <w:drawing>
                <wp:inline distT="0" distB="0" distL="0" distR="0" wp14:anchorId="6ACC730C" wp14:editId="137912E9">
                  <wp:extent cx="2519680" cy="1590040"/>
                  <wp:effectExtent l="0" t="0" r="0" b="0"/>
                  <wp:docPr id="30" name="Gráfico 30">
                    <a:extLst xmlns:a="http://schemas.openxmlformats.org/drawingml/2006/main">
                      <a:ext uri="{FF2B5EF4-FFF2-40B4-BE49-F238E27FC236}">
                        <a16:creationId xmlns:a16="http://schemas.microsoft.com/office/drawing/2014/main" id="{FC1C76E2-B617-4B13-8CCF-EDAC3BAD5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F38A6" w14:paraId="10D49221" w14:textId="77777777" w:rsidTr="006A7377">
        <w:tc>
          <w:tcPr>
            <w:tcW w:w="8828" w:type="dxa"/>
            <w:gridSpan w:val="2"/>
          </w:tcPr>
          <w:p w14:paraId="1ED92FFA" w14:textId="77777777" w:rsidR="005F38A6" w:rsidRPr="00290644" w:rsidRDefault="005F38A6" w:rsidP="006A7377">
            <w:pPr>
              <w:rPr>
                <w:sz w:val="16"/>
                <w:szCs w:val="16"/>
              </w:rPr>
            </w:pPr>
            <w:r w:rsidRPr="00290644">
              <w:rPr>
                <w:sz w:val="16"/>
                <w:szCs w:val="16"/>
              </w:rPr>
              <w:t>Fuente: Presupuestos aprobados, proyectos de presupuesto y marcos fiscales.</w:t>
            </w:r>
          </w:p>
          <w:p w14:paraId="0D124458" w14:textId="77777777" w:rsidR="005F38A6" w:rsidRPr="00290644" w:rsidRDefault="005F38A6" w:rsidP="006A7377">
            <w:pPr>
              <w:rPr>
                <w:sz w:val="16"/>
                <w:szCs w:val="16"/>
              </w:rPr>
            </w:pPr>
            <w:r w:rsidRPr="00290644">
              <w:rPr>
                <w:sz w:val="16"/>
                <w:szCs w:val="16"/>
              </w:rPr>
              <w:t>Nota: Elaboración con metodología del FRAT del FMI</w:t>
            </w:r>
          </w:p>
        </w:tc>
      </w:tr>
    </w:tbl>
    <w:p w14:paraId="4E15C3AF" w14:textId="77777777" w:rsidR="005F38A6" w:rsidRPr="006014B3" w:rsidRDefault="005F38A6" w:rsidP="00CC7591">
      <w:pPr>
        <w:pStyle w:val="Ttulo2"/>
        <w:numPr>
          <w:ilvl w:val="2"/>
          <w:numId w:val="35"/>
        </w:numPr>
        <w:ind w:left="426" w:hanging="284"/>
        <w:rPr>
          <w:bCs/>
        </w:rPr>
      </w:pPr>
      <w:bookmarkStart w:id="61" w:name="_Hlk137821420"/>
      <w:bookmarkStart w:id="62" w:name="_Toc144114352"/>
      <w:bookmarkEnd w:id="61"/>
      <w:r w:rsidRPr="009561A3">
        <w:rPr>
          <w:bCs/>
        </w:rPr>
        <w:lastRenderedPageBreak/>
        <w:t xml:space="preserve">Riesgos en las variables fiscales. Desviaciones de los pronósticos establecidos en </w:t>
      </w:r>
      <w:r>
        <w:rPr>
          <w:bCs/>
        </w:rPr>
        <w:t>los presupuestos multianuales</w:t>
      </w:r>
      <w:bookmarkEnd w:id="62"/>
    </w:p>
    <w:p w14:paraId="53DDEF10" w14:textId="77777777" w:rsidR="008678BE" w:rsidRPr="009561A3" w:rsidRDefault="008678BE" w:rsidP="005F38A6">
      <w:pPr>
        <w:jc w:val="both"/>
        <w:rPr>
          <w:b/>
          <w:bCs/>
        </w:rPr>
      </w:pPr>
    </w:p>
    <w:p w14:paraId="3400E8EA" w14:textId="77777777" w:rsidR="005F38A6" w:rsidRDefault="005F38A6" w:rsidP="005F38A6">
      <w:pPr>
        <w:jc w:val="both"/>
        <w:rPr>
          <w:lang w:val="es-ES"/>
        </w:rPr>
      </w:pPr>
      <w:r w:rsidRPr="009561A3">
        <w:rPr>
          <w:lang w:val="es-ES"/>
        </w:rPr>
        <w:t>En los últimos años, se han identificado al</w:t>
      </w:r>
      <w:r>
        <w:rPr>
          <w:lang w:val="es-ES"/>
        </w:rPr>
        <w:t xml:space="preserve">gunos </w:t>
      </w:r>
      <w:r w:rsidRPr="009561A3">
        <w:rPr>
          <w:lang w:val="es-ES"/>
        </w:rPr>
        <w:t>sucesos de relevancia que han afectado significativamente la precisión de las proyecciones contenidas en los diferentes</w:t>
      </w:r>
      <w:r>
        <w:rPr>
          <w:lang w:val="es-ES"/>
        </w:rPr>
        <w:t xml:space="preserve"> presupuestos multianuales </w:t>
      </w:r>
      <w:r w:rsidRPr="009561A3">
        <w:rPr>
          <w:lang w:val="es-ES"/>
        </w:rPr>
        <w:t xml:space="preserve">realizados y por ende de los objetivos fijados </w:t>
      </w:r>
      <w:r>
        <w:rPr>
          <w:lang w:val="es-ES"/>
        </w:rPr>
        <w:t>en la ejecución de la política fiscal</w:t>
      </w:r>
      <w:r w:rsidRPr="009561A3">
        <w:rPr>
          <w:lang w:val="es-ES"/>
        </w:rPr>
        <w:t>.</w:t>
      </w:r>
    </w:p>
    <w:p w14:paraId="37053F1C" w14:textId="77777777" w:rsidR="008678BE" w:rsidRDefault="008678BE" w:rsidP="005F38A6">
      <w:pPr>
        <w:jc w:val="both"/>
        <w:rPr>
          <w:lang w:val="es-ES"/>
        </w:rPr>
      </w:pPr>
    </w:p>
    <w:p w14:paraId="3132964A" w14:textId="466B2EDA" w:rsidR="005F38A6" w:rsidRPr="00DE1611" w:rsidRDefault="005F38A6" w:rsidP="005F38A6">
      <w:pPr>
        <w:numPr>
          <w:ilvl w:val="0"/>
          <w:numId w:val="10"/>
        </w:numPr>
        <w:ind w:left="567"/>
        <w:contextualSpacing/>
        <w:jc w:val="both"/>
        <w:rPr>
          <w:lang w:val="es-ES_tradnl"/>
        </w:rPr>
      </w:pPr>
      <w:r w:rsidRPr="00494FA3">
        <w:rPr>
          <w:lang w:val="es-ES_tradnl"/>
        </w:rPr>
        <w:t xml:space="preserve">En el presupuesto multianual 2015-2017 no se predijo la crisis política </w:t>
      </w:r>
      <w:r>
        <w:rPr>
          <w:lang w:val="es-ES_tradnl"/>
        </w:rPr>
        <w:t xml:space="preserve">institucional </w:t>
      </w:r>
      <w:r w:rsidRPr="00494FA3">
        <w:rPr>
          <w:lang w:val="es-ES_tradnl"/>
        </w:rPr>
        <w:t>que ocasion</w:t>
      </w:r>
      <w:r>
        <w:rPr>
          <w:lang w:val="es-ES_tradnl"/>
        </w:rPr>
        <w:t>ó</w:t>
      </w:r>
      <w:r w:rsidRPr="00494FA3">
        <w:rPr>
          <w:lang w:val="es-ES_tradnl"/>
        </w:rPr>
        <w:t xml:space="preserve"> la renuncia del presidente y vicepresidente de la República, así como de la mayoría del gabinete de gobierno, derivado de los casos de corrupción que se les imputaban. Esto tuvo un efecto en la recaudación tributaria y en el gasto público, en el caso de este último, algunas entidades tuvieron dificultades en la licitación y adjudicación de contratos de bienes y servicios y de obras públicas</w:t>
      </w:r>
      <w:r>
        <w:rPr>
          <w:lang w:val="es-ES_tradnl"/>
        </w:rPr>
        <w:t xml:space="preserve"> derivado de un mayor control en las unidades de compras, el gasto público cayó respecto al 2014.</w:t>
      </w:r>
    </w:p>
    <w:p w14:paraId="611381DB" w14:textId="64463F86" w:rsidR="005F38A6" w:rsidRPr="00DE1611" w:rsidRDefault="005F38A6" w:rsidP="00DE1611">
      <w:pPr>
        <w:numPr>
          <w:ilvl w:val="0"/>
          <w:numId w:val="10"/>
        </w:numPr>
        <w:ind w:left="567"/>
        <w:contextualSpacing/>
        <w:jc w:val="both"/>
        <w:rPr>
          <w:lang w:val="es-ES_tradnl"/>
        </w:rPr>
      </w:pPr>
      <w:r w:rsidRPr="009561A3">
        <w:rPr>
          <w:lang w:val="es-ES_tradnl"/>
        </w:rPr>
        <w:t xml:space="preserve">En el </w:t>
      </w:r>
      <w:r>
        <w:rPr>
          <w:lang w:val="es-ES_tradnl"/>
        </w:rPr>
        <w:t>presupuesto multianual 2019-2023</w:t>
      </w:r>
      <w:r w:rsidRPr="009561A3">
        <w:rPr>
          <w:lang w:val="es-ES_tradnl"/>
        </w:rPr>
        <w:t>, realizado en 2019, fue imposible predecir la existencia de una pandemia con repercusiones económicas y sanitarias como lo fue la pandemia del COVID-19, esto llevó a que la proyección de variables fiscales tuviera una significativa subestimación en el caso del gasto</w:t>
      </w:r>
      <w:r>
        <w:rPr>
          <w:lang w:val="es-ES_tradnl"/>
        </w:rPr>
        <w:t xml:space="preserve"> y</w:t>
      </w:r>
      <w:r w:rsidRPr="009561A3">
        <w:rPr>
          <w:lang w:val="es-ES_tradnl"/>
        </w:rPr>
        <w:t xml:space="preserve"> déficit fiscal, derivado </w:t>
      </w:r>
      <w:r>
        <w:rPr>
          <w:lang w:val="es-ES_tradnl"/>
        </w:rPr>
        <w:t>que en 2020 se llevó a cabo una</w:t>
      </w:r>
      <w:r w:rsidRPr="009561A3">
        <w:rPr>
          <w:lang w:val="es-ES_tradnl"/>
        </w:rPr>
        <w:t xml:space="preserve"> política fiscal</w:t>
      </w:r>
      <w:r>
        <w:rPr>
          <w:lang w:val="es-ES_tradnl"/>
        </w:rPr>
        <w:t xml:space="preserve"> ampliamente</w:t>
      </w:r>
      <w:r w:rsidRPr="009561A3">
        <w:rPr>
          <w:lang w:val="es-ES_tradnl"/>
        </w:rPr>
        <w:t xml:space="preserve"> contra cíclica.</w:t>
      </w:r>
    </w:p>
    <w:p w14:paraId="21D5E961" w14:textId="4EB8CFF2" w:rsidR="005F38A6" w:rsidRPr="00DE1611" w:rsidRDefault="005F38A6" w:rsidP="00DE1611">
      <w:pPr>
        <w:numPr>
          <w:ilvl w:val="0"/>
          <w:numId w:val="10"/>
        </w:numPr>
        <w:ind w:left="567"/>
        <w:contextualSpacing/>
        <w:jc w:val="both"/>
        <w:rPr>
          <w:lang w:val="es-ES_tradnl"/>
        </w:rPr>
      </w:pPr>
      <w:r w:rsidRPr="009561A3">
        <w:rPr>
          <w:lang w:val="es-ES_tradnl"/>
        </w:rPr>
        <w:t>En el</w:t>
      </w:r>
      <w:r>
        <w:rPr>
          <w:lang w:val="es-ES_tradnl"/>
        </w:rPr>
        <w:t xml:space="preserve"> presupuesto multianual 2020-2024</w:t>
      </w:r>
      <w:r w:rsidRPr="009561A3">
        <w:rPr>
          <w:lang w:val="es-ES_tradnl"/>
        </w:rPr>
        <w:t>, aún no se tenía certeza sobre la disponibilidad de la vacuna contra el COVID-19, que permitiera el retorno a la normalidad, derivado que en el tiempo que se realizó aún se encontraba en desarrollo la vacuna</w:t>
      </w:r>
      <w:r>
        <w:rPr>
          <w:lang w:val="es-ES_tradnl"/>
        </w:rPr>
        <w:t xml:space="preserve"> y su éxito era incierto</w:t>
      </w:r>
      <w:r w:rsidRPr="009561A3">
        <w:rPr>
          <w:lang w:val="es-ES_tradnl"/>
        </w:rPr>
        <w:t>. Derivado de lo anterior, en el caso del gasto público</w:t>
      </w:r>
      <w:r>
        <w:rPr>
          <w:lang w:val="es-ES_tradnl"/>
        </w:rPr>
        <w:t xml:space="preserve"> y</w:t>
      </w:r>
      <w:r w:rsidRPr="009561A3">
        <w:rPr>
          <w:lang w:val="es-ES_tradnl"/>
        </w:rPr>
        <w:t xml:space="preserve"> déficit fiscal este fue sobreestimado</w:t>
      </w:r>
      <w:r>
        <w:rPr>
          <w:lang w:val="es-ES_tradnl"/>
        </w:rPr>
        <w:t>, dado que se esperaba en el multianual continuar con una política fiscal contra cíclica, aunque menor a la observada en 2020</w:t>
      </w:r>
      <w:r w:rsidRPr="009561A3">
        <w:rPr>
          <w:lang w:val="es-ES_tradnl"/>
        </w:rPr>
        <w:t xml:space="preserve">. </w:t>
      </w:r>
    </w:p>
    <w:p w14:paraId="594BFD55" w14:textId="62489087" w:rsidR="005F38A6" w:rsidRPr="00DE1611" w:rsidRDefault="005F38A6" w:rsidP="00DE1611">
      <w:pPr>
        <w:numPr>
          <w:ilvl w:val="0"/>
          <w:numId w:val="10"/>
        </w:numPr>
        <w:ind w:left="567"/>
        <w:contextualSpacing/>
        <w:jc w:val="both"/>
        <w:rPr>
          <w:lang w:val="es-ES_tradnl"/>
        </w:rPr>
      </w:pPr>
      <w:r w:rsidRPr="009561A3">
        <w:rPr>
          <w:lang w:val="es-ES_tradnl"/>
        </w:rPr>
        <w:t xml:space="preserve">En el </w:t>
      </w:r>
      <w:r>
        <w:rPr>
          <w:lang w:val="es-ES_tradnl"/>
        </w:rPr>
        <w:t>presupuesto multianual 2021-2025</w:t>
      </w:r>
      <w:r w:rsidRPr="009561A3">
        <w:rPr>
          <w:lang w:val="es-ES_tradnl"/>
        </w:rPr>
        <w:t>, no se contemplaba la intensificación del conflicto geopolítico entre Rusia y Ucrania, que derivó en un significativo aumento de los precios y la intervención del gobierno para aliviar la presión en los hogares guatemaltecos</w:t>
      </w:r>
      <w:r>
        <w:rPr>
          <w:lang w:val="es-ES_tradnl"/>
        </w:rPr>
        <w:t xml:space="preserve"> por medio de subsidios temporales</w:t>
      </w:r>
      <w:r w:rsidRPr="009561A3">
        <w:rPr>
          <w:lang w:val="es-ES_tradnl"/>
        </w:rPr>
        <w:t>. No obstante, derivado del buen desempeño en la recaudación tributaria durante 2021 y 2022, los valores observados de déficit fiscal quedaron por debajo de lo proyectado.</w:t>
      </w:r>
    </w:p>
    <w:p w14:paraId="3CD95D19" w14:textId="2BF7D7D0" w:rsidR="005F38A6" w:rsidRPr="00DE1611" w:rsidRDefault="005F38A6" w:rsidP="00DE1611">
      <w:pPr>
        <w:numPr>
          <w:ilvl w:val="0"/>
          <w:numId w:val="10"/>
        </w:numPr>
        <w:ind w:left="567"/>
        <w:contextualSpacing/>
        <w:jc w:val="both"/>
        <w:rPr>
          <w:lang w:val="es-ES_tradnl"/>
        </w:rPr>
      </w:pPr>
      <w:r w:rsidRPr="009561A3">
        <w:rPr>
          <w:lang w:val="es-ES_tradnl"/>
        </w:rPr>
        <w:t xml:space="preserve">El Presupuesto General de Ingresos y Egresos del Estado para el Ejercicio Fiscal </w:t>
      </w:r>
      <w:r>
        <w:rPr>
          <w:lang w:val="es-ES_tradnl"/>
        </w:rPr>
        <w:t xml:space="preserve">2014, 2018, </w:t>
      </w:r>
      <w:r w:rsidRPr="009561A3">
        <w:rPr>
          <w:lang w:val="es-ES_tradnl"/>
        </w:rPr>
        <w:t>2020 y 2021 no fue aprobado en el término que establece la Constitución Política de la República de Guatemala</w:t>
      </w:r>
      <w:r>
        <w:rPr>
          <w:lang w:val="es-ES_tradnl"/>
        </w:rPr>
        <w:t xml:space="preserve">. En el caso de 2021, fue </w:t>
      </w:r>
      <w:r w:rsidRPr="00F47D98">
        <w:rPr>
          <w:lang w:val="es-ES_tradnl"/>
        </w:rPr>
        <w:t xml:space="preserve">algo inédito en la historia del país al ser improbado por segundo año consecutivo. </w:t>
      </w:r>
      <w:r>
        <w:rPr>
          <w:lang w:val="es-ES_tradnl"/>
        </w:rPr>
        <w:t>P</w:t>
      </w:r>
      <w:r w:rsidRPr="009561A3">
        <w:rPr>
          <w:lang w:val="es-ES_tradnl"/>
        </w:rPr>
        <w:t xml:space="preserve">or lo </w:t>
      </w:r>
      <w:r>
        <w:rPr>
          <w:lang w:val="es-ES_tradnl"/>
        </w:rPr>
        <w:t>anterior</w:t>
      </w:r>
      <w:r w:rsidRPr="009561A3">
        <w:rPr>
          <w:lang w:val="es-ES_tradnl"/>
        </w:rPr>
        <w:t xml:space="preserve">, pasó a regir de nuevo el presupuesto en vigencia en el ejercicio fiscal anterior, lo cual afectó </w:t>
      </w:r>
      <w:r>
        <w:rPr>
          <w:lang w:val="es-ES_tradnl"/>
        </w:rPr>
        <w:t xml:space="preserve">a que se lograran </w:t>
      </w:r>
      <w:r w:rsidRPr="009561A3">
        <w:rPr>
          <w:lang w:val="es-ES_tradnl"/>
        </w:rPr>
        <w:t>las previsiones que se habían trabajado para el mediano plazo.</w:t>
      </w:r>
    </w:p>
    <w:p w14:paraId="26FE12BA" w14:textId="514A90F5" w:rsidR="005833DD" w:rsidRPr="00DE1611" w:rsidRDefault="005F38A6" w:rsidP="00DE1611">
      <w:pPr>
        <w:numPr>
          <w:ilvl w:val="0"/>
          <w:numId w:val="10"/>
        </w:numPr>
        <w:ind w:left="567"/>
        <w:contextualSpacing/>
        <w:jc w:val="both"/>
        <w:rPr>
          <w:lang w:val="es-ES_tradnl"/>
        </w:rPr>
      </w:pPr>
      <w:r w:rsidRPr="005833DD">
        <w:rPr>
          <w:lang w:val="es-ES_tradnl"/>
        </w:rPr>
        <w:t xml:space="preserve">Se toma en consideración para la base de estimación las proyecciones macroeconómicas expuestas en el Marco Macroeconómico de cada año, las cuales posteriormente son revisadas por el Banco de Guatemala y pueden diferir </w:t>
      </w:r>
      <w:r w:rsidR="005833DD" w:rsidRPr="005833DD">
        <w:rPr>
          <w:lang w:val="es-ES_tradnl"/>
        </w:rPr>
        <w:t>del escenario base del proyecto de presupuesto</w:t>
      </w:r>
      <w:r w:rsidRPr="005833DD">
        <w:rPr>
          <w:lang w:val="es-ES_tradnl"/>
        </w:rPr>
        <w:t>.</w:t>
      </w:r>
      <w:r w:rsidR="005833DD" w:rsidRPr="005833DD">
        <w:rPr>
          <w:lang w:val="es-ES_tradnl"/>
        </w:rPr>
        <w:t xml:space="preserve"> </w:t>
      </w:r>
    </w:p>
    <w:p w14:paraId="6C158CF2" w14:textId="3D70AFED" w:rsidR="005F38A6" w:rsidRPr="005833DD" w:rsidRDefault="005F38A6" w:rsidP="001D54EC">
      <w:pPr>
        <w:numPr>
          <w:ilvl w:val="0"/>
          <w:numId w:val="10"/>
        </w:numPr>
        <w:ind w:left="567"/>
        <w:contextualSpacing/>
        <w:jc w:val="both"/>
        <w:rPr>
          <w:lang w:val="es-ES_tradnl"/>
        </w:rPr>
      </w:pPr>
      <w:r w:rsidRPr="005833DD">
        <w:rPr>
          <w:lang w:val="es-ES_tradnl"/>
        </w:rPr>
        <w:t xml:space="preserve">Se toma como base de análisis los ejercicios de presupuesto multianual de 2012 a 2022, tomando como referencia las cifras observadas. </w:t>
      </w:r>
    </w:p>
    <w:p w14:paraId="11CD0BAA" w14:textId="77777777" w:rsidR="005F38A6" w:rsidRPr="009561A3" w:rsidRDefault="005F38A6" w:rsidP="005F38A6">
      <w:pPr>
        <w:jc w:val="both"/>
        <w:rPr>
          <w:lang w:val="es-ES_tradnl"/>
        </w:rPr>
      </w:pPr>
      <w:r>
        <w:rPr>
          <w:lang w:val="es-ES_tradnl"/>
        </w:rPr>
        <w:t xml:space="preserve"> </w:t>
      </w:r>
    </w:p>
    <w:p w14:paraId="07A5E5EF" w14:textId="34A7F23A" w:rsidR="008678BE" w:rsidRDefault="005F38A6" w:rsidP="005F38A6">
      <w:pPr>
        <w:jc w:val="both"/>
        <w:rPr>
          <w:lang w:val="es-ES"/>
        </w:rPr>
      </w:pPr>
      <w:r w:rsidRPr="00442451">
        <w:rPr>
          <w:lang w:val="es-ES"/>
        </w:rPr>
        <w:t>El</w:t>
      </w:r>
      <w:r>
        <w:rPr>
          <w:lang w:val="es-ES"/>
        </w:rPr>
        <w:t xml:space="preserve"> siguiente</w:t>
      </w:r>
      <w:r w:rsidRPr="00442451">
        <w:rPr>
          <w:lang w:val="es-ES"/>
        </w:rPr>
        <w:t xml:space="preserve"> análisis busca determinar </w:t>
      </w:r>
      <w:r>
        <w:rPr>
          <w:lang w:val="es-ES"/>
        </w:rPr>
        <w:t>la magnitud de las desviaciones en</w:t>
      </w:r>
      <w:r w:rsidRPr="00442451">
        <w:rPr>
          <w:lang w:val="es-ES"/>
        </w:rPr>
        <w:t xml:space="preserve"> las variables fiscales más importantes </w:t>
      </w:r>
      <w:r>
        <w:rPr>
          <w:lang w:val="es-ES"/>
        </w:rPr>
        <w:t xml:space="preserve">respecto a </w:t>
      </w:r>
      <w:r w:rsidRPr="00442451">
        <w:rPr>
          <w:lang w:val="es-ES"/>
        </w:rPr>
        <w:t xml:space="preserve">lo proyectado, con ello constituyéndose en </w:t>
      </w:r>
      <w:r>
        <w:rPr>
          <w:lang w:val="es-ES"/>
        </w:rPr>
        <w:t>f</w:t>
      </w:r>
      <w:r w:rsidRPr="00442451">
        <w:rPr>
          <w:lang w:val="es-ES"/>
        </w:rPr>
        <w:t>uente de riesgos fiscales</w:t>
      </w:r>
      <w:r>
        <w:rPr>
          <w:lang w:val="es-ES"/>
        </w:rPr>
        <w:t>, al afectar adversamente lo establecido</w:t>
      </w:r>
      <w:r w:rsidRPr="00442451">
        <w:rPr>
          <w:lang w:val="es-ES"/>
        </w:rPr>
        <w:t xml:space="preserve">. </w:t>
      </w:r>
    </w:p>
    <w:p w14:paraId="33E9BE05" w14:textId="77777777" w:rsidR="005F38A6" w:rsidRPr="00987058" w:rsidRDefault="005F38A6" w:rsidP="005F07F9">
      <w:pPr>
        <w:pStyle w:val="Ttulo2"/>
        <w:numPr>
          <w:ilvl w:val="3"/>
          <w:numId w:val="35"/>
        </w:numPr>
        <w:tabs>
          <w:tab w:val="left" w:pos="993"/>
        </w:tabs>
        <w:ind w:left="567" w:hanging="283"/>
        <w:rPr>
          <w:bCs/>
        </w:rPr>
      </w:pPr>
      <w:bookmarkStart w:id="63" w:name="_Toc144114353"/>
      <w:r w:rsidRPr="00987058">
        <w:rPr>
          <w:bCs/>
        </w:rPr>
        <w:lastRenderedPageBreak/>
        <w:t>Ingresos Tributarios</w:t>
      </w:r>
      <w:bookmarkEnd w:id="63"/>
    </w:p>
    <w:p w14:paraId="7DB0FDED" w14:textId="77777777" w:rsidR="00987058" w:rsidRDefault="00987058" w:rsidP="005F38A6">
      <w:pPr>
        <w:jc w:val="both"/>
        <w:rPr>
          <w:lang w:val="es-ES"/>
        </w:rPr>
      </w:pPr>
    </w:p>
    <w:p w14:paraId="292B989E" w14:textId="1C293CE1" w:rsidR="005F38A6" w:rsidRDefault="005F38A6" w:rsidP="005F38A6">
      <w:pPr>
        <w:jc w:val="both"/>
        <w:rPr>
          <w:lang w:val="es-ES"/>
        </w:rPr>
      </w:pPr>
      <w:r w:rsidRPr="00EC6F4F">
        <w:rPr>
          <w:lang w:val="es-ES"/>
        </w:rPr>
        <w:t>En los ingresos tributarios se observa que de 201</w:t>
      </w:r>
      <w:r>
        <w:rPr>
          <w:lang w:val="es-ES"/>
        </w:rPr>
        <w:t>2</w:t>
      </w:r>
      <w:r w:rsidRPr="00EC6F4F">
        <w:rPr>
          <w:lang w:val="es-ES"/>
        </w:rPr>
        <w:t xml:space="preserve"> a 2020, los valores se encuentran por debajo de lo previsto para </w:t>
      </w:r>
      <w:r>
        <w:rPr>
          <w:lang w:val="es-ES"/>
        </w:rPr>
        <w:t>la mayoría</w:t>
      </w:r>
      <w:r w:rsidRPr="00EC6F4F">
        <w:rPr>
          <w:lang w:val="es-ES"/>
        </w:rPr>
        <w:t xml:space="preserve"> de los ejercicios de presupuesto multianual, esto es especialmente notorio </w:t>
      </w:r>
      <w:r>
        <w:rPr>
          <w:lang w:val="es-ES"/>
        </w:rPr>
        <w:t>e</w:t>
      </w:r>
      <w:r w:rsidRPr="00E13B5B">
        <w:rPr>
          <w:lang w:val="es-ES"/>
        </w:rPr>
        <w:t xml:space="preserve">n el presupuesto multianual 2019-2023, realizado en 2019, </w:t>
      </w:r>
      <w:r w:rsidR="008E77F3">
        <w:rPr>
          <w:lang w:val="es-ES"/>
        </w:rPr>
        <w:t xml:space="preserve">pues </w:t>
      </w:r>
      <w:r w:rsidRPr="00E13B5B">
        <w:rPr>
          <w:lang w:val="es-ES"/>
        </w:rPr>
        <w:t>fue imposible predecir la existencia de una pandemia con repercusiones económicas y sanitarias como lo fue la pandemia del COVID-19, esto llevó a que la recaudación cay</w:t>
      </w:r>
      <w:r>
        <w:rPr>
          <w:lang w:val="es-ES"/>
        </w:rPr>
        <w:t>era</w:t>
      </w:r>
      <w:r w:rsidRPr="00E13B5B">
        <w:rPr>
          <w:lang w:val="es-ES"/>
        </w:rPr>
        <w:t xml:space="preserve"> significativamente y no se cumplió la previsión de los ejercicios multianuales de presupuesto</w:t>
      </w:r>
      <w:r>
        <w:rPr>
          <w:lang w:val="es-ES"/>
        </w:rPr>
        <w:t xml:space="preserve">, por ello en 2020 se observa que existió una </w:t>
      </w:r>
      <w:r w:rsidRPr="00E13B5B">
        <w:rPr>
          <w:lang w:val="es-ES"/>
        </w:rPr>
        <w:t>s</w:t>
      </w:r>
      <w:r>
        <w:rPr>
          <w:lang w:val="es-ES"/>
        </w:rPr>
        <w:t>o</w:t>
      </w:r>
      <w:r w:rsidRPr="00E13B5B">
        <w:rPr>
          <w:lang w:val="es-ES"/>
        </w:rPr>
        <w:t>b</w:t>
      </w:r>
      <w:r>
        <w:rPr>
          <w:lang w:val="es-ES"/>
        </w:rPr>
        <w:t>r</w:t>
      </w:r>
      <w:r w:rsidRPr="00E13B5B">
        <w:rPr>
          <w:lang w:val="es-ES"/>
        </w:rPr>
        <w:t>estimación</w:t>
      </w:r>
      <w:r>
        <w:rPr>
          <w:lang w:val="es-ES"/>
        </w:rPr>
        <w:t xml:space="preserve"> de los ingresos tributarios.</w:t>
      </w:r>
    </w:p>
    <w:p w14:paraId="3376E883" w14:textId="77777777" w:rsidR="008E77F3" w:rsidRDefault="008E77F3" w:rsidP="005F38A6">
      <w:pPr>
        <w:jc w:val="both"/>
        <w:rPr>
          <w:lang w:val="es-ES"/>
        </w:rPr>
      </w:pPr>
    </w:p>
    <w:p w14:paraId="088AA4DE" w14:textId="75114AFE" w:rsidR="005F38A6" w:rsidRDefault="005F38A6" w:rsidP="005F38A6">
      <w:pPr>
        <w:jc w:val="both"/>
        <w:rPr>
          <w:lang w:val="es-ES"/>
        </w:rPr>
      </w:pPr>
      <w:r>
        <w:rPr>
          <w:lang w:val="es-ES"/>
        </w:rPr>
        <w:t>Al contrario, para los ejercicios 2021-2022 se observa una tendencia diferente respecto a lo previsto en el presupuesto multianual 2021-2025 y 2022-2026, se observa que los ingresos tributarios fueron significativamente mayores a los previstos en 2021 y 2022, derivado de que las medidas administrativas implementadas por la SAT empezaron a tener resultados positivos.</w:t>
      </w:r>
    </w:p>
    <w:p w14:paraId="0FB3BCF3" w14:textId="77777777" w:rsidR="008E77F3" w:rsidRDefault="008E77F3" w:rsidP="005F38A6">
      <w:pPr>
        <w:jc w:val="both"/>
        <w:rPr>
          <w:lang w:val="es-ES"/>
        </w:rPr>
      </w:pPr>
    </w:p>
    <w:p w14:paraId="49E3865B" w14:textId="02601FB9" w:rsidR="005F38A6" w:rsidRDefault="005F38A6" w:rsidP="005F38A6">
      <w:pPr>
        <w:jc w:val="both"/>
        <w:rPr>
          <w:lang w:val="es-ES"/>
        </w:rPr>
      </w:pPr>
      <w:r w:rsidRPr="0059191F">
        <w:rPr>
          <w:lang w:val="es-ES"/>
        </w:rPr>
        <w:t>La estimación de medidas administrativas para 2020 fue de Q1,500 millones, para 2021 fue de Q2,156.5 millones</w:t>
      </w:r>
      <w:r>
        <w:rPr>
          <w:lang w:val="es-ES"/>
        </w:rPr>
        <w:t xml:space="preserve"> y</w:t>
      </w:r>
      <w:r w:rsidRPr="0059191F">
        <w:rPr>
          <w:lang w:val="es-ES"/>
        </w:rPr>
        <w:t xml:space="preserve"> para 2022 fue de Q1,250 millones. Finalmente, las cifras observadas por medidas administrativas para 2020 fue de Q1,996.2 millones, para 2021 de Q1,945.3 millones y para 2022 de Q2,227.3 millones, es decir, en dos años se superaron las medidas administrativas que fueron planificadas</w:t>
      </w:r>
      <w:r w:rsidR="008E77F3">
        <w:rPr>
          <w:lang w:val="es-ES"/>
        </w:rPr>
        <w:t>.</w:t>
      </w:r>
    </w:p>
    <w:p w14:paraId="2E78E794" w14:textId="77777777" w:rsidR="008E77F3" w:rsidRDefault="008E77F3" w:rsidP="005F38A6">
      <w:pPr>
        <w:jc w:val="both"/>
        <w:rPr>
          <w:lang w:val="es-ES"/>
        </w:rPr>
      </w:pPr>
    </w:p>
    <w:p w14:paraId="38A62341" w14:textId="7225C80F" w:rsidR="005F38A6" w:rsidRDefault="005F38A6" w:rsidP="005F38A6">
      <w:pPr>
        <w:jc w:val="both"/>
        <w:rPr>
          <w:lang w:val="es-ES"/>
        </w:rPr>
      </w:pPr>
      <w:r>
        <w:rPr>
          <w:lang w:val="es-ES"/>
        </w:rPr>
        <w:t>Adicionalmente</w:t>
      </w:r>
      <w:r w:rsidRPr="0059191F">
        <w:rPr>
          <w:lang w:val="es-ES"/>
        </w:rPr>
        <w:t>, se esperaba que la reactivación de la economía nacional se lograra en el menor tiempo posible y esto le permitiera al país recuperar la senda del crecimiento. En efecto, la senda de recuperación del crecimiento fue rápida y en 2021 Guatemala reportó un efecto rebote</w:t>
      </w:r>
      <w:r>
        <w:rPr>
          <w:lang w:val="es-ES"/>
        </w:rPr>
        <w:t>, luego de la crisis ocasionada por el COVID-19</w:t>
      </w:r>
      <w:r w:rsidRPr="0059191F">
        <w:rPr>
          <w:lang w:val="es-ES"/>
        </w:rPr>
        <w:t>.</w:t>
      </w:r>
    </w:p>
    <w:p w14:paraId="724C5E45" w14:textId="77777777" w:rsidR="00344F23" w:rsidRDefault="00344F23" w:rsidP="005F38A6">
      <w:pPr>
        <w:jc w:val="both"/>
        <w:rPr>
          <w:lang w:val="es-ES"/>
        </w:rPr>
      </w:pPr>
    </w:p>
    <w:p w14:paraId="58A3586B" w14:textId="1E8FB34F" w:rsidR="005F38A6" w:rsidRPr="00344F23" w:rsidRDefault="00344F23" w:rsidP="00344F23">
      <w:pPr>
        <w:pStyle w:val="Descripcin"/>
        <w:rPr>
          <w:rFonts w:eastAsiaTheme="minorEastAsia"/>
          <w:b w:val="0"/>
          <w:bCs/>
          <w:color w:val="auto"/>
          <w:kern w:val="24"/>
        </w:rPr>
      </w:pPr>
      <w:bookmarkStart w:id="64" w:name="_Toc143593566"/>
      <w:r w:rsidRPr="00344F23">
        <w:rPr>
          <w:color w:val="auto"/>
        </w:rPr>
        <w:t xml:space="preserve">Gráfico </w:t>
      </w:r>
      <w:r w:rsidRPr="00344F23">
        <w:rPr>
          <w:color w:val="auto"/>
        </w:rPr>
        <w:fldChar w:fldCharType="begin"/>
      </w:r>
      <w:r w:rsidRPr="00344F23">
        <w:rPr>
          <w:color w:val="auto"/>
        </w:rPr>
        <w:instrText xml:space="preserve"> SEQ Gráfico \* ARABIC </w:instrText>
      </w:r>
      <w:r w:rsidRPr="00344F23">
        <w:rPr>
          <w:color w:val="auto"/>
        </w:rPr>
        <w:fldChar w:fldCharType="separate"/>
      </w:r>
      <w:r w:rsidR="00A62AFA">
        <w:rPr>
          <w:noProof/>
          <w:color w:val="auto"/>
        </w:rPr>
        <w:t>8</w:t>
      </w:r>
      <w:r w:rsidRPr="00344F23">
        <w:rPr>
          <w:color w:val="auto"/>
        </w:rPr>
        <w:fldChar w:fldCharType="end"/>
      </w:r>
      <w:r w:rsidRPr="00344F23">
        <w:rPr>
          <w:color w:val="auto"/>
        </w:rPr>
        <w:t xml:space="preserve">. </w:t>
      </w:r>
      <w:r w:rsidRPr="00344F23">
        <w:rPr>
          <w:rFonts w:eastAsiaTheme="minorEastAsia"/>
          <w:bCs/>
          <w:color w:val="auto"/>
          <w:kern w:val="24"/>
        </w:rPr>
        <w:t>Ingresos Tributarios: Error de pronóstico</w:t>
      </w:r>
      <w:bookmarkEnd w:id="64"/>
    </w:p>
    <w:p w14:paraId="0D83D89E" w14:textId="77777777" w:rsidR="005F38A6" w:rsidRDefault="005F38A6" w:rsidP="005F38A6">
      <w:pPr>
        <w:pStyle w:val="Encabezado"/>
        <w:jc w:val="center"/>
        <w:textAlignment w:val="baseline"/>
        <w:rPr>
          <w:rFonts w:eastAsiaTheme="minorEastAsia"/>
          <w:kern w:val="24"/>
          <w:sz w:val="21"/>
          <w:szCs w:val="21"/>
        </w:rPr>
      </w:pPr>
      <w:r w:rsidRPr="0059191F">
        <w:rPr>
          <w:rFonts w:eastAsiaTheme="minorEastAsia"/>
          <w:kern w:val="24"/>
          <w:sz w:val="21"/>
          <w:szCs w:val="21"/>
        </w:rPr>
        <w:t xml:space="preserve">(en </w:t>
      </w:r>
      <w:r>
        <w:rPr>
          <w:rFonts w:eastAsiaTheme="minorEastAsia"/>
          <w:kern w:val="24"/>
          <w:sz w:val="21"/>
          <w:szCs w:val="21"/>
        </w:rPr>
        <w:t>porcentajes del PIB</w:t>
      </w:r>
      <w:r w:rsidRPr="0059191F">
        <w:rPr>
          <w:rFonts w:eastAsiaTheme="minorEastAsia"/>
          <w:kern w:val="24"/>
          <w:sz w:val="21"/>
          <w:szCs w:val="21"/>
        </w:rPr>
        <w:t>)</w:t>
      </w:r>
    </w:p>
    <w:p w14:paraId="1619CD6A" w14:textId="77777777" w:rsidR="005F38A6" w:rsidRPr="0059191F" w:rsidRDefault="005F38A6" w:rsidP="005F38A6">
      <w:pPr>
        <w:pStyle w:val="Encabezado"/>
        <w:jc w:val="center"/>
        <w:textAlignment w:val="baseline"/>
        <w:rPr>
          <w:rFonts w:eastAsiaTheme="minorEastAsia"/>
          <w:kern w:val="24"/>
          <w:sz w:val="21"/>
          <w:szCs w:val="21"/>
        </w:rPr>
      </w:pPr>
      <w:r>
        <w:rPr>
          <w:noProof/>
        </w:rPr>
        <w:drawing>
          <wp:inline distT="0" distB="0" distL="0" distR="0" wp14:anchorId="54A1162C" wp14:editId="4FCC18A6">
            <wp:extent cx="5762625" cy="2306472"/>
            <wp:effectExtent l="0" t="0" r="0" b="0"/>
            <wp:docPr id="63" name="Gráfico 63">
              <a:extLst xmlns:a="http://schemas.openxmlformats.org/drawingml/2006/main">
                <a:ext uri="{FF2B5EF4-FFF2-40B4-BE49-F238E27FC236}">
                  <a16:creationId xmlns:a16="http://schemas.microsoft.com/office/drawing/2014/main" id="{F347BE96-A1E1-4490-B3F5-864567446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EA0ED5" w14:textId="77777777" w:rsidR="005F38A6" w:rsidRDefault="005F38A6" w:rsidP="005F38A6">
      <w:pPr>
        <w:rPr>
          <w:sz w:val="16"/>
          <w:szCs w:val="16"/>
          <w:lang w:val="es-ES"/>
        </w:rPr>
      </w:pPr>
      <w:r w:rsidRPr="0059191F">
        <w:rPr>
          <w:sz w:val="16"/>
          <w:szCs w:val="16"/>
          <w:lang w:val="es-ES"/>
        </w:rPr>
        <w:t>Fuente: Dirección de Análisis y Política Fiscal</w:t>
      </w:r>
    </w:p>
    <w:p w14:paraId="40210FD9" w14:textId="77777777" w:rsidR="008E77F3" w:rsidRDefault="008E77F3" w:rsidP="005F38A6">
      <w:pPr>
        <w:jc w:val="both"/>
        <w:rPr>
          <w:lang w:val="es-ES"/>
        </w:rPr>
      </w:pPr>
    </w:p>
    <w:p w14:paraId="3E2188F4" w14:textId="6F58E39E" w:rsidR="005F38A6" w:rsidRDefault="005F38A6" w:rsidP="005F38A6">
      <w:pPr>
        <w:jc w:val="both"/>
        <w:rPr>
          <w:lang w:val="es-ES"/>
        </w:rPr>
      </w:pPr>
      <w:r w:rsidRPr="00AD1159">
        <w:rPr>
          <w:lang w:val="es-ES"/>
        </w:rPr>
        <w:t xml:space="preserve">Respecto al </w:t>
      </w:r>
      <w:r>
        <w:rPr>
          <w:lang w:val="es-ES"/>
        </w:rPr>
        <w:t xml:space="preserve">error promedio absoluto de pronóstico, se observa que en el año presupuestario fue de 0.86% del PIB, en el año presupuestario +1 el error de pronóstico promedio sube a 0.96%, y en el año presupuestario +2 el error de pronóstico promedio es de 0.84% del PIB. </w:t>
      </w:r>
      <w:r>
        <w:rPr>
          <w:lang w:val="es-ES"/>
        </w:rPr>
        <w:lastRenderedPageBreak/>
        <w:t xml:space="preserve">Esto se debe a que en el ejercicio donde se realiza el presupuesto, es más fácil predecir lo que puede ocurrir en el siguiente ejercicio fiscal dada su cercanía, mientras que en el año presupuestario +1, el error promedio de pronóstico aumenta. </w:t>
      </w:r>
    </w:p>
    <w:p w14:paraId="4518382D" w14:textId="77777777" w:rsidR="008678BE" w:rsidRDefault="008678BE" w:rsidP="005F38A6">
      <w:pPr>
        <w:jc w:val="both"/>
        <w:rPr>
          <w:lang w:val="es-ES"/>
        </w:rPr>
      </w:pPr>
    </w:p>
    <w:p w14:paraId="278FC61E" w14:textId="77777777" w:rsidR="005F38A6" w:rsidRDefault="005F38A6" w:rsidP="005F38A6">
      <w:pPr>
        <w:jc w:val="both"/>
        <w:rPr>
          <w:lang w:val="es-ES"/>
        </w:rPr>
      </w:pPr>
      <w:r>
        <w:rPr>
          <w:lang w:val="es-ES"/>
        </w:rPr>
        <w:t xml:space="preserve">Un escenario que influyó en un mayor error de pronóstico del presupuesto multianual 2020-2024, fue que para 2021 aún no se tenía certeza sobre la eficiencia de la vacuna contra el COVID-19, dado que estaban surgiendo nuevas cepas del virus en un panorama donde aún primaba la incertidumbre económica y sanitaria mundial. Por ello, los pronósticos de ingresos tributarios 2021-2022 fueron altamente subestimados. </w:t>
      </w:r>
    </w:p>
    <w:p w14:paraId="43CAAB5A" w14:textId="77777777" w:rsidR="008678BE" w:rsidRDefault="008678BE" w:rsidP="005F38A6">
      <w:pPr>
        <w:jc w:val="both"/>
        <w:rPr>
          <w:lang w:val="es-ES"/>
        </w:rPr>
      </w:pPr>
    </w:p>
    <w:p w14:paraId="51B03FB2" w14:textId="77777777" w:rsidR="005F38A6" w:rsidRDefault="005F38A6" w:rsidP="005F38A6">
      <w:pPr>
        <w:jc w:val="both"/>
        <w:rPr>
          <w:lang w:val="es-ES"/>
        </w:rPr>
      </w:pPr>
      <w:r>
        <w:rPr>
          <w:lang w:val="es-ES"/>
        </w:rPr>
        <w:t xml:space="preserve">En el ejercicio de presupuesto multianual 2022-2026, aun se observa que los ingresos tributarios podrían estar siendo subestimados, dado que se está a la espera de </w:t>
      </w:r>
      <w:r w:rsidRPr="00292F1C">
        <w:rPr>
          <w:lang w:val="es-ES"/>
        </w:rPr>
        <w:t xml:space="preserve">confirmar si los avances en la recaudación tributaria responden a factores estructurales o es más bien </w:t>
      </w:r>
      <w:r>
        <w:rPr>
          <w:lang w:val="es-ES"/>
        </w:rPr>
        <w:t xml:space="preserve">un comportamiento </w:t>
      </w:r>
      <w:r w:rsidRPr="00292F1C">
        <w:rPr>
          <w:lang w:val="es-ES"/>
        </w:rPr>
        <w:t>cíclico.</w:t>
      </w:r>
    </w:p>
    <w:p w14:paraId="493538B4" w14:textId="77777777" w:rsidR="008678BE" w:rsidRDefault="008678BE" w:rsidP="005F38A6">
      <w:pPr>
        <w:jc w:val="both"/>
        <w:rPr>
          <w:lang w:val="es-ES"/>
        </w:rPr>
      </w:pPr>
    </w:p>
    <w:tbl>
      <w:tblPr>
        <w:tblW w:w="0" w:type="auto"/>
        <w:tblCellMar>
          <w:left w:w="70" w:type="dxa"/>
          <w:right w:w="70" w:type="dxa"/>
        </w:tblCellMar>
        <w:tblLook w:val="04A0" w:firstRow="1" w:lastRow="0" w:firstColumn="1" w:lastColumn="0" w:noHBand="0" w:noVBand="1"/>
      </w:tblPr>
      <w:tblGrid>
        <w:gridCol w:w="4808"/>
        <w:gridCol w:w="4030"/>
      </w:tblGrid>
      <w:tr w:rsidR="005F38A6" w14:paraId="5A959B32" w14:textId="77777777" w:rsidTr="006A7377">
        <w:tc>
          <w:tcPr>
            <w:tcW w:w="4808" w:type="dxa"/>
          </w:tcPr>
          <w:p w14:paraId="4E9217A3" w14:textId="785358DE" w:rsidR="00344F23" w:rsidRDefault="00344F23" w:rsidP="00344F23">
            <w:pPr>
              <w:keepNext/>
            </w:pPr>
            <w:bookmarkStart w:id="65" w:name="_Toc143593567"/>
            <w:r w:rsidRPr="00344F23">
              <w:rPr>
                <w:b/>
                <w:bCs/>
              </w:rPr>
              <w:t xml:space="preserve">Gráfico </w:t>
            </w:r>
            <w:r w:rsidRPr="00344F23">
              <w:rPr>
                <w:b/>
                <w:bCs/>
              </w:rPr>
              <w:fldChar w:fldCharType="begin"/>
            </w:r>
            <w:r w:rsidRPr="00344F23">
              <w:rPr>
                <w:b/>
                <w:bCs/>
              </w:rPr>
              <w:instrText xml:space="preserve"> SEQ Gráfico \* ARABIC </w:instrText>
            </w:r>
            <w:r w:rsidRPr="00344F23">
              <w:rPr>
                <w:b/>
                <w:bCs/>
              </w:rPr>
              <w:fldChar w:fldCharType="separate"/>
            </w:r>
            <w:r w:rsidR="00A62AFA">
              <w:rPr>
                <w:b/>
                <w:bCs/>
                <w:noProof/>
              </w:rPr>
              <w:t>9</w:t>
            </w:r>
            <w:r w:rsidRPr="00344F23">
              <w:rPr>
                <w:b/>
                <w:bCs/>
              </w:rPr>
              <w:fldChar w:fldCharType="end"/>
            </w:r>
            <w:r w:rsidRPr="00344F23">
              <w:rPr>
                <w:b/>
                <w:bCs/>
              </w:rPr>
              <w:t>.</w:t>
            </w:r>
            <w:r>
              <w:t xml:space="preserve"> </w:t>
            </w:r>
            <w:r w:rsidRPr="008678BE">
              <w:rPr>
                <w:b/>
                <w:lang w:val="es-ES"/>
              </w:rPr>
              <w:t xml:space="preserve">Ingresos Tributarios: </w:t>
            </w:r>
            <w:r>
              <w:rPr>
                <w:b/>
                <w:lang w:val="es-ES"/>
              </w:rPr>
              <w:t xml:space="preserve">                                                  </w:t>
            </w:r>
            <w:r w:rsidRPr="008678BE">
              <w:rPr>
                <w:b/>
                <w:lang w:val="es-ES"/>
              </w:rPr>
              <w:t>Error de Pronóstico promedio</w:t>
            </w:r>
            <w:bookmarkEnd w:id="65"/>
          </w:p>
          <w:p w14:paraId="179DBE8C" w14:textId="77777777" w:rsidR="005F38A6" w:rsidRPr="00594860" w:rsidRDefault="005F38A6" w:rsidP="00344F23">
            <w:pPr>
              <w:jc w:val="center"/>
              <w:rPr>
                <w:sz w:val="20"/>
                <w:szCs w:val="20"/>
                <w:lang w:val="es-ES"/>
              </w:rPr>
            </w:pPr>
            <w:r w:rsidRPr="00594860">
              <w:rPr>
                <w:sz w:val="20"/>
                <w:szCs w:val="20"/>
                <w:lang w:val="es-ES"/>
              </w:rPr>
              <w:t xml:space="preserve">(en </w:t>
            </w:r>
            <w:r>
              <w:rPr>
                <w:sz w:val="20"/>
                <w:szCs w:val="20"/>
                <w:lang w:val="es-ES"/>
              </w:rPr>
              <w:t>porcentajes del PIB</w:t>
            </w:r>
            <w:r w:rsidRPr="00594860">
              <w:rPr>
                <w:sz w:val="20"/>
                <w:szCs w:val="20"/>
                <w:lang w:val="es-ES"/>
              </w:rPr>
              <w:t>)</w:t>
            </w:r>
          </w:p>
          <w:p w14:paraId="19A3D24F" w14:textId="77777777" w:rsidR="005F38A6" w:rsidRDefault="005F38A6" w:rsidP="006A7377">
            <w:pPr>
              <w:rPr>
                <w:sz w:val="16"/>
                <w:szCs w:val="16"/>
                <w:lang w:val="es-ES"/>
              </w:rPr>
            </w:pPr>
            <w:r>
              <w:rPr>
                <w:noProof/>
              </w:rPr>
              <w:drawing>
                <wp:inline distT="0" distB="0" distL="0" distR="0" wp14:anchorId="1D47C880" wp14:editId="24237882">
                  <wp:extent cx="2995295" cy="1701579"/>
                  <wp:effectExtent l="0" t="0" r="0" b="0"/>
                  <wp:docPr id="64" name="Gráfico 64">
                    <a:extLst xmlns:a="http://schemas.openxmlformats.org/drawingml/2006/main">
                      <a:ext uri="{FF2B5EF4-FFF2-40B4-BE49-F238E27FC236}">
                        <a16:creationId xmlns:a16="http://schemas.microsoft.com/office/drawing/2014/main" id="{0B49A5E4-8C13-4975-BCAE-40C96DD52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030" w:type="dxa"/>
          </w:tcPr>
          <w:p w14:paraId="7252A397" w14:textId="77777777" w:rsidR="00344F23" w:rsidRDefault="00344F23" w:rsidP="00344F23">
            <w:pPr>
              <w:jc w:val="center"/>
              <w:rPr>
                <w:b/>
                <w:lang w:val="es-ES"/>
              </w:rPr>
            </w:pPr>
          </w:p>
          <w:p w14:paraId="3CC7E52F" w14:textId="73E6A4F1" w:rsidR="005F38A6" w:rsidRPr="008678BE" w:rsidRDefault="005F38A6" w:rsidP="00344F23">
            <w:pPr>
              <w:jc w:val="center"/>
              <w:rPr>
                <w:b/>
                <w:lang w:val="es-ES"/>
              </w:rPr>
            </w:pPr>
            <w:r w:rsidRPr="008678BE">
              <w:rPr>
                <w:b/>
                <w:lang w:val="es-ES"/>
              </w:rPr>
              <w:t>Error promedio absoluto de pronóstico</w:t>
            </w:r>
          </w:p>
          <w:p w14:paraId="5BB016A9" w14:textId="77777777" w:rsidR="005F38A6" w:rsidRDefault="005F38A6" w:rsidP="00344F23">
            <w:pPr>
              <w:jc w:val="center"/>
              <w:rPr>
                <w:sz w:val="20"/>
                <w:szCs w:val="20"/>
                <w:lang w:val="es-ES"/>
              </w:rPr>
            </w:pPr>
            <w:r w:rsidRPr="00594860">
              <w:rPr>
                <w:sz w:val="20"/>
                <w:szCs w:val="20"/>
                <w:lang w:val="es-ES"/>
              </w:rPr>
              <w:t xml:space="preserve">(en </w:t>
            </w:r>
            <w:r>
              <w:rPr>
                <w:sz w:val="20"/>
                <w:szCs w:val="20"/>
                <w:lang w:val="es-ES"/>
              </w:rPr>
              <w:t>porcentajes del PIB</w:t>
            </w:r>
            <w:r w:rsidRPr="00594860">
              <w:rPr>
                <w:sz w:val="20"/>
                <w:szCs w:val="20"/>
                <w:lang w:val="es-ES"/>
              </w:rPr>
              <w:t>)</w:t>
            </w:r>
          </w:p>
          <w:p w14:paraId="0D99A683" w14:textId="77777777" w:rsidR="005F38A6" w:rsidRDefault="005F38A6" w:rsidP="006A7377">
            <w:pPr>
              <w:rPr>
                <w:sz w:val="16"/>
                <w:szCs w:val="16"/>
                <w:lang w:val="es-ES"/>
              </w:rPr>
            </w:pPr>
            <w:r>
              <w:rPr>
                <w:noProof/>
              </w:rPr>
              <w:drawing>
                <wp:inline distT="0" distB="0" distL="0" distR="0" wp14:anchorId="66D4BA9C" wp14:editId="2D97010D">
                  <wp:extent cx="2493645" cy="1526236"/>
                  <wp:effectExtent l="0" t="0" r="1905" b="0"/>
                  <wp:docPr id="65" name="Gráfico 65">
                    <a:extLst xmlns:a="http://schemas.openxmlformats.org/drawingml/2006/main">
                      <a:ext uri="{FF2B5EF4-FFF2-40B4-BE49-F238E27FC236}">
                        <a16:creationId xmlns:a16="http://schemas.microsoft.com/office/drawing/2014/main" id="{C8B5F18E-91FA-426F-B02E-EE558B4D9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F38A6" w14:paraId="1240F692" w14:textId="77777777" w:rsidTr="006A7377">
        <w:tc>
          <w:tcPr>
            <w:tcW w:w="8838" w:type="dxa"/>
            <w:gridSpan w:val="2"/>
          </w:tcPr>
          <w:p w14:paraId="6FB83FD3" w14:textId="77777777" w:rsidR="008678BE" w:rsidRPr="00344F23" w:rsidRDefault="008678BE" w:rsidP="006A7377">
            <w:pPr>
              <w:rPr>
                <w:b/>
                <w:sz w:val="18"/>
                <w:szCs w:val="18"/>
                <w:lang w:val="es-ES"/>
              </w:rPr>
            </w:pPr>
          </w:p>
          <w:p w14:paraId="386FC26D" w14:textId="53656529" w:rsidR="005F38A6" w:rsidRPr="008678BE" w:rsidRDefault="005F38A6" w:rsidP="00344F23">
            <w:pPr>
              <w:jc w:val="center"/>
              <w:rPr>
                <w:b/>
                <w:lang w:val="es-ES"/>
              </w:rPr>
            </w:pPr>
            <w:r w:rsidRPr="008678BE">
              <w:rPr>
                <w:b/>
                <w:lang w:val="es-ES"/>
              </w:rPr>
              <w:t>Distribución de errores de pronóstico</w:t>
            </w:r>
          </w:p>
          <w:p w14:paraId="3282B3B4" w14:textId="77777777" w:rsidR="005F38A6" w:rsidRPr="00344F23" w:rsidRDefault="005F38A6" w:rsidP="00344F23">
            <w:pPr>
              <w:jc w:val="center"/>
              <w:rPr>
                <w:bCs/>
                <w:sz w:val="20"/>
                <w:szCs w:val="20"/>
                <w:lang w:val="es-ES"/>
              </w:rPr>
            </w:pPr>
            <w:r w:rsidRPr="00344F23">
              <w:rPr>
                <w:bCs/>
                <w:sz w:val="20"/>
                <w:szCs w:val="20"/>
                <w:lang w:val="es-ES"/>
              </w:rPr>
              <w:t>(en porcentajes del PIB)</w:t>
            </w:r>
          </w:p>
          <w:p w14:paraId="5B34CDA4" w14:textId="77777777" w:rsidR="005F38A6" w:rsidRPr="00594860" w:rsidRDefault="005F38A6" w:rsidP="00344F23">
            <w:pPr>
              <w:jc w:val="center"/>
              <w:rPr>
                <w:sz w:val="20"/>
                <w:szCs w:val="20"/>
                <w:lang w:val="es-ES"/>
              </w:rPr>
            </w:pPr>
            <w:r>
              <w:rPr>
                <w:noProof/>
              </w:rPr>
              <mc:AlternateContent>
                <mc:Choice Requires="cx1">
                  <w:drawing>
                    <wp:inline distT="0" distB="0" distL="0" distR="0" wp14:anchorId="69FDFB16" wp14:editId="09EE0892">
                      <wp:extent cx="5210175" cy="2231409"/>
                      <wp:effectExtent l="0" t="0" r="9525" b="16510"/>
                      <wp:docPr id="66" name="Gráfico 66">
                        <a:extLst xmlns:a="http://schemas.openxmlformats.org/drawingml/2006/main">
                          <a:ext uri="{FF2B5EF4-FFF2-40B4-BE49-F238E27FC236}">
                            <a16:creationId xmlns:a16="http://schemas.microsoft.com/office/drawing/2014/main" id="{BE5EF6AB-2921-45AD-96D0-9568557BF49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w:drawing>
                    <wp:inline distT="0" distB="0" distL="0" distR="0" wp14:anchorId="69FDFB16" wp14:editId="09EE0892">
                      <wp:extent cx="5210175" cy="2231409"/>
                      <wp:effectExtent l="0" t="0" r="9525" b="16510"/>
                      <wp:docPr id="66" name="Gráfico 66">
                        <a:extLst xmlns:a="http://schemas.openxmlformats.org/drawingml/2006/main">
                          <a:ext uri="{FF2B5EF4-FFF2-40B4-BE49-F238E27FC236}">
                            <a16:creationId xmlns:a16="http://schemas.microsoft.com/office/drawing/2014/main" id="{BE5EF6AB-2921-45AD-96D0-9568557BF49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6" name="Gráfico 66">
                                <a:extLst>
                                  <a:ext uri="{FF2B5EF4-FFF2-40B4-BE49-F238E27FC236}">
                                    <a16:creationId xmlns:a16="http://schemas.microsoft.com/office/drawing/2014/main" id="{BE5EF6AB-2921-45AD-96D0-9568557BF49F}"/>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5210175" cy="2231390"/>
                              </a:xfrm>
                              <a:prstGeom prst="rect">
                                <a:avLst/>
                              </a:prstGeom>
                            </pic:spPr>
                          </pic:pic>
                        </a:graphicData>
                      </a:graphic>
                    </wp:inline>
                  </w:drawing>
                </mc:Fallback>
              </mc:AlternateContent>
            </w:r>
          </w:p>
          <w:p w14:paraId="13C1F0D6" w14:textId="77777777" w:rsidR="005F38A6" w:rsidRDefault="005F38A6" w:rsidP="006A7377">
            <w:pPr>
              <w:rPr>
                <w:sz w:val="16"/>
                <w:szCs w:val="16"/>
                <w:lang w:val="es-ES"/>
              </w:rPr>
            </w:pPr>
            <w:r w:rsidRPr="0059191F">
              <w:rPr>
                <w:sz w:val="16"/>
                <w:szCs w:val="16"/>
                <w:lang w:val="es-ES"/>
              </w:rPr>
              <w:t>Fuente: Dirección de Análisis y Política Fiscal</w:t>
            </w:r>
          </w:p>
        </w:tc>
      </w:tr>
    </w:tbl>
    <w:p w14:paraId="613FF4B0" w14:textId="2A047223" w:rsidR="005F38A6" w:rsidRDefault="005F38A6" w:rsidP="005F38A6">
      <w:pPr>
        <w:rPr>
          <w:sz w:val="16"/>
          <w:szCs w:val="16"/>
          <w:lang w:val="es-ES"/>
        </w:rPr>
      </w:pPr>
    </w:p>
    <w:p w14:paraId="079B851B" w14:textId="744E0EDC" w:rsidR="00DE1611" w:rsidRDefault="00DE1611" w:rsidP="005F38A6">
      <w:pPr>
        <w:rPr>
          <w:sz w:val="16"/>
          <w:szCs w:val="16"/>
          <w:lang w:val="es-ES"/>
        </w:rPr>
      </w:pPr>
    </w:p>
    <w:p w14:paraId="719CF4A5" w14:textId="7296470B" w:rsidR="00DE1611" w:rsidRDefault="00DE1611" w:rsidP="005F38A6">
      <w:pPr>
        <w:rPr>
          <w:sz w:val="16"/>
          <w:szCs w:val="16"/>
          <w:lang w:val="es-ES"/>
        </w:rPr>
      </w:pPr>
    </w:p>
    <w:p w14:paraId="0A306776" w14:textId="77777777" w:rsidR="00DE1611" w:rsidRDefault="00DE1611" w:rsidP="005F38A6">
      <w:pPr>
        <w:rPr>
          <w:sz w:val="16"/>
          <w:szCs w:val="16"/>
          <w:lang w:val="es-ES"/>
        </w:rPr>
      </w:pPr>
    </w:p>
    <w:p w14:paraId="6D9ADFDF" w14:textId="77777777" w:rsidR="005F38A6" w:rsidRPr="00987058" w:rsidRDefault="005F38A6" w:rsidP="005F07F9">
      <w:pPr>
        <w:pStyle w:val="Ttulo2"/>
        <w:numPr>
          <w:ilvl w:val="3"/>
          <w:numId w:val="35"/>
        </w:numPr>
        <w:tabs>
          <w:tab w:val="left" w:pos="993"/>
        </w:tabs>
        <w:ind w:left="567" w:hanging="283"/>
        <w:rPr>
          <w:bCs/>
        </w:rPr>
      </w:pPr>
      <w:bookmarkStart w:id="66" w:name="_Toc144114354"/>
      <w:r w:rsidRPr="00987058">
        <w:rPr>
          <w:bCs/>
        </w:rPr>
        <w:lastRenderedPageBreak/>
        <w:t>Gasto Público</w:t>
      </w:r>
      <w:bookmarkEnd w:id="66"/>
      <w:r w:rsidRPr="00987058">
        <w:rPr>
          <w:bCs/>
        </w:rPr>
        <w:t xml:space="preserve"> </w:t>
      </w:r>
    </w:p>
    <w:p w14:paraId="074F2CE7" w14:textId="77777777" w:rsidR="00987058" w:rsidRDefault="00987058" w:rsidP="005F38A6">
      <w:pPr>
        <w:jc w:val="both"/>
        <w:rPr>
          <w:lang w:val="es-ES"/>
        </w:rPr>
      </w:pPr>
    </w:p>
    <w:p w14:paraId="698B6957" w14:textId="061C50AA" w:rsidR="005F38A6" w:rsidRDefault="005F38A6" w:rsidP="005F38A6">
      <w:pPr>
        <w:jc w:val="both"/>
        <w:rPr>
          <w:lang w:val="es-ES"/>
        </w:rPr>
      </w:pPr>
      <w:r w:rsidRPr="006C78AA">
        <w:rPr>
          <w:lang w:val="es-ES"/>
        </w:rPr>
        <w:t xml:space="preserve">En el gasto público se observa que </w:t>
      </w:r>
      <w:r>
        <w:rPr>
          <w:lang w:val="es-ES"/>
        </w:rPr>
        <w:t xml:space="preserve">de 2012 a 2019, </w:t>
      </w:r>
      <w:r w:rsidRPr="00EC6F4F">
        <w:rPr>
          <w:lang w:val="es-ES"/>
        </w:rPr>
        <w:t>los valores</w:t>
      </w:r>
      <w:r>
        <w:rPr>
          <w:lang w:val="es-ES"/>
        </w:rPr>
        <w:t xml:space="preserve"> en su mayoría</w:t>
      </w:r>
      <w:r w:rsidRPr="00EC6F4F">
        <w:rPr>
          <w:lang w:val="es-ES"/>
        </w:rPr>
        <w:t xml:space="preserve"> se encuentran por debajo de lo previsto para cada uno de los ejercicios de presupuesto multianual,</w:t>
      </w:r>
      <w:r>
        <w:rPr>
          <w:lang w:val="es-ES"/>
        </w:rPr>
        <w:t xml:space="preserve"> mientras que en 2020 los valores observados se encuentran por arriba de lo estimado para el año presupuestario y el año presupuestario +1, siendo la pandemia del COVID-19 la que explica el gasto extraordinario que se tuvo en este año, el cual estuvo compuesto por diferentes programas económicos y sanitarios de apoyo temporal para aliviar los efectos de la crisis. Por ello el gasto para este ejercicio fiscal fue subestimado, a excepción del año presupuestario +2 (ejercicio fiscal 2018).</w:t>
      </w:r>
    </w:p>
    <w:p w14:paraId="59AA38CE" w14:textId="77777777" w:rsidR="008678BE" w:rsidRDefault="008678BE" w:rsidP="005F38A6">
      <w:pPr>
        <w:jc w:val="both"/>
        <w:rPr>
          <w:lang w:val="es-ES"/>
        </w:rPr>
      </w:pPr>
    </w:p>
    <w:p w14:paraId="24552E36" w14:textId="77777777" w:rsidR="005F38A6" w:rsidRDefault="005F38A6" w:rsidP="005F38A6">
      <w:pPr>
        <w:jc w:val="both"/>
        <w:rPr>
          <w:lang w:val="es-ES"/>
        </w:rPr>
      </w:pPr>
      <w:r>
        <w:rPr>
          <w:lang w:val="es-ES"/>
        </w:rPr>
        <w:t>Para el 2021 se observa una amplia sobreestimación en el gasto público, en los ejercicios multianuales se esperaba que el 2021 respondiera a la dinámica que traía el gasto previo a la crisis del COVID-19, no obstante, durante el año se tuvo una política fiscal restrictiva, los programas económicos y sociales no continuaron dado que habían cumplido los fines para los cuales habían sido creados y el gasto cayó respecto al 2020.</w:t>
      </w:r>
    </w:p>
    <w:p w14:paraId="50FD7287" w14:textId="77777777" w:rsidR="008678BE" w:rsidRDefault="008678BE" w:rsidP="005F38A6">
      <w:pPr>
        <w:jc w:val="both"/>
        <w:rPr>
          <w:lang w:val="es-ES"/>
        </w:rPr>
      </w:pPr>
    </w:p>
    <w:p w14:paraId="72DA8DE7" w14:textId="77777777" w:rsidR="005F38A6" w:rsidRDefault="005F38A6" w:rsidP="005F38A6">
      <w:pPr>
        <w:jc w:val="both"/>
        <w:rPr>
          <w:lang w:val="es-ES"/>
        </w:rPr>
      </w:pPr>
      <w:r>
        <w:rPr>
          <w:lang w:val="es-ES"/>
        </w:rPr>
        <w:t xml:space="preserve">Por el contrario, para el ejercicio 2022, se observa que el gasto fue subestimado en el presupuesto multianual 2020-2024, 2021-2025 y 2022-2026, esto puede deberse a que </w:t>
      </w:r>
      <w:r w:rsidRPr="00531713">
        <w:rPr>
          <w:lang w:val="es-ES"/>
        </w:rPr>
        <w:t xml:space="preserve">no se contemplaba la </w:t>
      </w:r>
      <w:r>
        <w:rPr>
          <w:lang w:val="es-ES"/>
        </w:rPr>
        <w:t xml:space="preserve">materialización de un </w:t>
      </w:r>
      <w:r w:rsidRPr="00531713">
        <w:rPr>
          <w:lang w:val="es-ES"/>
        </w:rPr>
        <w:t>conflicto geopolítico</w:t>
      </w:r>
      <w:r>
        <w:rPr>
          <w:lang w:val="es-ES"/>
        </w:rPr>
        <w:t xml:space="preserve">, aún más considerando que recientemente se había tenido una crisis sanitaria y económica. No obstante, este se dio </w:t>
      </w:r>
      <w:r w:rsidRPr="00531713">
        <w:rPr>
          <w:lang w:val="es-ES"/>
        </w:rPr>
        <w:t xml:space="preserve">entre Rusia y Ucrania, </w:t>
      </w:r>
      <w:r>
        <w:rPr>
          <w:lang w:val="es-ES"/>
        </w:rPr>
        <w:t xml:space="preserve">lo </w:t>
      </w:r>
      <w:r w:rsidRPr="00531713">
        <w:rPr>
          <w:lang w:val="es-ES"/>
        </w:rPr>
        <w:t>que derivó en un aumento de los precios y la intervención del gobierno</w:t>
      </w:r>
      <w:r>
        <w:rPr>
          <w:lang w:val="es-ES"/>
        </w:rPr>
        <w:t xml:space="preserve"> por medio de subsidios temporales para las gasolinas, gas propano y energía eléctrica, adicionalmente la materialización de desastres naturales por la época lluviosa, temporada ciclónica, sistemas de baja presión y el ciclón tropical Julia derivaron en un mayor gasto de a</w:t>
      </w:r>
      <w:r w:rsidRPr="00531713">
        <w:rPr>
          <w:lang w:val="es-ES"/>
        </w:rPr>
        <w:t xml:space="preserve">tención por </w:t>
      </w:r>
      <w:r>
        <w:rPr>
          <w:lang w:val="es-ES"/>
        </w:rPr>
        <w:t>d</w:t>
      </w:r>
      <w:r w:rsidRPr="00531713">
        <w:rPr>
          <w:lang w:val="es-ES"/>
        </w:rPr>
        <w:t xml:space="preserve">esastres </w:t>
      </w:r>
      <w:r>
        <w:rPr>
          <w:lang w:val="es-ES"/>
        </w:rPr>
        <w:t>n</w:t>
      </w:r>
      <w:r w:rsidRPr="00531713">
        <w:rPr>
          <w:lang w:val="es-ES"/>
        </w:rPr>
        <w:t xml:space="preserve">aturales y </w:t>
      </w:r>
      <w:r>
        <w:rPr>
          <w:lang w:val="es-ES"/>
        </w:rPr>
        <w:t>c</w:t>
      </w:r>
      <w:r w:rsidRPr="00531713">
        <w:rPr>
          <w:lang w:val="es-ES"/>
        </w:rPr>
        <w:t xml:space="preserve">alamidades </w:t>
      </w:r>
      <w:r>
        <w:rPr>
          <w:lang w:val="es-ES"/>
        </w:rPr>
        <w:t>p</w:t>
      </w:r>
      <w:r w:rsidRPr="00531713">
        <w:rPr>
          <w:lang w:val="es-ES"/>
        </w:rPr>
        <w:t>úblicas</w:t>
      </w:r>
      <w:r>
        <w:rPr>
          <w:lang w:val="es-ES"/>
        </w:rPr>
        <w:t>.</w:t>
      </w:r>
    </w:p>
    <w:p w14:paraId="5E5E196D" w14:textId="77777777" w:rsidR="005F38A6" w:rsidRDefault="005F38A6" w:rsidP="005F38A6">
      <w:pPr>
        <w:pStyle w:val="Encabezado"/>
        <w:jc w:val="center"/>
        <w:textAlignment w:val="baseline"/>
        <w:rPr>
          <w:rFonts w:eastAsiaTheme="minorEastAsia"/>
          <w:b/>
          <w:bCs/>
          <w:kern w:val="24"/>
        </w:rPr>
      </w:pPr>
    </w:p>
    <w:p w14:paraId="5B02555F" w14:textId="5879F802" w:rsidR="005F38A6" w:rsidRPr="00344F23" w:rsidRDefault="00344F23" w:rsidP="00344F23">
      <w:pPr>
        <w:pStyle w:val="Descripcin"/>
        <w:rPr>
          <w:rFonts w:eastAsiaTheme="minorEastAsia"/>
          <w:b w:val="0"/>
          <w:bCs/>
          <w:color w:val="auto"/>
          <w:kern w:val="24"/>
        </w:rPr>
      </w:pPr>
      <w:bookmarkStart w:id="67" w:name="_Toc143593568"/>
      <w:r w:rsidRPr="00344F23">
        <w:rPr>
          <w:color w:val="auto"/>
        </w:rPr>
        <w:t xml:space="preserve">Gráfico </w:t>
      </w:r>
      <w:r w:rsidRPr="00344F23">
        <w:rPr>
          <w:color w:val="auto"/>
        </w:rPr>
        <w:fldChar w:fldCharType="begin"/>
      </w:r>
      <w:r w:rsidRPr="00344F23">
        <w:rPr>
          <w:color w:val="auto"/>
        </w:rPr>
        <w:instrText xml:space="preserve"> SEQ Gráfico \* ARABIC </w:instrText>
      </w:r>
      <w:r w:rsidRPr="00344F23">
        <w:rPr>
          <w:color w:val="auto"/>
        </w:rPr>
        <w:fldChar w:fldCharType="separate"/>
      </w:r>
      <w:r w:rsidR="00A62AFA">
        <w:rPr>
          <w:noProof/>
          <w:color w:val="auto"/>
        </w:rPr>
        <w:t>10</w:t>
      </w:r>
      <w:r w:rsidRPr="00344F23">
        <w:rPr>
          <w:color w:val="auto"/>
        </w:rPr>
        <w:fldChar w:fldCharType="end"/>
      </w:r>
      <w:r w:rsidRPr="00344F23">
        <w:rPr>
          <w:color w:val="auto"/>
        </w:rPr>
        <w:t xml:space="preserve">. </w:t>
      </w:r>
      <w:r w:rsidRPr="00344F23">
        <w:rPr>
          <w:rFonts w:eastAsiaTheme="minorEastAsia"/>
          <w:bCs/>
          <w:color w:val="auto"/>
          <w:kern w:val="24"/>
        </w:rPr>
        <w:t>Gasto Público: Error de pronóstico</w:t>
      </w:r>
      <w:bookmarkEnd w:id="67"/>
    </w:p>
    <w:p w14:paraId="0391F123" w14:textId="77777777" w:rsidR="005F38A6" w:rsidRDefault="005F38A6" w:rsidP="005F38A6">
      <w:pPr>
        <w:pStyle w:val="Encabezado"/>
        <w:jc w:val="center"/>
        <w:textAlignment w:val="baseline"/>
        <w:rPr>
          <w:rFonts w:eastAsiaTheme="minorEastAsia"/>
          <w:kern w:val="24"/>
          <w:sz w:val="21"/>
          <w:szCs w:val="21"/>
        </w:rPr>
      </w:pPr>
      <w:r w:rsidRPr="0059191F">
        <w:rPr>
          <w:rFonts w:eastAsiaTheme="minorEastAsia"/>
          <w:kern w:val="24"/>
          <w:sz w:val="21"/>
          <w:szCs w:val="21"/>
        </w:rPr>
        <w:t>(</w:t>
      </w:r>
      <w:r>
        <w:rPr>
          <w:rFonts w:eastAsiaTheme="minorEastAsia"/>
          <w:kern w:val="24"/>
          <w:sz w:val="21"/>
          <w:szCs w:val="21"/>
        </w:rPr>
        <w:t>en porcentajes del PIB</w:t>
      </w:r>
      <w:r w:rsidRPr="0059191F">
        <w:rPr>
          <w:rFonts w:eastAsiaTheme="minorEastAsia"/>
          <w:kern w:val="24"/>
          <w:sz w:val="21"/>
          <w:szCs w:val="21"/>
        </w:rPr>
        <w:t>)</w:t>
      </w:r>
    </w:p>
    <w:p w14:paraId="10DC741B" w14:textId="77777777" w:rsidR="005F38A6" w:rsidRDefault="005F38A6" w:rsidP="005F38A6">
      <w:pPr>
        <w:rPr>
          <w:sz w:val="16"/>
          <w:szCs w:val="16"/>
        </w:rPr>
      </w:pPr>
      <w:r w:rsidRPr="000E2C85">
        <w:rPr>
          <w:noProof/>
        </w:rPr>
        <w:drawing>
          <wp:inline distT="0" distB="0" distL="0" distR="0" wp14:anchorId="569471CA" wp14:editId="790B56A2">
            <wp:extent cx="5830570" cy="2163170"/>
            <wp:effectExtent l="0" t="0" r="0" b="8890"/>
            <wp:docPr id="68" name="Gráfico 68">
              <a:extLst xmlns:a="http://schemas.openxmlformats.org/drawingml/2006/main">
                <a:ext uri="{FF2B5EF4-FFF2-40B4-BE49-F238E27FC236}">
                  <a16:creationId xmlns:a16="http://schemas.microsoft.com/office/drawing/2014/main" id="{FAA9BB58-3862-4666-9597-92DE84385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5EDF9C" w14:textId="77777777" w:rsidR="005F38A6" w:rsidRDefault="005F38A6" w:rsidP="005F38A6">
      <w:pPr>
        <w:rPr>
          <w:sz w:val="16"/>
          <w:szCs w:val="16"/>
          <w:lang w:val="es-ES"/>
        </w:rPr>
      </w:pPr>
      <w:r w:rsidRPr="0059191F">
        <w:rPr>
          <w:sz w:val="16"/>
          <w:szCs w:val="16"/>
          <w:lang w:val="es-ES"/>
        </w:rPr>
        <w:t>Fuente: Dirección de Análisis y Política Fiscal</w:t>
      </w:r>
    </w:p>
    <w:p w14:paraId="61E8B8BF" w14:textId="77777777" w:rsidR="00B150B0" w:rsidRDefault="00B150B0" w:rsidP="005F38A6">
      <w:pPr>
        <w:jc w:val="both"/>
        <w:rPr>
          <w:lang w:val="es-ES"/>
        </w:rPr>
      </w:pPr>
    </w:p>
    <w:p w14:paraId="76B55F86" w14:textId="095A2276" w:rsidR="005F38A6" w:rsidRDefault="005F38A6" w:rsidP="005F38A6">
      <w:pPr>
        <w:jc w:val="both"/>
        <w:rPr>
          <w:lang w:val="es-ES"/>
        </w:rPr>
      </w:pPr>
      <w:r w:rsidRPr="00AD1159">
        <w:rPr>
          <w:lang w:val="es-ES"/>
        </w:rPr>
        <w:t xml:space="preserve">Respecto al </w:t>
      </w:r>
      <w:r>
        <w:rPr>
          <w:lang w:val="es-ES"/>
        </w:rPr>
        <w:t xml:space="preserve">error promedio absoluto de pronóstico, se observa que en el año presupuestario contrario a lo que se esperaría, el error es mayor, siendo de 1.07% del PIB, mientras que en el año presupuestario +1 y año presupuestario +2 este disminuye a 0.85% del PIB y 0.76% del PIB, respectivamente. </w:t>
      </w:r>
    </w:p>
    <w:p w14:paraId="39432F8E" w14:textId="079689E5" w:rsidR="00344F23" w:rsidRPr="00344F23" w:rsidRDefault="00344F23" w:rsidP="00344F23">
      <w:pPr>
        <w:keepNext/>
        <w:jc w:val="both"/>
        <w:rPr>
          <w:b/>
          <w:bCs/>
          <w:lang w:val="es-ES"/>
        </w:rPr>
      </w:pPr>
      <w:bookmarkStart w:id="68" w:name="_Toc143593569"/>
      <w:r w:rsidRPr="00344F23">
        <w:rPr>
          <w:b/>
          <w:bCs/>
        </w:rPr>
        <w:lastRenderedPageBreak/>
        <w:t xml:space="preserve">Gráfico </w:t>
      </w:r>
      <w:r w:rsidRPr="00344F23">
        <w:rPr>
          <w:b/>
          <w:bCs/>
        </w:rPr>
        <w:fldChar w:fldCharType="begin"/>
      </w:r>
      <w:r w:rsidRPr="00344F23">
        <w:rPr>
          <w:b/>
          <w:bCs/>
        </w:rPr>
        <w:instrText xml:space="preserve"> SEQ Gráfico \* ARABIC </w:instrText>
      </w:r>
      <w:r w:rsidRPr="00344F23">
        <w:rPr>
          <w:b/>
          <w:bCs/>
        </w:rPr>
        <w:fldChar w:fldCharType="separate"/>
      </w:r>
      <w:r w:rsidR="00A62AFA">
        <w:rPr>
          <w:b/>
          <w:bCs/>
          <w:noProof/>
        </w:rPr>
        <w:t>11</w:t>
      </w:r>
      <w:r w:rsidRPr="00344F23">
        <w:rPr>
          <w:b/>
          <w:bCs/>
        </w:rPr>
        <w:fldChar w:fldCharType="end"/>
      </w:r>
      <w:r w:rsidRPr="00344F23">
        <w:rPr>
          <w:b/>
          <w:bCs/>
        </w:rPr>
        <w:t xml:space="preserve">. </w:t>
      </w:r>
      <w:r w:rsidRPr="00344F23">
        <w:rPr>
          <w:b/>
          <w:bCs/>
          <w:lang w:val="es-ES"/>
        </w:rPr>
        <w:t>Gasto Publico:</w:t>
      </w:r>
      <w:bookmarkEnd w:id="68"/>
    </w:p>
    <w:tbl>
      <w:tblPr>
        <w:tblW w:w="0" w:type="auto"/>
        <w:tblCellMar>
          <w:left w:w="70" w:type="dxa"/>
          <w:right w:w="70" w:type="dxa"/>
        </w:tblCellMar>
        <w:tblLook w:val="04A0" w:firstRow="1" w:lastRow="0" w:firstColumn="1" w:lastColumn="0" w:noHBand="0" w:noVBand="1"/>
      </w:tblPr>
      <w:tblGrid>
        <w:gridCol w:w="4448"/>
        <w:gridCol w:w="4390"/>
      </w:tblGrid>
      <w:tr w:rsidR="005F38A6" w14:paraId="2E3D5833" w14:textId="77777777" w:rsidTr="006A7377">
        <w:tc>
          <w:tcPr>
            <w:tcW w:w="4448" w:type="dxa"/>
          </w:tcPr>
          <w:p w14:paraId="271EA1A0" w14:textId="77777777" w:rsidR="005F38A6" w:rsidRPr="008678BE" w:rsidRDefault="005F38A6" w:rsidP="00BF6159">
            <w:pPr>
              <w:jc w:val="center"/>
              <w:rPr>
                <w:b/>
                <w:lang w:val="es-ES"/>
              </w:rPr>
            </w:pPr>
            <w:r w:rsidRPr="008678BE">
              <w:rPr>
                <w:b/>
                <w:lang w:val="es-ES"/>
              </w:rPr>
              <w:t>Gasto Público: Error de Pronóstico promedio</w:t>
            </w:r>
          </w:p>
          <w:p w14:paraId="5D2B3A09" w14:textId="77777777" w:rsidR="005F38A6" w:rsidRPr="00594860" w:rsidRDefault="005F38A6" w:rsidP="00BF6159">
            <w:pPr>
              <w:jc w:val="center"/>
              <w:rPr>
                <w:sz w:val="20"/>
                <w:szCs w:val="20"/>
                <w:lang w:val="es-ES"/>
              </w:rPr>
            </w:pPr>
            <w:r w:rsidRPr="00594860">
              <w:rPr>
                <w:sz w:val="20"/>
                <w:szCs w:val="20"/>
                <w:lang w:val="es-ES"/>
              </w:rPr>
              <w:t xml:space="preserve">(en </w:t>
            </w:r>
            <w:r>
              <w:rPr>
                <w:sz w:val="20"/>
                <w:szCs w:val="20"/>
                <w:lang w:val="es-ES"/>
              </w:rPr>
              <w:t>porcentajes del PIB</w:t>
            </w:r>
            <w:r w:rsidRPr="00594860">
              <w:rPr>
                <w:sz w:val="20"/>
                <w:szCs w:val="20"/>
                <w:lang w:val="es-ES"/>
              </w:rPr>
              <w:t>)</w:t>
            </w:r>
          </w:p>
          <w:p w14:paraId="5E5E4CF9" w14:textId="77777777" w:rsidR="005F38A6" w:rsidRDefault="005F38A6" w:rsidP="006A7377">
            <w:pPr>
              <w:rPr>
                <w:sz w:val="16"/>
                <w:szCs w:val="16"/>
                <w:lang w:val="es-ES"/>
              </w:rPr>
            </w:pPr>
          </w:p>
          <w:p w14:paraId="62BBE743" w14:textId="77777777" w:rsidR="005F38A6" w:rsidRDefault="005F38A6" w:rsidP="006A7377">
            <w:pPr>
              <w:rPr>
                <w:sz w:val="16"/>
                <w:szCs w:val="16"/>
                <w:lang w:val="es-ES"/>
              </w:rPr>
            </w:pPr>
            <w:r>
              <w:rPr>
                <w:noProof/>
              </w:rPr>
              <w:drawing>
                <wp:inline distT="0" distB="0" distL="0" distR="0" wp14:anchorId="431F43B0" wp14:editId="590CC042">
                  <wp:extent cx="2757805" cy="1644555"/>
                  <wp:effectExtent l="0" t="0" r="4445" b="0"/>
                  <wp:docPr id="70" name="Gráfico 70">
                    <a:extLst xmlns:a="http://schemas.openxmlformats.org/drawingml/2006/main">
                      <a:ext uri="{FF2B5EF4-FFF2-40B4-BE49-F238E27FC236}">
                        <a16:creationId xmlns:a16="http://schemas.microsoft.com/office/drawing/2014/main" id="{760176E1-357D-4483-8CD2-C771B5B7B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390" w:type="dxa"/>
          </w:tcPr>
          <w:p w14:paraId="5DA3EA60" w14:textId="77777777" w:rsidR="005F38A6" w:rsidRPr="008678BE" w:rsidRDefault="005F38A6" w:rsidP="00BF6159">
            <w:pPr>
              <w:jc w:val="center"/>
              <w:rPr>
                <w:b/>
                <w:lang w:val="es-ES"/>
              </w:rPr>
            </w:pPr>
            <w:r w:rsidRPr="008678BE">
              <w:rPr>
                <w:b/>
                <w:lang w:val="es-ES"/>
              </w:rPr>
              <w:t>Gasto Público: Error promedio absoluto de pronóstico</w:t>
            </w:r>
          </w:p>
          <w:p w14:paraId="74635A6F" w14:textId="77777777" w:rsidR="005F38A6" w:rsidRDefault="005F38A6" w:rsidP="00BF6159">
            <w:pPr>
              <w:jc w:val="center"/>
              <w:rPr>
                <w:sz w:val="20"/>
                <w:szCs w:val="20"/>
                <w:lang w:val="es-ES"/>
              </w:rPr>
            </w:pPr>
            <w:r w:rsidRPr="00594860">
              <w:rPr>
                <w:sz w:val="20"/>
                <w:szCs w:val="20"/>
                <w:lang w:val="es-ES"/>
              </w:rPr>
              <w:t>(en</w:t>
            </w:r>
            <w:r>
              <w:rPr>
                <w:sz w:val="20"/>
                <w:szCs w:val="20"/>
                <w:lang w:val="es-ES"/>
              </w:rPr>
              <w:t xml:space="preserve"> porcentajes del PIB</w:t>
            </w:r>
            <w:r w:rsidRPr="00594860">
              <w:rPr>
                <w:sz w:val="20"/>
                <w:szCs w:val="20"/>
                <w:lang w:val="es-ES"/>
              </w:rPr>
              <w:t>)</w:t>
            </w:r>
          </w:p>
          <w:p w14:paraId="2291544E" w14:textId="77777777" w:rsidR="005F38A6" w:rsidRDefault="005F38A6" w:rsidP="006A7377">
            <w:pPr>
              <w:rPr>
                <w:sz w:val="16"/>
                <w:szCs w:val="16"/>
                <w:lang w:val="es-ES"/>
              </w:rPr>
            </w:pPr>
          </w:p>
          <w:p w14:paraId="3C5BF11A" w14:textId="77777777" w:rsidR="005F38A6" w:rsidRDefault="005F38A6" w:rsidP="006A7377">
            <w:pPr>
              <w:rPr>
                <w:sz w:val="16"/>
                <w:szCs w:val="16"/>
                <w:lang w:val="es-ES"/>
              </w:rPr>
            </w:pPr>
            <w:r>
              <w:rPr>
                <w:noProof/>
              </w:rPr>
              <w:drawing>
                <wp:inline distT="0" distB="0" distL="0" distR="0" wp14:anchorId="0EBDC129" wp14:editId="1738620A">
                  <wp:extent cx="2724785" cy="1644015"/>
                  <wp:effectExtent l="0" t="0" r="0" b="0"/>
                  <wp:docPr id="71" name="Gráfico 71">
                    <a:extLst xmlns:a="http://schemas.openxmlformats.org/drawingml/2006/main">
                      <a:ext uri="{FF2B5EF4-FFF2-40B4-BE49-F238E27FC236}">
                        <a16:creationId xmlns:a16="http://schemas.microsoft.com/office/drawing/2014/main" id="{0E6BC154-D708-4A1A-ACF1-4B453A6DE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5F38A6" w14:paraId="7C0F003C" w14:textId="77777777" w:rsidTr="006A7377">
        <w:tc>
          <w:tcPr>
            <w:tcW w:w="8838" w:type="dxa"/>
            <w:gridSpan w:val="2"/>
          </w:tcPr>
          <w:p w14:paraId="026D69A2" w14:textId="77777777" w:rsidR="005F38A6" w:rsidRPr="008678BE" w:rsidRDefault="005F38A6" w:rsidP="00344F23">
            <w:pPr>
              <w:jc w:val="center"/>
              <w:rPr>
                <w:b/>
                <w:lang w:val="es-ES"/>
              </w:rPr>
            </w:pPr>
            <w:r w:rsidRPr="008678BE">
              <w:rPr>
                <w:b/>
                <w:lang w:val="es-ES"/>
              </w:rPr>
              <w:t>Gasto Público: Distribución de errores de pronóstico</w:t>
            </w:r>
          </w:p>
          <w:p w14:paraId="3A7A1BCE" w14:textId="77777777" w:rsidR="005F38A6" w:rsidRPr="00344F23" w:rsidRDefault="005F38A6" w:rsidP="00344F23">
            <w:pPr>
              <w:jc w:val="center"/>
              <w:rPr>
                <w:bCs/>
                <w:sz w:val="20"/>
                <w:szCs w:val="20"/>
                <w:lang w:val="es-ES"/>
              </w:rPr>
            </w:pPr>
            <w:r w:rsidRPr="00344F23">
              <w:rPr>
                <w:bCs/>
                <w:sz w:val="20"/>
                <w:szCs w:val="20"/>
                <w:lang w:val="es-ES"/>
              </w:rPr>
              <w:t>(en porcentajes del PIB)</w:t>
            </w:r>
          </w:p>
          <w:p w14:paraId="79899144" w14:textId="77777777" w:rsidR="005F38A6" w:rsidRPr="00594860" w:rsidRDefault="005F38A6" w:rsidP="006A7377">
            <w:pPr>
              <w:rPr>
                <w:sz w:val="20"/>
                <w:szCs w:val="20"/>
                <w:lang w:val="es-ES"/>
              </w:rPr>
            </w:pPr>
            <w:r>
              <w:rPr>
                <w:noProof/>
              </w:rPr>
              <mc:AlternateContent>
                <mc:Choice Requires="cx1">
                  <w:drawing>
                    <wp:inline distT="0" distB="0" distL="0" distR="0" wp14:anchorId="662C92CD" wp14:editId="570CAB33">
                      <wp:extent cx="4972050" cy="1894703"/>
                      <wp:effectExtent l="0" t="0" r="0" b="10795"/>
                      <wp:docPr id="72" name="Gráfico 72">
                        <a:extLst xmlns:a="http://schemas.openxmlformats.org/drawingml/2006/main">
                          <a:ext uri="{FF2B5EF4-FFF2-40B4-BE49-F238E27FC236}">
                            <a16:creationId xmlns:a16="http://schemas.microsoft.com/office/drawing/2014/main" id="{885CD466-34DC-492F-903D-2B955A93DDA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662C92CD" wp14:editId="570CAB33">
                      <wp:extent cx="4972050" cy="1894703"/>
                      <wp:effectExtent l="0" t="0" r="0" b="10795"/>
                      <wp:docPr id="72" name="Gráfico 72">
                        <a:extLst xmlns:a="http://schemas.openxmlformats.org/drawingml/2006/main">
                          <a:ext uri="{FF2B5EF4-FFF2-40B4-BE49-F238E27FC236}">
                            <a16:creationId xmlns:a16="http://schemas.microsoft.com/office/drawing/2014/main" id="{885CD466-34DC-492F-903D-2B955A93DDA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2" name="Gráfico 72">
                                <a:extLst>
                                  <a:ext uri="{FF2B5EF4-FFF2-40B4-BE49-F238E27FC236}">
                                    <a16:creationId xmlns:a16="http://schemas.microsoft.com/office/drawing/2014/main" id="{885CD466-34DC-492F-903D-2B955A93DDA3}"/>
                                  </a:ext>
                                </a:extLst>
                              </pic:cNvPr>
                              <pic:cNvPicPr>
                                <a:picLocks noGrp="1" noRot="1" noChangeAspect="1" noMove="1" noResize="1" noEditPoints="1" noAdjustHandles="1" noChangeArrowheads="1" noChangeShapeType="1"/>
                              </pic:cNvPicPr>
                            </pic:nvPicPr>
                            <pic:blipFill>
                              <a:blip r:embed="rId38"/>
                              <a:stretch>
                                <a:fillRect/>
                              </a:stretch>
                            </pic:blipFill>
                            <pic:spPr>
                              <a:xfrm>
                                <a:off x="0" y="0"/>
                                <a:ext cx="4972050" cy="1894205"/>
                              </a:xfrm>
                              <a:prstGeom prst="rect">
                                <a:avLst/>
                              </a:prstGeom>
                            </pic:spPr>
                          </pic:pic>
                        </a:graphicData>
                      </a:graphic>
                    </wp:inline>
                  </w:drawing>
                </mc:Fallback>
              </mc:AlternateContent>
            </w:r>
          </w:p>
          <w:p w14:paraId="2D96CFF8" w14:textId="77777777" w:rsidR="005F38A6" w:rsidRDefault="005F38A6" w:rsidP="006A7377">
            <w:pPr>
              <w:rPr>
                <w:sz w:val="16"/>
                <w:szCs w:val="16"/>
                <w:lang w:val="es-ES"/>
              </w:rPr>
            </w:pPr>
            <w:r w:rsidRPr="0059191F">
              <w:rPr>
                <w:sz w:val="16"/>
                <w:szCs w:val="16"/>
                <w:lang w:val="es-ES"/>
              </w:rPr>
              <w:t>Fuente: Dirección de Análisis y Política Fiscal</w:t>
            </w:r>
          </w:p>
          <w:p w14:paraId="0DB53716" w14:textId="77777777" w:rsidR="005F38A6" w:rsidRDefault="005F38A6" w:rsidP="006A7377">
            <w:pPr>
              <w:rPr>
                <w:sz w:val="16"/>
                <w:szCs w:val="16"/>
                <w:lang w:val="es-ES"/>
              </w:rPr>
            </w:pPr>
          </w:p>
        </w:tc>
      </w:tr>
    </w:tbl>
    <w:p w14:paraId="6688F54E" w14:textId="77777777" w:rsidR="005F38A6" w:rsidRPr="00987058" w:rsidRDefault="005F38A6" w:rsidP="005F07F9">
      <w:pPr>
        <w:pStyle w:val="Ttulo2"/>
        <w:numPr>
          <w:ilvl w:val="3"/>
          <w:numId w:val="35"/>
        </w:numPr>
        <w:tabs>
          <w:tab w:val="left" w:pos="993"/>
        </w:tabs>
        <w:ind w:left="567" w:hanging="283"/>
        <w:rPr>
          <w:bCs/>
        </w:rPr>
      </w:pPr>
      <w:bookmarkStart w:id="69" w:name="_Toc144114355"/>
      <w:r w:rsidRPr="00987058">
        <w:rPr>
          <w:bCs/>
        </w:rPr>
        <w:t>Déficit Fiscal</w:t>
      </w:r>
      <w:bookmarkEnd w:id="69"/>
    </w:p>
    <w:p w14:paraId="17A22539" w14:textId="77777777" w:rsidR="00987058" w:rsidRDefault="00987058" w:rsidP="005F38A6">
      <w:pPr>
        <w:jc w:val="both"/>
        <w:rPr>
          <w:lang w:val="es-ES"/>
        </w:rPr>
      </w:pPr>
    </w:p>
    <w:p w14:paraId="2F37A6C0" w14:textId="71A665F4" w:rsidR="005F38A6" w:rsidRDefault="005F38A6" w:rsidP="005F38A6">
      <w:pPr>
        <w:jc w:val="both"/>
        <w:rPr>
          <w:lang w:val="es-ES"/>
        </w:rPr>
      </w:pPr>
      <w:r w:rsidRPr="00800700">
        <w:rPr>
          <w:lang w:val="es-ES"/>
        </w:rPr>
        <w:t>Como resultado de la proyección de ingresos prevista, y con base en la asignación de techos presupuestarios, para responder a las necesidades de la sociedad guatemalteca y tomando en consideración los compromisos ineludibles del Estado, se tiene al final de cada ejercicio fiscal un resultado deficitario</w:t>
      </w:r>
      <w:r>
        <w:rPr>
          <w:lang w:val="es-ES"/>
        </w:rPr>
        <w:t>.</w:t>
      </w:r>
    </w:p>
    <w:p w14:paraId="349751E0" w14:textId="77777777" w:rsidR="008678BE" w:rsidRDefault="008678BE" w:rsidP="005F38A6">
      <w:pPr>
        <w:jc w:val="both"/>
        <w:rPr>
          <w:lang w:val="es-ES"/>
        </w:rPr>
      </w:pPr>
    </w:p>
    <w:p w14:paraId="0504DF6E" w14:textId="77777777" w:rsidR="005F38A6" w:rsidRDefault="005F38A6" w:rsidP="005F38A6">
      <w:pPr>
        <w:jc w:val="both"/>
        <w:rPr>
          <w:lang w:val="es-ES"/>
        </w:rPr>
      </w:pPr>
      <w:r w:rsidRPr="00B9227F">
        <w:rPr>
          <w:lang w:val="es-ES"/>
        </w:rPr>
        <w:t>En el déficit fiscal se observa que los mayores errores de pronóstico se dieron en 2020 y 2021</w:t>
      </w:r>
      <w:r>
        <w:rPr>
          <w:lang w:val="es-ES"/>
        </w:rPr>
        <w:t xml:space="preserve">, se esperaba que el déficit fiscal tuviera un comportamiento decreciente, esto como resultado de la reducción gradual que se tenía prevista en el gasto público en el mediano plazo, así como a la mejora de la recaudación tributaria producto de las medidas administrativas que tendría que tener la SAT. No obstante, esta previsión de déficit no se cumplió, para 2020 el déficit fiscal fue el más alto de la serie, como resultado de la atención a la crisis del COVID-19, </w:t>
      </w:r>
      <w:r w:rsidRPr="009619E7">
        <w:rPr>
          <w:lang w:val="es-ES"/>
        </w:rPr>
        <w:t>el gasto público fue altamente expansivo por los programas temporales creados para la atención de la crisis</w:t>
      </w:r>
      <w:r>
        <w:rPr>
          <w:lang w:val="es-ES"/>
        </w:rPr>
        <w:t xml:space="preserve">, en medio de una caída de los ingresos del gobierno. </w:t>
      </w:r>
    </w:p>
    <w:p w14:paraId="4E8C71DE" w14:textId="77777777" w:rsidR="008678BE" w:rsidRDefault="008678BE" w:rsidP="005F38A6">
      <w:pPr>
        <w:jc w:val="both"/>
        <w:rPr>
          <w:lang w:val="es-ES"/>
        </w:rPr>
      </w:pPr>
    </w:p>
    <w:p w14:paraId="26FC43F9" w14:textId="77777777" w:rsidR="005F38A6" w:rsidRDefault="005F38A6" w:rsidP="005F38A6">
      <w:pPr>
        <w:jc w:val="both"/>
        <w:rPr>
          <w:lang w:val="es-ES"/>
        </w:rPr>
      </w:pPr>
      <w:r>
        <w:rPr>
          <w:lang w:val="es-ES"/>
        </w:rPr>
        <w:t>En 2021, aun prevalecía en el ambiente la incertidumbre en torno a</w:t>
      </w:r>
      <w:r w:rsidRPr="005C5242">
        <w:rPr>
          <w:lang w:val="es-ES"/>
        </w:rPr>
        <w:t xml:space="preserve">l COVID-19, las proyecciones </w:t>
      </w:r>
      <w:r>
        <w:rPr>
          <w:lang w:val="es-ES"/>
        </w:rPr>
        <w:t>de déficit fiscal</w:t>
      </w:r>
      <w:r w:rsidRPr="005C5242">
        <w:rPr>
          <w:lang w:val="es-ES"/>
        </w:rPr>
        <w:t xml:space="preserve"> estuvieron sesgadas hacia el alza, es decir, se sobreestim</w:t>
      </w:r>
      <w:r>
        <w:rPr>
          <w:lang w:val="es-ES"/>
        </w:rPr>
        <w:t>ó</w:t>
      </w:r>
      <w:r w:rsidRPr="005C5242">
        <w:rPr>
          <w:lang w:val="es-ES"/>
        </w:rPr>
        <w:t xml:space="preserve"> la </w:t>
      </w:r>
      <w:r w:rsidRPr="005C5242">
        <w:rPr>
          <w:lang w:val="es-ES"/>
        </w:rPr>
        <w:lastRenderedPageBreak/>
        <w:t xml:space="preserve">magnitud del impacto que tendría la crisis del COVID-19. </w:t>
      </w:r>
      <w:r>
        <w:rPr>
          <w:lang w:val="es-ES"/>
        </w:rPr>
        <w:t xml:space="preserve">Por ello, se observa una sobreestimación, especialmente para el presupuesto multianual 2021-2025, se esperaba que el déficit fiscal fuera similar al observado en el año previo, no obstante, los ingresos tributarios se recuperaron, el gasto público se moderó, y el proceso de vacunación avanzó, lo que permitió el retorno a una nueva normalidad y la disminución gradual de las medidas gubernamentales restrictivas. </w:t>
      </w:r>
    </w:p>
    <w:p w14:paraId="00C0ACA9" w14:textId="77777777" w:rsidR="008678BE" w:rsidRDefault="008678BE" w:rsidP="005F38A6">
      <w:pPr>
        <w:jc w:val="both"/>
        <w:rPr>
          <w:lang w:val="es-ES"/>
        </w:rPr>
      </w:pPr>
    </w:p>
    <w:p w14:paraId="36C86619" w14:textId="77777777" w:rsidR="005F38A6" w:rsidRDefault="005F38A6" w:rsidP="005F38A6">
      <w:pPr>
        <w:jc w:val="both"/>
        <w:rPr>
          <w:lang w:val="es-ES"/>
        </w:rPr>
      </w:pPr>
      <w:r w:rsidRPr="00B1632F">
        <w:rPr>
          <w:lang w:val="es-ES"/>
        </w:rPr>
        <w:t>El manejo del déficit fiscal</w:t>
      </w:r>
      <w:r>
        <w:rPr>
          <w:lang w:val="es-ES"/>
        </w:rPr>
        <w:t xml:space="preserve"> en e</w:t>
      </w:r>
      <w:r w:rsidRPr="00B1632F">
        <w:rPr>
          <w:lang w:val="es-ES"/>
        </w:rPr>
        <w:t>l año posterior a la crisis se consideraba un hito, derivado que el ajuste en el déficit fiscal fue inmediato</w:t>
      </w:r>
      <w:r>
        <w:rPr>
          <w:lang w:val="es-ES"/>
        </w:rPr>
        <w:t xml:space="preserve">, siendo determinante </w:t>
      </w:r>
      <w:r w:rsidRPr="00B1632F">
        <w:rPr>
          <w:lang w:val="es-ES"/>
        </w:rPr>
        <w:t>contar durante el año con los resultados positivos de las medidas administrativas que la SAT estaba implementando</w:t>
      </w:r>
      <w:r>
        <w:rPr>
          <w:lang w:val="es-ES"/>
        </w:rPr>
        <w:t xml:space="preserve">, ya que, para todos los meses del año, la recaudación superó la meta establecida. </w:t>
      </w:r>
    </w:p>
    <w:p w14:paraId="467EBE30" w14:textId="77777777" w:rsidR="008678BE" w:rsidRPr="00B1632F" w:rsidRDefault="008678BE" w:rsidP="005F38A6">
      <w:pPr>
        <w:jc w:val="both"/>
        <w:rPr>
          <w:lang w:val="es-ES"/>
        </w:rPr>
      </w:pPr>
    </w:p>
    <w:p w14:paraId="4101A13A" w14:textId="77777777" w:rsidR="005F38A6" w:rsidRDefault="005F38A6" w:rsidP="005F38A6">
      <w:pPr>
        <w:jc w:val="both"/>
        <w:rPr>
          <w:lang w:val="es-ES"/>
        </w:rPr>
      </w:pPr>
      <w:r w:rsidRPr="00B1632F">
        <w:rPr>
          <w:lang w:val="es-ES"/>
        </w:rPr>
        <w:t xml:space="preserve">Para 2022, se observa </w:t>
      </w:r>
      <w:r>
        <w:rPr>
          <w:lang w:val="es-ES"/>
        </w:rPr>
        <w:t xml:space="preserve">nuevamente </w:t>
      </w:r>
      <w:r w:rsidRPr="00B1632F">
        <w:rPr>
          <w:lang w:val="es-ES"/>
        </w:rPr>
        <w:t xml:space="preserve">una sobreestimación del déficit fiscal en cada uno de los ejercicios de presupuesto multianual, </w:t>
      </w:r>
      <w:r>
        <w:rPr>
          <w:lang w:val="es-ES"/>
        </w:rPr>
        <w:t>nuevamente la recaudación tributaria en cada uno de los meses superó la meta establecida y esto permitió un déficit fiscal menor al proyectado.</w:t>
      </w:r>
    </w:p>
    <w:p w14:paraId="16078248" w14:textId="77777777" w:rsidR="008678BE" w:rsidRDefault="008678BE" w:rsidP="005F38A6">
      <w:pPr>
        <w:jc w:val="both"/>
        <w:rPr>
          <w:lang w:val="es-ES"/>
        </w:rPr>
      </w:pPr>
    </w:p>
    <w:p w14:paraId="7693073B" w14:textId="4D1EAA36" w:rsidR="005F38A6" w:rsidRPr="00344F23" w:rsidRDefault="00344F23" w:rsidP="00344F23">
      <w:pPr>
        <w:pStyle w:val="Descripcin"/>
        <w:rPr>
          <w:rFonts w:eastAsiaTheme="minorEastAsia"/>
          <w:color w:val="auto"/>
          <w:kern w:val="24"/>
        </w:rPr>
      </w:pPr>
      <w:bookmarkStart w:id="70" w:name="_Toc143593570"/>
      <w:r w:rsidRPr="00344F23">
        <w:rPr>
          <w:color w:val="auto"/>
        </w:rPr>
        <w:t xml:space="preserve">Gráfico </w:t>
      </w:r>
      <w:r w:rsidRPr="00344F23">
        <w:rPr>
          <w:color w:val="auto"/>
        </w:rPr>
        <w:fldChar w:fldCharType="begin"/>
      </w:r>
      <w:r w:rsidRPr="00344F23">
        <w:rPr>
          <w:color w:val="auto"/>
        </w:rPr>
        <w:instrText xml:space="preserve"> SEQ Gráfico \* ARABIC </w:instrText>
      </w:r>
      <w:r w:rsidRPr="00344F23">
        <w:rPr>
          <w:color w:val="auto"/>
        </w:rPr>
        <w:fldChar w:fldCharType="separate"/>
      </w:r>
      <w:r w:rsidR="00A62AFA">
        <w:rPr>
          <w:noProof/>
          <w:color w:val="auto"/>
        </w:rPr>
        <w:t>12</w:t>
      </w:r>
      <w:r w:rsidRPr="00344F23">
        <w:rPr>
          <w:color w:val="auto"/>
        </w:rPr>
        <w:fldChar w:fldCharType="end"/>
      </w:r>
      <w:r w:rsidRPr="00344F23">
        <w:rPr>
          <w:color w:val="auto"/>
        </w:rPr>
        <w:t xml:space="preserve">. </w:t>
      </w:r>
      <w:r w:rsidRPr="00344F23">
        <w:rPr>
          <w:rFonts w:eastAsiaTheme="minorEastAsia"/>
          <w:color w:val="auto"/>
          <w:kern w:val="24"/>
        </w:rPr>
        <w:t>Déficit Fiscal: Error de pronóstico</w:t>
      </w:r>
      <w:bookmarkEnd w:id="70"/>
    </w:p>
    <w:p w14:paraId="0189687C" w14:textId="77777777" w:rsidR="005F38A6" w:rsidRDefault="005F38A6" w:rsidP="005F38A6">
      <w:pPr>
        <w:pStyle w:val="Encabezado"/>
        <w:jc w:val="center"/>
        <w:textAlignment w:val="baseline"/>
        <w:rPr>
          <w:rFonts w:eastAsiaTheme="minorEastAsia"/>
          <w:kern w:val="24"/>
          <w:sz w:val="21"/>
          <w:szCs w:val="21"/>
        </w:rPr>
      </w:pPr>
      <w:r w:rsidRPr="0059191F">
        <w:rPr>
          <w:rFonts w:eastAsiaTheme="minorEastAsia"/>
          <w:kern w:val="24"/>
          <w:sz w:val="21"/>
          <w:szCs w:val="21"/>
        </w:rPr>
        <w:t xml:space="preserve">(en </w:t>
      </w:r>
      <w:r>
        <w:rPr>
          <w:rFonts w:eastAsiaTheme="minorEastAsia"/>
          <w:kern w:val="24"/>
          <w:sz w:val="21"/>
          <w:szCs w:val="21"/>
        </w:rPr>
        <w:t>porcentajes del PIB</w:t>
      </w:r>
      <w:r w:rsidRPr="0059191F">
        <w:rPr>
          <w:rFonts w:eastAsiaTheme="minorEastAsia"/>
          <w:kern w:val="24"/>
          <w:sz w:val="21"/>
          <w:szCs w:val="21"/>
        </w:rPr>
        <w:t>)</w:t>
      </w:r>
    </w:p>
    <w:p w14:paraId="0F7A0EE1" w14:textId="77777777" w:rsidR="005F38A6" w:rsidRPr="00AA62A5" w:rsidRDefault="005F38A6" w:rsidP="005F38A6">
      <w:pPr>
        <w:rPr>
          <w:b/>
          <w:bCs/>
        </w:rPr>
      </w:pPr>
      <w:r>
        <w:rPr>
          <w:noProof/>
        </w:rPr>
        <w:drawing>
          <wp:inline distT="0" distB="0" distL="0" distR="0" wp14:anchorId="061B78C8" wp14:editId="68D5FFB5">
            <wp:extent cx="5598795" cy="2579427"/>
            <wp:effectExtent l="0" t="0" r="1905" b="0"/>
            <wp:docPr id="73" name="Gráfico 73">
              <a:extLst xmlns:a="http://schemas.openxmlformats.org/drawingml/2006/main">
                <a:ext uri="{FF2B5EF4-FFF2-40B4-BE49-F238E27FC236}">
                  <a16:creationId xmlns:a16="http://schemas.microsoft.com/office/drawing/2014/main" id="{9BB153FA-C124-4E37-8725-7201477B1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997932" w14:textId="77777777" w:rsidR="005F38A6" w:rsidRDefault="005F38A6" w:rsidP="005F38A6">
      <w:pPr>
        <w:rPr>
          <w:sz w:val="16"/>
          <w:szCs w:val="16"/>
          <w:lang w:val="es-ES"/>
        </w:rPr>
      </w:pPr>
      <w:r w:rsidRPr="0059191F">
        <w:rPr>
          <w:sz w:val="16"/>
          <w:szCs w:val="16"/>
          <w:lang w:val="es-ES"/>
        </w:rPr>
        <w:t>Fuente: Dirección de Análisis y Política Fiscal</w:t>
      </w:r>
    </w:p>
    <w:p w14:paraId="6B53BB03" w14:textId="77777777" w:rsidR="00B150B0" w:rsidRDefault="00B150B0" w:rsidP="005F38A6">
      <w:pPr>
        <w:jc w:val="both"/>
        <w:rPr>
          <w:lang w:val="es-ES"/>
        </w:rPr>
      </w:pPr>
      <w:bookmarkStart w:id="71" w:name="_Hlk138770291"/>
    </w:p>
    <w:p w14:paraId="12CB65FF" w14:textId="5E151F04" w:rsidR="005F38A6" w:rsidRDefault="005F38A6" w:rsidP="005F38A6">
      <w:pPr>
        <w:jc w:val="both"/>
        <w:rPr>
          <w:lang w:val="es-ES"/>
        </w:rPr>
      </w:pPr>
      <w:r w:rsidRPr="0031151A">
        <w:rPr>
          <w:lang w:val="es-ES"/>
        </w:rPr>
        <w:t xml:space="preserve">Respecto al error promedio absoluto de pronóstico, se observa que en el </w:t>
      </w:r>
      <w:r>
        <w:rPr>
          <w:lang w:val="es-ES"/>
        </w:rPr>
        <w:t xml:space="preserve">año </w:t>
      </w:r>
      <w:r w:rsidRPr="0031151A">
        <w:rPr>
          <w:lang w:val="es-ES"/>
        </w:rPr>
        <w:t>presupuest</w:t>
      </w:r>
      <w:r>
        <w:rPr>
          <w:lang w:val="es-ES"/>
        </w:rPr>
        <w:t xml:space="preserve">ario el error es de 0.97% del PIB, en el año presupuestario +1 es de 0.69% del PIB y en el año presupuestario +2 es de 0.73% del PIB. Como se comentó anteriormente, en el presupuesto </w:t>
      </w:r>
      <w:r w:rsidRPr="0031151A">
        <w:rPr>
          <w:lang w:val="es-ES"/>
        </w:rPr>
        <w:t>multianual 2021-2025</w:t>
      </w:r>
      <w:r>
        <w:rPr>
          <w:lang w:val="es-ES"/>
        </w:rPr>
        <w:t xml:space="preserve">, </w:t>
      </w:r>
      <w:r w:rsidRPr="0031151A">
        <w:rPr>
          <w:lang w:val="es-ES"/>
        </w:rPr>
        <w:t>el error de pronóstico es más alto</w:t>
      </w:r>
      <w:r>
        <w:rPr>
          <w:lang w:val="es-ES"/>
        </w:rPr>
        <w:t>, esto ocasiona que en el año presupuestario el error sea mayor. En el caso del déficit fiscal, se considera positivo que contrario a lo esperado, el déficit fiscal sea bajo y tenga una tendencia hacia la reducción, se espera que los resultados positivos en recaudación tributaria sean sostenibles y respondan a cimientos sólidos, lo cual continuará permitiendo la obtención de déficit fiscales moderados y sostenibles.</w:t>
      </w:r>
    </w:p>
    <w:p w14:paraId="44BE762A" w14:textId="77777777" w:rsidR="00344F23" w:rsidRDefault="00344F23" w:rsidP="00344F23">
      <w:pPr>
        <w:pStyle w:val="Descripcin"/>
        <w:jc w:val="both"/>
      </w:pPr>
    </w:p>
    <w:p w14:paraId="59C7F695" w14:textId="195CA0E6" w:rsidR="00344F23" w:rsidRPr="00344F23" w:rsidRDefault="00344F23" w:rsidP="00344F23">
      <w:pPr>
        <w:keepNext/>
        <w:jc w:val="both"/>
        <w:rPr>
          <w:b/>
          <w:bCs/>
          <w:lang w:val="es-ES"/>
        </w:rPr>
      </w:pPr>
      <w:bookmarkStart w:id="72" w:name="_Toc143593571"/>
      <w:r w:rsidRPr="00344F23">
        <w:rPr>
          <w:b/>
          <w:bCs/>
        </w:rPr>
        <w:lastRenderedPageBreak/>
        <w:t xml:space="preserve">Gráfico </w:t>
      </w:r>
      <w:r w:rsidRPr="00344F23">
        <w:rPr>
          <w:b/>
          <w:bCs/>
        </w:rPr>
        <w:fldChar w:fldCharType="begin"/>
      </w:r>
      <w:r w:rsidRPr="00344F23">
        <w:rPr>
          <w:b/>
          <w:bCs/>
        </w:rPr>
        <w:instrText xml:space="preserve"> SEQ Gráfico \* ARABIC </w:instrText>
      </w:r>
      <w:r w:rsidRPr="00344F23">
        <w:rPr>
          <w:b/>
          <w:bCs/>
        </w:rPr>
        <w:fldChar w:fldCharType="separate"/>
      </w:r>
      <w:r w:rsidR="00A62AFA">
        <w:rPr>
          <w:b/>
          <w:bCs/>
          <w:noProof/>
        </w:rPr>
        <w:t>13</w:t>
      </w:r>
      <w:r w:rsidRPr="00344F23">
        <w:rPr>
          <w:b/>
          <w:bCs/>
        </w:rPr>
        <w:fldChar w:fldCharType="end"/>
      </w:r>
      <w:r w:rsidRPr="00344F23">
        <w:rPr>
          <w:b/>
          <w:bCs/>
        </w:rPr>
        <w:t xml:space="preserve">.  </w:t>
      </w:r>
      <w:r w:rsidRPr="00344F23">
        <w:rPr>
          <w:b/>
          <w:bCs/>
          <w:lang w:val="es-ES"/>
        </w:rPr>
        <w:t>Déficit Fiscal</w:t>
      </w:r>
      <w:bookmarkEnd w:id="72"/>
    </w:p>
    <w:tbl>
      <w:tblPr>
        <w:tblW w:w="0" w:type="auto"/>
        <w:tblCellMar>
          <w:left w:w="70" w:type="dxa"/>
          <w:right w:w="70" w:type="dxa"/>
        </w:tblCellMar>
        <w:tblLook w:val="04A0" w:firstRow="1" w:lastRow="0" w:firstColumn="1" w:lastColumn="0" w:noHBand="0" w:noVBand="1"/>
      </w:tblPr>
      <w:tblGrid>
        <w:gridCol w:w="4776"/>
        <w:gridCol w:w="4062"/>
      </w:tblGrid>
      <w:tr w:rsidR="005F38A6" w14:paraId="4B352360" w14:textId="77777777" w:rsidTr="006A7377">
        <w:tc>
          <w:tcPr>
            <w:tcW w:w="4905" w:type="dxa"/>
          </w:tcPr>
          <w:p w14:paraId="201495F2" w14:textId="77777777" w:rsidR="005F38A6" w:rsidRPr="008678BE" w:rsidRDefault="005F38A6" w:rsidP="00BF6159">
            <w:pPr>
              <w:jc w:val="center"/>
              <w:rPr>
                <w:b/>
                <w:lang w:val="es-ES"/>
              </w:rPr>
            </w:pPr>
            <w:bookmarkStart w:id="73" w:name="_Hlk137821582"/>
            <w:bookmarkEnd w:id="71"/>
            <w:r w:rsidRPr="008678BE">
              <w:rPr>
                <w:b/>
                <w:lang w:val="es-ES"/>
              </w:rPr>
              <w:t>Déficit Fiscal: Error de Pronóstico promedio</w:t>
            </w:r>
          </w:p>
          <w:p w14:paraId="50C92221" w14:textId="77777777" w:rsidR="005F38A6" w:rsidRPr="00594860" w:rsidRDefault="005F38A6" w:rsidP="00BF6159">
            <w:pPr>
              <w:jc w:val="center"/>
              <w:rPr>
                <w:sz w:val="20"/>
                <w:szCs w:val="20"/>
                <w:lang w:val="es-ES"/>
              </w:rPr>
            </w:pPr>
            <w:r w:rsidRPr="00594860">
              <w:rPr>
                <w:sz w:val="20"/>
                <w:szCs w:val="20"/>
                <w:lang w:val="es-ES"/>
              </w:rPr>
              <w:t xml:space="preserve">(en </w:t>
            </w:r>
            <w:r>
              <w:rPr>
                <w:sz w:val="20"/>
                <w:szCs w:val="20"/>
                <w:lang w:val="es-ES"/>
              </w:rPr>
              <w:t>porcentajes del PIB</w:t>
            </w:r>
            <w:r w:rsidRPr="00594860">
              <w:rPr>
                <w:sz w:val="20"/>
                <w:szCs w:val="20"/>
                <w:lang w:val="es-ES"/>
              </w:rPr>
              <w:t>)</w:t>
            </w:r>
          </w:p>
          <w:p w14:paraId="61184D2D" w14:textId="77777777" w:rsidR="005F38A6" w:rsidRDefault="005F38A6" w:rsidP="006A7377">
            <w:pPr>
              <w:ind w:right="77"/>
              <w:rPr>
                <w:sz w:val="16"/>
                <w:szCs w:val="16"/>
                <w:lang w:val="es-ES"/>
              </w:rPr>
            </w:pPr>
            <w:r>
              <w:rPr>
                <w:noProof/>
              </w:rPr>
              <w:drawing>
                <wp:inline distT="0" distB="0" distL="0" distR="0" wp14:anchorId="6B6E9092" wp14:editId="749A705B">
                  <wp:extent cx="2982036" cy="1623695"/>
                  <wp:effectExtent l="0" t="0" r="8890" b="0"/>
                  <wp:docPr id="74" name="Gráfico 74">
                    <a:extLst xmlns:a="http://schemas.openxmlformats.org/drawingml/2006/main">
                      <a:ext uri="{FF2B5EF4-FFF2-40B4-BE49-F238E27FC236}">
                        <a16:creationId xmlns:a16="http://schemas.microsoft.com/office/drawing/2014/main" id="{FBC6F300-9548-4FCB-A2F8-A7F002E90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933" w:type="dxa"/>
          </w:tcPr>
          <w:p w14:paraId="7C558FE9" w14:textId="77777777" w:rsidR="005F38A6" w:rsidRPr="008678BE" w:rsidRDefault="005F38A6" w:rsidP="00BF6159">
            <w:pPr>
              <w:jc w:val="center"/>
              <w:rPr>
                <w:b/>
                <w:lang w:val="es-ES"/>
              </w:rPr>
            </w:pPr>
            <w:r w:rsidRPr="008678BE">
              <w:rPr>
                <w:b/>
                <w:lang w:val="es-ES"/>
              </w:rPr>
              <w:t>Déficit Fiscal: Error promedio absoluto de pronóstico</w:t>
            </w:r>
          </w:p>
          <w:p w14:paraId="797ED24E" w14:textId="77777777" w:rsidR="005F38A6" w:rsidRDefault="005F38A6" w:rsidP="00BF6159">
            <w:pPr>
              <w:jc w:val="center"/>
              <w:rPr>
                <w:sz w:val="20"/>
                <w:szCs w:val="20"/>
                <w:lang w:val="es-ES"/>
              </w:rPr>
            </w:pPr>
            <w:r w:rsidRPr="00594860">
              <w:rPr>
                <w:sz w:val="20"/>
                <w:szCs w:val="20"/>
                <w:lang w:val="es-ES"/>
              </w:rPr>
              <w:t xml:space="preserve">(en </w:t>
            </w:r>
            <w:r>
              <w:rPr>
                <w:sz w:val="20"/>
                <w:szCs w:val="20"/>
                <w:lang w:val="es-ES"/>
              </w:rPr>
              <w:t>porcentajes del PIB</w:t>
            </w:r>
            <w:r w:rsidRPr="00594860">
              <w:rPr>
                <w:sz w:val="20"/>
                <w:szCs w:val="20"/>
                <w:lang w:val="es-ES"/>
              </w:rPr>
              <w:t>)</w:t>
            </w:r>
          </w:p>
          <w:p w14:paraId="4FC81E09" w14:textId="77777777" w:rsidR="005F38A6" w:rsidRDefault="005F38A6" w:rsidP="006A7377">
            <w:pPr>
              <w:rPr>
                <w:sz w:val="16"/>
                <w:szCs w:val="16"/>
                <w:lang w:val="es-ES"/>
              </w:rPr>
            </w:pPr>
            <w:r>
              <w:rPr>
                <w:noProof/>
              </w:rPr>
              <w:drawing>
                <wp:inline distT="0" distB="0" distL="0" distR="0" wp14:anchorId="0D38B56E" wp14:editId="08BB6DDD">
                  <wp:extent cx="2570480" cy="1450700"/>
                  <wp:effectExtent l="0" t="0" r="1270" b="0"/>
                  <wp:docPr id="75" name="Gráfico 75">
                    <a:extLst xmlns:a="http://schemas.openxmlformats.org/drawingml/2006/main">
                      <a:ext uri="{FF2B5EF4-FFF2-40B4-BE49-F238E27FC236}">
                        <a16:creationId xmlns:a16="http://schemas.microsoft.com/office/drawing/2014/main" id="{64020003-811C-4DA0-AEC4-351AAC803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5F38A6" w14:paraId="67B6921B" w14:textId="77777777" w:rsidTr="006A7377">
        <w:tc>
          <w:tcPr>
            <w:tcW w:w="8838" w:type="dxa"/>
            <w:gridSpan w:val="2"/>
          </w:tcPr>
          <w:p w14:paraId="509AE720" w14:textId="77777777" w:rsidR="005F38A6" w:rsidRPr="008678BE" w:rsidRDefault="005F38A6" w:rsidP="00344F23">
            <w:pPr>
              <w:jc w:val="center"/>
              <w:rPr>
                <w:b/>
                <w:lang w:val="es-ES"/>
              </w:rPr>
            </w:pPr>
            <w:r w:rsidRPr="008678BE">
              <w:rPr>
                <w:b/>
                <w:lang w:val="es-ES"/>
              </w:rPr>
              <w:t>Déficit Fiscal: Distribución de errores de pronóstico</w:t>
            </w:r>
          </w:p>
          <w:p w14:paraId="61A19AE1" w14:textId="77777777" w:rsidR="005F38A6" w:rsidRDefault="005F38A6" w:rsidP="00344F23">
            <w:pPr>
              <w:jc w:val="center"/>
              <w:rPr>
                <w:sz w:val="20"/>
                <w:szCs w:val="20"/>
                <w:lang w:val="es-ES"/>
              </w:rPr>
            </w:pPr>
            <w:r w:rsidRPr="00594860">
              <w:rPr>
                <w:sz w:val="20"/>
                <w:szCs w:val="20"/>
                <w:lang w:val="es-ES"/>
              </w:rPr>
              <w:t xml:space="preserve">(en </w:t>
            </w:r>
            <w:r>
              <w:rPr>
                <w:sz w:val="20"/>
                <w:szCs w:val="20"/>
                <w:lang w:val="es-ES"/>
              </w:rPr>
              <w:t>porcentajes del PIB</w:t>
            </w:r>
            <w:r w:rsidRPr="00594860">
              <w:rPr>
                <w:sz w:val="20"/>
                <w:szCs w:val="20"/>
                <w:lang w:val="es-ES"/>
              </w:rPr>
              <w:t>)</w:t>
            </w:r>
          </w:p>
          <w:p w14:paraId="0FBF84EE" w14:textId="77777777" w:rsidR="005F38A6" w:rsidRPr="00594860" w:rsidRDefault="005F38A6" w:rsidP="00344F23">
            <w:pPr>
              <w:jc w:val="center"/>
              <w:rPr>
                <w:sz w:val="20"/>
                <w:szCs w:val="20"/>
                <w:lang w:val="es-ES"/>
              </w:rPr>
            </w:pPr>
            <w:r>
              <w:rPr>
                <w:noProof/>
              </w:rPr>
              <mc:AlternateContent>
                <mc:Choice Requires="cx1">
                  <w:drawing>
                    <wp:inline distT="0" distB="0" distL="0" distR="0" wp14:anchorId="156298A5" wp14:editId="52D45578">
                      <wp:extent cx="4981575" cy="2202511"/>
                      <wp:effectExtent l="0" t="0" r="9525" b="7620"/>
                      <wp:docPr id="76" name="Gráfico 76">
                        <a:extLst xmlns:a="http://schemas.openxmlformats.org/drawingml/2006/main">
                          <a:ext uri="{FF2B5EF4-FFF2-40B4-BE49-F238E27FC236}">
                            <a16:creationId xmlns:a16="http://schemas.microsoft.com/office/drawing/2014/main" id="{DA351038-91E2-40B0-9F5B-186E80D4500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2"/>
                        </a:graphicData>
                      </a:graphic>
                    </wp:inline>
                  </w:drawing>
                </mc:Choice>
                <mc:Fallback>
                  <w:drawing>
                    <wp:inline distT="0" distB="0" distL="0" distR="0" wp14:anchorId="156298A5" wp14:editId="52D45578">
                      <wp:extent cx="4981575" cy="2202511"/>
                      <wp:effectExtent l="0" t="0" r="9525" b="7620"/>
                      <wp:docPr id="76" name="Gráfico 76">
                        <a:extLst xmlns:a="http://schemas.openxmlformats.org/drawingml/2006/main">
                          <a:ext uri="{FF2B5EF4-FFF2-40B4-BE49-F238E27FC236}">
                            <a16:creationId xmlns:a16="http://schemas.microsoft.com/office/drawing/2014/main" id="{DA351038-91E2-40B0-9F5B-186E80D4500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6" name="Gráfico 76">
                                <a:extLst>
                                  <a:ext uri="{FF2B5EF4-FFF2-40B4-BE49-F238E27FC236}">
                                    <a16:creationId xmlns:a16="http://schemas.microsoft.com/office/drawing/2014/main" id="{DA351038-91E2-40B0-9F5B-186E80D4500A}"/>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4981575" cy="2202180"/>
                              </a:xfrm>
                              <a:prstGeom prst="rect">
                                <a:avLst/>
                              </a:prstGeom>
                            </pic:spPr>
                          </pic:pic>
                        </a:graphicData>
                      </a:graphic>
                    </wp:inline>
                  </w:drawing>
                </mc:Fallback>
              </mc:AlternateContent>
            </w:r>
          </w:p>
          <w:p w14:paraId="415B541C" w14:textId="5A433C69" w:rsidR="005F38A6" w:rsidRDefault="00344F23" w:rsidP="006A7377">
            <w:pPr>
              <w:rPr>
                <w:sz w:val="16"/>
                <w:szCs w:val="16"/>
                <w:lang w:val="es-ES"/>
              </w:rPr>
            </w:pPr>
            <w:r>
              <w:rPr>
                <w:sz w:val="16"/>
                <w:szCs w:val="16"/>
                <w:lang w:val="es-ES"/>
              </w:rPr>
              <w:t xml:space="preserve">            </w:t>
            </w:r>
            <w:r w:rsidR="005F38A6" w:rsidRPr="0059191F">
              <w:rPr>
                <w:sz w:val="16"/>
                <w:szCs w:val="16"/>
                <w:lang w:val="es-ES"/>
              </w:rPr>
              <w:t>Fuente: Dirección de Análisis y Política Fiscal</w:t>
            </w:r>
          </w:p>
        </w:tc>
      </w:tr>
      <w:bookmarkEnd w:id="73"/>
    </w:tbl>
    <w:p w14:paraId="62101124" w14:textId="77777777" w:rsidR="005F38A6" w:rsidRDefault="005F38A6" w:rsidP="005F38A6">
      <w:pPr>
        <w:rPr>
          <w:b/>
          <w:bCs/>
          <w:lang w:val="es-ES"/>
        </w:rPr>
      </w:pPr>
    </w:p>
    <w:p w14:paraId="1D6E6B2C" w14:textId="77777777" w:rsidR="005F38A6" w:rsidRPr="00987058" w:rsidRDefault="005F38A6" w:rsidP="005F07F9">
      <w:pPr>
        <w:pStyle w:val="Ttulo2"/>
        <w:numPr>
          <w:ilvl w:val="3"/>
          <w:numId w:val="35"/>
        </w:numPr>
        <w:tabs>
          <w:tab w:val="left" w:pos="993"/>
        </w:tabs>
        <w:ind w:left="567" w:hanging="283"/>
        <w:rPr>
          <w:bCs/>
        </w:rPr>
      </w:pPr>
      <w:bookmarkStart w:id="74" w:name="_Toc144114356"/>
      <w:r w:rsidRPr="00987058">
        <w:rPr>
          <w:bCs/>
        </w:rPr>
        <w:t>Techos Indicativos</w:t>
      </w:r>
      <w:bookmarkEnd w:id="74"/>
    </w:p>
    <w:p w14:paraId="089568AE" w14:textId="77777777" w:rsidR="00987058" w:rsidRDefault="00987058" w:rsidP="005F38A6">
      <w:pPr>
        <w:jc w:val="both"/>
      </w:pPr>
    </w:p>
    <w:p w14:paraId="30122956" w14:textId="275259CA" w:rsidR="005F38A6" w:rsidRDefault="005F38A6" w:rsidP="005F38A6">
      <w:pPr>
        <w:jc w:val="both"/>
      </w:pPr>
      <w:r w:rsidRPr="007953AB">
        <w:t>Las desviaciones que se observan entre los techos indicativos de presupuesto propuestos en los diferentes presupuestos multianuales y la asignación real, tienen su explicación por un alto componente político, por la decisión del Congreso de la República de aprobar o no el presupuesto presentado por el Organismo Ejecutivo.</w:t>
      </w:r>
      <w:r>
        <w:t xml:space="preserve"> </w:t>
      </w:r>
      <w:r w:rsidRPr="007953AB">
        <w:t xml:space="preserve">En los últimos 25 años, en 8 oportunidades no </w:t>
      </w:r>
      <w:r w:rsidR="00A676B4">
        <w:t>ha sido</w:t>
      </w:r>
      <w:r w:rsidR="00A676B4" w:rsidRPr="007953AB">
        <w:t xml:space="preserve"> </w:t>
      </w:r>
      <w:r w:rsidRPr="007953AB">
        <w:t xml:space="preserve">aprobado el presupuesto del Estado por parte del Congreso de la República. </w:t>
      </w:r>
    </w:p>
    <w:p w14:paraId="6EF88AF6" w14:textId="77777777" w:rsidR="00BD5C3F" w:rsidRDefault="00BD5C3F" w:rsidP="005F38A6">
      <w:pPr>
        <w:jc w:val="both"/>
      </w:pPr>
    </w:p>
    <w:p w14:paraId="7E804B0D" w14:textId="4FF7F754" w:rsidR="008678BE" w:rsidRDefault="005F38A6" w:rsidP="005F38A6">
      <w:pPr>
        <w:jc w:val="both"/>
      </w:pPr>
      <w:r w:rsidRPr="007953AB">
        <w:t>En 2020 con el inicio de una nueva administración pública no se aprobó el presupuesto y de manera consecutiva se imprueba el presupuesto para 2021.</w:t>
      </w:r>
      <w:r>
        <w:t xml:space="preserve"> </w:t>
      </w:r>
      <w:r w:rsidRPr="007953AB">
        <w:t xml:space="preserve">El techo de presupuesto para 2020 </w:t>
      </w:r>
      <w:r>
        <w:t xml:space="preserve">se </w:t>
      </w:r>
      <w:r w:rsidRPr="007953AB">
        <w:t>planteaba en Q91,900 millones. No obstante, el 2020 arrancó con un presupuesto no aprobado, entrando en vigencia el presupuesto de 2019 de Q87,715.1 millones, por ello se observa en la gráfica que el presupuesto fue sobreestimado y realmente el inicial del ejercicio fue menor al considerado en cada uno de los ejercicios de presupuestos multianuales, adicionalmente dadas las particularidades de 2020, se terminó el año con un presupuesto elevad</w:t>
      </w:r>
      <w:r>
        <w:t xml:space="preserve">o </w:t>
      </w:r>
      <w:r w:rsidRPr="007953AB">
        <w:t>de Q107,760.7 millones, por todas las ampliaciones que tuvieron lugar en el año derivadas de la crisis del COVID-19.</w:t>
      </w:r>
    </w:p>
    <w:p w14:paraId="035ACD2B" w14:textId="77777777" w:rsidR="005F38A6" w:rsidRPr="007953AB" w:rsidRDefault="005F38A6" w:rsidP="005F38A6">
      <w:pPr>
        <w:contextualSpacing/>
        <w:jc w:val="both"/>
      </w:pPr>
      <w:r w:rsidRPr="007953AB">
        <w:lastRenderedPageBreak/>
        <w:t xml:space="preserve">Para el siguiente año (2021), primero se tenía una propuesta de techo de presupuesto de Q95,786.5 millones (presupuesto multianual 2020-2024) y posteriormente de Q99,700 millones (presupuesto multianual 2021-2025), sin embargo, el Presupuesto General para el Ejercicio Fiscal 2021 no fue aprobado en el término que establece la Constitución Política de la República de Guatemala y, por lo tanto, pasó a regir de nuevo el presupuesto en vigencia </w:t>
      </w:r>
      <w:r>
        <w:t>de</w:t>
      </w:r>
      <w:r w:rsidRPr="007953AB">
        <w:t xml:space="preserve">l ejercicio fiscal anterior. De tal cuenta, el presupuesto de 2021, es </w:t>
      </w:r>
      <w:r>
        <w:t>e</w:t>
      </w:r>
      <w:r w:rsidRPr="007953AB">
        <w:t xml:space="preserve">l aprobado por el Congreso de la República de Guatemala mediante Decreto Número 25-2018, más las ampliaciones que fueron autorizadas mediante Decretos 12-2020, 13-2020 y 20-2020 del Organismo Legislativo. </w:t>
      </w:r>
    </w:p>
    <w:p w14:paraId="4D7D8CDD" w14:textId="77777777" w:rsidR="005F38A6" w:rsidRPr="007953AB" w:rsidRDefault="005F38A6" w:rsidP="005F38A6">
      <w:pPr>
        <w:contextualSpacing/>
        <w:jc w:val="both"/>
      </w:pPr>
    </w:p>
    <w:p w14:paraId="6491D47F" w14:textId="77777777" w:rsidR="005F38A6" w:rsidRPr="007953AB" w:rsidRDefault="005F38A6" w:rsidP="005F38A6">
      <w:pPr>
        <w:contextualSpacing/>
        <w:jc w:val="both"/>
      </w:pPr>
      <w:r w:rsidRPr="007953AB">
        <w:t>Por lo anterior, se observa en la gráfica que el presupuesto estuvo subestimado en cada ejercicio, y en 2021 se tuvo un presupuesto inflado, aunque desfinanciado, lo que oblig</w:t>
      </w:r>
      <w:r>
        <w:t>ó</w:t>
      </w:r>
      <w:r w:rsidRPr="007953AB">
        <w:t xml:space="preserve"> a adoptar un presupuesto operativo</w:t>
      </w:r>
      <w:r w:rsidRPr="004C7639">
        <w:t xml:space="preserve"> de Q94,354.0 millones</w:t>
      </w:r>
      <w:r>
        <w:t>,</w:t>
      </w:r>
      <w:r w:rsidRPr="004C7639">
        <w:t xml:space="preserve"> con el fin de eliminar virtualmente los recursos que no podían ser ejecutados en el año 2021 por carecer de financiamiento</w:t>
      </w:r>
      <w:r>
        <w:t xml:space="preserve"> y así </w:t>
      </w:r>
      <w:r w:rsidRPr="007953AB">
        <w:t>viabilizar la ejecución.</w:t>
      </w:r>
    </w:p>
    <w:p w14:paraId="499200A6" w14:textId="77777777" w:rsidR="005F38A6" w:rsidRPr="007953AB" w:rsidRDefault="005F38A6" w:rsidP="005F38A6">
      <w:pPr>
        <w:ind w:left="567"/>
        <w:contextualSpacing/>
        <w:jc w:val="both"/>
      </w:pPr>
    </w:p>
    <w:p w14:paraId="012FCB75" w14:textId="77777777" w:rsidR="005F38A6" w:rsidRPr="007953AB" w:rsidRDefault="005F38A6" w:rsidP="005F38A6">
      <w:pPr>
        <w:contextualSpacing/>
        <w:jc w:val="both"/>
      </w:pPr>
      <w:r w:rsidRPr="007953AB">
        <w:t>Para 2022, se tuvieron diferentes propuestas, de Q103,160.2 millones (presupuesto multianual 2020-2024), bajó a Q96,830.9 millones (presupuesto multianual 2021-2025) y subió nuevamente a Q103,992.5 millones (presupuesto multianual 2</w:t>
      </w:r>
      <w:r>
        <w:t>02</w:t>
      </w:r>
      <w:r w:rsidRPr="007953AB">
        <w:t>2-</w:t>
      </w:r>
      <w:r>
        <w:t>20</w:t>
      </w:r>
      <w:r w:rsidRPr="007953AB">
        <w:t>26), finalmente fue aprobado en Q106,229.5 millones. Esto se debió a que, los ingresos corrientes tuvieron un incremento de Q1,947.0 millones respecto al Proyecto de Presupuesto derivado del incremento que se acordó en la meta de recaudación de la SAT. Asimismo, se contemplaron Q6,235.3 millones por disminución de caja y bancos, de los cuales una parte estaría explicada por el desempeño favorable de la recaudación tributaria de 2021 que dej</w:t>
      </w:r>
      <w:r>
        <w:t>ó</w:t>
      </w:r>
      <w:r w:rsidRPr="007953AB">
        <w:t xml:space="preserve"> recursos en caja para el 2022.</w:t>
      </w:r>
    </w:p>
    <w:p w14:paraId="219CF13E" w14:textId="77777777" w:rsidR="005F38A6" w:rsidRPr="007953AB" w:rsidRDefault="005F38A6" w:rsidP="005F38A6">
      <w:pPr>
        <w:ind w:left="567"/>
        <w:contextualSpacing/>
        <w:jc w:val="both"/>
      </w:pPr>
    </w:p>
    <w:p w14:paraId="73CC0334" w14:textId="10B338BC" w:rsidR="00BF6159" w:rsidRDefault="005F38A6" w:rsidP="005F38A6">
      <w:pPr>
        <w:jc w:val="both"/>
      </w:pPr>
      <w:r w:rsidRPr="007953AB">
        <w:t>Para</w:t>
      </w:r>
      <w:r>
        <w:t xml:space="preserve"> la elaboración de los presupuestos multianuales futuros, </w:t>
      </w:r>
      <w:r w:rsidRPr="007953AB">
        <w:t>el planteamiento de techos debe responder a los compromisos emanados en las prioridades estratégicas que sean planteadas por el gobierno en turno, las cuales deben estar alineados a los instrumentos de planificación estratégica</w:t>
      </w:r>
      <w:r>
        <w:t>, al mismo tiempo se espera que las decisiones políticas no afecten el desempeño de la política fiscal.</w:t>
      </w:r>
    </w:p>
    <w:p w14:paraId="46943154" w14:textId="77777777" w:rsidR="00B150B0" w:rsidRPr="00B150B0" w:rsidRDefault="00B150B0" w:rsidP="005F38A6">
      <w:pPr>
        <w:jc w:val="both"/>
      </w:pPr>
    </w:p>
    <w:p w14:paraId="47E430AA" w14:textId="73C2EAEA" w:rsidR="005F38A6" w:rsidRPr="00BF6159" w:rsidRDefault="00BF6159" w:rsidP="00BF6159">
      <w:pPr>
        <w:pStyle w:val="Descripcin"/>
        <w:rPr>
          <w:rFonts w:eastAsiaTheme="minorEastAsia"/>
          <w:b w:val="0"/>
          <w:bCs/>
          <w:color w:val="auto"/>
          <w:kern w:val="24"/>
        </w:rPr>
      </w:pPr>
      <w:bookmarkStart w:id="75" w:name="_Toc143593572"/>
      <w:r w:rsidRPr="00BF6159">
        <w:rPr>
          <w:color w:val="auto"/>
        </w:rPr>
        <w:t xml:space="preserve">Gráfico </w:t>
      </w:r>
      <w:r w:rsidRPr="00BF6159">
        <w:rPr>
          <w:color w:val="auto"/>
        </w:rPr>
        <w:fldChar w:fldCharType="begin"/>
      </w:r>
      <w:r w:rsidRPr="00BF6159">
        <w:rPr>
          <w:color w:val="auto"/>
        </w:rPr>
        <w:instrText xml:space="preserve"> SEQ Gráfico \* ARABIC </w:instrText>
      </w:r>
      <w:r w:rsidRPr="00BF6159">
        <w:rPr>
          <w:color w:val="auto"/>
        </w:rPr>
        <w:fldChar w:fldCharType="separate"/>
      </w:r>
      <w:r w:rsidR="00A62AFA">
        <w:rPr>
          <w:noProof/>
          <w:color w:val="auto"/>
        </w:rPr>
        <w:t>14</w:t>
      </w:r>
      <w:r w:rsidRPr="00BF6159">
        <w:rPr>
          <w:color w:val="auto"/>
        </w:rPr>
        <w:fldChar w:fldCharType="end"/>
      </w:r>
      <w:r w:rsidRPr="00BF6159">
        <w:rPr>
          <w:color w:val="auto"/>
        </w:rPr>
        <w:t xml:space="preserve">. </w:t>
      </w:r>
      <w:r w:rsidRPr="00BF6159">
        <w:rPr>
          <w:rFonts w:eastAsiaTheme="minorEastAsia"/>
          <w:bCs/>
          <w:color w:val="auto"/>
          <w:kern w:val="24"/>
        </w:rPr>
        <w:t>Techos Indicativos: Error de pronóstico</w:t>
      </w:r>
      <w:bookmarkEnd w:id="75"/>
    </w:p>
    <w:p w14:paraId="182BBC4B" w14:textId="77777777" w:rsidR="005F38A6" w:rsidRDefault="005F38A6" w:rsidP="005F38A6">
      <w:pPr>
        <w:pStyle w:val="Encabezado"/>
        <w:jc w:val="center"/>
        <w:textAlignment w:val="baseline"/>
        <w:rPr>
          <w:rFonts w:eastAsiaTheme="minorEastAsia"/>
          <w:kern w:val="24"/>
          <w:sz w:val="21"/>
          <w:szCs w:val="21"/>
        </w:rPr>
      </w:pPr>
      <w:r>
        <w:rPr>
          <w:rFonts w:eastAsiaTheme="minorEastAsia"/>
          <w:kern w:val="24"/>
          <w:sz w:val="21"/>
          <w:szCs w:val="21"/>
        </w:rPr>
        <w:t>(</w:t>
      </w:r>
      <w:r w:rsidRPr="0059191F">
        <w:rPr>
          <w:rFonts w:eastAsiaTheme="minorEastAsia"/>
          <w:kern w:val="24"/>
          <w:sz w:val="21"/>
          <w:szCs w:val="21"/>
        </w:rPr>
        <w:t xml:space="preserve">en </w:t>
      </w:r>
      <w:r>
        <w:rPr>
          <w:rFonts w:eastAsiaTheme="minorEastAsia"/>
          <w:kern w:val="24"/>
          <w:sz w:val="21"/>
          <w:szCs w:val="21"/>
        </w:rPr>
        <w:t>porcentajes del PIB</w:t>
      </w:r>
      <w:r w:rsidRPr="0059191F">
        <w:rPr>
          <w:rFonts w:eastAsiaTheme="minorEastAsia"/>
          <w:kern w:val="24"/>
          <w:sz w:val="21"/>
          <w:szCs w:val="21"/>
        </w:rPr>
        <w:t>)</w:t>
      </w:r>
    </w:p>
    <w:p w14:paraId="60E352D3" w14:textId="77777777" w:rsidR="005F38A6" w:rsidRDefault="005F38A6" w:rsidP="005F38A6">
      <w:pPr>
        <w:pStyle w:val="Encabezado"/>
        <w:jc w:val="center"/>
        <w:textAlignment w:val="baseline"/>
        <w:rPr>
          <w:rFonts w:eastAsiaTheme="minorEastAsia"/>
          <w:kern w:val="24"/>
          <w:sz w:val="21"/>
          <w:szCs w:val="21"/>
        </w:rPr>
      </w:pPr>
      <w:r>
        <w:rPr>
          <w:noProof/>
        </w:rPr>
        <w:drawing>
          <wp:inline distT="0" distB="0" distL="0" distR="0" wp14:anchorId="04145992" wp14:editId="18B2753C">
            <wp:extent cx="5587365" cy="2129051"/>
            <wp:effectExtent l="0" t="0" r="0" b="5080"/>
            <wp:docPr id="77" name="Gráfico 77">
              <a:extLst xmlns:a="http://schemas.openxmlformats.org/drawingml/2006/main">
                <a:ext uri="{FF2B5EF4-FFF2-40B4-BE49-F238E27FC236}">
                  <a16:creationId xmlns:a16="http://schemas.microsoft.com/office/drawing/2014/main" id="{A1E3684A-ED3E-44A4-9989-2A1B83628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BED50BB" w14:textId="77777777" w:rsidR="005F38A6" w:rsidRDefault="005F38A6" w:rsidP="005F38A6">
      <w:pPr>
        <w:rPr>
          <w:sz w:val="16"/>
          <w:szCs w:val="16"/>
          <w:lang w:val="es-ES"/>
        </w:rPr>
      </w:pPr>
      <w:r w:rsidRPr="0059191F">
        <w:rPr>
          <w:sz w:val="16"/>
          <w:szCs w:val="16"/>
          <w:lang w:val="es-ES"/>
        </w:rPr>
        <w:t>Fuente: Dirección de Análisis y Política Fiscal</w:t>
      </w:r>
    </w:p>
    <w:p w14:paraId="2A3ED4E0" w14:textId="2B140FD4" w:rsidR="005F38A6" w:rsidRDefault="005F38A6" w:rsidP="005F38A6">
      <w:pPr>
        <w:jc w:val="both"/>
        <w:rPr>
          <w:lang w:val="es-ES"/>
        </w:rPr>
      </w:pPr>
      <w:r w:rsidRPr="00C13A02">
        <w:rPr>
          <w:lang w:val="es-ES"/>
        </w:rPr>
        <w:lastRenderedPageBreak/>
        <w:t>Respecto al error promedio absoluto de pronóstico, se observa que en el</w:t>
      </w:r>
      <w:r>
        <w:rPr>
          <w:lang w:val="es-ES"/>
        </w:rPr>
        <w:t xml:space="preserve"> año</w:t>
      </w:r>
      <w:r w:rsidRPr="00C13A02">
        <w:rPr>
          <w:lang w:val="es-ES"/>
        </w:rPr>
        <w:t xml:space="preserve"> presupuest</w:t>
      </w:r>
      <w:r>
        <w:rPr>
          <w:lang w:val="es-ES"/>
        </w:rPr>
        <w:t xml:space="preserve">ario el error es de 0.53% del PIB, siendo menor que en el año presupuestario +1 (0.89% del PIB) y año presupuestario +2 (0.79% del PIB). </w:t>
      </w:r>
      <w:r w:rsidRPr="00C13A02">
        <w:rPr>
          <w:lang w:val="es-ES"/>
        </w:rPr>
        <w:t>En el caso de</w:t>
      </w:r>
      <w:r>
        <w:rPr>
          <w:lang w:val="es-ES"/>
        </w:rPr>
        <w:t>l presupuesto multianual 2021-2025, se esperaba para cada uno de los años un presupuesto menor al aprobado, mientras que en 2021 y 2022 respondió a factores políticos por la no aprobación del presupuesto.</w:t>
      </w:r>
    </w:p>
    <w:p w14:paraId="0A70D3FC" w14:textId="767E92EE" w:rsidR="008678BE" w:rsidRDefault="008678BE" w:rsidP="005F38A6">
      <w:pPr>
        <w:jc w:val="both"/>
        <w:rPr>
          <w:lang w:val="es-ES"/>
        </w:rPr>
      </w:pPr>
    </w:p>
    <w:p w14:paraId="389345F1" w14:textId="3EAB3795" w:rsidR="00B150B0" w:rsidRPr="00B150B0" w:rsidRDefault="00B150B0" w:rsidP="00B150B0">
      <w:pPr>
        <w:keepNext/>
        <w:jc w:val="both"/>
        <w:rPr>
          <w:b/>
          <w:bCs/>
          <w:lang w:val="es-ES"/>
        </w:rPr>
      </w:pPr>
      <w:bookmarkStart w:id="76" w:name="_Toc143593573"/>
      <w:r w:rsidRPr="00B150B0">
        <w:rPr>
          <w:b/>
          <w:bCs/>
        </w:rPr>
        <w:t xml:space="preserve">Gráfico </w:t>
      </w:r>
      <w:r w:rsidRPr="00B150B0">
        <w:rPr>
          <w:b/>
          <w:bCs/>
        </w:rPr>
        <w:fldChar w:fldCharType="begin"/>
      </w:r>
      <w:r w:rsidRPr="00B150B0">
        <w:rPr>
          <w:b/>
          <w:bCs/>
        </w:rPr>
        <w:instrText xml:space="preserve"> SEQ Gráfico \* ARABIC </w:instrText>
      </w:r>
      <w:r w:rsidRPr="00B150B0">
        <w:rPr>
          <w:b/>
          <w:bCs/>
        </w:rPr>
        <w:fldChar w:fldCharType="separate"/>
      </w:r>
      <w:r w:rsidR="00A62AFA">
        <w:rPr>
          <w:b/>
          <w:bCs/>
          <w:noProof/>
        </w:rPr>
        <w:t>15</w:t>
      </w:r>
      <w:r w:rsidRPr="00B150B0">
        <w:rPr>
          <w:b/>
          <w:bCs/>
        </w:rPr>
        <w:fldChar w:fldCharType="end"/>
      </w:r>
      <w:r w:rsidRPr="00B150B0">
        <w:rPr>
          <w:b/>
          <w:bCs/>
        </w:rPr>
        <w:t xml:space="preserve">.  </w:t>
      </w:r>
      <w:r w:rsidRPr="00B150B0">
        <w:rPr>
          <w:b/>
          <w:bCs/>
          <w:lang w:val="es-ES"/>
        </w:rPr>
        <w:t>Techos indicativos</w:t>
      </w:r>
      <w:bookmarkEnd w:id="76"/>
    </w:p>
    <w:tbl>
      <w:tblPr>
        <w:tblW w:w="0" w:type="auto"/>
        <w:tblCellMar>
          <w:left w:w="70" w:type="dxa"/>
          <w:right w:w="70" w:type="dxa"/>
        </w:tblCellMar>
        <w:tblLook w:val="04A0" w:firstRow="1" w:lastRow="0" w:firstColumn="1" w:lastColumn="0" w:noHBand="0" w:noVBand="1"/>
      </w:tblPr>
      <w:tblGrid>
        <w:gridCol w:w="4508"/>
        <w:gridCol w:w="4330"/>
      </w:tblGrid>
      <w:tr w:rsidR="005F38A6" w14:paraId="457E5E87" w14:textId="77777777" w:rsidTr="006A7377">
        <w:tc>
          <w:tcPr>
            <w:tcW w:w="4508" w:type="dxa"/>
          </w:tcPr>
          <w:p w14:paraId="47795F08" w14:textId="77777777" w:rsidR="005F38A6" w:rsidRPr="008678BE" w:rsidRDefault="005F38A6" w:rsidP="00B150B0">
            <w:pPr>
              <w:jc w:val="center"/>
              <w:rPr>
                <w:b/>
                <w:lang w:val="es-ES"/>
              </w:rPr>
            </w:pPr>
            <w:r w:rsidRPr="008678BE">
              <w:rPr>
                <w:b/>
                <w:lang w:val="es-ES"/>
              </w:rPr>
              <w:t>Techos indicativos: Error de Pronóstico promedio</w:t>
            </w:r>
          </w:p>
          <w:p w14:paraId="163F7E97" w14:textId="77777777" w:rsidR="005F38A6" w:rsidRPr="00594860" w:rsidRDefault="005F38A6" w:rsidP="00B150B0">
            <w:pPr>
              <w:jc w:val="center"/>
              <w:rPr>
                <w:sz w:val="20"/>
                <w:szCs w:val="20"/>
                <w:lang w:val="es-ES"/>
              </w:rPr>
            </w:pPr>
            <w:r w:rsidRPr="00594860">
              <w:rPr>
                <w:sz w:val="20"/>
                <w:szCs w:val="20"/>
                <w:lang w:val="es-ES"/>
              </w:rPr>
              <w:t xml:space="preserve">(en </w:t>
            </w:r>
            <w:r>
              <w:rPr>
                <w:sz w:val="20"/>
                <w:szCs w:val="20"/>
                <w:lang w:val="es-ES"/>
              </w:rPr>
              <w:t>porcentajes del PIB</w:t>
            </w:r>
            <w:r w:rsidRPr="00594860">
              <w:rPr>
                <w:sz w:val="20"/>
                <w:szCs w:val="20"/>
                <w:lang w:val="es-ES"/>
              </w:rPr>
              <w:t>)</w:t>
            </w:r>
          </w:p>
          <w:p w14:paraId="1CE821AD" w14:textId="77777777" w:rsidR="005F38A6" w:rsidRDefault="005F38A6" w:rsidP="006A7377">
            <w:pPr>
              <w:rPr>
                <w:sz w:val="16"/>
                <w:szCs w:val="16"/>
                <w:lang w:val="es-ES"/>
              </w:rPr>
            </w:pPr>
          </w:p>
          <w:p w14:paraId="1060B3E1" w14:textId="77777777" w:rsidR="005F38A6" w:rsidRDefault="005F38A6" w:rsidP="006A7377">
            <w:pPr>
              <w:rPr>
                <w:sz w:val="16"/>
                <w:szCs w:val="16"/>
                <w:lang w:val="es-ES"/>
              </w:rPr>
            </w:pPr>
            <w:r>
              <w:rPr>
                <w:noProof/>
              </w:rPr>
              <w:drawing>
                <wp:inline distT="0" distB="0" distL="0" distR="0" wp14:anchorId="39AAB1DE" wp14:editId="24F46D0C">
                  <wp:extent cx="2813050" cy="1465580"/>
                  <wp:effectExtent l="0" t="0" r="6350" b="1270"/>
                  <wp:docPr id="78" name="Gráfico 78">
                    <a:extLst xmlns:a="http://schemas.openxmlformats.org/drawingml/2006/main">
                      <a:ext uri="{FF2B5EF4-FFF2-40B4-BE49-F238E27FC236}">
                        <a16:creationId xmlns:a16="http://schemas.microsoft.com/office/drawing/2014/main" id="{93F425AF-0988-4C14-9AC1-7615CB529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330" w:type="dxa"/>
          </w:tcPr>
          <w:p w14:paraId="68E183E5" w14:textId="77777777" w:rsidR="005F38A6" w:rsidRPr="008678BE" w:rsidRDefault="005F38A6" w:rsidP="00B150B0">
            <w:pPr>
              <w:jc w:val="center"/>
              <w:rPr>
                <w:b/>
                <w:lang w:val="es-ES"/>
              </w:rPr>
            </w:pPr>
            <w:r w:rsidRPr="008678BE">
              <w:rPr>
                <w:b/>
                <w:lang w:val="es-ES"/>
              </w:rPr>
              <w:t>Techos indicativos: Error promedio absoluto de pronóstico</w:t>
            </w:r>
          </w:p>
          <w:p w14:paraId="2E8DDB22" w14:textId="77777777" w:rsidR="005F38A6" w:rsidRDefault="005F38A6" w:rsidP="00B150B0">
            <w:pPr>
              <w:jc w:val="center"/>
              <w:rPr>
                <w:sz w:val="20"/>
                <w:szCs w:val="20"/>
                <w:lang w:val="es-ES"/>
              </w:rPr>
            </w:pPr>
            <w:r w:rsidRPr="00594860">
              <w:rPr>
                <w:sz w:val="20"/>
                <w:szCs w:val="20"/>
                <w:lang w:val="es-ES"/>
              </w:rPr>
              <w:t xml:space="preserve">(en </w:t>
            </w:r>
            <w:r>
              <w:rPr>
                <w:sz w:val="20"/>
                <w:szCs w:val="20"/>
                <w:lang w:val="es-ES"/>
              </w:rPr>
              <w:t>porcentajes del PIB</w:t>
            </w:r>
            <w:r w:rsidRPr="00594860">
              <w:rPr>
                <w:sz w:val="20"/>
                <w:szCs w:val="20"/>
                <w:lang w:val="es-ES"/>
              </w:rPr>
              <w:t>)</w:t>
            </w:r>
          </w:p>
          <w:p w14:paraId="131C7342" w14:textId="77777777" w:rsidR="005F38A6" w:rsidRDefault="005F38A6" w:rsidP="006A7377">
            <w:pPr>
              <w:rPr>
                <w:sz w:val="16"/>
                <w:szCs w:val="16"/>
                <w:lang w:val="es-ES"/>
              </w:rPr>
            </w:pPr>
            <w:r>
              <w:rPr>
                <w:noProof/>
              </w:rPr>
              <w:drawing>
                <wp:inline distT="0" distB="0" distL="0" distR="0" wp14:anchorId="2F668C34" wp14:editId="2A56D2C4">
                  <wp:extent cx="2705100" cy="1589903"/>
                  <wp:effectExtent l="0" t="0" r="0" b="0"/>
                  <wp:docPr id="79" name="Gráfico 79">
                    <a:extLst xmlns:a="http://schemas.openxmlformats.org/drawingml/2006/main">
                      <a:ext uri="{FF2B5EF4-FFF2-40B4-BE49-F238E27FC236}">
                        <a16:creationId xmlns:a16="http://schemas.microsoft.com/office/drawing/2014/main" id="{5A5FE42A-A35E-4AB2-BF76-2B16F61E8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5F38A6" w14:paraId="1F4141BB" w14:textId="77777777" w:rsidTr="006A7377">
        <w:tc>
          <w:tcPr>
            <w:tcW w:w="8838" w:type="dxa"/>
            <w:gridSpan w:val="2"/>
            <w:vAlign w:val="center"/>
          </w:tcPr>
          <w:p w14:paraId="1BFD39B0" w14:textId="129DD51B" w:rsidR="005F38A6" w:rsidRPr="008678BE" w:rsidRDefault="005F38A6" w:rsidP="006A7377">
            <w:pPr>
              <w:rPr>
                <w:b/>
                <w:lang w:val="es-ES"/>
              </w:rPr>
            </w:pPr>
            <w:r w:rsidRPr="008678BE">
              <w:rPr>
                <w:b/>
                <w:lang w:val="es-ES"/>
              </w:rPr>
              <w:t>Techos indicativos: Distribución de errores de pronóstico</w:t>
            </w:r>
          </w:p>
          <w:p w14:paraId="5C9AC3D7" w14:textId="77777777" w:rsidR="005F38A6" w:rsidRPr="00594860" w:rsidRDefault="005F38A6" w:rsidP="006A7377">
            <w:pPr>
              <w:rPr>
                <w:sz w:val="20"/>
                <w:szCs w:val="20"/>
                <w:lang w:val="es-ES"/>
              </w:rPr>
            </w:pPr>
            <w:r w:rsidRPr="00594860">
              <w:rPr>
                <w:sz w:val="20"/>
                <w:szCs w:val="20"/>
                <w:lang w:val="es-ES"/>
              </w:rPr>
              <w:t xml:space="preserve">(en </w:t>
            </w:r>
            <w:r>
              <w:rPr>
                <w:sz w:val="20"/>
                <w:szCs w:val="20"/>
                <w:lang w:val="es-ES"/>
              </w:rPr>
              <w:t>porcentajes del PIB</w:t>
            </w:r>
            <w:r w:rsidRPr="00594860">
              <w:rPr>
                <w:sz w:val="20"/>
                <w:szCs w:val="20"/>
                <w:lang w:val="es-ES"/>
              </w:rPr>
              <w:t>)</w:t>
            </w:r>
          </w:p>
          <w:p w14:paraId="38580412" w14:textId="77777777" w:rsidR="005F38A6" w:rsidRDefault="005F38A6" w:rsidP="006A7377">
            <w:pPr>
              <w:rPr>
                <w:sz w:val="16"/>
                <w:szCs w:val="16"/>
                <w:lang w:val="es-ES"/>
              </w:rPr>
            </w:pPr>
            <w:r>
              <w:rPr>
                <w:noProof/>
              </w:rPr>
              <mc:AlternateContent>
                <mc:Choice Requires="cx1">
                  <w:drawing>
                    <wp:inline distT="0" distB="0" distL="0" distR="0" wp14:anchorId="615F28EF" wp14:editId="479AB0CC">
                      <wp:extent cx="5143500" cy="2154804"/>
                      <wp:effectExtent l="0" t="0" r="0" b="17145"/>
                      <wp:docPr id="80" name="Gráfico 80">
                        <a:extLst xmlns:a="http://schemas.openxmlformats.org/drawingml/2006/main">
                          <a:ext uri="{FF2B5EF4-FFF2-40B4-BE49-F238E27FC236}">
                            <a16:creationId xmlns:a16="http://schemas.microsoft.com/office/drawing/2014/main" id="{82C07C46-96C3-4404-BC0D-601FBB48B26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inline>
                  </w:drawing>
                </mc:Choice>
                <mc:Fallback>
                  <w:drawing>
                    <wp:inline distT="0" distB="0" distL="0" distR="0" wp14:anchorId="615F28EF" wp14:editId="479AB0CC">
                      <wp:extent cx="5143500" cy="2154804"/>
                      <wp:effectExtent l="0" t="0" r="0" b="17145"/>
                      <wp:docPr id="80" name="Gráfico 80">
                        <a:extLst xmlns:a="http://schemas.openxmlformats.org/drawingml/2006/main">
                          <a:ext uri="{FF2B5EF4-FFF2-40B4-BE49-F238E27FC236}">
                            <a16:creationId xmlns:a16="http://schemas.microsoft.com/office/drawing/2014/main" id="{82C07C46-96C3-4404-BC0D-601FBB48B26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0" name="Gráfico 80">
                                <a:extLst>
                                  <a:ext uri="{FF2B5EF4-FFF2-40B4-BE49-F238E27FC236}">
                                    <a16:creationId xmlns:a16="http://schemas.microsoft.com/office/drawing/2014/main" id="{82C07C46-96C3-4404-BC0D-601FBB48B261}"/>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5143500" cy="2154555"/>
                              </a:xfrm>
                              <a:prstGeom prst="rect">
                                <a:avLst/>
                              </a:prstGeom>
                            </pic:spPr>
                          </pic:pic>
                        </a:graphicData>
                      </a:graphic>
                    </wp:inline>
                  </w:drawing>
                </mc:Fallback>
              </mc:AlternateContent>
            </w:r>
          </w:p>
          <w:p w14:paraId="23A0EEC6" w14:textId="77777777" w:rsidR="005F38A6" w:rsidRDefault="005F38A6" w:rsidP="006A7377">
            <w:pPr>
              <w:rPr>
                <w:sz w:val="16"/>
                <w:szCs w:val="16"/>
                <w:lang w:val="es-ES"/>
              </w:rPr>
            </w:pPr>
            <w:r w:rsidRPr="0059191F">
              <w:rPr>
                <w:sz w:val="16"/>
                <w:szCs w:val="16"/>
                <w:lang w:val="es-ES"/>
              </w:rPr>
              <w:t>Fuente: Dirección de Análisis y Política Fiscal</w:t>
            </w:r>
          </w:p>
          <w:p w14:paraId="6FF4D94D" w14:textId="77777777" w:rsidR="005F38A6" w:rsidRDefault="005F38A6" w:rsidP="006A7377">
            <w:pPr>
              <w:rPr>
                <w:sz w:val="16"/>
                <w:szCs w:val="16"/>
                <w:lang w:val="es-ES"/>
              </w:rPr>
            </w:pPr>
          </w:p>
        </w:tc>
      </w:tr>
    </w:tbl>
    <w:p w14:paraId="258365FF" w14:textId="77777777" w:rsidR="005F38A6" w:rsidRPr="00987058" w:rsidRDefault="005F38A6" w:rsidP="005833DD">
      <w:pPr>
        <w:pStyle w:val="Ttulo2"/>
        <w:numPr>
          <w:ilvl w:val="2"/>
          <w:numId w:val="35"/>
        </w:numPr>
        <w:tabs>
          <w:tab w:val="left" w:pos="993"/>
        </w:tabs>
        <w:rPr>
          <w:bCs/>
        </w:rPr>
      </w:pPr>
      <w:bookmarkStart w:id="77" w:name="_Toc144114357"/>
      <w:r w:rsidRPr="00CE6E9D">
        <w:rPr>
          <w:bCs/>
        </w:rPr>
        <w:t>Medidas de aprovisionamiento y mitigación de riesgos</w:t>
      </w:r>
      <w:bookmarkEnd w:id="77"/>
    </w:p>
    <w:p w14:paraId="29FBAAEA" w14:textId="77777777" w:rsidR="008678BE" w:rsidRDefault="008678BE" w:rsidP="005F38A6">
      <w:pPr>
        <w:rPr>
          <w:b/>
          <w:bCs/>
        </w:rPr>
      </w:pPr>
    </w:p>
    <w:p w14:paraId="3CECB0EB" w14:textId="77777777" w:rsidR="005F38A6" w:rsidRDefault="005F38A6" w:rsidP="000E12CF">
      <w:pPr>
        <w:numPr>
          <w:ilvl w:val="0"/>
          <w:numId w:val="12"/>
        </w:numPr>
        <w:spacing w:after="160" w:line="259" w:lineRule="auto"/>
        <w:jc w:val="both"/>
      </w:pPr>
      <w:r w:rsidRPr="00766154">
        <w:t>Entre las medidas de aprovisionamiento de riesgos por desviaciones fiscales</w:t>
      </w:r>
      <w:r>
        <w:t xml:space="preserve"> se</w:t>
      </w:r>
      <w:r w:rsidRPr="00766154">
        <w:t xml:space="preserve"> cuenta con la normativa aplicable respecto a la coparticipación de impuestos, es decir que la recaudación tributaria tiene definido los aportes institucionales </w:t>
      </w:r>
      <w:r>
        <w:t>que corresponden por ley (representa cerca del 38% de los ingresos tributarios), es decir, el gasto público se ajusta en función del nivel de recaudación. Esta medida permite que en el caso de que la recaudación caiga, el gasto público también se ajuste a dicha caída, dado que la ley define porcentajes y no montos específicos de aportes institucionales.</w:t>
      </w:r>
    </w:p>
    <w:p w14:paraId="5F4BF392" w14:textId="77777777" w:rsidR="005F38A6" w:rsidRDefault="005F38A6" w:rsidP="005F38A6">
      <w:pPr>
        <w:jc w:val="both"/>
      </w:pPr>
    </w:p>
    <w:p w14:paraId="7FCC1DD3" w14:textId="77777777" w:rsidR="005F38A6" w:rsidRPr="00746FBE" w:rsidRDefault="005F38A6" w:rsidP="00B150B0">
      <w:pPr>
        <w:numPr>
          <w:ilvl w:val="0"/>
          <w:numId w:val="12"/>
        </w:numPr>
        <w:jc w:val="both"/>
      </w:pPr>
      <w:r w:rsidRPr="00D11B2B">
        <w:lastRenderedPageBreak/>
        <w:t xml:space="preserve">Existe un fondo de reserva denominado fondo global de amortización de la deuda pública, y un fondo contra desastres naturales, que podría coadyuvar a mantener el gasto en estos temas que se consideran relevantes, a pesar de las desviaciones que podrían darse en las variables fiscales. El caso del fondo global de amortización de la deuda pública se considera particularmente relevante, dado que Guatemala es considerado un país cumplidor con sus compromisos de deuda, lo cual le ha dado credibilidad a nivel nacional e internacional, </w:t>
      </w:r>
      <w:r>
        <w:t>permitiendo a través de</w:t>
      </w:r>
      <w:r w:rsidRPr="00D11B2B">
        <w:t xml:space="preserve"> este fondo mantener </w:t>
      </w:r>
      <w:r>
        <w:t>dicho cumplimiento.</w:t>
      </w:r>
    </w:p>
    <w:p w14:paraId="5D927C58" w14:textId="77777777" w:rsidR="00CF3012" w:rsidRDefault="00CF3012" w:rsidP="005F38A6">
      <w:pPr>
        <w:rPr>
          <w:lang w:val="es-MX"/>
        </w:rPr>
      </w:pPr>
    </w:p>
    <w:p w14:paraId="07C24A9C" w14:textId="58F7B14A" w:rsidR="005F38A6" w:rsidRPr="00987058" w:rsidRDefault="005F38A6" w:rsidP="005F07F9">
      <w:pPr>
        <w:pStyle w:val="Ttulo2"/>
        <w:numPr>
          <w:ilvl w:val="1"/>
          <w:numId w:val="35"/>
        </w:numPr>
        <w:tabs>
          <w:tab w:val="left" w:pos="567"/>
        </w:tabs>
        <w:ind w:left="426" w:hanging="284"/>
        <w:rPr>
          <w:bCs/>
        </w:rPr>
      </w:pPr>
      <w:bookmarkStart w:id="78" w:name="_Toc144114358"/>
      <w:r w:rsidRPr="00987058">
        <w:rPr>
          <w:bCs/>
        </w:rPr>
        <w:t xml:space="preserve">Riesgos asociados </w:t>
      </w:r>
      <w:r w:rsidR="00AE5FA8">
        <w:rPr>
          <w:bCs/>
        </w:rPr>
        <w:t>c</w:t>
      </w:r>
      <w:r w:rsidRPr="00987058">
        <w:rPr>
          <w:bCs/>
        </w:rPr>
        <w:t>recimiento económico e inflación</w:t>
      </w:r>
      <w:bookmarkEnd w:id="78"/>
    </w:p>
    <w:p w14:paraId="43B50A3A" w14:textId="77777777" w:rsidR="005F38A6" w:rsidRDefault="005F38A6" w:rsidP="005F38A6">
      <w:pPr>
        <w:rPr>
          <w:b/>
          <w:bCs/>
        </w:rPr>
      </w:pPr>
    </w:p>
    <w:p w14:paraId="13563ED2" w14:textId="77777777" w:rsidR="005F38A6" w:rsidRDefault="005F38A6" w:rsidP="005F38A6">
      <w:pPr>
        <w:jc w:val="both"/>
      </w:pPr>
      <w:r w:rsidRPr="00C63701">
        <w:t>El crecimiento económico</w:t>
      </w:r>
      <w:r>
        <w:t xml:space="preserve"> y la inflación tienen diversos efectos en la economía, y esto se debe a que Guatemala es una economía pequeña y abierta, por lo que está expuesta a los choques en la economía nacional y los de la economía mundial. Ejemplos de los choques del sector externo se encuentran aumentos de los precios de las materias prima, disminución de la demanda externa, cambios en las condiciones laborales de Estados Unidos que repercutan en el envío de remesas familiares, entre otros. Dependiendo de la naturaleza de estos choques la reacción en la economía y los precios puede ser directa o indirecta.</w:t>
      </w:r>
    </w:p>
    <w:p w14:paraId="6EB4B968" w14:textId="77777777" w:rsidR="005F38A6" w:rsidRDefault="005F38A6" w:rsidP="005F38A6">
      <w:pPr>
        <w:jc w:val="both"/>
      </w:pPr>
    </w:p>
    <w:p w14:paraId="2639B0B0" w14:textId="77777777" w:rsidR="005F38A6" w:rsidRDefault="005F38A6" w:rsidP="005F38A6">
      <w:pPr>
        <w:jc w:val="both"/>
      </w:pPr>
      <w:r>
        <w:t>Por un lado, se observan los choques que afectan la demanda agregada, los cuales tienen un efecto directo con la inflación, dado que en el corto plazo, al disminuir la producción con respecto su potencial, la tasa de desempleo aumenta con respecto la tasa natural y  se generan presiones deflacionarias, un ejemplo de estos choques son disminuciones de masas monetaria,   disminución en el gasto público, un pesimismo en la expectativa de los agentes económicos que los lleve a disminuir su consumo, entre otros. Por otro lado, los choques que afectan la oferta como los ocasionados por sequias o desastres naturales tienen un efecto indirecto con la inflación, debido que si en el corto plazo, el precio aumenta con respecto al esperado, los costos de producción se incrementan y las firmas tenderán a disminuir la oferta y la economía se encontraría en una recesión con presiones inflacionarias.</w:t>
      </w:r>
    </w:p>
    <w:p w14:paraId="0E3C049E" w14:textId="77777777" w:rsidR="005F38A6" w:rsidRDefault="005F38A6" w:rsidP="005F38A6">
      <w:pPr>
        <w:jc w:val="both"/>
      </w:pPr>
    </w:p>
    <w:p w14:paraId="2F89C91D" w14:textId="64151768" w:rsidR="005F38A6" w:rsidRDefault="005F38A6" w:rsidP="005F38A6">
      <w:pPr>
        <w:jc w:val="both"/>
      </w:pPr>
      <w:r>
        <w:t xml:space="preserve">Por lo </w:t>
      </w:r>
      <w:r w:rsidR="003F375D">
        <w:t xml:space="preserve">anterior, </w:t>
      </w:r>
      <w:r>
        <w:t>se procederá</w:t>
      </w:r>
      <w:r w:rsidR="003F375D">
        <w:t>,</w:t>
      </w:r>
      <w:r>
        <w:t xml:space="preserve"> a través de las elasticidades observadas entre la inflación, el crecimiento económico y el deflactor del PIB, estimar el posible impacto económico y fiscal que la economía puede tener ante una disminución del PIB real por la afectación de la demanda agregada y ante un aumento de los precios originado por un choque de oferta.</w:t>
      </w:r>
    </w:p>
    <w:p w14:paraId="53F51B5A" w14:textId="77777777" w:rsidR="005F38A6" w:rsidRDefault="005F38A6" w:rsidP="005F38A6">
      <w:pPr>
        <w:jc w:val="both"/>
      </w:pPr>
    </w:p>
    <w:p w14:paraId="7D271FE9" w14:textId="40BFD029" w:rsidR="005F38A6" w:rsidRPr="00B150B0" w:rsidRDefault="00B150B0" w:rsidP="00B150B0">
      <w:pPr>
        <w:pStyle w:val="Descripcin"/>
        <w:keepNext/>
        <w:rPr>
          <w:color w:val="auto"/>
        </w:rPr>
      </w:pPr>
      <w:bookmarkStart w:id="79" w:name="_Toc143593509"/>
      <w:r w:rsidRPr="00B150B0">
        <w:rPr>
          <w:color w:val="auto"/>
        </w:rPr>
        <w:t xml:space="preserve">Tabla </w:t>
      </w:r>
      <w:r w:rsidRPr="00B150B0">
        <w:rPr>
          <w:color w:val="auto"/>
        </w:rPr>
        <w:fldChar w:fldCharType="begin"/>
      </w:r>
      <w:r w:rsidRPr="00B150B0">
        <w:rPr>
          <w:color w:val="auto"/>
        </w:rPr>
        <w:instrText xml:space="preserve"> SEQ Tabla \* ARABIC </w:instrText>
      </w:r>
      <w:r w:rsidRPr="00B150B0">
        <w:rPr>
          <w:color w:val="auto"/>
        </w:rPr>
        <w:fldChar w:fldCharType="separate"/>
      </w:r>
      <w:r w:rsidR="00A62AFA">
        <w:rPr>
          <w:noProof/>
          <w:color w:val="auto"/>
        </w:rPr>
        <w:t>7</w:t>
      </w:r>
      <w:r w:rsidRPr="00B150B0">
        <w:rPr>
          <w:color w:val="auto"/>
        </w:rPr>
        <w:fldChar w:fldCharType="end"/>
      </w:r>
      <w:r w:rsidRPr="00B150B0">
        <w:rPr>
          <w:color w:val="auto"/>
        </w:rPr>
        <w:t xml:space="preserve">.  </w:t>
      </w:r>
      <w:r w:rsidR="005F38A6" w:rsidRPr="00B150B0">
        <w:rPr>
          <w:bCs/>
          <w:color w:val="auto"/>
        </w:rPr>
        <w:t>Escenario fiscal base de mediano plazo</w:t>
      </w:r>
      <w:bookmarkEnd w:id="79"/>
    </w:p>
    <w:tbl>
      <w:tblPr>
        <w:tblW w:w="7563" w:type="dxa"/>
        <w:jc w:val="center"/>
        <w:tblCellMar>
          <w:left w:w="70" w:type="dxa"/>
          <w:right w:w="70" w:type="dxa"/>
        </w:tblCellMar>
        <w:tblLook w:val="04A0" w:firstRow="1" w:lastRow="0" w:firstColumn="1" w:lastColumn="0" w:noHBand="0" w:noVBand="1"/>
      </w:tblPr>
      <w:tblGrid>
        <w:gridCol w:w="2402"/>
        <w:gridCol w:w="580"/>
        <w:gridCol w:w="765"/>
        <w:gridCol w:w="765"/>
        <w:gridCol w:w="765"/>
        <w:gridCol w:w="765"/>
        <w:gridCol w:w="765"/>
        <w:gridCol w:w="765"/>
      </w:tblGrid>
      <w:tr w:rsidR="005F38A6" w:rsidRPr="00A95812" w14:paraId="16D2C5D7" w14:textId="77777777" w:rsidTr="00167F1B">
        <w:trPr>
          <w:trHeight w:val="647"/>
          <w:jc w:val="center"/>
        </w:trPr>
        <w:tc>
          <w:tcPr>
            <w:tcW w:w="2402" w:type="dxa"/>
            <w:tcBorders>
              <w:top w:val="single" w:sz="4" w:space="0" w:color="auto"/>
              <w:left w:val="nil"/>
              <w:bottom w:val="double" w:sz="6" w:space="0" w:color="auto"/>
              <w:right w:val="nil"/>
            </w:tcBorders>
            <w:shd w:val="clear" w:color="auto" w:fill="auto"/>
            <w:noWrap/>
            <w:vAlign w:val="center"/>
            <w:hideMark/>
          </w:tcPr>
          <w:p w14:paraId="61003424" w14:textId="3BA1DDD2" w:rsidR="005F38A6" w:rsidRPr="00167F1B" w:rsidRDefault="005F38A6" w:rsidP="00167F1B">
            <w:pPr>
              <w:jc w:val="center"/>
              <w:rPr>
                <w:b/>
                <w:bCs/>
                <w:color w:val="000000"/>
                <w:sz w:val="22"/>
                <w:szCs w:val="22"/>
              </w:rPr>
            </w:pPr>
            <w:bookmarkStart w:id="80" w:name="_Hlk141958892"/>
          </w:p>
        </w:tc>
        <w:tc>
          <w:tcPr>
            <w:tcW w:w="571" w:type="dxa"/>
            <w:tcBorders>
              <w:top w:val="single" w:sz="4" w:space="0" w:color="auto"/>
              <w:left w:val="single" w:sz="4" w:space="0" w:color="auto"/>
              <w:bottom w:val="double" w:sz="6" w:space="0" w:color="auto"/>
              <w:right w:val="nil"/>
            </w:tcBorders>
            <w:shd w:val="clear" w:color="auto" w:fill="auto"/>
            <w:noWrap/>
            <w:vAlign w:val="center"/>
            <w:hideMark/>
          </w:tcPr>
          <w:p w14:paraId="5FDD24B7" w14:textId="77777777" w:rsidR="005F38A6" w:rsidRPr="00167F1B" w:rsidRDefault="005F38A6" w:rsidP="00167F1B">
            <w:pPr>
              <w:jc w:val="center"/>
              <w:rPr>
                <w:b/>
                <w:bCs/>
                <w:color w:val="000000"/>
                <w:sz w:val="22"/>
                <w:szCs w:val="22"/>
              </w:rPr>
            </w:pPr>
            <w:r w:rsidRPr="00167F1B">
              <w:rPr>
                <w:b/>
                <w:bCs/>
                <w:color w:val="000000"/>
                <w:sz w:val="22"/>
                <w:szCs w:val="22"/>
              </w:rPr>
              <w:t>2022</w:t>
            </w:r>
          </w:p>
        </w:tc>
        <w:tc>
          <w:tcPr>
            <w:tcW w:w="765" w:type="dxa"/>
            <w:tcBorders>
              <w:top w:val="single" w:sz="4" w:space="0" w:color="auto"/>
              <w:left w:val="nil"/>
              <w:bottom w:val="double" w:sz="6" w:space="0" w:color="auto"/>
              <w:right w:val="nil"/>
            </w:tcBorders>
            <w:shd w:val="clear" w:color="auto" w:fill="auto"/>
            <w:noWrap/>
            <w:vAlign w:val="center"/>
            <w:hideMark/>
          </w:tcPr>
          <w:p w14:paraId="41D65FF0" w14:textId="77777777" w:rsidR="005F38A6" w:rsidRPr="00167F1B" w:rsidRDefault="005F38A6" w:rsidP="00167F1B">
            <w:pPr>
              <w:jc w:val="center"/>
              <w:rPr>
                <w:b/>
                <w:bCs/>
                <w:color w:val="000000"/>
                <w:sz w:val="22"/>
                <w:szCs w:val="22"/>
              </w:rPr>
            </w:pPr>
            <w:r w:rsidRPr="00167F1B">
              <w:rPr>
                <w:b/>
                <w:bCs/>
                <w:color w:val="000000"/>
                <w:sz w:val="22"/>
                <w:szCs w:val="22"/>
              </w:rPr>
              <w:t>2023</w:t>
            </w:r>
          </w:p>
        </w:tc>
        <w:tc>
          <w:tcPr>
            <w:tcW w:w="765" w:type="dxa"/>
            <w:tcBorders>
              <w:top w:val="single" w:sz="4" w:space="0" w:color="auto"/>
              <w:left w:val="nil"/>
              <w:bottom w:val="double" w:sz="6" w:space="0" w:color="auto"/>
              <w:right w:val="nil"/>
            </w:tcBorders>
            <w:shd w:val="clear" w:color="auto" w:fill="auto"/>
            <w:noWrap/>
            <w:vAlign w:val="center"/>
            <w:hideMark/>
          </w:tcPr>
          <w:p w14:paraId="582B63C3" w14:textId="77777777" w:rsidR="005F38A6" w:rsidRPr="00167F1B" w:rsidRDefault="005F38A6" w:rsidP="00167F1B">
            <w:pPr>
              <w:jc w:val="center"/>
              <w:rPr>
                <w:b/>
                <w:bCs/>
                <w:color w:val="000000"/>
                <w:sz w:val="22"/>
                <w:szCs w:val="22"/>
              </w:rPr>
            </w:pPr>
            <w:r w:rsidRPr="00167F1B">
              <w:rPr>
                <w:b/>
                <w:bCs/>
                <w:color w:val="000000"/>
                <w:sz w:val="22"/>
                <w:szCs w:val="22"/>
              </w:rPr>
              <w:t>2024</w:t>
            </w:r>
          </w:p>
        </w:tc>
        <w:tc>
          <w:tcPr>
            <w:tcW w:w="765" w:type="dxa"/>
            <w:tcBorders>
              <w:top w:val="single" w:sz="4" w:space="0" w:color="auto"/>
              <w:left w:val="nil"/>
              <w:bottom w:val="double" w:sz="6" w:space="0" w:color="auto"/>
              <w:right w:val="nil"/>
            </w:tcBorders>
            <w:shd w:val="clear" w:color="auto" w:fill="auto"/>
            <w:noWrap/>
            <w:vAlign w:val="center"/>
            <w:hideMark/>
          </w:tcPr>
          <w:p w14:paraId="139F070F" w14:textId="77777777" w:rsidR="005F38A6" w:rsidRPr="00167F1B" w:rsidRDefault="005F38A6" w:rsidP="00167F1B">
            <w:pPr>
              <w:jc w:val="center"/>
              <w:rPr>
                <w:b/>
                <w:bCs/>
                <w:color w:val="000000"/>
                <w:sz w:val="22"/>
                <w:szCs w:val="22"/>
              </w:rPr>
            </w:pPr>
            <w:r w:rsidRPr="00167F1B">
              <w:rPr>
                <w:b/>
                <w:bCs/>
                <w:color w:val="000000"/>
                <w:sz w:val="22"/>
                <w:szCs w:val="22"/>
              </w:rPr>
              <w:t>2025</w:t>
            </w:r>
          </w:p>
        </w:tc>
        <w:tc>
          <w:tcPr>
            <w:tcW w:w="765" w:type="dxa"/>
            <w:tcBorders>
              <w:top w:val="single" w:sz="4" w:space="0" w:color="auto"/>
              <w:left w:val="nil"/>
              <w:bottom w:val="double" w:sz="6" w:space="0" w:color="auto"/>
              <w:right w:val="nil"/>
            </w:tcBorders>
            <w:shd w:val="clear" w:color="auto" w:fill="auto"/>
            <w:noWrap/>
            <w:vAlign w:val="center"/>
            <w:hideMark/>
          </w:tcPr>
          <w:p w14:paraId="56DE8E68" w14:textId="77777777" w:rsidR="005F38A6" w:rsidRPr="00167F1B" w:rsidRDefault="005F38A6" w:rsidP="00167F1B">
            <w:pPr>
              <w:jc w:val="center"/>
              <w:rPr>
                <w:b/>
                <w:bCs/>
                <w:color w:val="000000"/>
                <w:sz w:val="22"/>
                <w:szCs w:val="22"/>
              </w:rPr>
            </w:pPr>
            <w:r w:rsidRPr="00167F1B">
              <w:rPr>
                <w:b/>
                <w:bCs/>
                <w:color w:val="000000"/>
                <w:sz w:val="22"/>
                <w:szCs w:val="22"/>
              </w:rPr>
              <w:t>2026</w:t>
            </w:r>
          </w:p>
        </w:tc>
        <w:tc>
          <w:tcPr>
            <w:tcW w:w="765" w:type="dxa"/>
            <w:tcBorders>
              <w:top w:val="single" w:sz="4" w:space="0" w:color="auto"/>
              <w:left w:val="nil"/>
              <w:bottom w:val="double" w:sz="6" w:space="0" w:color="auto"/>
              <w:right w:val="nil"/>
            </w:tcBorders>
            <w:shd w:val="clear" w:color="auto" w:fill="auto"/>
            <w:noWrap/>
            <w:vAlign w:val="center"/>
            <w:hideMark/>
          </w:tcPr>
          <w:p w14:paraId="330A2252" w14:textId="77777777" w:rsidR="005F38A6" w:rsidRPr="00167F1B" w:rsidRDefault="005F38A6" w:rsidP="00167F1B">
            <w:pPr>
              <w:jc w:val="center"/>
              <w:rPr>
                <w:b/>
                <w:bCs/>
                <w:color w:val="000000"/>
                <w:sz w:val="22"/>
                <w:szCs w:val="22"/>
              </w:rPr>
            </w:pPr>
            <w:r w:rsidRPr="00167F1B">
              <w:rPr>
                <w:b/>
                <w:bCs/>
                <w:color w:val="000000"/>
                <w:sz w:val="22"/>
                <w:szCs w:val="22"/>
              </w:rPr>
              <w:t>2027</w:t>
            </w:r>
          </w:p>
        </w:tc>
        <w:tc>
          <w:tcPr>
            <w:tcW w:w="765" w:type="dxa"/>
            <w:tcBorders>
              <w:top w:val="single" w:sz="4" w:space="0" w:color="auto"/>
              <w:left w:val="nil"/>
              <w:bottom w:val="double" w:sz="6" w:space="0" w:color="auto"/>
              <w:right w:val="nil"/>
            </w:tcBorders>
            <w:shd w:val="clear" w:color="auto" w:fill="auto"/>
            <w:noWrap/>
            <w:vAlign w:val="center"/>
            <w:hideMark/>
          </w:tcPr>
          <w:p w14:paraId="26D364E7" w14:textId="77777777" w:rsidR="005F38A6" w:rsidRPr="00167F1B" w:rsidRDefault="005F38A6" w:rsidP="00167F1B">
            <w:pPr>
              <w:jc w:val="center"/>
              <w:rPr>
                <w:b/>
                <w:bCs/>
                <w:color w:val="000000"/>
                <w:sz w:val="22"/>
                <w:szCs w:val="22"/>
              </w:rPr>
            </w:pPr>
            <w:r w:rsidRPr="00167F1B">
              <w:rPr>
                <w:b/>
                <w:bCs/>
                <w:color w:val="000000"/>
                <w:sz w:val="22"/>
                <w:szCs w:val="22"/>
              </w:rPr>
              <w:t>2028</w:t>
            </w:r>
          </w:p>
        </w:tc>
      </w:tr>
      <w:tr w:rsidR="000B275F" w:rsidRPr="00A95812" w14:paraId="3008E8D9" w14:textId="77777777" w:rsidTr="00167F1B">
        <w:trPr>
          <w:trHeight w:val="173"/>
          <w:jc w:val="center"/>
        </w:trPr>
        <w:tc>
          <w:tcPr>
            <w:tcW w:w="2402" w:type="dxa"/>
            <w:tcBorders>
              <w:top w:val="nil"/>
              <w:left w:val="nil"/>
              <w:bottom w:val="nil"/>
              <w:right w:val="nil"/>
            </w:tcBorders>
            <w:shd w:val="clear" w:color="auto" w:fill="auto"/>
            <w:noWrap/>
            <w:vAlign w:val="bottom"/>
            <w:hideMark/>
          </w:tcPr>
          <w:p w14:paraId="2EFC8D5E" w14:textId="77777777" w:rsidR="000B275F" w:rsidRPr="00A95812" w:rsidRDefault="000B275F" w:rsidP="000B275F">
            <w:pPr>
              <w:rPr>
                <w:color w:val="000000"/>
                <w:sz w:val="18"/>
                <w:szCs w:val="18"/>
              </w:rPr>
            </w:pPr>
            <w:r w:rsidRPr="00A95812">
              <w:rPr>
                <w:color w:val="000000"/>
                <w:sz w:val="18"/>
                <w:szCs w:val="18"/>
              </w:rPr>
              <w:t>PIB nominal (% crecimiento)</w:t>
            </w:r>
          </w:p>
        </w:tc>
        <w:tc>
          <w:tcPr>
            <w:tcW w:w="571" w:type="dxa"/>
            <w:tcBorders>
              <w:top w:val="nil"/>
              <w:left w:val="single" w:sz="4" w:space="0" w:color="auto"/>
              <w:bottom w:val="nil"/>
              <w:right w:val="nil"/>
            </w:tcBorders>
            <w:shd w:val="clear" w:color="auto" w:fill="auto"/>
            <w:noWrap/>
            <w:hideMark/>
          </w:tcPr>
          <w:p w14:paraId="29C814D5" w14:textId="4B9DCDA9" w:rsidR="000B275F" w:rsidRPr="00A95812" w:rsidRDefault="000B275F" w:rsidP="000B275F">
            <w:pPr>
              <w:jc w:val="center"/>
              <w:rPr>
                <w:color w:val="000000"/>
                <w:sz w:val="18"/>
                <w:szCs w:val="18"/>
              </w:rPr>
            </w:pPr>
            <w:r w:rsidRPr="00A95812">
              <w:rPr>
                <w:sz w:val="18"/>
                <w:szCs w:val="18"/>
              </w:rPr>
              <w:t>10.6</w:t>
            </w:r>
          </w:p>
        </w:tc>
        <w:tc>
          <w:tcPr>
            <w:tcW w:w="765" w:type="dxa"/>
            <w:tcBorders>
              <w:top w:val="nil"/>
              <w:left w:val="nil"/>
              <w:bottom w:val="nil"/>
              <w:right w:val="nil"/>
            </w:tcBorders>
            <w:shd w:val="clear" w:color="auto" w:fill="auto"/>
            <w:noWrap/>
            <w:hideMark/>
          </w:tcPr>
          <w:p w14:paraId="7BD4065E" w14:textId="73011310" w:rsidR="000B275F" w:rsidRPr="00A95812" w:rsidRDefault="000B275F" w:rsidP="000B275F">
            <w:pPr>
              <w:jc w:val="center"/>
              <w:rPr>
                <w:color w:val="000000"/>
                <w:sz w:val="18"/>
                <w:szCs w:val="18"/>
              </w:rPr>
            </w:pPr>
            <w:r w:rsidRPr="00A95812">
              <w:rPr>
                <w:sz w:val="18"/>
                <w:szCs w:val="18"/>
              </w:rPr>
              <w:t>8.2</w:t>
            </w:r>
          </w:p>
        </w:tc>
        <w:tc>
          <w:tcPr>
            <w:tcW w:w="765" w:type="dxa"/>
            <w:tcBorders>
              <w:top w:val="nil"/>
              <w:left w:val="nil"/>
              <w:bottom w:val="nil"/>
              <w:right w:val="nil"/>
            </w:tcBorders>
            <w:shd w:val="clear" w:color="auto" w:fill="auto"/>
            <w:noWrap/>
            <w:hideMark/>
          </w:tcPr>
          <w:p w14:paraId="10053FEF" w14:textId="7C40E8DA" w:rsidR="000B275F" w:rsidRPr="00A95812" w:rsidRDefault="000B275F" w:rsidP="000B275F">
            <w:pPr>
              <w:jc w:val="center"/>
              <w:rPr>
                <w:color w:val="000000"/>
                <w:sz w:val="18"/>
                <w:szCs w:val="18"/>
              </w:rPr>
            </w:pPr>
            <w:r w:rsidRPr="00A95812">
              <w:rPr>
                <w:sz w:val="18"/>
                <w:szCs w:val="18"/>
              </w:rPr>
              <w:t>5.9</w:t>
            </w:r>
          </w:p>
        </w:tc>
        <w:tc>
          <w:tcPr>
            <w:tcW w:w="765" w:type="dxa"/>
            <w:tcBorders>
              <w:top w:val="nil"/>
              <w:left w:val="nil"/>
              <w:bottom w:val="nil"/>
              <w:right w:val="nil"/>
            </w:tcBorders>
            <w:shd w:val="clear" w:color="auto" w:fill="auto"/>
            <w:noWrap/>
            <w:hideMark/>
          </w:tcPr>
          <w:p w14:paraId="34726A00" w14:textId="5489FF6B" w:rsidR="000B275F" w:rsidRPr="00A95812" w:rsidRDefault="000B275F" w:rsidP="000B275F">
            <w:pPr>
              <w:jc w:val="center"/>
              <w:rPr>
                <w:color w:val="000000"/>
                <w:sz w:val="18"/>
                <w:szCs w:val="18"/>
              </w:rPr>
            </w:pPr>
            <w:r w:rsidRPr="00A95812">
              <w:rPr>
                <w:sz w:val="18"/>
                <w:szCs w:val="18"/>
              </w:rPr>
              <w:t>5.2</w:t>
            </w:r>
          </w:p>
        </w:tc>
        <w:tc>
          <w:tcPr>
            <w:tcW w:w="765" w:type="dxa"/>
            <w:tcBorders>
              <w:top w:val="nil"/>
              <w:left w:val="nil"/>
              <w:bottom w:val="nil"/>
              <w:right w:val="nil"/>
            </w:tcBorders>
            <w:shd w:val="clear" w:color="auto" w:fill="auto"/>
            <w:noWrap/>
            <w:hideMark/>
          </w:tcPr>
          <w:p w14:paraId="245941FE" w14:textId="4297743A" w:rsidR="000B275F" w:rsidRPr="00A95812" w:rsidRDefault="000B275F" w:rsidP="000B275F">
            <w:pPr>
              <w:jc w:val="center"/>
              <w:rPr>
                <w:color w:val="000000"/>
                <w:sz w:val="18"/>
                <w:szCs w:val="18"/>
              </w:rPr>
            </w:pPr>
            <w:r w:rsidRPr="00A95812">
              <w:rPr>
                <w:sz w:val="18"/>
                <w:szCs w:val="18"/>
              </w:rPr>
              <w:t>5.4</w:t>
            </w:r>
          </w:p>
        </w:tc>
        <w:tc>
          <w:tcPr>
            <w:tcW w:w="765" w:type="dxa"/>
            <w:tcBorders>
              <w:top w:val="nil"/>
              <w:left w:val="nil"/>
              <w:bottom w:val="nil"/>
              <w:right w:val="nil"/>
            </w:tcBorders>
            <w:shd w:val="clear" w:color="auto" w:fill="auto"/>
            <w:noWrap/>
            <w:hideMark/>
          </w:tcPr>
          <w:p w14:paraId="0F456566" w14:textId="4985D865" w:rsidR="000B275F" w:rsidRPr="00A95812" w:rsidRDefault="000B275F" w:rsidP="000B275F">
            <w:pPr>
              <w:jc w:val="center"/>
              <w:rPr>
                <w:color w:val="000000"/>
                <w:sz w:val="18"/>
                <w:szCs w:val="18"/>
              </w:rPr>
            </w:pPr>
            <w:r w:rsidRPr="00A95812">
              <w:rPr>
                <w:sz w:val="18"/>
                <w:szCs w:val="18"/>
              </w:rPr>
              <w:t>5.4</w:t>
            </w:r>
          </w:p>
        </w:tc>
        <w:tc>
          <w:tcPr>
            <w:tcW w:w="765" w:type="dxa"/>
            <w:tcBorders>
              <w:top w:val="nil"/>
              <w:left w:val="nil"/>
              <w:bottom w:val="nil"/>
              <w:right w:val="nil"/>
            </w:tcBorders>
            <w:shd w:val="clear" w:color="auto" w:fill="auto"/>
            <w:noWrap/>
            <w:hideMark/>
          </w:tcPr>
          <w:p w14:paraId="744FAF67" w14:textId="4E78F49F" w:rsidR="000B275F" w:rsidRPr="00A95812" w:rsidRDefault="000B275F" w:rsidP="000B275F">
            <w:pPr>
              <w:jc w:val="center"/>
              <w:rPr>
                <w:color w:val="000000"/>
                <w:sz w:val="18"/>
                <w:szCs w:val="18"/>
              </w:rPr>
            </w:pPr>
            <w:r w:rsidRPr="00A95812">
              <w:rPr>
                <w:sz w:val="18"/>
                <w:szCs w:val="18"/>
              </w:rPr>
              <w:t>5.4</w:t>
            </w:r>
          </w:p>
        </w:tc>
      </w:tr>
      <w:tr w:rsidR="000B275F" w:rsidRPr="00A95812" w14:paraId="602A2691" w14:textId="77777777" w:rsidTr="00167F1B">
        <w:trPr>
          <w:trHeight w:val="173"/>
          <w:jc w:val="center"/>
        </w:trPr>
        <w:tc>
          <w:tcPr>
            <w:tcW w:w="2402" w:type="dxa"/>
            <w:tcBorders>
              <w:top w:val="nil"/>
              <w:left w:val="nil"/>
              <w:bottom w:val="nil"/>
              <w:right w:val="nil"/>
            </w:tcBorders>
            <w:shd w:val="clear" w:color="auto" w:fill="EDEDED" w:themeFill="accent3" w:themeFillTint="33"/>
            <w:noWrap/>
            <w:vAlign w:val="bottom"/>
            <w:hideMark/>
          </w:tcPr>
          <w:p w14:paraId="60D98BFF" w14:textId="77777777" w:rsidR="000B275F" w:rsidRPr="00A95812" w:rsidRDefault="000B275F" w:rsidP="000B275F">
            <w:pPr>
              <w:rPr>
                <w:color w:val="000000"/>
                <w:sz w:val="18"/>
                <w:szCs w:val="18"/>
              </w:rPr>
            </w:pPr>
            <w:r w:rsidRPr="00A95812">
              <w:rPr>
                <w:color w:val="000000"/>
                <w:sz w:val="18"/>
                <w:szCs w:val="18"/>
              </w:rPr>
              <w:t>PIB real (% crecimiento)</w:t>
            </w:r>
          </w:p>
        </w:tc>
        <w:tc>
          <w:tcPr>
            <w:tcW w:w="571" w:type="dxa"/>
            <w:tcBorders>
              <w:top w:val="nil"/>
              <w:left w:val="single" w:sz="4" w:space="0" w:color="auto"/>
              <w:bottom w:val="nil"/>
              <w:right w:val="nil"/>
            </w:tcBorders>
            <w:shd w:val="clear" w:color="auto" w:fill="EDEDED" w:themeFill="accent3" w:themeFillTint="33"/>
            <w:noWrap/>
            <w:hideMark/>
          </w:tcPr>
          <w:p w14:paraId="14DC9433" w14:textId="5DF2B61C" w:rsidR="000B275F" w:rsidRPr="00A95812" w:rsidRDefault="000B275F" w:rsidP="000B275F">
            <w:pPr>
              <w:jc w:val="center"/>
              <w:rPr>
                <w:color w:val="000000"/>
                <w:sz w:val="18"/>
                <w:szCs w:val="18"/>
              </w:rPr>
            </w:pPr>
            <w:r w:rsidRPr="00A95812">
              <w:rPr>
                <w:sz w:val="18"/>
                <w:szCs w:val="18"/>
              </w:rPr>
              <w:t>4.1</w:t>
            </w:r>
          </w:p>
        </w:tc>
        <w:tc>
          <w:tcPr>
            <w:tcW w:w="765" w:type="dxa"/>
            <w:tcBorders>
              <w:top w:val="nil"/>
              <w:left w:val="nil"/>
              <w:bottom w:val="nil"/>
              <w:right w:val="nil"/>
            </w:tcBorders>
            <w:shd w:val="clear" w:color="auto" w:fill="EDEDED" w:themeFill="accent3" w:themeFillTint="33"/>
            <w:noWrap/>
            <w:hideMark/>
          </w:tcPr>
          <w:p w14:paraId="6D2E24D8" w14:textId="3551AE22" w:rsidR="000B275F" w:rsidRPr="00A95812" w:rsidRDefault="000B275F" w:rsidP="000B275F">
            <w:pPr>
              <w:jc w:val="center"/>
              <w:rPr>
                <w:color w:val="000000"/>
                <w:sz w:val="18"/>
                <w:szCs w:val="18"/>
              </w:rPr>
            </w:pPr>
            <w:r w:rsidRPr="00A95812">
              <w:rPr>
                <w:sz w:val="18"/>
                <w:szCs w:val="18"/>
              </w:rPr>
              <w:t>3.5</w:t>
            </w:r>
          </w:p>
        </w:tc>
        <w:tc>
          <w:tcPr>
            <w:tcW w:w="765" w:type="dxa"/>
            <w:tcBorders>
              <w:top w:val="nil"/>
              <w:left w:val="nil"/>
              <w:bottom w:val="nil"/>
              <w:right w:val="nil"/>
            </w:tcBorders>
            <w:shd w:val="clear" w:color="auto" w:fill="EDEDED" w:themeFill="accent3" w:themeFillTint="33"/>
            <w:noWrap/>
            <w:hideMark/>
          </w:tcPr>
          <w:p w14:paraId="1E4854C7" w14:textId="17C08A1B" w:rsidR="000B275F" w:rsidRPr="00A95812" w:rsidRDefault="000B275F" w:rsidP="000B275F">
            <w:pPr>
              <w:jc w:val="center"/>
              <w:rPr>
                <w:color w:val="000000"/>
                <w:sz w:val="18"/>
                <w:szCs w:val="18"/>
              </w:rPr>
            </w:pPr>
            <w:r w:rsidRPr="00A95812">
              <w:rPr>
                <w:sz w:val="18"/>
                <w:szCs w:val="18"/>
              </w:rPr>
              <w:t>2.5</w:t>
            </w:r>
          </w:p>
        </w:tc>
        <w:tc>
          <w:tcPr>
            <w:tcW w:w="765" w:type="dxa"/>
            <w:tcBorders>
              <w:top w:val="nil"/>
              <w:left w:val="nil"/>
              <w:bottom w:val="nil"/>
              <w:right w:val="nil"/>
            </w:tcBorders>
            <w:shd w:val="clear" w:color="auto" w:fill="EDEDED" w:themeFill="accent3" w:themeFillTint="33"/>
            <w:noWrap/>
            <w:hideMark/>
          </w:tcPr>
          <w:p w14:paraId="57E915C2" w14:textId="2DCF281E" w:rsidR="000B275F" w:rsidRPr="00A95812" w:rsidRDefault="000B275F" w:rsidP="000B275F">
            <w:pPr>
              <w:jc w:val="center"/>
              <w:rPr>
                <w:color w:val="000000"/>
                <w:sz w:val="18"/>
                <w:szCs w:val="18"/>
              </w:rPr>
            </w:pPr>
            <w:r w:rsidRPr="00A95812">
              <w:rPr>
                <w:sz w:val="18"/>
                <w:szCs w:val="18"/>
              </w:rPr>
              <w:t>2.6</w:t>
            </w:r>
          </w:p>
        </w:tc>
        <w:tc>
          <w:tcPr>
            <w:tcW w:w="765" w:type="dxa"/>
            <w:tcBorders>
              <w:top w:val="nil"/>
              <w:left w:val="nil"/>
              <w:bottom w:val="nil"/>
              <w:right w:val="nil"/>
            </w:tcBorders>
            <w:shd w:val="clear" w:color="auto" w:fill="EDEDED" w:themeFill="accent3" w:themeFillTint="33"/>
            <w:noWrap/>
            <w:hideMark/>
          </w:tcPr>
          <w:p w14:paraId="23F4878C" w14:textId="40420C09" w:rsidR="000B275F" w:rsidRPr="00A95812" w:rsidRDefault="000B275F" w:rsidP="000B275F">
            <w:pPr>
              <w:jc w:val="center"/>
              <w:rPr>
                <w:color w:val="000000"/>
                <w:sz w:val="18"/>
                <w:szCs w:val="18"/>
              </w:rPr>
            </w:pPr>
            <w:r w:rsidRPr="00A95812">
              <w:rPr>
                <w:sz w:val="18"/>
                <w:szCs w:val="18"/>
              </w:rPr>
              <w:t>2.7</w:t>
            </w:r>
          </w:p>
        </w:tc>
        <w:tc>
          <w:tcPr>
            <w:tcW w:w="765" w:type="dxa"/>
            <w:tcBorders>
              <w:top w:val="nil"/>
              <w:left w:val="nil"/>
              <w:bottom w:val="nil"/>
              <w:right w:val="nil"/>
            </w:tcBorders>
            <w:shd w:val="clear" w:color="auto" w:fill="EDEDED" w:themeFill="accent3" w:themeFillTint="33"/>
            <w:noWrap/>
            <w:hideMark/>
          </w:tcPr>
          <w:p w14:paraId="7700D80D" w14:textId="3554F8EA" w:rsidR="000B275F" w:rsidRPr="00A95812" w:rsidRDefault="000B275F" w:rsidP="000B275F">
            <w:pPr>
              <w:jc w:val="center"/>
              <w:rPr>
                <w:color w:val="000000"/>
                <w:sz w:val="18"/>
                <w:szCs w:val="18"/>
              </w:rPr>
            </w:pPr>
            <w:r w:rsidRPr="00A95812">
              <w:rPr>
                <w:sz w:val="18"/>
                <w:szCs w:val="18"/>
              </w:rPr>
              <w:t>2.7</w:t>
            </w:r>
          </w:p>
        </w:tc>
        <w:tc>
          <w:tcPr>
            <w:tcW w:w="765" w:type="dxa"/>
            <w:tcBorders>
              <w:top w:val="nil"/>
              <w:left w:val="nil"/>
              <w:bottom w:val="nil"/>
              <w:right w:val="nil"/>
            </w:tcBorders>
            <w:shd w:val="clear" w:color="auto" w:fill="EDEDED" w:themeFill="accent3" w:themeFillTint="33"/>
            <w:noWrap/>
            <w:hideMark/>
          </w:tcPr>
          <w:p w14:paraId="766D74E3" w14:textId="3970E3E7" w:rsidR="000B275F" w:rsidRPr="00A95812" w:rsidRDefault="000B275F" w:rsidP="000B275F">
            <w:pPr>
              <w:jc w:val="center"/>
              <w:rPr>
                <w:color w:val="000000"/>
                <w:sz w:val="18"/>
                <w:szCs w:val="18"/>
              </w:rPr>
            </w:pPr>
            <w:r w:rsidRPr="00A95812">
              <w:rPr>
                <w:sz w:val="18"/>
                <w:szCs w:val="18"/>
              </w:rPr>
              <w:t>2.7</w:t>
            </w:r>
          </w:p>
        </w:tc>
      </w:tr>
      <w:tr w:rsidR="000B275F" w:rsidRPr="00A95812" w14:paraId="29C540A9" w14:textId="77777777" w:rsidTr="00167F1B">
        <w:trPr>
          <w:trHeight w:val="198"/>
          <w:jc w:val="center"/>
        </w:trPr>
        <w:tc>
          <w:tcPr>
            <w:tcW w:w="2402" w:type="dxa"/>
            <w:tcBorders>
              <w:top w:val="nil"/>
              <w:left w:val="nil"/>
              <w:bottom w:val="nil"/>
              <w:right w:val="nil"/>
            </w:tcBorders>
            <w:shd w:val="clear" w:color="auto" w:fill="EDEDED" w:themeFill="accent3" w:themeFillTint="33"/>
            <w:noWrap/>
            <w:vAlign w:val="bottom"/>
            <w:hideMark/>
          </w:tcPr>
          <w:p w14:paraId="4C167D7D" w14:textId="77777777" w:rsidR="000B275F" w:rsidRPr="00A95812" w:rsidRDefault="000B275F" w:rsidP="000B275F">
            <w:pPr>
              <w:rPr>
                <w:color w:val="000000"/>
                <w:sz w:val="18"/>
                <w:szCs w:val="18"/>
              </w:rPr>
            </w:pPr>
            <w:r w:rsidRPr="00A95812">
              <w:rPr>
                <w:color w:val="000000"/>
                <w:sz w:val="18"/>
                <w:szCs w:val="18"/>
              </w:rPr>
              <w:t>Inflación (%)</w:t>
            </w:r>
          </w:p>
        </w:tc>
        <w:tc>
          <w:tcPr>
            <w:tcW w:w="571" w:type="dxa"/>
            <w:tcBorders>
              <w:top w:val="nil"/>
              <w:left w:val="single" w:sz="4" w:space="0" w:color="auto"/>
              <w:bottom w:val="nil"/>
              <w:right w:val="nil"/>
            </w:tcBorders>
            <w:shd w:val="clear" w:color="auto" w:fill="EDEDED" w:themeFill="accent3" w:themeFillTint="33"/>
            <w:noWrap/>
            <w:hideMark/>
          </w:tcPr>
          <w:p w14:paraId="15D90512" w14:textId="55E0D36C" w:rsidR="000B275F" w:rsidRPr="00A95812" w:rsidRDefault="000B275F" w:rsidP="000B275F">
            <w:pPr>
              <w:jc w:val="center"/>
              <w:rPr>
                <w:color w:val="000000"/>
                <w:sz w:val="18"/>
                <w:szCs w:val="18"/>
              </w:rPr>
            </w:pPr>
            <w:r w:rsidRPr="00A95812">
              <w:rPr>
                <w:sz w:val="18"/>
                <w:szCs w:val="18"/>
              </w:rPr>
              <w:t>9.2</w:t>
            </w:r>
          </w:p>
        </w:tc>
        <w:tc>
          <w:tcPr>
            <w:tcW w:w="765" w:type="dxa"/>
            <w:tcBorders>
              <w:top w:val="nil"/>
              <w:left w:val="nil"/>
              <w:bottom w:val="nil"/>
              <w:right w:val="nil"/>
            </w:tcBorders>
            <w:shd w:val="clear" w:color="auto" w:fill="EDEDED" w:themeFill="accent3" w:themeFillTint="33"/>
            <w:noWrap/>
            <w:hideMark/>
          </w:tcPr>
          <w:p w14:paraId="41A44327" w14:textId="1C8EBFEF" w:rsidR="000B275F" w:rsidRPr="00A95812" w:rsidRDefault="000B275F" w:rsidP="000B275F">
            <w:pPr>
              <w:jc w:val="center"/>
              <w:rPr>
                <w:color w:val="000000"/>
                <w:sz w:val="18"/>
                <w:szCs w:val="18"/>
              </w:rPr>
            </w:pPr>
            <w:r w:rsidRPr="00A95812">
              <w:rPr>
                <w:sz w:val="18"/>
                <w:szCs w:val="18"/>
              </w:rPr>
              <w:t>4.0</w:t>
            </w:r>
          </w:p>
        </w:tc>
        <w:tc>
          <w:tcPr>
            <w:tcW w:w="765" w:type="dxa"/>
            <w:tcBorders>
              <w:top w:val="nil"/>
              <w:left w:val="nil"/>
              <w:bottom w:val="nil"/>
              <w:right w:val="nil"/>
            </w:tcBorders>
            <w:shd w:val="clear" w:color="auto" w:fill="EDEDED" w:themeFill="accent3" w:themeFillTint="33"/>
            <w:noWrap/>
            <w:hideMark/>
          </w:tcPr>
          <w:p w14:paraId="55B1112C" w14:textId="04580DBF" w:rsidR="000B275F" w:rsidRPr="00A95812" w:rsidRDefault="000B275F" w:rsidP="000B275F">
            <w:pPr>
              <w:jc w:val="center"/>
              <w:rPr>
                <w:color w:val="000000"/>
                <w:sz w:val="18"/>
                <w:szCs w:val="18"/>
              </w:rPr>
            </w:pPr>
            <w:r w:rsidRPr="00A95812">
              <w:rPr>
                <w:sz w:val="18"/>
                <w:szCs w:val="18"/>
              </w:rPr>
              <w:t>3.0</w:t>
            </w:r>
          </w:p>
        </w:tc>
        <w:tc>
          <w:tcPr>
            <w:tcW w:w="765" w:type="dxa"/>
            <w:tcBorders>
              <w:top w:val="nil"/>
              <w:left w:val="nil"/>
              <w:bottom w:val="nil"/>
              <w:right w:val="nil"/>
            </w:tcBorders>
            <w:shd w:val="clear" w:color="auto" w:fill="EDEDED" w:themeFill="accent3" w:themeFillTint="33"/>
            <w:noWrap/>
            <w:hideMark/>
          </w:tcPr>
          <w:p w14:paraId="04ECB54E" w14:textId="377FC152" w:rsidR="000B275F" w:rsidRPr="00A95812" w:rsidRDefault="000B275F" w:rsidP="000B275F">
            <w:pPr>
              <w:jc w:val="center"/>
              <w:rPr>
                <w:color w:val="000000"/>
                <w:sz w:val="18"/>
                <w:szCs w:val="18"/>
              </w:rPr>
            </w:pPr>
            <w:r w:rsidRPr="00A95812">
              <w:rPr>
                <w:sz w:val="18"/>
                <w:szCs w:val="18"/>
              </w:rPr>
              <w:t>3.0</w:t>
            </w:r>
          </w:p>
        </w:tc>
        <w:tc>
          <w:tcPr>
            <w:tcW w:w="765" w:type="dxa"/>
            <w:tcBorders>
              <w:top w:val="nil"/>
              <w:left w:val="nil"/>
              <w:bottom w:val="nil"/>
              <w:right w:val="nil"/>
            </w:tcBorders>
            <w:shd w:val="clear" w:color="auto" w:fill="EDEDED" w:themeFill="accent3" w:themeFillTint="33"/>
            <w:noWrap/>
            <w:hideMark/>
          </w:tcPr>
          <w:p w14:paraId="07F42F88" w14:textId="13A8A220" w:rsidR="000B275F" w:rsidRPr="00A95812" w:rsidRDefault="000B275F" w:rsidP="000B275F">
            <w:pPr>
              <w:jc w:val="center"/>
              <w:rPr>
                <w:color w:val="000000"/>
                <w:sz w:val="18"/>
                <w:szCs w:val="18"/>
              </w:rPr>
            </w:pPr>
            <w:r w:rsidRPr="00A95812">
              <w:rPr>
                <w:sz w:val="18"/>
                <w:szCs w:val="18"/>
              </w:rPr>
              <w:t>3.0</w:t>
            </w:r>
          </w:p>
        </w:tc>
        <w:tc>
          <w:tcPr>
            <w:tcW w:w="765" w:type="dxa"/>
            <w:tcBorders>
              <w:top w:val="nil"/>
              <w:left w:val="nil"/>
              <w:bottom w:val="nil"/>
              <w:right w:val="nil"/>
            </w:tcBorders>
            <w:shd w:val="clear" w:color="auto" w:fill="EDEDED" w:themeFill="accent3" w:themeFillTint="33"/>
            <w:noWrap/>
            <w:hideMark/>
          </w:tcPr>
          <w:p w14:paraId="3DD01EBE" w14:textId="5A1E1FE3" w:rsidR="000B275F" w:rsidRPr="00A95812" w:rsidRDefault="000B275F" w:rsidP="000B275F">
            <w:pPr>
              <w:jc w:val="center"/>
              <w:rPr>
                <w:color w:val="000000"/>
                <w:sz w:val="18"/>
                <w:szCs w:val="18"/>
              </w:rPr>
            </w:pPr>
            <w:r w:rsidRPr="00A95812">
              <w:rPr>
                <w:sz w:val="18"/>
                <w:szCs w:val="18"/>
              </w:rPr>
              <w:t>3.0</w:t>
            </w:r>
          </w:p>
        </w:tc>
        <w:tc>
          <w:tcPr>
            <w:tcW w:w="765" w:type="dxa"/>
            <w:tcBorders>
              <w:top w:val="nil"/>
              <w:left w:val="nil"/>
              <w:bottom w:val="nil"/>
              <w:right w:val="nil"/>
            </w:tcBorders>
            <w:shd w:val="clear" w:color="auto" w:fill="EDEDED" w:themeFill="accent3" w:themeFillTint="33"/>
            <w:noWrap/>
            <w:hideMark/>
          </w:tcPr>
          <w:p w14:paraId="74382A8C" w14:textId="110C6E75" w:rsidR="000B275F" w:rsidRPr="00A95812" w:rsidRDefault="000B275F" w:rsidP="000B275F">
            <w:pPr>
              <w:jc w:val="center"/>
              <w:rPr>
                <w:color w:val="000000"/>
                <w:sz w:val="18"/>
                <w:szCs w:val="18"/>
              </w:rPr>
            </w:pPr>
            <w:r w:rsidRPr="00A95812">
              <w:rPr>
                <w:sz w:val="18"/>
                <w:szCs w:val="18"/>
              </w:rPr>
              <w:t>3.0</w:t>
            </w:r>
          </w:p>
        </w:tc>
      </w:tr>
      <w:tr w:rsidR="000B275F" w:rsidRPr="00A95812" w14:paraId="1C2BD043" w14:textId="77777777" w:rsidTr="00167F1B">
        <w:trPr>
          <w:trHeight w:val="173"/>
          <w:jc w:val="center"/>
        </w:trPr>
        <w:tc>
          <w:tcPr>
            <w:tcW w:w="2402" w:type="dxa"/>
            <w:tcBorders>
              <w:top w:val="nil"/>
              <w:left w:val="nil"/>
              <w:bottom w:val="nil"/>
              <w:right w:val="nil"/>
            </w:tcBorders>
            <w:shd w:val="clear" w:color="auto" w:fill="auto"/>
            <w:noWrap/>
            <w:vAlign w:val="bottom"/>
            <w:hideMark/>
          </w:tcPr>
          <w:p w14:paraId="0F4E5A5B" w14:textId="77777777" w:rsidR="000B275F" w:rsidRPr="00A95812" w:rsidRDefault="000B275F" w:rsidP="000B275F">
            <w:pPr>
              <w:rPr>
                <w:color w:val="000000"/>
                <w:sz w:val="18"/>
                <w:szCs w:val="18"/>
              </w:rPr>
            </w:pPr>
            <w:r w:rsidRPr="00A95812">
              <w:rPr>
                <w:color w:val="000000"/>
                <w:sz w:val="18"/>
                <w:szCs w:val="18"/>
              </w:rPr>
              <w:t>Ingresos (% del PIB)</w:t>
            </w:r>
          </w:p>
        </w:tc>
        <w:tc>
          <w:tcPr>
            <w:tcW w:w="571" w:type="dxa"/>
            <w:tcBorders>
              <w:top w:val="nil"/>
              <w:left w:val="single" w:sz="4" w:space="0" w:color="auto"/>
              <w:bottom w:val="nil"/>
              <w:right w:val="nil"/>
            </w:tcBorders>
            <w:shd w:val="clear" w:color="auto" w:fill="auto"/>
            <w:noWrap/>
            <w:hideMark/>
          </w:tcPr>
          <w:p w14:paraId="4BED090F" w14:textId="1546EC15" w:rsidR="000B275F" w:rsidRPr="00A95812" w:rsidRDefault="000B275F" w:rsidP="000B275F">
            <w:pPr>
              <w:jc w:val="center"/>
              <w:rPr>
                <w:color w:val="000000"/>
                <w:sz w:val="18"/>
                <w:szCs w:val="18"/>
              </w:rPr>
            </w:pPr>
            <w:r w:rsidRPr="00A95812">
              <w:rPr>
                <w:sz w:val="18"/>
                <w:szCs w:val="18"/>
              </w:rPr>
              <w:t>12.7</w:t>
            </w:r>
          </w:p>
        </w:tc>
        <w:tc>
          <w:tcPr>
            <w:tcW w:w="765" w:type="dxa"/>
            <w:tcBorders>
              <w:top w:val="nil"/>
              <w:left w:val="nil"/>
              <w:bottom w:val="nil"/>
              <w:right w:val="nil"/>
            </w:tcBorders>
            <w:shd w:val="clear" w:color="auto" w:fill="auto"/>
            <w:noWrap/>
            <w:hideMark/>
          </w:tcPr>
          <w:p w14:paraId="5F816089" w14:textId="6E47863D" w:rsidR="000B275F" w:rsidRPr="00A95812" w:rsidRDefault="000B275F" w:rsidP="000B275F">
            <w:pPr>
              <w:jc w:val="center"/>
              <w:rPr>
                <w:color w:val="000000"/>
                <w:sz w:val="18"/>
                <w:szCs w:val="18"/>
              </w:rPr>
            </w:pPr>
            <w:r w:rsidRPr="00A95812">
              <w:rPr>
                <w:sz w:val="18"/>
                <w:szCs w:val="18"/>
              </w:rPr>
              <w:t>12.3</w:t>
            </w:r>
          </w:p>
        </w:tc>
        <w:tc>
          <w:tcPr>
            <w:tcW w:w="765" w:type="dxa"/>
            <w:tcBorders>
              <w:top w:val="nil"/>
              <w:left w:val="nil"/>
              <w:bottom w:val="nil"/>
              <w:right w:val="nil"/>
            </w:tcBorders>
            <w:shd w:val="clear" w:color="auto" w:fill="auto"/>
            <w:noWrap/>
            <w:hideMark/>
          </w:tcPr>
          <w:p w14:paraId="01614AAE" w14:textId="1652710A" w:rsidR="000B275F" w:rsidRPr="00A95812" w:rsidRDefault="000B275F" w:rsidP="000B275F">
            <w:pPr>
              <w:jc w:val="center"/>
              <w:rPr>
                <w:color w:val="000000"/>
                <w:sz w:val="18"/>
                <w:szCs w:val="18"/>
              </w:rPr>
            </w:pPr>
            <w:r w:rsidRPr="00A95812">
              <w:rPr>
                <w:sz w:val="18"/>
                <w:szCs w:val="18"/>
              </w:rPr>
              <w:t>12.3</w:t>
            </w:r>
          </w:p>
        </w:tc>
        <w:tc>
          <w:tcPr>
            <w:tcW w:w="765" w:type="dxa"/>
            <w:tcBorders>
              <w:top w:val="nil"/>
              <w:left w:val="nil"/>
              <w:bottom w:val="nil"/>
              <w:right w:val="nil"/>
            </w:tcBorders>
            <w:shd w:val="clear" w:color="auto" w:fill="auto"/>
            <w:noWrap/>
            <w:hideMark/>
          </w:tcPr>
          <w:p w14:paraId="0C7A9FB3" w14:textId="3FCD8E81" w:rsidR="000B275F" w:rsidRPr="00A95812" w:rsidRDefault="000B275F" w:rsidP="000B275F">
            <w:pPr>
              <w:jc w:val="center"/>
              <w:rPr>
                <w:color w:val="000000"/>
                <w:sz w:val="18"/>
                <w:szCs w:val="18"/>
              </w:rPr>
            </w:pPr>
            <w:r w:rsidRPr="00A95812">
              <w:rPr>
                <w:sz w:val="18"/>
                <w:szCs w:val="18"/>
              </w:rPr>
              <w:t>12.4</w:t>
            </w:r>
          </w:p>
        </w:tc>
        <w:tc>
          <w:tcPr>
            <w:tcW w:w="765" w:type="dxa"/>
            <w:tcBorders>
              <w:top w:val="nil"/>
              <w:left w:val="nil"/>
              <w:bottom w:val="nil"/>
              <w:right w:val="nil"/>
            </w:tcBorders>
            <w:shd w:val="clear" w:color="auto" w:fill="auto"/>
            <w:noWrap/>
            <w:hideMark/>
          </w:tcPr>
          <w:p w14:paraId="574D4921" w14:textId="0A6DED7A" w:rsidR="000B275F" w:rsidRPr="00A95812" w:rsidRDefault="000B275F" w:rsidP="000B275F">
            <w:pPr>
              <w:jc w:val="center"/>
              <w:rPr>
                <w:color w:val="000000"/>
                <w:sz w:val="18"/>
                <w:szCs w:val="18"/>
              </w:rPr>
            </w:pPr>
            <w:r w:rsidRPr="00A95812">
              <w:rPr>
                <w:sz w:val="18"/>
                <w:szCs w:val="18"/>
              </w:rPr>
              <w:t>12.5</w:t>
            </w:r>
          </w:p>
        </w:tc>
        <w:tc>
          <w:tcPr>
            <w:tcW w:w="765" w:type="dxa"/>
            <w:tcBorders>
              <w:top w:val="nil"/>
              <w:left w:val="nil"/>
              <w:bottom w:val="nil"/>
              <w:right w:val="nil"/>
            </w:tcBorders>
            <w:shd w:val="clear" w:color="auto" w:fill="auto"/>
            <w:noWrap/>
            <w:hideMark/>
          </w:tcPr>
          <w:p w14:paraId="4AFB57AF" w14:textId="3C244EB1" w:rsidR="000B275F" w:rsidRPr="00A95812" w:rsidRDefault="000B275F" w:rsidP="000B275F">
            <w:pPr>
              <w:jc w:val="center"/>
              <w:rPr>
                <w:color w:val="000000"/>
                <w:sz w:val="18"/>
                <w:szCs w:val="18"/>
              </w:rPr>
            </w:pPr>
            <w:r w:rsidRPr="00A95812">
              <w:rPr>
                <w:sz w:val="18"/>
                <w:szCs w:val="18"/>
              </w:rPr>
              <w:t>12.5</w:t>
            </w:r>
          </w:p>
        </w:tc>
        <w:tc>
          <w:tcPr>
            <w:tcW w:w="765" w:type="dxa"/>
            <w:tcBorders>
              <w:top w:val="nil"/>
              <w:left w:val="nil"/>
              <w:bottom w:val="nil"/>
              <w:right w:val="nil"/>
            </w:tcBorders>
            <w:shd w:val="clear" w:color="auto" w:fill="auto"/>
            <w:noWrap/>
            <w:hideMark/>
          </w:tcPr>
          <w:p w14:paraId="275FAAE5" w14:textId="0991CAED" w:rsidR="000B275F" w:rsidRPr="00A95812" w:rsidRDefault="000B275F" w:rsidP="000B275F">
            <w:pPr>
              <w:jc w:val="center"/>
              <w:rPr>
                <w:color w:val="000000"/>
                <w:sz w:val="18"/>
                <w:szCs w:val="18"/>
              </w:rPr>
            </w:pPr>
            <w:r w:rsidRPr="00A95812">
              <w:rPr>
                <w:sz w:val="18"/>
                <w:szCs w:val="18"/>
              </w:rPr>
              <w:t>12.6</w:t>
            </w:r>
          </w:p>
        </w:tc>
      </w:tr>
      <w:tr w:rsidR="000B275F" w:rsidRPr="00A95812" w14:paraId="7E940965" w14:textId="77777777" w:rsidTr="00167F1B">
        <w:trPr>
          <w:trHeight w:val="173"/>
          <w:jc w:val="center"/>
        </w:trPr>
        <w:tc>
          <w:tcPr>
            <w:tcW w:w="2402" w:type="dxa"/>
            <w:tcBorders>
              <w:top w:val="nil"/>
              <w:left w:val="nil"/>
              <w:bottom w:val="nil"/>
              <w:right w:val="nil"/>
            </w:tcBorders>
            <w:shd w:val="clear" w:color="auto" w:fill="auto"/>
            <w:noWrap/>
            <w:vAlign w:val="bottom"/>
            <w:hideMark/>
          </w:tcPr>
          <w:p w14:paraId="57E14F3D" w14:textId="77777777" w:rsidR="000B275F" w:rsidRPr="00A95812" w:rsidRDefault="000B275F" w:rsidP="000B275F">
            <w:pPr>
              <w:rPr>
                <w:color w:val="000000"/>
                <w:sz w:val="18"/>
                <w:szCs w:val="18"/>
              </w:rPr>
            </w:pPr>
            <w:r w:rsidRPr="00A95812">
              <w:rPr>
                <w:color w:val="000000"/>
                <w:sz w:val="18"/>
                <w:szCs w:val="18"/>
              </w:rPr>
              <w:t>Gastos (% del PIB)</w:t>
            </w:r>
          </w:p>
        </w:tc>
        <w:tc>
          <w:tcPr>
            <w:tcW w:w="571" w:type="dxa"/>
            <w:tcBorders>
              <w:top w:val="nil"/>
              <w:left w:val="single" w:sz="4" w:space="0" w:color="auto"/>
              <w:bottom w:val="nil"/>
              <w:right w:val="nil"/>
            </w:tcBorders>
            <w:shd w:val="clear" w:color="auto" w:fill="auto"/>
            <w:noWrap/>
            <w:hideMark/>
          </w:tcPr>
          <w:p w14:paraId="79A9BA23" w14:textId="7E67B9B6" w:rsidR="000B275F" w:rsidRPr="00A95812" w:rsidRDefault="000B275F" w:rsidP="000B275F">
            <w:pPr>
              <w:jc w:val="center"/>
              <w:rPr>
                <w:color w:val="000000"/>
                <w:sz w:val="18"/>
                <w:szCs w:val="18"/>
              </w:rPr>
            </w:pPr>
            <w:r w:rsidRPr="00A95812">
              <w:rPr>
                <w:sz w:val="18"/>
                <w:szCs w:val="18"/>
              </w:rPr>
              <w:t>14.4</w:t>
            </w:r>
          </w:p>
        </w:tc>
        <w:tc>
          <w:tcPr>
            <w:tcW w:w="765" w:type="dxa"/>
            <w:tcBorders>
              <w:top w:val="nil"/>
              <w:left w:val="nil"/>
              <w:bottom w:val="nil"/>
              <w:right w:val="nil"/>
            </w:tcBorders>
            <w:shd w:val="clear" w:color="auto" w:fill="auto"/>
            <w:noWrap/>
            <w:hideMark/>
          </w:tcPr>
          <w:p w14:paraId="7F56CEE4" w14:textId="4B29E14C" w:rsidR="000B275F" w:rsidRPr="00A95812" w:rsidRDefault="000B275F" w:rsidP="000B275F">
            <w:pPr>
              <w:jc w:val="center"/>
              <w:rPr>
                <w:color w:val="000000"/>
                <w:sz w:val="18"/>
                <w:szCs w:val="18"/>
              </w:rPr>
            </w:pPr>
            <w:r w:rsidRPr="00A95812">
              <w:rPr>
                <w:sz w:val="18"/>
                <w:szCs w:val="18"/>
              </w:rPr>
              <w:t>14.0</w:t>
            </w:r>
          </w:p>
        </w:tc>
        <w:tc>
          <w:tcPr>
            <w:tcW w:w="765" w:type="dxa"/>
            <w:tcBorders>
              <w:top w:val="nil"/>
              <w:left w:val="nil"/>
              <w:bottom w:val="nil"/>
              <w:right w:val="nil"/>
            </w:tcBorders>
            <w:shd w:val="clear" w:color="auto" w:fill="auto"/>
            <w:noWrap/>
            <w:hideMark/>
          </w:tcPr>
          <w:p w14:paraId="404BFC89" w14:textId="5A6BDA46" w:rsidR="000B275F" w:rsidRPr="00A95812" w:rsidRDefault="000B275F" w:rsidP="000B275F">
            <w:pPr>
              <w:jc w:val="center"/>
              <w:rPr>
                <w:color w:val="000000"/>
                <w:sz w:val="18"/>
                <w:szCs w:val="18"/>
              </w:rPr>
            </w:pPr>
            <w:r w:rsidRPr="00A95812">
              <w:rPr>
                <w:sz w:val="18"/>
                <w:szCs w:val="18"/>
              </w:rPr>
              <w:t>14.0</w:t>
            </w:r>
          </w:p>
        </w:tc>
        <w:tc>
          <w:tcPr>
            <w:tcW w:w="765" w:type="dxa"/>
            <w:tcBorders>
              <w:top w:val="nil"/>
              <w:left w:val="nil"/>
              <w:bottom w:val="nil"/>
              <w:right w:val="nil"/>
            </w:tcBorders>
            <w:shd w:val="clear" w:color="auto" w:fill="auto"/>
            <w:noWrap/>
            <w:hideMark/>
          </w:tcPr>
          <w:p w14:paraId="3E23E96A" w14:textId="32157FF5" w:rsidR="000B275F" w:rsidRPr="00A95812" w:rsidRDefault="000B275F" w:rsidP="000B275F">
            <w:pPr>
              <w:jc w:val="center"/>
              <w:rPr>
                <w:color w:val="000000"/>
                <w:sz w:val="18"/>
                <w:szCs w:val="18"/>
              </w:rPr>
            </w:pPr>
            <w:r w:rsidRPr="00A95812">
              <w:rPr>
                <w:sz w:val="18"/>
                <w:szCs w:val="18"/>
              </w:rPr>
              <w:t>13.6</w:t>
            </w:r>
          </w:p>
        </w:tc>
        <w:tc>
          <w:tcPr>
            <w:tcW w:w="765" w:type="dxa"/>
            <w:tcBorders>
              <w:top w:val="nil"/>
              <w:left w:val="nil"/>
              <w:bottom w:val="nil"/>
              <w:right w:val="nil"/>
            </w:tcBorders>
            <w:shd w:val="clear" w:color="auto" w:fill="auto"/>
            <w:noWrap/>
            <w:hideMark/>
          </w:tcPr>
          <w:p w14:paraId="02BE5297" w14:textId="49F8B9BA" w:rsidR="000B275F" w:rsidRPr="00A95812" w:rsidRDefault="000B275F" w:rsidP="000B275F">
            <w:pPr>
              <w:jc w:val="center"/>
              <w:rPr>
                <w:color w:val="000000"/>
                <w:sz w:val="18"/>
                <w:szCs w:val="18"/>
              </w:rPr>
            </w:pPr>
            <w:r w:rsidRPr="00A95812">
              <w:rPr>
                <w:sz w:val="18"/>
                <w:szCs w:val="18"/>
              </w:rPr>
              <w:t>13.2</w:t>
            </w:r>
          </w:p>
        </w:tc>
        <w:tc>
          <w:tcPr>
            <w:tcW w:w="765" w:type="dxa"/>
            <w:tcBorders>
              <w:top w:val="nil"/>
              <w:left w:val="nil"/>
              <w:bottom w:val="nil"/>
              <w:right w:val="nil"/>
            </w:tcBorders>
            <w:shd w:val="clear" w:color="auto" w:fill="auto"/>
            <w:noWrap/>
            <w:hideMark/>
          </w:tcPr>
          <w:p w14:paraId="5A731E7B" w14:textId="410AFA81" w:rsidR="000B275F" w:rsidRPr="00A95812" w:rsidRDefault="000B275F" w:rsidP="000B275F">
            <w:pPr>
              <w:jc w:val="center"/>
              <w:rPr>
                <w:color w:val="000000"/>
                <w:sz w:val="18"/>
                <w:szCs w:val="18"/>
              </w:rPr>
            </w:pPr>
            <w:r w:rsidRPr="00A95812">
              <w:rPr>
                <w:sz w:val="18"/>
                <w:szCs w:val="18"/>
              </w:rPr>
              <w:t>12.8</w:t>
            </w:r>
          </w:p>
        </w:tc>
        <w:tc>
          <w:tcPr>
            <w:tcW w:w="765" w:type="dxa"/>
            <w:tcBorders>
              <w:top w:val="nil"/>
              <w:left w:val="nil"/>
              <w:bottom w:val="nil"/>
              <w:right w:val="nil"/>
            </w:tcBorders>
            <w:shd w:val="clear" w:color="auto" w:fill="auto"/>
            <w:noWrap/>
            <w:hideMark/>
          </w:tcPr>
          <w:p w14:paraId="0D65344C" w14:textId="70527A3F" w:rsidR="000B275F" w:rsidRPr="00A95812" w:rsidRDefault="000B275F" w:rsidP="000B275F">
            <w:pPr>
              <w:jc w:val="center"/>
              <w:rPr>
                <w:color w:val="000000"/>
                <w:sz w:val="18"/>
                <w:szCs w:val="18"/>
              </w:rPr>
            </w:pPr>
            <w:r w:rsidRPr="00A95812">
              <w:rPr>
                <w:sz w:val="18"/>
                <w:szCs w:val="18"/>
              </w:rPr>
              <w:t>12.6</w:t>
            </w:r>
          </w:p>
        </w:tc>
      </w:tr>
      <w:tr w:rsidR="000B275F" w:rsidRPr="00A95812" w14:paraId="58D68093" w14:textId="77777777" w:rsidTr="00167F1B">
        <w:trPr>
          <w:trHeight w:val="173"/>
          <w:jc w:val="center"/>
        </w:trPr>
        <w:tc>
          <w:tcPr>
            <w:tcW w:w="2402" w:type="dxa"/>
            <w:tcBorders>
              <w:top w:val="nil"/>
              <w:left w:val="nil"/>
              <w:bottom w:val="nil"/>
              <w:right w:val="nil"/>
            </w:tcBorders>
            <w:shd w:val="clear" w:color="auto" w:fill="auto"/>
            <w:noWrap/>
            <w:vAlign w:val="bottom"/>
            <w:hideMark/>
          </w:tcPr>
          <w:p w14:paraId="103953F7" w14:textId="77777777" w:rsidR="000B275F" w:rsidRPr="00A95812" w:rsidRDefault="000B275F" w:rsidP="000B275F">
            <w:pPr>
              <w:rPr>
                <w:color w:val="000000"/>
                <w:sz w:val="18"/>
                <w:szCs w:val="18"/>
              </w:rPr>
            </w:pPr>
            <w:r w:rsidRPr="00A95812">
              <w:rPr>
                <w:color w:val="000000"/>
                <w:sz w:val="18"/>
                <w:szCs w:val="18"/>
              </w:rPr>
              <w:t>Déficit (% del PIB)</w:t>
            </w:r>
          </w:p>
        </w:tc>
        <w:tc>
          <w:tcPr>
            <w:tcW w:w="571" w:type="dxa"/>
            <w:tcBorders>
              <w:top w:val="nil"/>
              <w:left w:val="single" w:sz="4" w:space="0" w:color="auto"/>
              <w:bottom w:val="nil"/>
              <w:right w:val="nil"/>
            </w:tcBorders>
            <w:shd w:val="clear" w:color="auto" w:fill="auto"/>
            <w:noWrap/>
            <w:hideMark/>
          </w:tcPr>
          <w:p w14:paraId="0256F058" w14:textId="61F3998C" w:rsidR="000B275F" w:rsidRPr="00A95812" w:rsidRDefault="000B275F" w:rsidP="000B275F">
            <w:pPr>
              <w:jc w:val="center"/>
              <w:rPr>
                <w:color w:val="000000"/>
                <w:sz w:val="18"/>
                <w:szCs w:val="18"/>
              </w:rPr>
            </w:pPr>
            <w:r w:rsidRPr="00A95812">
              <w:rPr>
                <w:sz w:val="18"/>
                <w:szCs w:val="18"/>
              </w:rPr>
              <w:t>1.7</w:t>
            </w:r>
          </w:p>
        </w:tc>
        <w:tc>
          <w:tcPr>
            <w:tcW w:w="765" w:type="dxa"/>
            <w:tcBorders>
              <w:top w:val="nil"/>
              <w:left w:val="nil"/>
              <w:bottom w:val="nil"/>
              <w:right w:val="nil"/>
            </w:tcBorders>
            <w:shd w:val="clear" w:color="auto" w:fill="auto"/>
            <w:noWrap/>
            <w:hideMark/>
          </w:tcPr>
          <w:p w14:paraId="5C4F09A1" w14:textId="68322F5F" w:rsidR="000B275F" w:rsidRPr="00A95812" w:rsidRDefault="000B275F" w:rsidP="000B275F">
            <w:pPr>
              <w:jc w:val="center"/>
              <w:rPr>
                <w:color w:val="000000"/>
                <w:sz w:val="18"/>
                <w:szCs w:val="18"/>
              </w:rPr>
            </w:pPr>
            <w:r w:rsidRPr="00A95812">
              <w:rPr>
                <w:sz w:val="18"/>
                <w:szCs w:val="18"/>
              </w:rPr>
              <w:t>1.7</w:t>
            </w:r>
          </w:p>
        </w:tc>
        <w:tc>
          <w:tcPr>
            <w:tcW w:w="765" w:type="dxa"/>
            <w:tcBorders>
              <w:top w:val="nil"/>
              <w:left w:val="nil"/>
              <w:bottom w:val="nil"/>
              <w:right w:val="nil"/>
            </w:tcBorders>
            <w:shd w:val="clear" w:color="auto" w:fill="auto"/>
            <w:noWrap/>
            <w:hideMark/>
          </w:tcPr>
          <w:p w14:paraId="5F313F07" w14:textId="696B6F8B" w:rsidR="000B275F" w:rsidRPr="00A95812" w:rsidRDefault="000B275F" w:rsidP="000B275F">
            <w:pPr>
              <w:jc w:val="center"/>
              <w:rPr>
                <w:color w:val="000000"/>
                <w:sz w:val="18"/>
                <w:szCs w:val="18"/>
              </w:rPr>
            </w:pPr>
            <w:r w:rsidRPr="00A95812">
              <w:rPr>
                <w:sz w:val="18"/>
                <w:szCs w:val="18"/>
              </w:rPr>
              <w:t>1.7</w:t>
            </w:r>
          </w:p>
        </w:tc>
        <w:tc>
          <w:tcPr>
            <w:tcW w:w="765" w:type="dxa"/>
            <w:tcBorders>
              <w:top w:val="nil"/>
              <w:left w:val="nil"/>
              <w:bottom w:val="nil"/>
              <w:right w:val="nil"/>
            </w:tcBorders>
            <w:shd w:val="clear" w:color="auto" w:fill="auto"/>
            <w:noWrap/>
            <w:hideMark/>
          </w:tcPr>
          <w:p w14:paraId="7F4BE2B4" w14:textId="5ECD2286" w:rsidR="000B275F" w:rsidRPr="00A95812" w:rsidRDefault="000B275F" w:rsidP="000B275F">
            <w:pPr>
              <w:jc w:val="center"/>
              <w:rPr>
                <w:color w:val="000000"/>
                <w:sz w:val="18"/>
                <w:szCs w:val="18"/>
              </w:rPr>
            </w:pPr>
            <w:r w:rsidRPr="00A95812">
              <w:rPr>
                <w:sz w:val="18"/>
                <w:szCs w:val="18"/>
              </w:rPr>
              <w:t>1.3</w:t>
            </w:r>
          </w:p>
        </w:tc>
        <w:tc>
          <w:tcPr>
            <w:tcW w:w="765" w:type="dxa"/>
            <w:tcBorders>
              <w:top w:val="nil"/>
              <w:left w:val="nil"/>
              <w:bottom w:val="nil"/>
              <w:right w:val="nil"/>
            </w:tcBorders>
            <w:shd w:val="clear" w:color="auto" w:fill="auto"/>
            <w:noWrap/>
            <w:hideMark/>
          </w:tcPr>
          <w:p w14:paraId="1D451A90" w14:textId="19C2BA69" w:rsidR="000B275F" w:rsidRPr="00A95812" w:rsidRDefault="000B275F" w:rsidP="000B275F">
            <w:pPr>
              <w:jc w:val="center"/>
              <w:rPr>
                <w:color w:val="000000"/>
                <w:sz w:val="18"/>
                <w:szCs w:val="18"/>
              </w:rPr>
            </w:pPr>
            <w:r w:rsidRPr="00A95812">
              <w:rPr>
                <w:sz w:val="18"/>
                <w:szCs w:val="18"/>
              </w:rPr>
              <w:t>0.8</w:t>
            </w:r>
          </w:p>
        </w:tc>
        <w:tc>
          <w:tcPr>
            <w:tcW w:w="765" w:type="dxa"/>
            <w:tcBorders>
              <w:top w:val="nil"/>
              <w:left w:val="nil"/>
              <w:bottom w:val="nil"/>
              <w:right w:val="nil"/>
            </w:tcBorders>
            <w:shd w:val="clear" w:color="auto" w:fill="auto"/>
            <w:noWrap/>
            <w:hideMark/>
          </w:tcPr>
          <w:p w14:paraId="7F18D3DC" w14:textId="743F535B" w:rsidR="000B275F" w:rsidRPr="00A95812" w:rsidRDefault="000B275F" w:rsidP="000B275F">
            <w:pPr>
              <w:jc w:val="center"/>
              <w:rPr>
                <w:color w:val="000000"/>
                <w:sz w:val="18"/>
                <w:szCs w:val="18"/>
              </w:rPr>
            </w:pPr>
            <w:r w:rsidRPr="00A95812">
              <w:rPr>
                <w:sz w:val="18"/>
                <w:szCs w:val="18"/>
              </w:rPr>
              <w:t>0.3</w:t>
            </w:r>
          </w:p>
        </w:tc>
        <w:tc>
          <w:tcPr>
            <w:tcW w:w="765" w:type="dxa"/>
            <w:tcBorders>
              <w:top w:val="nil"/>
              <w:left w:val="nil"/>
              <w:bottom w:val="nil"/>
              <w:right w:val="nil"/>
            </w:tcBorders>
            <w:shd w:val="clear" w:color="auto" w:fill="auto"/>
            <w:noWrap/>
            <w:hideMark/>
          </w:tcPr>
          <w:p w14:paraId="76849F0C" w14:textId="5A4E8596" w:rsidR="000B275F" w:rsidRPr="00A95812" w:rsidRDefault="000B275F" w:rsidP="000B275F">
            <w:pPr>
              <w:jc w:val="center"/>
              <w:rPr>
                <w:color w:val="000000"/>
                <w:sz w:val="18"/>
                <w:szCs w:val="18"/>
              </w:rPr>
            </w:pPr>
            <w:r w:rsidRPr="00A95812">
              <w:rPr>
                <w:sz w:val="18"/>
                <w:szCs w:val="18"/>
              </w:rPr>
              <w:t>-0.1</w:t>
            </w:r>
          </w:p>
        </w:tc>
      </w:tr>
      <w:tr w:rsidR="000B275F" w:rsidRPr="00A95812" w14:paraId="6FF514B4" w14:textId="77777777" w:rsidTr="00167F1B">
        <w:trPr>
          <w:trHeight w:val="173"/>
          <w:jc w:val="center"/>
        </w:trPr>
        <w:tc>
          <w:tcPr>
            <w:tcW w:w="2402" w:type="dxa"/>
            <w:tcBorders>
              <w:top w:val="nil"/>
              <w:left w:val="nil"/>
              <w:bottom w:val="single" w:sz="4" w:space="0" w:color="auto"/>
              <w:right w:val="nil"/>
            </w:tcBorders>
            <w:shd w:val="clear" w:color="auto" w:fill="auto"/>
            <w:noWrap/>
            <w:vAlign w:val="bottom"/>
            <w:hideMark/>
          </w:tcPr>
          <w:p w14:paraId="380F72ED" w14:textId="77777777" w:rsidR="000B275F" w:rsidRPr="00A95812" w:rsidRDefault="000B275F" w:rsidP="000B275F">
            <w:pPr>
              <w:rPr>
                <w:color w:val="000000"/>
                <w:sz w:val="18"/>
                <w:szCs w:val="18"/>
              </w:rPr>
            </w:pPr>
            <w:r w:rsidRPr="00A95812">
              <w:rPr>
                <w:color w:val="000000"/>
                <w:sz w:val="18"/>
                <w:szCs w:val="18"/>
              </w:rPr>
              <w:t>Deuda (% del PIB)</w:t>
            </w:r>
          </w:p>
        </w:tc>
        <w:tc>
          <w:tcPr>
            <w:tcW w:w="571" w:type="dxa"/>
            <w:tcBorders>
              <w:top w:val="nil"/>
              <w:left w:val="single" w:sz="4" w:space="0" w:color="auto"/>
              <w:bottom w:val="single" w:sz="4" w:space="0" w:color="auto"/>
              <w:right w:val="nil"/>
            </w:tcBorders>
            <w:shd w:val="clear" w:color="auto" w:fill="auto"/>
            <w:noWrap/>
            <w:hideMark/>
          </w:tcPr>
          <w:p w14:paraId="43B8BAAD" w14:textId="528BC50A" w:rsidR="000B275F" w:rsidRPr="00A95812" w:rsidRDefault="000B275F" w:rsidP="000B275F">
            <w:pPr>
              <w:jc w:val="center"/>
              <w:rPr>
                <w:color w:val="000000"/>
                <w:sz w:val="18"/>
                <w:szCs w:val="18"/>
              </w:rPr>
            </w:pPr>
            <w:r w:rsidRPr="00A95812">
              <w:rPr>
                <w:sz w:val="18"/>
                <w:szCs w:val="18"/>
              </w:rPr>
              <w:t>29.2</w:t>
            </w:r>
          </w:p>
        </w:tc>
        <w:tc>
          <w:tcPr>
            <w:tcW w:w="765" w:type="dxa"/>
            <w:tcBorders>
              <w:top w:val="nil"/>
              <w:left w:val="nil"/>
              <w:bottom w:val="single" w:sz="4" w:space="0" w:color="auto"/>
              <w:right w:val="nil"/>
            </w:tcBorders>
            <w:shd w:val="clear" w:color="auto" w:fill="auto"/>
            <w:noWrap/>
            <w:hideMark/>
          </w:tcPr>
          <w:p w14:paraId="20DE4AC1" w14:textId="0B8917D5" w:rsidR="000B275F" w:rsidRPr="00A95812" w:rsidRDefault="000B275F" w:rsidP="000B275F">
            <w:pPr>
              <w:jc w:val="center"/>
              <w:rPr>
                <w:color w:val="000000"/>
                <w:sz w:val="18"/>
                <w:szCs w:val="18"/>
              </w:rPr>
            </w:pPr>
            <w:r w:rsidRPr="00A95812">
              <w:rPr>
                <w:sz w:val="18"/>
                <w:szCs w:val="18"/>
              </w:rPr>
              <w:t>28.4</w:t>
            </w:r>
          </w:p>
        </w:tc>
        <w:tc>
          <w:tcPr>
            <w:tcW w:w="765" w:type="dxa"/>
            <w:tcBorders>
              <w:top w:val="nil"/>
              <w:left w:val="nil"/>
              <w:bottom w:val="single" w:sz="4" w:space="0" w:color="auto"/>
              <w:right w:val="nil"/>
            </w:tcBorders>
            <w:shd w:val="clear" w:color="auto" w:fill="auto"/>
            <w:noWrap/>
            <w:hideMark/>
          </w:tcPr>
          <w:p w14:paraId="0AE681AB" w14:textId="06640485" w:rsidR="000B275F" w:rsidRPr="00A95812" w:rsidRDefault="000B275F" w:rsidP="000B275F">
            <w:pPr>
              <w:jc w:val="center"/>
              <w:rPr>
                <w:color w:val="000000"/>
                <w:sz w:val="18"/>
                <w:szCs w:val="18"/>
              </w:rPr>
            </w:pPr>
            <w:r w:rsidRPr="00A95812">
              <w:rPr>
                <w:sz w:val="18"/>
                <w:szCs w:val="18"/>
              </w:rPr>
              <w:t>27.9</w:t>
            </w:r>
          </w:p>
        </w:tc>
        <w:tc>
          <w:tcPr>
            <w:tcW w:w="765" w:type="dxa"/>
            <w:tcBorders>
              <w:top w:val="nil"/>
              <w:left w:val="nil"/>
              <w:bottom w:val="single" w:sz="4" w:space="0" w:color="auto"/>
              <w:right w:val="nil"/>
            </w:tcBorders>
            <w:shd w:val="clear" w:color="auto" w:fill="auto"/>
            <w:noWrap/>
            <w:hideMark/>
          </w:tcPr>
          <w:p w14:paraId="48092F66" w14:textId="2683719E" w:rsidR="000B275F" w:rsidRPr="00A95812" w:rsidRDefault="000B275F" w:rsidP="000B275F">
            <w:pPr>
              <w:jc w:val="center"/>
              <w:rPr>
                <w:color w:val="000000"/>
                <w:sz w:val="18"/>
                <w:szCs w:val="18"/>
              </w:rPr>
            </w:pPr>
            <w:r w:rsidRPr="00A95812">
              <w:rPr>
                <w:sz w:val="18"/>
                <w:szCs w:val="18"/>
              </w:rPr>
              <w:t>27.5</w:t>
            </w:r>
          </w:p>
        </w:tc>
        <w:tc>
          <w:tcPr>
            <w:tcW w:w="765" w:type="dxa"/>
            <w:tcBorders>
              <w:top w:val="nil"/>
              <w:left w:val="nil"/>
              <w:bottom w:val="single" w:sz="4" w:space="0" w:color="auto"/>
              <w:right w:val="nil"/>
            </w:tcBorders>
            <w:shd w:val="clear" w:color="auto" w:fill="auto"/>
            <w:noWrap/>
            <w:hideMark/>
          </w:tcPr>
          <w:p w14:paraId="236C3153" w14:textId="764E44A3" w:rsidR="000B275F" w:rsidRPr="00A95812" w:rsidRDefault="000B275F" w:rsidP="000B275F">
            <w:pPr>
              <w:jc w:val="center"/>
              <w:rPr>
                <w:color w:val="000000"/>
                <w:sz w:val="18"/>
                <w:szCs w:val="18"/>
              </w:rPr>
            </w:pPr>
            <w:r w:rsidRPr="00A95812">
              <w:rPr>
                <w:sz w:val="18"/>
                <w:szCs w:val="18"/>
              </w:rPr>
              <w:t>26.6</w:t>
            </w:r>
          </w:p>
        </w:tc>
        <w:tc>
          <w:tcPr>
            <w:tcW w:w="765" w:type="dxa"/>
            <w:tcBorders>
              <w:top w:val="nil"/>
              <w:left w:val="nil"/>
              <w:bottom w:val="single" w:sz="4" w:space="0" w:color="auto"/>
              <w:right w:val="nil"/>
            </w:tcBorders>
            <w:shd w:val="clear" w:color="auto" w:fill="auto"/>
            <w:noWrap/>
            <w:hideMark/>
          </w:tcPr>
          <w:p w14:paraId="08AD0BC1" w14:textId="6AED15D3" w:rsidR="000B275F" w:rsidRPr="00A95812" w:rsidRDefault="000B275F" w:rsidP="000B275F">
            <w:pPr>
              <w:jc w:val="center"/>
              <w:rPr>
                <w:color w:val="000000"/>
                <w:sz w:val="18"/>
                <w:szCs w:val="18"/>
              </w:rPr>
            </w:pPr>
            <w:r w:rsidRPr="00A95812">
              <w:rPr>
                <w:sz w:val="18"/>
                <w:szCs w:val="18"/>
              </w:rPr>
              <w:t>25.3</w:t>
            </w:r>
          </w:p>
        </w:tc>
        <w:tc>
          <w:tcPr>
            <w:tcW w:w="765" w:type="dxa"/>
            <w:tcBorders>
              <w:top w:val="nil"/>
              <w:left w:val="nil"/>
              <w:bottom w:val="single" w:sz="4" w:space="0" w:color="auto"/>
              <w:right w:val="nil"/>
            </w:tcBorders>
            <w:shd w:val="clear" w:color="auto" w:fill="auto"/>
            <w:noWrap/>
            <w:hideMark/>
          </w:tcPr>
          <w:p w14:paraId="71A8B357" w14:textId="3DEE4F61" w:rsidR="000B275F" w:rsidRPr="00A95812" w:rsidRDefault="000B275F" w:rsidP="000B275F">
            <w:pPr>
              <w:jc w:val="center"/>
              <w:rPr>
                <w:color w:val="000000"/>
                <w:sz w:val="18"/>
                <w:szCs w:val="18"/>
              </w:rPr>
            </w:pPr>
            <w:r w:rsidRPr="00A95812">
              <w:rPr>
                <w:sz w:val="18"/>
                <w:szCs w:val="18"/>
              </w:rPr>
              <w:t>23.7</w:t>
            </w:r>
          </w:p>
        </w:tc>
      </w:tr>
    </w:tbl>
    <w:bookmarkEnd w:id="80"/>
    <w:p w14:paraId="28282039" w14:textId="7D754FAC" w:rsidR="005F38A6" w:rsidRPr="00B150B0" w:rsidRDefault="005F38A6" w:rsidP="005F38A6">
      <w:pPr>
        <w:jc w:val="both"/>
        <w:rPr>
          <w:sz w:val="16"/>
          <w:szCs w:val="16"/>
        </w:rPr>
      </w:pPr>
      <w:r w:rsidRPr="00B150B0">
        <w:rPr>
          <w:sz w:val="16"/>
          <w:szCs w:val="16"/>
        </w:rPr>
        <w:t xml:space="preserve">        </w:t>
      </w:r>
      <w:r w:rsidR="00B150B0">
        <w:rPr>
          <w:sz w:val="16"/>
          <w:szCs w:val="16"/>
        </w:rPr>
        <w:t xml:space="preserve">                 </w:t>
      </w:r>
      <w:r w:rsidRPr="00B150B0">
        <w:rPr>
          <w:sz w:val="16"/>
          <w:szCs w:val="16"/>
        </w:rPr>
        <w:t xml:space="preserve"> Fuente: Ministerio de Finanzas</w:t>
      </w:r>
    </w:p>
    <w:p w14:paraId="2668F4AA" w14:textId="344B4499" w:rsidR="005F38A6" w:rsidRDefault="005F38A6" w:rsidP="005F38A6">
      <w:pPr>
        <w:jc w:val="both"/>
        <w:rPr>
          <w:b/>
          <w:bCs/>
        </w:rPr>
      </w:pPr>
    </w:p>
    <w:p w14:paraId="4693623F" w14:textId="77777777" w:rsidR="00167F1B" w:rsidRDefault="00167F1B" w:rsidP="005F38A6">
      <w:pPr>
        <w:jc w:val="both"/>
        <w:rPr>
          <w:b/>
          <w:bCs/>
        </w:rPr>
      </w:pPr>
    </w:p>
    <w:p w14:paraId="237EDBF3" w14:textId="77777777" w:rsidR="005F38A6" w:rsidRPr="00987058" w:rsidRDefault="005F38A6" w:rsidP="005F07F9">
      <w:pPr>
        <w:pStyle w:val="Ttulo2"/>
        <w:numPr>
          <w:ilvl w:val="2"/>
          <w:numId w:val="35"/>
        </w:numPr>
        <w:tabs>
          <w:tab w:val="left" w:pos="851"/>
        </w:tabs>
        <w:ind w:left="567" w:hanging="283"/>
        <w:rPr>
          <w:bCs/>
        </w:rPr>
      </w:pPr>
      <w:bookmarkStart w:id="81" w:name="_Toc144114359"/>
      <w:r w:rsidRPr="00573C31">
        <w:rPr>
          <w:bCs/>
        </w:rPr>
        <w:lastRenderedPageBreak/>
        <w:t>Impacto de una disminución del crecimiento económico en el escenario fiscal de mediano plazo</w:t>
      </w:r>
      <w:bookmarkEnd w:id="81"/>
    </w:p>
    <w:p w14:paraId="54C8C9F9" w14:textId="77777777" w:rsidR="005F38A6" w:rsidRDefault="005F38A6" w:rsidP="005F38A6">
      <w:pPr>
        <w:jc w:val="both"/>
      </w:pPr>
    </w:p>
    <w:p w14:paraId="35F94759" w14:textId="77777777" w:rsidR="005F38A6" w:rsidRDefault="005F38A6" w:rsidP="005F38A6">
      <w:pPr>
        <w:jc w:val="both"/>
      </w:pPr>
      <w:r>
        <w:t>De los escenarios macroeconómicos considerados para cada presupuesto siempre existen desviaciones originadas por eventos no esperados en la economía interna o externa, como lo fue más notoriamente en la crisis por la pandemia del 2020 en donde el crecimiento económico estuvo 4.8 puntos porcentuales debajo de lo previsto en el proyecto del presupuesto de dicho año, o en el año 2021 donde se estuvo 6.0 puntos porcentuales arriba debido a que la recuperación fue mayor que la esperada. Con las estadísticas de las desviaciones de pronóstico se construyó un gráfico de abanicos que indica que existe un 50.0% de probabilidad de que el crecimiento se encuentre en 1.2% y 5.7% para 2024, y entre 1.3% a 5.0% en 2028.</w:t>
      </w:r>
    </w:p>
    <w:p w14:paraId="3732FEC5" w14:textId="77777777" w:rsidR="005F38A6" w:rsidRDefault="005F38A6" w:rsidP="005F38A6">
      <w:pPr>
        <w:jc w:val="both"/>
      </w:pPr>
    </w:p>
    <w:p w14:paraId="3A649273" w14:textId="77777777" w:rsidR="005F38A6" w:rsidRPr="00135986" w:rsidRDefault="005F38A6" w:rsidP="005F38A6">
      <w:pPr>
        <w:jc w:val="both"/>
        <w:rPr>
          <w:sz w:val="10"/>
          <w:szCs w:val="10"/>
        </w:rPr>
      </w:pPr>
    </w:p>
    <w:tbl>
      <w:tblPr>
        <w:tblW w:w="0" w:type="auto"/>
        <w:tblLook w:val="04A0" w:firstRow="1" w:lastRow="0" w:firstColumn="1" w:lastColumn="0" w:noHBand="0" w:noVBand="1"/>
      </w:tblPr>
      <w:tblGrid>
        <w:gridCol w:w="8838"/>
      </w:tblGrid>
      <w:tr w:rsidR="005F38A6" w14:paraId="71F98D31" w14:textId="77777777" w:rsidTr="006A7377">
        <w:tc>
          <w:tcPr>
            <w:tcW w:w="8828" w:type="dxa"/>
          </w:tcPr>
          <w:p w14:paraId="035634AA" w14:textId="344E62A7" w:rsidR="00B150B0" w:rsidRPr="00B150B0" w:rsidRDefault="00B150B0" w:rsidP="006B6F50">
            <w:pPr>
              <w:pStyle w:val="Descripcin"/>
              <w:rPr>
                <w:color w:val="auto"/>
              </w:rPr>
            </w:pPr>
            <w:bookmarkStart w:id="82" w:name="_Toc143593574"/>
            <w:r w:rsidRPr="00B150B0">
              <w:rPr>
                <w:color w:val="auto"/>
              </w:rPr>
              <w:t xml:space="preserve">Gráfico </w:t>
            </w:r>
            <w:r w:rsidRPr="00B150B0">
              <w:rPr>
                <w:color w:val="auto"/>
              </w:rPr>
              <w:fldChar w:fldCharType="begin"/>
            </w:r>
            <w:r w:rsidRPr="00B150B0">
              <w:rPr>
                <w:color w:val="auto"/>
              </w:rPr>
              <w:instrText xml:space="preserve"> SEQ Gráfico \* ARABIC </w:instrText>
            </w:r>
            <w:r w:rsidRPr="00B150B0">
              <w:rPr>
                <w:color w:val="auto"/>
              </w:rPr>
              <w:fldChar w:fldCharType="separate"/>
            </w:r>
            <w:r w:rsidR="00A62AFA">
              <w:rPr>
                <w:noProof/>
                <w:color w:val="auto"/>
              </w:rPr>
              <w:t>16</w:t>
            </w:r>
            <w:r w:rsidRPr="00B150B0">
              <w:rPr>
                <w:color w:val="auto"/>
              </w:rPr>
              <w:fldChar w:fldCharType="end"/>
            </w:r>
            <w:r w:rsidRPr="00B150B0">
              <w:rPr>
                <w:color w:val="auto"/>
              </w:rPr>
              <w:t xml:space="preserve">. </w:t>
            </w:r>
            <w:r w:rsidRPr="00B150B0">
              <w:rPr>
                <w:bCs/>
                <w:color w:val="auto"/>
              </w:rPr>
              <w:t>PIB real: resultados históricos e incertidumbre en torno a los pronósticos actuales.</w:t>
            </w:r>
            <w:bookmarkEnd w:id="82"/>
          </w:p>
          <w:p w14:paraId="3F53192C" w14:textId="56A6E696" w:rsidR="005F38A6" w:rsidRDefault="00B150B0" w:rsidP="006A7377">
            <w:pPr>
              <w:rPr>
                <w:bCs/>
              </w:rPr>
            </w:pPr>
            <w:r>
              <w:rPr>
                <w:noProof/>
              </w:rPr>
              <w:drawing>
                <wp:inline distT="0" distB="0" distL="0" distR="0" wp14:anchorId="5BE8ECBF" wp14:editId="5EBB0B46">
                  <wp:extent cx="5518205" cy="2441050"/>
                  <wp:effectExtent l="0" t="0" r="6350" b="0"/>
                  <wp:docPr id="2" name="Gráfico 2">
                    <a:extLst xmlns:a="http://schemas.openxmlformats.org/drawingml/2006/main">
                      <a:ext uri="{FF2B5EF4-FFF2-40B4-BE49-F238E27FC236}">
                        <a16:creationId xmlns:a16="http://schemas.microsoft.com/office/drawing/2014/main" id="{0D9F5A3B-13F3-42B5-A66F-A21D44956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5F38A6" w14:paraId="5F175852" w14:textId="77777777" w:rsidTr="006A7377">
        <w:tblPrEx>
          <w:tblCellMar>
            <w:left w:w="70" w:type="dxa"/>
            <w:right w:w="70" w:type="dxa"/>
          </w:tblCellMar>
        </w:tblPrEx>
        <w:tc>
          <w:tcPr>
            <w:tcW w:w="8828" w:type="dxa"/>
          </w:tcPr>
          <w:p w14:paraId="0DAA7356" w14:textId="052AFED5" w:rsidR="005F38A6" w:rsidRPr="00885487" w:rsidRDefault="005F38A6" w:rsidP="006A7377">
            <w:pPr>
              <w:rPr>
                <w:bCs/>
                <w:sz w:val="6"/>
                <w:szCs w:val="6"/>
              </w:rPr>
            </w:pPr>
          </w:p>
        </w:tc>
      </w:tr>
      <w:tr w:rsidR="005F38A6" w14:paraId="3FD83237" w14:textId="77777777" w:rsidTr="006A7377">
        <w:tc>
          <w:tcPr>
            <w:tcW w:w="8828" w:type="dxa"/>
          </w:tcPr>
          <w:p w14:paraId="1DA436D4" w14:textId="77777777" w:rsidR="005F38A6" w:rsidRPr="005677CD" w:rsidRDefault="005F38A6" w:rsidP="006A7377">
            <w:pPr>
              <w:jc w:val="both"/>
              <w:rPr>
                <w:sz w:val="18"/>
                <w:szCs w:val="18"/>
              </w:rPr>
            </w:pPr>
            <w:r w:rsidRPr="005677CD">
              <w:rPr>
                <w:sz w:val="18"/>
                <w:szCs w:val="18"/>
              </w:rPr>
              <w:t xml:space="preserve">         Fuente: Ministerio de Finanzas con metodología de </w:t>
            </w:r>
            <w:r>
              <w:rPr>
                <w:sz w:val="18"/>
                <w:szCs w:val="18"/>
              </w:rPr>
              <w:t xml:space="preserve">la herramienta </w:t>
            </w:r>
            <w:r w:rsidRPr="005677CD">
              <w:rPr>
                <w:sz w:val="18"/>
                <w:szCs w:val="18"/>
              </w:rPr>
              <w:t>FRAT</w:t>
            </w:r>
            <w:r>
              <w:rPr>
                <w:sz w:val="18"/>
                <w:szCs w:val="18"/>
              </w:rPr>
              <w:t xml:space="preserve"> del FMI</w:t>
            </w:r>
          </w:p>
        </w:tc>
      </w:tr>
    </w:tbl>
    <w:p w14:paraId="640B4198" w14:textId="77777777" w:rsidR="005F38A6" w:rsidRPr="00B150B0" w:rsidRDefault="005F38A6" w:rsidP="005F38A6">
      <w:pPr>
        <w:jc w:val="both"/>
      </w:pPr>
    </w:p>
    <w:p w14:paraId="1EE0475A" w14:textId="77777777" w:rsidR="005F38A6" w:rsidRDefault="005F38A6" w:rsidP="005F38A6">
      <w:pPr>
        <w:jc w:val="both"/>
      </w:pPr>
      <w:r w:rsidRPr="007E2241">
        <w:t>En un escenario en el cual la economía nacional se ve afectada por un choque negativo de demanda y que además afecta la inflación nacional de forma directa en 2024 y 2025, se consideró una elasticidad positiva de 0.73 de precios y demanda, una elasticidad positiva entre la inflación y el deflactor de 0.8 (similar a la observada en los últimos 20 años), una elasticidad de 1.1 entre el PIB nominal y los ingresos tributarios</w:t>
      </w:r>
      <w:r>
        <w:t>,</w:t>
      </w:r>
      <w:r w:rsidRPr="007E2241">
        <w:t xml:space="preserve"> y un gasto inelástico.</w:t>
      </w:r>
    </w:p>
    <w:p w14:paraId="1D1E0716" w14:textId="77777777" w:rsidR="005F38A6" w:rsidRPr="007E2241" w:rsidRDefault="005F38A6" w:rsidP="005F38A6">
      <w:pPr>
        <w:jc w:val="both"/>
      </w:pPr>
    </w:p>
    <w:p w14:paraId="2402A418" w14:textId="212D383E" w:rsidR="005F38A6" w:rsidRDefault="005F38A6" w:rsidP="005F38A6">
      <w:pPr>
        <w:jc w:val="both"/>
      </w:pPr>
      <w:r w:rsidRPr="007E2241">
        <w:t xml:space="preserve">Se observa que el déficit es 0.3 puntos porcentuales mayor en 2024 y 0.7 puntos porcentuales </w:t>
      </w:r>
      <w:r>
        <w:t xml:space="preserve">mayor </w:t>
      </w:r>
      <w:r w:rsidRPr="007E2241">
        <w:t xml:space="preserve">en 2025 y que este después disminuye gradualmente hasta alcanzar un nivel de </w:t>
      </w:r>
      <w:r w:rsidR="00CF3012">
        <w:t>0.</w:t>
      </w:r>
      <w:r w:rsidR="000B275F">
        <w:t>6</w:t>
      </w:r>
      <w:r w:rsidRPr="007E2241">
        <w:t xml:space="preserve">% con respecto al PIB en 2028. Esto se debe a que los ingresos disminuyen en la misma proporción del PIB nominal y el gasto se mantiene. No obstante, dado que el nivel del PIB nominal se mantiene por debajo en el mediano plazo, la base de comparación del déficit es menor. Por su parte la deuda pública aumenta </w:t>
      </w:r>
      <w:r w:rsidR="000B275F">
        <w:t>1.0</w:t>
      </w:r>
      <w:r w:rsidRPr="007E2241">
        <w:t xml:space="preserve"> puntos porcentuales en 2024 y para 2028 este se encontrar</w:t>
      </w:r>
      <w:r w:rsidR="000B275F">
        <w:t>ía</w:t>
      </w:r>
      <w:r w:rsidRPr="007E2241">
        <w:t xml:space="preserve"> en </w:t>
      </w:r>
      <w:r w:rsidR="006B6F50">
        <w:t>27.</w:t>
      </w:r>
      <w:r w:rsidR="000B275F">
        <w:t>9</w:t>
      </w:r>
      <w:r w:rsidRPr="007E2241">
        <w:t>%.</w:t>
      </w:r>
    </w:p>
    <w:p w14:paraId="39C0AF78" w14:textId="77777777" w:rsidR="00B150B0" w:rsidRPr="007E2241" w:rsidRDefault="00B150B0" w:rsidP="005F38A6">
      <w:pPr>
        <w:jc w:val="both"/>
      </w:pPr>
    </w:p>
    <w:p w14:paraId="75A753B2" w14:textId="5AC4A3CF" w:rsidR="005F38A6" w:rsidRPr="00B150B0" w:rsidRDefault="00B150B0" w:rsidP="00B150B0">
      <w:pPr>
        <w:pStyle w:val="Descripcin"/>
        <w:keepNext/>
      </w:pPr>
      <w:bookmarkStart w:id="83" w:name="_Toc143593510"/>
      <w:r w:rsidRPr="00B150B0">
        <w:rPr>
          <w:color w:val="auto"/>
        </w:rPr>
        <w:lastRenderedPageBreak/>
        <w:t xml:space="preserve">Tabla </w:t>
      </w:r>
      <w:r w:rsidRPr="00B150B0">
        <w:rPr>
          <w:color w:val="auto"/>
        </w:rPr>
        <w:fldChar w:fldCharType="begin"/>
      </w:r>
      <w:r w:rsidRPr="00B150B0">
        <w:rPr>
          <w:color w:val="auto"/>
        </w:rPr>
        <w:instrText xml:space="preserve"> SEQ Tabla \* ARABIC </w:instrText>
      </w:r>
      <w:r w:rsidRPr="00B150B0">
        <w:rPr>
          <w:color w:val="auto"/>
        </w:rPr>
        <w:fldChar w:fldCharType="separate"/>
      </w:r>
      <w:r w:rsidR="00A62AFA">
        <w:rPr>
          <w:noProof/>
          <w:color w:val="auto"/>
        </w:rPr>
        <w:t>8</w:t>
      </w:r>
      <w:r w:rsidRPr="00B150B0">
        <w:rPr>
          <w:color w:val="auto"/>
        </w:rPr>
        <w:fldChar w:fldCharType="end"/>
      </w:r>
      <w:r w:rsidRPr="00B150B0">
        <w:rPr>
          <w:color w:val="auto"/>
        </w:rPr>
        <w:t xml:space="preserve">.  </w:t>
      </w:r>
      <w:r w:rsidR="005F38A6" w:rsidRPr="00B150B0">
        <w:rPr>
          <w:bCs/>
          <w:color w:val="auto"/>
        </w:rPr>
        <w:t>Escenario fiscal con una disminución del crecimiento económico</w:t>
      </w:r>
      <w:bookmarkEnd w:id="83"/>
    </w:p>
    <w:tbl>
      <w:tblPr>
        <w:tblW w:w="8654" w:type="dxa"/>
        <w:tblCellMar>
          <w:left w:w="70" w:type="dxa"/>
          <w:right w:w="70" w:type="dxa"/>
        </w:tblCellMar>
        <w:tblLook w:val="04A0" w:firstRow="1" w:lastRow="0" w:firstColumn="1" w:lastColumn="0" w:noHBand="0" w:noVBand="1"/>
      </w:tblPr>
      <w:tblGrid>
        <w:gridCol w:w="2674"/>
        <w:gridCol w:w="560"/>
        <w:gridCol w:w="976"/>
        <w:gridCol w:w="976"/>
        <w:gridCol w:w="976"/>
        <w:gridCol w:w="976"/>
        <w:gridCol w:w="730"/>
        <w:gridCol w:w="786"/>
      </w:tblGrid>
      <w:tr w:rsidR="00CF3012" w:rsidRPr="007E2241" w14:paraId="790D7AC9" w14:textId="77777777" w:rsidTr="000B275F">
        <w:trPr>
          <w:trHeight w:val="177"/>
        </w:trPr>
        <w:tc>
          <w:tcPr>
            <w:tcW w:w="2674" w:type="dxa"/>
            <w:tcBorders>
              <w:top w:val="single" w:sz="4" w:space="0" w:color="auto"/>
              <w:left w:val="nil"/>
              <w:bottom w:val="double" w:sz="6" w:space="0" w:color="auto"/>
              <w:right w:val="nil"/>
            </w:tcBorders>
            <w:shd w:val="clear" w:color="auto" w:fill="auto"/>
            <w:noWrap/>
            <w:vAlign w:val="bottom"/>
            <w:hideMark/>
          </w:tcPr>
          <w:p w14:paraId="2F42D54B" w14:textId="77777777" w:rsidR="005F38A6" w:rsidRPr="007E2241" w:rsidRDefault="005F38A6" w:rsidP="006A7377">
            <w:pPr>
              <w:rPr>
                <w:b/>
                <w:bCs/>
                <w:color w:val="000000"/>
                <w:sz w:val="18"/>
                <w:szCs w:val="18"/>
              </w:rPr>
            </w:pPr>
            <w:bookmarkStart w:id="84" w:name="_Hlk141959488"/>
            <w:r w:rsidRPr="007E2241">
              <w:rPr>
                <w:b/>
                <w:bCs/>
                <w:color w:val="000000"/>
                <w:sz w:val="18"/>
                <w:szCs w:val="18"/>
              </w:rPr>
              <w:t> </w:t>
            </w:r>
          </w:p>
        </w:tc>
        <w:tc>
          <w:tcPr>
            <w:tcW w:w="560" w:type="dxa"/>
            <w:tcBorders>
              <w:top w:val="single" w:sz="4" w:space="0" w:color="auto"/>
              <w:left w:val="single" w:sz="4" w:space="0" w:color="auto"/>
              <w:bottom w:val="double" w:sz="6" w:space="0" w:color="auto"/>
              <w:right w:val="nil"/>
            </w:tcBorders>
            <w:shd w:val="clear" w:color="auto" w:fill="auto"/>
            <w:noWrap/>
            <w:vAlign w:val="bottom"/>
            <w:hideMark/>
          </w:tcPr>
          <w:p w14:paraId="31FD5B04" w14:textId="77777777" w:rsidR="005F38A6" w:rsidRPr="007E2241" w:rsidRDefault="005F38A6" w:rsidP="006A7377">
            <w:pPr>
              <w:jc w:val="center"/>
              <w:rPr>
                <w:b/>
                <w:bCs/>
                <w:color w:val="000000"/>
                <w:sz w:val="18"/>
                <w:szCs w:val="18"/>
              </w:rPr>
            </w:pPr>
            <w:r w:rsidRPr="007E2241">
              <w:rPr>
                <w:b/>
                <w:bCs/>
                <w:color w:val="000000"/>
                <w:sz w:val="18"/>
                <w:szCs w:val="18"/>
              </w:rPr>
              <w:t>2022</w:t>
            </w:r>
          </w:p>
        </w:tc>
        <w:tc>
          <w:tcPr>
            <w:tcW w:w="976" w:type="dxa"/>
            <w:tcBorders>
              <w:top w:val="single" w:sz="4" w:space="0" w:color="auto"/>
              <w:left w:val="nil"/>
              <w:bottom w:val="double" w:sz="6" w:space="0" w:color="auto"/>
              <w:right w:val="nil"/>
            </w:tcBorders>
            <w:shd w:val="clear" w:color="auto" w:fill="auto"/>
            <w:noWrap/>
            <w:vAlign w:val="bottom"/>
            <w:hideMark/>
          </w:tcPr>
          <w:p w14:paraId="5F9967D7" w14:textId="77777777" w:rsidR="005F38A6" w:rsidRPr="007E2241" w:rsidRDefault="005F38A6" w:rsidP="006A7377">
            <w:pPr>
              <w:jc w:val="center"/>
              <w:rPr>
                <w:b/>
                <w:bCs/>
                <w:color w:val="000000"/>
                <w:sz w:val="18"/>
                <w:szCs w:val="18"/>
              </w:rPr>
            </w:pPr>
            <w:r w:rsidRPr="007E2241">
              <w:rPr>
                <w:b/>
                <w:bCs/>
                <w:color w:val="000000"/>
                <w:sz w:val="18"/>
                <w:szCs w:val="18"/>
              </w:rPr>
              <w:t>2023</w:t>
            </w:r>
          </w:p>
        </w:tc>
        <w:tc>
          <w:tcPr>
            <w:tcW w:w="976" w:type="dxa"/>
            <w:tcBorders>
              <w:top w:val="single" w:sz="4" w:space="0" w:color="auto"/>
              <w:left w:val="nil"/>
              <w:bottom w:val="double" w:sz="6" w:space="0" w:color="auto"/>
              <w:right w:val="nil"/>
            </w:tcBorders>
            <w:shd w:val="clear" w:color="auto" w:fill="auto"/>
            <w:noWrap/>
            <w:vAlign w:val="bottom"/>
            <w:hideMark/>
          </w:tcPr>
          <w:p w14:paraId="1B319693" w14:textId="77777777" w:rsidR="005F38A6" w:rsidRPr="007E2241" w:rsidRDefault="005F38A6" w:rsidP="006A7377">
            <w:pPr>
              <w:jc w:val="center"/>
              <w:rPr>
                <w:b/>
                <w:bCs/>
                <w:color w:val="000000"/>
                <w:sz w:val="18"/>
                <w:szCs w:val="18"/>
              </w:rPr>
            </w:pPr>
            <w:r w:rsidRPr="007E2241">
              <w:rPr>
                <w:b/>
                <w:bCs/>
                <w:color w:val="000000"/>
                <w:sz w:val="18"/>
                <w:szCs w:val="18"/>
              </w:rPr>
              <w:t>2024</w:t>
            </w:r>
          </w:p>
        </w:tc>
        <w:tc>
          <w:tcPr>
            <w:tcW w:w="976" w:type="dxa"/>
            <w:tcBorders>
              <w:top w:val="single" w:sz="4" w:space="0" w:color="auto"/>
              <w:left w:val="nil"/>
              <w:bottom w:val="double" w:sz="6" w:space="0" w:color="auto"/>
              <w:right w:val="nil"/>
            </w:tcBorders>
            <w:shd w:val="clear" w:color="auto" w:fill="auto"/>
            <w:noWrap/>
            <w:vAlign w:val="bottom"/>
            <w:hideMark/>
          </w:tcPr>
          <w:p w14:paraId="586A355B" w14:textId="77777777" w:rsidR="005F38A6" w:rsidRPr="007E2241" w:rsidRDefault="005F38A6" w:rsidP="006A7377">
            <w:pPr>
              <w:jc w:val="center"/>
              <w:rPr>
                <w:b/>
                <w:bCs/>
                <w:color w:val="000000"/>
                <w:sz w:val="18"/>
                <w:szCs w:val="18"/>
              </w:rPr>
            </w:pPr>
            <w:r w:rsidRPr="007E2241">
              <w:rPr>
                <w:b/>
                <w:bCs/>
                <w:color w:val="000000"/>
                <w:sz w:val="18"/>
                <w:szCs w:val="18"/>
              </w:rPr>
              <w:t>2025</w:t>
            </w:r>
          </w:p>
        </w:tc>
        <w:tc>
          <w:tcPr>
            <w:tcW w:w="976" w:type="dxa"/>
            <w:tcBorders>
              <w:top w:val="single" w:sz="4" w:space="0" w:color="auto"/>
              <w:left w:val="nil"/>
              <w:bottom w:val="double" w:sz="6" w:space="0" w:color="auto"/>
              <w:right w:val="nil"/>
            </w:tcBorders>
            <w:shd w:val="clear" w:color="auto" w:fill="auto"/>
            <w:noWrap/>
            <w:vAlign w:val="bottom"/>
            <w:hideMark/>
          </w:tcPr>
          <w:p w14:paraId="7D8DC77C" w14:textId="77777777" w:rsidR="005F38A6" w:rsidRPr="007E2241" w:rsidRDefault="005F38A6" w:rsidP="006A7377">
            <w:pPr>
              <w:jc w:val="center"/>
              <w:rPr>
                <w:b/>
                <w:bCs/>
                <w:color w:val="000000"/>
                <w:sz w:val="18"/>
                <w:szCs w:val="18"/>
              </w:rPr>
            </w:pPr>
            <w:r w:rsidRPr="007E2241">
              <w:rPr>
                <w:b/>
                <w:bCs/>
                <w:color w:val="000000"/>
                <w:sz w:val="18"/>
                <w:szCs w:val="18"/>
              </w:rPr>
              <w:t>2026</w:t>
            </w:r>
          </w:p>
        </w:tc>
        <w:tc>
          <w:tcPr>
            <w:tcW w:w="730" w:type="dxa"/>
            <w:tcBorders>
              <w:top w:val="single" w:sz="4" w:space="0" w:color="auto"/>
              <w:left w:val="nil"/>
              <w:bottom w:val="double" w:sz="6" w:space="0" w:color="auto"/>
              <w:right w:val="nil"/>
            </w:tcBorders>
            <w:shd w:val="clear" w:color="auto" w:fill="auto"/>
            <w:noWrap/>
            <w:vAlign w:val="bottom"/>
            <w:hideMark/>
          </w:tcPr>
          <w:p w14:paraId="432AE1AC" w14:textId="77777777" w:rsidR="005F38A6" w:rsidRPr="007E2241" w:rsidRDefault="005F38A6" w:rsidP="006A7377">
            <w:pPr>
              <w:jc w:val="center"/>
              <w:rPr>
                <w:b/>
                <w:bCs/>
                <w:color w:val="000000"/>
                <w:sz w:val="18"/>
                <w:szCs w:val="18"/>
              </w:rPr>
            </w:pPr>
            <w:r w:rsidRPr="007E2241">
              <w:rPr>
                <w:b/>
                <w:bCs/>
                <w:color w:val="000000"/>
                <w:sz w:val="18"/>
                <w:szCs w:val="18"/>
              </w:rPr>
              <w:t>2027</w:t>
            </w:r>
          </w:p>
        </w:tc>
        <w:tc>
          <w:tcPr>
            <w:tcW w:w="786" w:type="dxa"/>
            <w:tcBorders>
              <w:top w:val="single" w:sz="4" w:space="0" w:color="auto"/>
              <w:left w:val="nil"/>
              <w:bottom w:val="double" w:sz="6" w:space="0" w:color="auto"/>
              <w:right w:val="nil"/>
            </w:tcBorders>
            <w:shd w:val="clear" w:color="auto" w:fill="auto"/>
            <w:noWrap/>
            <w:vAlign w:val="bottom"/>
            <w:hideMark/>
          </w:tcPr>
          <w:p w14:paraId="5F20669D" w14:textId="77777777" w:rsidR="005F38A6" w:rsidRPr="007E2241" w:rsidRDefault="005F38A6" w:rsidP="006A7377">
            <w:pPr>
              <w:jc w:val="center"/>
              <w:rPr>
                <w:b/>
                <w:bCs/>
                <w:color w:val="000000"/>
                <w:sz w:val="18"/>
                <w:szCs w:val="18"/>
              </w:rPr>
            </w:pPr>
            <w:r w:rsidRPr="007E2241">
              <w:rPr>
                <w:b/>
                <w:bCs/>
                <w:color w:val="000000"/>
                <w:sz w:val="18"/>
                <w:szCs w:val="18"/>
              </w:rPr>
              <w:t>2028</w:t>
            </w:r>
          </w:p>
        </w:tc>
      </w:tr>
      <w:tr w:rsidR="000B275F" w:rsidRPr="007E2241" w14:paraId="232B7CBC" w14:textId="77777777" w:rsidTr="000B275F">
        <w:trPr>
          <w:trHeight w:val="177"/>
        </w:trPr>
        <w:tc>
          <w:tcPr>
            <w:tcW w:w="2674" w:type="dxa"/>
            <w:tcBorders>
              <w:top w:val="nil"/>
              <w:left w:val="nil"/>
              <w:bottom w:val="nil"/>
              <w:right w:val="nil"/>
            </w:tcBorders>
            <w:shd w:val="clear" w:color="auto" w:fill="auto"/>
            <w:noWrap/>
            <w:vAlign w:val="bottom"/>
            <w:hideMark/>
          </w:tcPr>
          <w:p w14:paraId="152C647D" w14:textId="77777777" w:rsidR="000B275F" w:rsidRPr="007E2241" w:rsidRDefault="000B275F" w:rsidP="000B275F">
            <w:pPr>
              <w:rPr>
                <w:color w:val="000000"/>
                <w:sz w:val="18"/>
                <w:szCs w:val="18"/>
              </w:rPr>
            </w:pPr>
            <w:r w:rsidRPr="007E2241">
              <w:rPr>
                <w:color w:val="000000"/>
                <w:sz w:val="18"/>
                <w:szCs w:val="18"/>
              </w:rPr>
              <w:t>PIB nominal (% crecimiento)</w:t>
            </w:r>
          </w:p>
        </w:tc>
        <w:tc>
          <w:tcPr>
            <w:tcW w:w="560" w:type="dxa"/>
            <w:tcBorders>
              <w:top w:val="nil"/>
              <w:left w:val="single" w:sz="4" w:space="0" w:color="auto"/>
              <w:bottom w:val="nil"/>
              <w:right w:val="nil"/>
            </w:tcBorders>
            <w:shd w:val="clear" w:color="auto" w:fill="auto"/>
            <w:noWrap/>
            <w:hideMark/>
          </w:tcPr>
          <w:p w14:paraId="6317BF70" w14:textId="3D47B4DE" w:rsidR="000B275F" w:rsidRPr="000B275F" w:rsidRDefault="000B275F" w:rsidP="000B275F">
            <w:pPr>
              <w:jc w:val="center"/>
              <w:rPr>
                <w:color w:val="000000"/>
                <w:sz w:val="20"/>
                <w:szCs w:val="20"/>
              </w:rPr>
            </w:pPr>
            <w:r w:rsidRPr="000B275F">
              <w:rPr>
                <w:sz w:val="20"/>
                <w:szCs w:val="20"/>
              </w:rPr>
              <w:t xml:space="preserve"> 10.6 </w:t>
            </w:r>
          </w:p>
        </w:tc>
        <w:tc>
          <w:tcPr>
            <w:tcW w:w="976" w:type="dxa"/>
            <w:tcBorders>
              <w:top w:val="nil"/>
              <w:left w:val="nil"/>
              <w:bottom w:val="nil"/>
              <w:right w:val="nil"/>
            </w:tcBorders>
            <w:shd w:val="clear" w:color="auto" w:fill="auto"/>
            <w:noWrap/>
            <w:hideMark/>
          </w:tcPr>
          <w:p w14:paraId="21181616" w14:textId="2B6833E3" w:rsidR="000B275F" w:rsidRPr="000B275F" w:rsidRDefault="000B275F" w:rsidP="000B275F">
            <w:pPr>
              <w:jc w:val="center"/>
              <w:rPr>
                <w:color w:val="000000"/>
                <w:sz w:val="20"/>
                <w:szCs w:val="20"/>
              </w:rPr>
            </w:pPr>
            <w:r w:rsidRPr="000B275F">
              <w:rPr>
                <w:sz w:val="20"/>
                <w:szCs w:val="20"/>
              </w:rPr>
              <w:t xml:space="preserve"> 8.2 </w:t>
            </w:r>
          </w:p>
        </w:tc>
        <w:tc>
          <w:tcPr>
            <w:tcW w:w="976" w:type="dxa"/>
            <w:tcBorders>
              <w:top w:val="nil"/>
              <w:left w:val="nil"/>
              <w:bottom w:val="nil"/>
              <w:right w:val="nil"/>
            </w:tcBorders>
            <w:shd w:val="clear" w:color="auto" w:fill="FFF2CC" w:themeFill="accent4" w:themeFillTint="33"/>
            <w:noWrap/>
            <w:hideMark/>
          </w:tcPr>
          <w:p w14:paraId="34142123" w14:textId="7D5F82F8" w:rsidR="000B275F" w:rsidRPr="000B275F" w:rsidRDefault="000B275F" w:rsidP="000B275F">
            <w:pPr>
              <w:jc w:val="center"/>
              <w:rPr>
                <w:color w:val="000000"/>
                <w:sz w:val="20"/>
                <w:szCs w:val="20"/>
              </w:rPr>
            </w:pPr>
            <w:r w:rsidRPr="000B275F">
              <w:rPr>
                <w:sz w:val="20"/>
                <w:szCs w:val="20"/>
              </w:rPr>
              <w:t xml:space="preserve"> 3.2 </w:t>
            </w:r>
          </w:p>
        </w:tc>
        <w:tc>
          <w:tcPr>
            <w:tcW w:w="976" w:type="dxa"/>
            <w:tcBorders>
              <w:top w:val="nil"/>
              <w:left w:val="nil"/>
              <w:bottom w:val="nil"/>
              <w:right w:val="nil"/>
            </w:tcBorders>
            <w:shd w:val="clear" w:color="auto" w:fill="FFF2CC" w:themeFill="accent4" w:themeFillTint="33"/>
            <w:noWrap/>
            <w:hideMark/>
          </w:tcPr>
          <w:p w14:paraId="0347F8B6" w14:textId="5C8DAB7F" w:rsidR="000B275F" w:rsidRPr="000B275F" w:rsidRDefault="000B275F" w:rsidP="000B275F">
            <w:pPr>
              <w:jc w:val="center"/>
              <w:rPr>
                <w:color w:val="000000"/>
                <w:sz w:val="20"/>
                <w:szCs w:val="20"/>
              </w:rPr>
            </w:pPr>
            <w:r w:rsidRPr="000B275F">
              <w:rPr>
                <w:sz w:val="20"/>
                <w:szCs w:val="20"/>
              </w:rPr>
              <w:t xml:space="preserve"> 2.5 </w:t>
            </w:r>
          </w:p>
        </w:tc>
        <w:tc>
          <w:tcPr>
            <w:tcW w:w="976" w:type="dxa"/>
            <w:tcBorders>
              <w:top w:val="nil"/>
              <w:left w:val="nil"/>
              <w:bottom w:val="nil"/>
              <w:right w:val="nil"/>
            </w:tcBorders>
            <w:shd w:val="clear" w:color="auto" w:fill="auto"/>
            <w:noWrap/>
            <w:hideMark/>
          </w:tcPr>
          <w:p w14:paraId="7B1D0C0C" w14:textId="0BB24573" w:rsidR="000B275F" w:rsidRPr="000B275F" w:rsidRDefault="000B275F" w:rsidP="000B275F">
            <w:pPr>
              <w:jc w:val="center"/>
              <w:rPr>
                <w:color w:val="000000"/>
                <w:sz w:val="20"/>
                <w:szCs w:val="20"/>
              </w:rPr>
            </w:pPr>
            <w:r w:rsidRPr="000B275F">
              <w:rPr>
                <w:sz w:val="20"/>
                <w:szCs w:val="20"/>
              </w:rPr>
              <w:t xml:space="preserve"> 6.4 </w:t>
            </w:r>
          </w:p>
        </w:tc>
        <w:tc>
          <w:tcPr>
            <w:tcW w:w="730" w:type="dxa"/>
            <w:tcBorders>
              <w:top w:val="nil"/>
              <w:left w:val="nil"/>
              <w:bottom w:val="nil"/>
              <w:right w:val="nil"/>
            </w:tcBorders>
            <w:shd w:val="clear" w:color="auto" w:fill="auto"/>
            <w:noWrap/>
            <w:hideMark/>
          </w:tcPr>
          <w:p w14:paraId="24640F77" w14:textId="2CA4776F" w:rsidR="000B275F" w:rsidRPr="000B275F" w:rsidRDefault="000B275F" w:rsidP="000B275F">
            <w:pPr>
              <w:jc w:val="center"/>
              <w:rPr>
                <w:color w:val="000000"/>
                <w:sz w:val="20"/>
                <w:szCs w:val="20"/>
              </w:rPr>
            </w:pPr>
            <w:r w:rsidRPr="000B275F">
              <w:rPr>
                <w:sz w:val="20"/>
                <w:szCs w:val="20"/>
              </w:rPr>
              <w:t xml:space="preserve"> 6.4 </w:t>
            </w:r>
          </w:p>
        </w:tc>
        <w:tc>
          <w:tcPr>
            <w:tcW w:w="786" w:type="dxa"/>
            <w:tcBorders>
              <w:top w:val="nil"/>
              <w:left w:val="nil"/>
              <w:bottom w:val="nil"/>
              <w:right w:val="nil"/>
            </w:tcBorders>
            <w:shd w:val="clear" w:color="auto" w:fill="auto"/>
            <w:noWrap/>
            <w:hideMark/>
          </w:tcPr>
          <w:p w14:paraId="2DB21063" w14:textId="15C64819" w:rsidR="000B275F" w:rsidRPr="000B275F" w:rsidRDefault="000B275F" w:rsidP="000B275F">
            <w:pPr>
              <w:jc w:val="center"/>
              <w:rPr>
                <w:color w:val="000000"/>
                <w:sz w:val="20"/>
                <w:szCs w:val="20"/>
              </w:rPr>
            </w:pPr>
            <w:r w:rsidRPr="000B275F">
              <w:rPr>
                <w:sz w:val="20"/>
                <w:szCs w:val="20"/>
              </w:rPr>
              <w:t xml:space="preserve"> 6.4 </w:t>
            </w:r>
          </w:p>
        </w:tc>
      </w:tr>
      <w:tr w:rsidR="000B275F" w:rsidRPr="007E2241" w14:paraId="2538B59A" w14:textId="77777777" w:rsidTr="000B275F">
        <w:trPr>
          <w:trHeight w:val="169"/>
        </w:trPr>
        <w:tc>
          <w:tcPr>
            <w:tcW w:w="2674" w:type="dxa"/>
            <w:tcBorders>
              <w:top w:val="nil"/>
              <w:left w:val="nil"/>
              <w:bottom w:val="nil"/>
              <w:right w:val="nil"/>
            </w:tcBorders>
            <w:shd w:val="clear" w:color="auto" w:fill="auto"/>
            <w:noWrap/>
            <w:vAlign w:val="bottom"/>
            <w:hideMark/>
          </w:tcPr>
          <w:p w14:paraId="565CF8CF" w14:textId="77777777" w:rsidR="000B275F" w:rsidRPr="007E2241" w:rsidRDefault="000B275F" w:rsidP="000B275F">
            <w:pPr>
              <w:rPr>
                <w:color w:val="000000"/>
                <w:sz w:val="18"/>
                <w:szCs w:val="18"/>
              </w:rPr>
            </w:pPr>
            <w:r w:rsidRPr="007E2241">
              <w:rPr>
                <w:color w:val="000000"/>
                <w:sz w:val="18"/>
                <w:szCs w:val="18"/>
              </w:rPr>
              <w:t>PIB real (% crecimiento)</w:t>
            </w:r>
          </w:p>
        </w:tc>
        <w:tc>
          <w:tcPr>
            <w:tcW w:w="560" w:type="dxa"/>
            <w:tcBorders>
              <w:top w:val="nil"/>
              <w:left w:val="single" w:sz="4" w:space="0" w:color="auto"/>
              <w:bottom w:val="nil"/>
              <w:right w:val="nil"/>
            </w:tcBorders>
            <w:shd w:val="clear" w:color="auto" w:fill="auto"/>
            <w:noWrap/>
            <w:hideMark/>
          </w:tcPr>
          <w:p w14:paraId="47C20619" w14:textId="17427614" w:rsidR="000B275F" w:rsidRPr="000B275F" w:rsidRDefault="000B275F" w:rsidP="000B275F">
            <w:pPr>
              <w:jc w:val="center"/>
              <w:rPr>
                <w:color w:val="000000"/>
                <w:sz w:val="20"/>
                <w:szCs w:val="20"/>
              </w:rPr>
            </w:pPr>
            <w:r w:rsidRPr="000B275F">
              <w:rPr>
                <w:sz w:val="20"/>
                <w:szCs w:val="20"/>
              </w:rPr>
              <w:t xml:space="preserve"> 4.1 </w:t>
            </w:r>
          </w:p>
        </w:tc>
        <w:tc>
          <w:tcPr>
            <w:tcW w:w="976" w:type="dxa"/>
            <w:tcBorders>
              <w:top w:val="nil"/>
              <w:left w:val="nil"/>
              <w:bottom w:val="nil"/>
              <w:right w:val="nil"/>
            </w:tcBorders>
            <w:shd w:val="clear" w:color="auto" w:fill="auto"/>
            <w:noWrap/>
            <w:hideMark/>
          </w:tcPr>
          <w:p w14:paraId="7970D24F" w14:textId="23369375" w:rsidR="000B275F" w:rsidRPr="000B275F" w:rsidRDefault="000B275F" w:rsidP="000B275F">
            <w:pPr>
              <w:jc w:val="center"/>
              <w:rPr>
                <w:color w:val="000000"/>
                <w:sz w:val="20"/>
                <w:szCs w:val="20"/>
              </w:rPr>
            </w:pPr>
            <w:r w:rsidRPr="000B275F">
              <w:rPr>
                <w:sz w:val="20"/>
                <w:szCs w:val="20"/>
              </w:rPr>
              <w:t xml:space="preserve"> 3.5 </w:t>
            </w:r>
          </w:p>
        </w:tc>
        <w:tc>
          <w:tcPr>
            <w:tcW w:w="976" w:type="dxa"/>
            <w:tcBorders>
              <w:top w:val="nil"/>
              <w:left w:val="nil"/>
              <w:bottom w:val="nil"/>
              <w:right w:val="nil"/>
            </w:tcBorders>
            <w:shd w:val="clear" w:color="auto" w:fill="FFF2CC" w:themeFill="accent4" w:themeFillTint="33"/>
            <w:noWrap/>
            <w:hideMark/>
          </w:tcPr>
          <w:p w14:paraId="784109BF" w14:textId="0F2DCA69" w:rsidR="000B275F" w:rsidRPr="000B275F" w:rsidRDefault="000B275F" w:rsidP="000B275F">
            <w:pPr>
              <w:jc w:val="center"/>
              <w:rPr>
                <w:color w:val="000000"/>
                <w:sz w:val="20"/>
                <w:szCs w:val="20"/>
              </w:rPr>
            </w:pPr>
            <w:r w:rsidRPr="000B275F">
              <w:rPr>
                <w:sz w:val="20"/>
                <w:szCs w:val="20"/>
              </w:rPr>
              <w:t xml:space="preserve"> 0.6 </w:t>
            </w:r>
          </w:p>
        </w:tc>
        <w:tc>
          <w:tcPr>
            <w:tcW w:w="976" w:type="dxa"/>
            <w:tcBorders>
              <w:top w:val="nil"/>
              <w:left w:val="nil"/>
              <w:bottom w:val="nil"/>
              <w:right w:val="nil"/>
            </w:tcBorders>
            <w:shd w:val="clear" w:color="auto" w:fill="FFF2CC" w:themeFill="accent4" w:themeFillTint="33"/>
            <w:noWrap/>
            <w:hideMark/>
          </w:tcPr>
          <w:p w14:paraId="721FD7B3" w14:textId="1DA67FD0" w:rsidR="000B275F" w:rsidRPr="000B275F" w:rsidRDefault="000B275F" w:rsidP="000B275F">
            <w:pPr>
              <w:jc w:val="center"/>
              <w:rPr>
                <w:color w:val="000000"/>
                <w:sz w:val="20"/>
                <w:szCs w:val="20"/>
              </w:rPr>
            </w:pPr>
            <w:r w:rsidRPr="000B275F">
              <w:rPr>
                <w:sz w:val="20"/>
                <w:szCs w:val="20"/>
              </w:rPr>
              <w:t xml:space="preserve"> 0.7 </w:t>
            </w:r>
          </w:p>
        </w:tc>
        <w:tc>
          <w:tcPr>
            <w:tcW w:w="976" w:type="dxa"/>
            <w:tcBorders>
              <w:top w:val="nil"/>
              <w:left w:val="nil"/>
              <w:bottom w:val="nil"/>
              <w:right w:val="nil"/>
            </w:tcBorders>
            <w:shd w:val="clear" w:color="auto" w:fill="auto"/>
            <w:noWrap/>
            <w:hideMark/>
          </w:tcPr>
          <w:p w14:paraId="4AA2DCD9" w14:textId="7491A8E7" w:rsidR="000B275F" w:rsidRPr="000B275F" w:rsidRDefault="000B275F" w:rsidP="000B275F">
            <w:pPr>
              <w:jc w:val="center"/>
              <w:rPr>
                <w:color w:val="000000"/>
                <w:sz w:val="20"/>
                <w:szCs w:val="20"/>
              </w:rPr>
            </w:pPr>
            <w:r w:rsidRPr="000B275F">
              <w:rPr>
                <w:sz w:val="20"/>
                <w:szCs w:val="20"/>
              </w:rPr>
              <w:t xml:space="preserve"> 2.7 </w:t>
            </w:r>
          </w:p>
        </w:tc>
        <w:tc>
          <w:tcPr>
            <w:tcW w:w="730" w:type="dxa"/>
            <w:tcBorders>
              <w:top w:val="nil"/>
              <w:left w:val="nil"/>
              <w:bottom w:val="nil"/>
              <w:right w:val="nil"/>
            </w:tcBorders>
            <w:shd w:val="clear" w:color="auto" w:fill="auto"/>
            <w:noWrap/>
            <w:hideMark/>
          </w:tcPr>
          <w:p w14:paraId="64FF3D2F" w14:textId="70D86BCE" w:rsidR="000B275F" w:rsidRPr="000B275F" w:rsidRDefault="000B275F" w:rsidP="000B275F">
            <w:pPr>
              <w:jc w:val="center"/>
              <w:rPr>
                <w:color w:val="000000"/>
                <w:sz w:val="20"/>
                <w:szCs w:val="20"/>
              </w:rPr>
            </w:pPr>
            <w:r w:rsidRPr="000B275F">
              <w:rPr>
                <w:sz w:val="20"/>
                <w:szCs w:val="20"/>
              </w:rPr>
              <w:t xml:space="preserve"> 2.7 </w:t>
            </w:r>
          </w:p>
        </w:tc>
        <w:tc>
          <w:tcPr>
            <w:tcW w:w="786" w:type="dxa"/>
            <w:tcBorders>
              <w:top w:val="nil"/>
              <w:left w:val="nil"/>
              <w:bottom w:val="nil"/>
              <w:right w:val="nil"/>
            </w:tcBorders>
            <w:shd w:val="clear" w:color="auto" w:fill="auto"/>
            <w:noWrap/>
            <w:hideMark/>
          </w:tcPr>
          <w:p w14:paraId="2EDB1170" w14:textId="2F8B1F6B" w:rsidR="000B275F" w:rsidRPr="000B275F" w:rsidRDefault="000B275F" w:rsidP="000B275F">
            <w:pPr>
              <w:jc w:val="center"/>
              <w:rPr>
                <w:color w:val="000000"/>
                <w:sz w:val="20"/>
                <w:szCs w:val="20"/>
              </w:rPr>
            </w:pPr>
            <w:r w:rsidRPr="000B275F">
              <w:rPr>
                <w:sz w:val="20"/>
                <w:szCs w:val="20"/>
              </w:rPr>
              <w:t xml:space="preserve"> 2.7 </w:t>
            </w:r>
          </w:p>
        </w:tc>
      </w:tr>
      <w:tr w:rsidR="000B275F" w:rsidRPr="007E2241" w14:paraId="4EDAFAEA" w14:textId="77777777" w:rsidTr="000B275F">
        <w:trPr>
          <w:trHeight w:val="169"/>
        </w:trPr>
        <w:tc>
          <w:tcPr>
            <w:tcW w:w="2674" w:type="dxa"/>
            <w:tcBorders>
              <w:top w:val="nil"/>
              <w:left w:val="nil"/>
              <w:bottom w:val="nil"/>
              <w:right w:val="nil"/>
            </w:tcBorders>
            <w:shd w:val="clear" w:color="auto" w:fill="auto"/>
            <w:noWrap/>
            <w:vAlign w:val="bottom"/>
            <w:hideMark/>
          </w:tcPr>
          <w:p w14:paraId="0B9BAC77" w14:textId="77777777" w:rsidR="000B275F" w:rsidRPr="007E2241" w:rsidRDefault="000B275F" w:rsidP="000B275F">
            <w:pPr>
              <w:rPr>
                <w:color w:val="000000"/>
                <w:sz w:val="18"/>
                <w:szCs w:val="18"/>
              </w:rPr>
            </w:pPr>
            <w:r w:rsidRPr="007E2241">
              <w:rPr>
                <w:color w:val="000000"/>
                <w:sz w:val="18"/>
                <w:szCs w:val="18"/>
              </w:rPr>
              <w:t xml:space="preserve">Inflación </w:t>
            </w:r>
            <w:r>
              <w:rPr>
                <w:color w:val="000000"/>
                <w:sz w:val="18"/>
                <w:szCs w:val="18"/>
              </w:rPr>
              <w:t>(%)</w:t>
            </w:r>
          </w:p>
        </w:tc>
        <w:tc>
          <w:tcPr>
            <w:tcW w:w="560" w:type="dxa"/>
            <w:tcBorders>
              <w:top w:val="nil"/>
              <w:left w:val="single" w:sz="4" w:space="0" w:color="auto"/>
              <w:bottom w:val="nil"/>
              <w:right w:val="nil"/>
            </w:tcBorders>
            <w:shd w:val="clear" w:color="auto" w:fill="auto"/>
            <w:noWrap/>
            <w:hideMark/>
          </w:tcPr>
          <w:p w14:paraId="6E340AB3" w14:textId="66B2C6EB" w:rsidR="000B275F" w:rsidRPr="000B275F" w:rsidRDefault="000B275F" w:rsidP="000B275F">
            <w:pPr>
              <w:jc w:val="center"/>
              <w:rPr>
                <w:color w:val="000000"/>
                <w:sz w:val="20"/>
                <w:szCs w:val="20"/>
              </w:rPr>
            </w:pPr>
            <w:r w:rsidRPr="000B275F">
              <w:rPr>
                <w:sz w:val="20"/>
                <w:szCs w:val="20"/>
              </w:rPr>
              <w:t xml:space="preserve"> 9.2 </w:t>
            </w:r>
          </w:p>
        </w:tc>
        <w:tc>
          <w:tcPr>
            <w:tcW w:w="976" w:type="dxa"/>
            <w:tcBorders>
              <w:top w:val="nil"/>
              <w:left w:val="nil"/>
              <w:bottom w:val="nil"/>
              <w:right w:val="nil"/>
            </w:tcBorders>
            <w:shd w:val="clear" w:color="auto" w:fill="auto"/>
            <w:noWrap/>
            <w:hideMark/>
          </w:tcPr>
          <w:p w14:paraId="5D8B5B14" w14:textId="7C7628E8" w:rsidR="000B275F" w:rsidRPr="000B275F" w:rsidRDefault="000B275F" w:rsidP="000B275F">
            <w:pPr>
              <w:jc w:val="center"/>
              <w:rPr>
                <w:color w:val="000000"/>
                <w:sz w:val="20"/>
                <w:szCs w:val="20"/>
              </w:rPr>
            </w:pPr>
            <w:r w:rsidRPr="000B275F">
              <w:rPr>
                <w:sz w:val="20"/>
                <w:szCs w:val="20"/>
              </w:rPr>
              <w:t xml:space="preserve"> 4.0 </w:t>
            </w:r>
          </w:p>
        </w:tc>
        <w:tc>
          <w:tcPr>
            <w:tcW w:w="976" w:type="dxa"/>
            <w:tcBorders>
              <w:top w:val="nil"/>
              <w:left w:val="nil"/>
              <w:bottom w:val="nil"/>
              <w:right w:val="nil"/>
            </w:tcBorders>
            <w:shd w:val="clear" w:color="auto" w:fill="FFF2CC" w:themeFill="accent4" w:themeFillTint="33"/>
            <w:noWrap/>
            <w:hideMark/>
          </w:tcPr>
          <w:p w14:paraId="4631F764" w14:textId="5F01813D" w:rsidR="000B275F" w:rsidRPr="000B275F" w:rsidRDefault="000B275F" w:rsidP="000B275F">
            <w:pPr>
              <w:jc w:val="center"/>
              <w:rPr>
                <w:color w:val="000000"/>
                <w:sz w:val="20"/>
                <w:szCs w:val="20"/>
              </w:rPr>
            </w:pPr>
            <w:r w:rsidRPr="000B275F">
              <w:rPr>
                <w:sz w:val="20"/>
                <w:szCs w:val="20"/>
              </w:rPr>
              <w:t xml:space="preserve"> 1.6 </w:t>
            </w:r>
          </w:p>
        </w:tc>
        <w:tc>
          <w:tcPr>
            <w:tcW w:w="976" w:type="dxa"/>
            <w:tcBorders>
              <w:top w:val="nil"/>
              <w:left w:val="nil"/>
              <w:bottom w:val="nil"/>
              <w:right w:val="nil"/>
            </w:tcBorders>
            <w:shd w:val="clear" w:color="auto" w:fill="FFF2CC" w:themeFill="accent4" w:themeFillTint="33"/>
            <w:noWrap/>
            <w:hideMark/>
          </w:tcPr>
          <w:p w14:paraId="05EC8B1A" w14:textId="2E39C659" w:rsidR="000B275F" w:rsidRPr="000B275F" w:rsidRDefault="000B275F" w:rsidP="000B275F">
            <w:pPr>
              <w:jc w:val="center"/>
              <w:rPr>
                <w:color w:val="000000"/>
                <w:sz w:val="20"/>
                <w:szCs w:val="20"/>
              </w:rPr>
            </w:pPr>
            <w:r w:rsidRPr="000B275F">
              <w:rPr>
                <w:sz w:val="20"/>
                <w:szCs w:val="20"/>
              </w:rPr>
              <w:t xml:space="preserve"> 1.6 </w:t>
            </w:r>
          </w:p>
        </w:tc>
        <w:tc>
          <w:tcPr>
            <w:tcW w:w="976" w:type="dxa"/>
            <w:tcBorders>
              <w:top w:val="nil"/>
              <w:left w:val="nil"/>
              <w:bottom w:val="nil"/>
              <w:right w:val="nil"/>
            </w:tcBorders>
            <w:shd w:val="clear" w:color="auto" w:fill="auto"/>
            <w:noWrap/>
            <w:hideMark/>
          </w:tcPr>
          <w:p w14:paraId="5EA11AC4" w14:textId="009DCE0D" w:rsidR="000B275F" w:rsidRPr="000B275F" w:rsidRDefault="000B275F" w:rsidP="000B275F">
            <w:pPr>
              <w:jc w:val="center"/>
              <w:rPr>
                <w:color w:val="000000"/>
                <w:sz w:val="20"/>
                <w:szCs w:val="20"/>
              </w:rPr>
            </w:pPr>
            <w:r w:rsidRPr="000B275F">
              <w:rPr>
                <w:sz w:val="20"/>
                <w:szCs w:val="20"/>
              </w:rPr>
              <w:t xml:space="preserve"> 3.0 </w:t>
            </w:r>
          </w:p>
        </w:tc>
        <w:tc>
          <w:tcPr>
            <w:tcW w:w="730" w:type="dxa"/>
            <w:tcBorders>
              <w:top w:val="nil"/>
              <w:left w:val="nil"/>
              <w:bottom w:val="nil"/>
              <w:right w:val="nil"/>
            </w:tcBorders>
            <w:shd w:val="clear" w:color="auto" w:fill="auto"/>
            <w:noWrap/>
            <w:hideMark/>
          </w:tcPr>
          <w:p w14:paraId="658CC57D" w14:textId="4C6072AE" w:rsidR="000B275F" w:rsidRPr="000B275F" w:rsidRDefault="000B275F" w:rsidP="000B275F">
            <w:pPr>
              <w:jc w:val="center"/>
              <w:rPr>
                <w:color w:val="000000"/>
                <w:sz w:val="20"/>
                <w:szCs w:val="20"/>
              </w:rPr>
            </w:pPr>
            <w:r w:rsidRPr="000B275F">
              <w:rPr>
                <w:sz w:val="20"/>
                <w:szCs w:val="20"/>
              </w:rPr>
              <w:t xml:space="preserve"> 3.0 </w:t>
            </w:r>
          </w:p>
        </w:tc>
        <w:tc>
          <w:tcPr>
            <w:tcW w:w="786" w:type="dxa"/>
            <w:tcBorders>
              <w:top w:val="nil"/>
              <w:left w:val="nil"/>
              <w:bottom w:val="nil"/>
              <w:right w:val="nil"/>
            </w:tcBorders>
            <w:shd w:val="clear" w:color="auto" w:fill="auto"/>
            <w:noWrap/>
            <w:hideMark/>
          </w:tcPr>
          <w:p w14:paraId="64814904" w14:textId="7B8BE523" w:rsidR="000B275F" w:rsidRPr="000B275F" w:rsidRDefault="000B275F" w:rsidP="000B275F">
            <w:pPr>
              <w:jc w:val="center"/>
              <w:rPr>
                <w:color w:val="000000"/>
                <w:sz w:val="20"/>
                <w:szCs w:val="20"/>
              </w:rPr>
            </w:pPr>
            <w:r w:rsidRPr="000B275F">
              <w:rPr>
                <w:sz w:val="20"/>
                <w:szCs w:val="20"/>
              </w:rPr>
              <w:t xml:space="preserve"> 3.0 </w:t>
            </w:r>
          </w:p>
        </w:tc>
      </w:tr>
      <w:tr w:rsidR="000B275F" w:rsidRPr="007E2241" w14:paraId="2FFC0DF0" w14:textId="77777777" w:rsidTr="000B275F">
        <w:trPr>
          <w:trHeight w:val="169"/>
        </w:trPr>
        <w:tc>
          <w:tcPr>
            <w:tcW w:w="2674" w:type="dxa"/>
            <w:tcBorders>
              <w:top w:val="nil"/>
              <w:left w:val="nil"/>
              <w:bottom w:val="nil"/>
              <w:right w:val="nil"/>
            </w:tcBorders>
            <w:shd w:val="clear" w:color="auto" w:fill="EDEDED" w:themeFill="accent3" w:themeFillTint="33"/>
            <w:noWrap/>
            <w:vAlign w:val="bottom"/>
            <w:hideMark/>
          </w:tcPr>
          <w:p w14:paraId="41D8C264" w14:textId="77777777" w:rsidR="000B275F" w:rsidRPr="007E2241" w:rsidRDefault="000B275F" w:rsidP="000B275F">
            <w:pPr>
              <w:rPr>
                <w:color w:val="000000"/>
                <w:sz w:val="18"/>
                <w:szCs w:val="18"/>
              </w:rPr>
            </w:pPr>
            <w:r w:rsidRPr="007E2241">
              <w:rPr>
                <w:color w:val="000000"/>
                <w:sz w:val="18"/>
                <w:szCs w:val="18"/>
              </w:rPr>
              <w:t>Ingresos</w:t>
            </w:r>
            <w:r>
              <w:rPr>
                <w:color w:val="000000"/>
                <w:sz w:val="18"/>
                <w:szCs w:val="18"/>
              </w:rPr>
              <w:t xml:space="preserve"> (% del PIB)</w:t>
            </w:r>
          </w:p>
        </w:tc>
        <w:tc>
          <w:tcPr>
            <w:tcW w:w="560" w:type="dxa"/>
            <w:tcBorders>
              <w:top w:val="nil"/>
              <w:left w:val="single" w:sz="4" w:space="0" w:color="auto"/>
              <w:bottom w:val="nil"/>
              <w:right w:val="nil"/>
            </w:tcBorders>
            <w:shd w:val="clear" w:color="auto" w:fill="EDEDED" w:themeFill="accent3" w:themeFillTint="33"/>
            <w:noWrap/>
            <w:hideMark/>
          </w:tcPr>
          <w:p w14:paraId="33A658EF" w14:textId="4AF7B004" w:rsidR="000B275F" w:rsidRPr="000B275F" w:rsidRDefault="000B275F" w:rsidP="000B275F">
            <w:pPr>
              <w:jc w:val="center"/>
              <w:rPr>
                <w:color w:val="000000"/>
                <w:sz w:val="20"/>
                <w:szCs w:val="20"/>
              </w:rPr>
            </w:pPr>
            <w:r w:rsidRPr="000B275F">
              <w:rPr>
                <w:sz w:val="20"/>
                <w:szCs w:val="20"/>
              </w:rPr>
              <w:t xml:space="preserve"> 12.7 </w:t>
            </w:r>
          </w:p>
        </w:tc>
        <w:tc>
          <w:tcPr>
            <w:tcW w:w="976" w:type="dxa"/>
            <w:tcBorders>
              <w:top w:val="nil"/>
              <w:left w:val="nil"/>
              <w:bottom w:val="nil"/>
              <w:right w:val="nil"/>
            </w:tcBorders>
            <w:shd w:val="clear" w:color="auto" w:fill="EDEDED" w:themeFill="accent3" w:themeFillTint="33"/>
            <w:noWrap/>
            <w:hideMark/>
          </w:tcPr>
          <w:p w14:paraId="0FAEA42A" w14:textId="7773260B" w:rsidR="000B275F" w:rsidRPr="000B275F" w:rsidRDefault="000B275F" w:rsidP="000B275F">
            <w:pPr>
              <w:jc w:val="center"/>
              <w:rPr>
                <w:color w:val="000000"/>
                <w:sz w:val="20"/>
                <w:szCs w:val="20"/>
              </w:rPr>
            </w:pPr>
            <w:r w:rsidRPr="000B275F">
              <w:rPr>
                <w:sz w:val="20"/>
                <w:szCs w:val="20"/>
              </w:rPr>
              <w:t xml:space="preserve"> 12.3 </w:t>
            </w:r>
          </w:p>
        </w:tc>
        <w:tc>
          <w:tcPr>
            <w:tcW w:w="976" w:type="dxa"/>
            <w:tcBorders>
              <w:top w:val="nil"/>
              <w:left w:val="nil"/>
              <w:bottom w:val="nil"/>
              <w:right w:val="nil"/>
            </w:tcBorders>
            <w:shd w:val="clear" w:color="auto" w:fill="EDEDED" w:themeFill="accent3" w:themeFillTint="33"/>
            <w:noWrap/>
            <w:hideMark/>
          </w:tcPr>
          <w:p w14:paraId="39DCA2D8" w14:textId="430E73DD" w:rsidR="000B275F" w:rsidRPr="000B275F" w:rsidRDefault="000B275F" w:rsidP="000B275F">
            <w:pPr>
              <w:jc w:val="center"/>
              <w:rPr>
                <w:color w:val="000000"/>
                <w:sz w:val="20"/>
                <w:szCs w:val="20"/>
              </w:rPr>
            </w:pPr>
            <w:r w:rsidRPr="000B275F">
              <w:rPr>
                <w:sz w:val="20"/>
                <w:szCs w:val="20"/>
              </w:rPr>
              <w:t xml:space="preserve"> 12.3 </w:t>
            </w:r>
          </w:p>
        </w:tc>
        <w:tc>
          <w:tcPr>
            <w:tcW w:w="976" w:type="dxa"/>
            <w:tcBorders>
              <w:top w:val="nil"/>
              <w:left w:val="nil"/>
              <w:bottom w:val="nil"/>
              <w:right w:val="nil"/>
            </w:tcBorders>
            <w:shd w:val="clear" w:color="auto" w:fill="EDEDED" w:themeFill="accent3" w:themeFillTint="33"/>
            <w:noWrap/>
            <w:hideMark/>
          </w:tcPr>
          <w:p w14:paraId="60600C29" w14:textId="6A3EB288" w:rsidR="000B275F" w:rsidRPr="000B275F" w:rsidRDefault="000B275F" w:rsidP="000B275F">
            <w:pPr>
              <w:jc w:val="center"/>
              <w:rPr>
                <w:color w:val="000000"/>
                <w:sz w:val="20"/>
                <w:szCs w:val="20"/>
              </w:rPr>
            </w:pPr>
            <w:r w:rsidRPr="000B275F">
              <w:rPr>
                <w:sz w:val="20"/>
                <w:szCs w:val="20"/>
              </w:rPr>
              <w:t xml:space="preserve"> 12.3 </w:t>
            </w:r>
          </w:p>
        </w:tc>
        <w:tc>
          <w:tcPr>
            <w:tcW w:w="976" w:type="dxa"/>
            <w:tcBorders>
              <w:top w:val="nil"/>
              <w:left w:val="nil"/>
              <w:bottom w:val="nil"/>
              <w:right w:val="nil"/>
            </w:tcBorders>
            <w:shd w:val="clear" w:color="auto" w:fill="EDEDED" w:themeFill="accent3" w:themeFillTint="33"/>
            <w:noWrap/>
            <w:hideMark/>
          </w:tcPr>
          <w:p w14:paraId="5FBF7CF9" w14:textId="6854CAA2" w:rsidR="000B275F" w:rsidRPr="000B275F" w:rsidRDefault="000B275F" w:rsidP="000B275F">
            <w:pPr>
              <w:jc w:val="center"/>
              <w:rPr>
                <w:color w:val="000000"/>
                <w:sz w:val="20"/>
                <w:szCs w:val="20"/>
              </w:rPr>
            </w:pPr>
            <w:r w:rsidRPr="000B275F">
              <w:rPr>
                <w:sz w:val="20"/>
                <w:szCs w:val="20"/>
              </w:rPr>
              <w:t xml:space="preserve"> 12.4 </w:t>
            </w:r>
          </w:p>
        </w:tc>
        <w:tc>
          <w:tcPr>
            <w:tcW w:w="730" w:type="dxa"/>
            <w:tcBorders>
              <w:top w:val="nil"/>
              <w:left w:val="nil"/>
              <w:bottom w:val="nil"/>
              <w:right w:val="nil"/>
            </w:tcBorders>
            <w:shd w:val="clear" w:color="auto" w:fill="EDEDED" w:themeFill="accent3" w:themeFillTint="33"/>
            <w:noWrap/>
            <w:hideMark/>
          </w:tcPr>
          <w:p w14:paraId="502A54DE" w14:textId="3768A2D3" w:rsidR="000B275F" w:rsidRPr="000B275F" w:rsidRDefault="000B275F" w:rsidP="000B275F">
            <w:pPr>
              <w:jc w:val="center"/>
              <w:rPr>
                <w:color w:val="000000"/>
                <w:sz w:val="20"/>
                <w:szCs w:val="20"/>
              </w:rPr>
            </w:pPr>
            <w:r w:rsidRPr="000B275F">
              <w:rPr>
                <w:sz w:val="20"/>
                <w:szCs w:val="20"/>
              </w:rPr>
              <w:t xml:space="preserve"> 12.5 </w:t>
            </w:r>
          </w:p>
        </w:tc>
        <w:tc>
          <w:tcPr>
            <w:tcW w:w="786" w:type="dxa"/>
            <w:tcBorders>
              <w:top w:val="nil"/>
              <w:left w:val="nil"/>
              <w:bottom w:val="nil"/>
              <w:right w:val="nil"/>
            </w:tcBorders>
            <w:shd w:val="clear" w:color="auto" w:fill="EDEDED" w:themeFill="accent3" w:themeFillTint="33"/>
            <w:noWrap/>
            <w:hideMark/>
          </w:tcPr>
          <w:p w14:paraId="03069E85" w14:textId="3334794F" w:rsidR="000B275F" w:rsidRPr="000B275F" w:rsidRDefault="000B275F" w:rsidP="000B275F">
            <w:pPr>
              <w:jc w:val="center"/>
              <w:rPr>
                <w:color w:val="000000"/>
                <w:sz w:val="20"/>
                <w:szCs w:val="20"/>
              </w:rPr>
            </w:pPr>
            <w:r w:rsidRPr="000B275F">
              <w:rPr>
                <w:sz w:val="20"/>
                <w:szCs w:val="20"/>
              </w:rPr>
              <w:t xml:space="preserve"> 12.6 </w:t>
            </w:r>
          </w:p>
        </w:tc>
      </w:tr>
      <w:tr w:rsidR="000B275F" w:rsidRPr="007E2241" w14:paraId="1B7159B0" w14:textId="77777777" w:rsidTr="000B275F">
        <w:trPr>
          <w:trHeight w:val="169"/>
        </w:trPr>
        <w:tc>
          <w:tcPr>
            <w:tcW w:w="2674" w:type="dxa"/>
            <w:tcBorders>
              <w:top w:val="nil"/>
              <w:left w:val="nil"/>
              <w:bottom w:val="nil"/>
              <w:right w:val="nil"/>
            </w:tcBorders>
            <w:shd w:val="clear" w:color="auto" w:fill="EDEDED" w:themeFill="accent3" w:themeFillTint="33"/>
            <w:noWrap/>
            <w:vAlign w:val="bottom"/>
            <w:hideMark/>
          </w:tcPr>
          <w:p w14:paraId="73AF7DD0" w14:textId="77777777" w:rsidR="000B275F" w:rsidRPr="007E2241" w:rsidRDefault="000B275F" w:rsidP="000B275F">
            <w:pPr>
              <w:rPr>
                <w:color w:val="000000"/>
                <w:sz w:val="18"/>
                <w:szCs w:val="18"/>
              </w:rPr>
            </w:pPr>
            <w:r w:rsidRPr="007E2241">
              <w:rPr>
                <w:color w:val="000000"/>
                <w:sz w:val="18"/>
                <w:szCs w:val="18"/>
              </w:rPr>
              <w:t>Gastos</w:t>
            </w:r>
            <w:r>
              <w:rPr>
                <w:color w:val="000000"/>
                <w:sz w:val="18"/>
                <w:szCs w:val="18"/>
              </w:rPr>
              <w:t xml:space="preserve"> (% del PIB)</w:t>
            </w:r>
          </w:p>
        </w:tc>
        <w:tc>
          <w:tcPr>
            <w:tcW w:w="560" w:type="dxa"/>
            <w:tcBorders>
              <w:top w:val="nil"/>
              <w:left w:val="single" w:sz="4" w:space="0" w:color="auto"/>
              <w:bottom w:val="nil"/>
              <w:right w:val="nil"/>
            </w:tcBorders>
            <w:shd w:val="clear" w:color="auto" w:fill="EDEDED" w:themeFill="accent3" w:themeFillTint="33"/>
            <w:noWrap/>
            <w:hideMark/>
          </w:tcPr>
          <w:p w14:paraId="2E7A8C4D" w14:textId="532C4E8C" w:rsidR="000B275F" w:rsidRPr="000B275F" w:rsidRDefault="000B275F" w:rsidP="000B275F">
            <w:pPr>
              <w:jc w:val="center"/>
              <w:rPr>
                <w:color w:val="000000"/>
                <w:sz w:val="20"/>
                <w:szCs w:val="20"/>
              </w:rPr>
            </w:pPr>
            <w:r w:rsidRPr="000B275F">
              <w:rPr>
                <w:sz w:val="20"/>
                <w:szCs w:val="20"/>
              </w:rPr>
              <w:t xml:space="preserve"> 14.4 </w:t>
            </w:r>
          </w:p>
        </w:tc>
        <w:tc>
          <w:tcPr>
            <w:tcW w:w="976" w:type="dxa"/>
            <w:tcBorders>
              <w:top w:val="nil"/>
              <w:left w:val="nil"/>
              <w:bottom w:val="nil"/>
              <w:right w:val="nil"/>
            </w:tcBorders>
            <w:shd w:val="clear" w:color="auto" w:fill="EDEDED" w:themeFill="accent3" w:themeFillTint="33"/>
            <w:noWrap/>
            <w:hideMark/>
          </w:tcPr>
          <w:p w14:paraId="2E6523A4" w14:textId="354838A9" w:rsidR="000B275F" w:rsidRPr="000B275F" w:rsidRDefault="000B275F" w:rsidP="000B275F">
            <w:pPr>
              <w:jc w:val="center"/>
              <w:rPr>
                <w:color w:val="000000"/>
                <w:sz w:val="20"/>
                <w:szCs w:val="20"/>
              </w:rPr>
            </w:pPr>
            <w:r w:rsidRPr="000B275F">
              <w:rPr>
                <w:sz w:val="20"/>
                <w:szCs w:val="20"/>
              </w:rPr>
              <w:t xml:space="preserve"> 14.0 </w:t>
            </w:r>
          </w:p>
        </w:tc>
        <w:tc>
          <w:tcPr>
            <w:tcW w:w="976" w:type="dxa"/>
            <w:tcBorders>
              <w:top w:val="nil"/>
              <w:left w:val="nil"/>
              <w:bottom w:val="nil"/>
              <w:right w:val="nil"/>
            </w:tcBorders>
            <w:shd w:val="clear" w:color="auto" w:fill="EDEDED" w:themeFill="accent3" w:themeFillTint="33"/>
            <w:noWrap/>
            <w:hideMark/>
          </w:tcPr>
          <w:p w14:paraId="791510DC" w14:textId="10387149" w:rsidR="000B275F" w:rsidRPr="000B275F" w:rsidRDefault="000B275F" w:rsidP="000B275F">
            <w:pPr>
              <w:jc w:val="center"/>
              <w:rPr>
                <w:color w:val="000000"/>
                <w:sz w:val="20"/>
                <w:szCs w:val="20"/>
              </w:rPr>
            </w:pPr>
            <w:r w:rsidRPr="000B275F">
              <w:rPr>
                <w:sz w:val="20"/>
                <w:szCs w:val="20"/>
              </w:rPr>
              <w:t xml:space="preserve"> 14.3 </w:t>
            </w:r>
          </w:p>
        </w:tc>
        <w:tc>
          <w:tcPr>
            <w:tcW w:w="976" w:type="dxa"/>
            <w:tcBorders>
              <w:top w:val="nil"/>
              <w:left w:val="nil"/>
              <w:bottom w:val="nil"/>
              <w:right w:val="nil"/>
            </w:tcBorders>
            <w:shd w:val="clear" w:color="auto" w:fill="EDEDED" w:themeFill="accent3" w:themeFillTint="33"/>
            <w:noWrap/>
            <w:hideMark/>
          </w:tcPr>
          <w:p w14:paraId="3834B04C" w14:textId="2B73FB6A" w:rsidR="000B275F" w:rsidRPr="000B275F" w:rsidRDefault="000B275F" w:rsidP="000B275F">
            <w:pPr>
              <w:jc w:val="center"/>
              <w:rPr>
                <w:color w:val="000000"/>
                <w:sz w:val="20"/>
                <w:szCs w:val="20"/>
              </w:rPr>
            </w:pPr>
            <w:r w:rsidRPr="000B275F">
              <w:rPr>
                <w:sz w:val="20"/>
                <w:szCs w:val="20"/>
              </w:rPr>
              <w:t xml:space="preserve"> 14.3 </w:t>
            </w:r>
          </w:p>
        </w:tc>
        <w:tc>
          <w:tcPr>
            <w:tcW w:w="976" w:type="dxa"/>
            <w:tcBorders>
              <w:top w:val="nil"/>
              <w:left w:val="nil"/>
              <w:bottom w:val="nil"/>
              <w:right w:val="nil"/>
            </w:tcBorders>
            <w:shd w:val="clear" w:color="auto" w:fill="EDEDED" w:themeFill="accent3" w:themeFillTint="33"/>
            <w:noWrap/>
            <w:hideMark/>
          </w:tcPr>
          <w:p w14:paraId="585C2E7F" w14:textId="395363B7" w:rsidR="000B275F" w:rsidRPr="000B275F" w:rsidRDefault="000B275F" w:rsidP="000B275F">
            <w:pPr>
              <w:jc w:val="center"/>
              <w:rPr>
                <w:color w:val="000000"/>
                <w:sz w:val="20"/>
                <w:szCs w:val="20"/>
              </w:rPr>
            </w:pPr>
            <w:r w:rsidRPr="000B275F">
              <w:rPr>
                <w:sz w:val="20"/>
                <w:szCs w:val="20"/>
              </w:rPr>
              <w:t xml:space="preserve"> 13.9 </w:t>
            </w:r>
          </w:p>
        </w:tc>
        <w:tc>
          <w:tcPr>
            <w:tcW w:w="730" w:type="dxa"/>
            <w:tcBorders>
              <w:top w:val="nil"/>
              <w:left w:val="nil"/>
              <w:bottom w:val="nil"/>
              <w:right w:val="nil"/>
            </w:tcBorders>
            <w:shd w:val="clear" w:color="auto" w:fill="EDEDED" w:themeFill="accent3" w:themeFillTint="33"/>
            <w:noWrap/>
            <w:hideMark/>
          </w:tcPr>
          <w:p w14:paraId="6370A4A3" w14:textId="61BCCF53" w:rsidR="000B275F" w:rsidRPr="000B275F" w:rsidRDefault="000B275F" w:rsidP="000B275F">
            <w:pPr>
              <w:jc w:val="center"/>
              <w:rPr>
                <w:color w:val="000000"/>
                <w:sz w:val="20"/>
                <w:szCs w:val="20"/>
              </w:rPr>
            </w:pPr>
            <w:r w:rsidRPr="000B275F">
              <w:rPr>
                <w:sz w:val="20"/>
                <w:szCs w:val="20"/>
              </w:rPr>
              <w:t xml:space="preserve"> 13.5 </w:t>
            </w:r>
          </w:p>
        </w:tc>
        <w:tc>
          <w:tcPr>
            <w:tcW w:w="786" w:type="dxa"/>
            <w:tcBorders>
              <w:top w:val="nil"/>
              <w:left w:val="nil"/>
              <w:bottom w:val="nil"/>
              <w:right w:val="nil"/>
            </w:tcBorders>
            <w:shd w:val="clear" w:color="auto" w:fill="EDEDED" w:themeFill="accent3" w:themeFillTint="33"/>
            <w:noWrap/>
            <w:hideMark/>
          </w:tcPr>
          <w:p w14:paraId="7368EDA2" w14:textId="475B2D2B" w:rsidR="000B275F" w:rsidRPr="000B275F" w:rsidRDefault="000B275F" w:rsidP="000B275F">
            <w:pPr>
              <w:jc w:val="center"/>
              <w:rPr>
                <w:color w:val="000000"/>
                <w:sz w:val="20"/>
                <w:szCs w:val="20"/>
              </w:rPr>
            </w:pPr>
            <w:r w:rsidRPr="000B275F">
              <w:rPr>
                <w:sz w:val="20"/>
                <w:szCs w:val="20"/>
              </w:rPr>
              <w:t xml:space="preserve"> 13.2 </w:t>
            </w:r>
          </w:p>
        </w:tc>
      </w:tr>
      <w:tr w:rsidR="000B275F" w:rsidRPr="007E2241" w14:paraId="775B72B2" w14:textId="77777777" w:rsidTr="000B275F">
        <w:trPr>
          <w:trHeight w:val="169"/>
        </w:trPr>
        <w:tc>
          <w:tcPr>
            <w:tcW w:w="2674" w:type="dxa"/>
            <w:tcBorders>
              <w:top w:val="nil"/>
              <w:left w:val="nil"/>
              <w:bottom w:val="nil"/>
              <w:right w:val="nil"/>
            </w:tcBorders>
            <w:shd w:val="clear" w:color="auto" w:fill="EDEDED" w:themeFill="accent3" w:themeFillTint="33"/>
            <w:noWrap/>
            <w:vAlign w:val="bottom"/>
            <w:hideMark/>
          </w:tcPr>
          <w:p w14:paraId="668A75E6" w14:textId="77777777" w:rsidR="000B275F" w:rsidRPr="007E2241" w:rsidRDefault="000B275F" w:rsidP="000B275F">
            <w:pPr>
              <w:rPr>
                <w:color w:val="000000"/>
                <w:sz w:val="18"/>
                <w:szCs w:val="18"/>
              </w:rPr>
            </w:pPr>
            <w:r w:rsidRPr="007E2241">
              <w:rPr>
                <w:color w:val="000000"/>
                <w:sz w:val="18"/>
                <w:szCs w:val="18"/>
              </w:rPr>
              <w:t>Déficit</w:t>
            </w:r>
            <w:r>
              <w:rPr>
                <w:color w:val="000000"/>
                <w:sz w:val="18"/>
                <w:szCs w:val="18"/>
              </w:rPr>
              <w:t xml:space="preserve"> (% del PIB)</w:t>
            </w:r>
          </w:p>
        </w:tc>
        <w:tc>
          <w:tcPr>
            <w:tcW w:w="560" w:type="dxa"/>
            <w:tcBorders>
              <w:top w:val="nil"/>
              <w:left w:val="single" w:sz="4" w:space="0" w:color="auto"/>
              <w:bottom w:val="nil"/>
              <w:right w:val="nil"/>
            </w:tcBorders>
            <w:shd w:val="clear" w:color="auto" w:fill="EDEDED" w:themeFill="accent3" w:themeFillTint="33"/>
            <w:noWrap/>
            <w:hideMark/>
          </w:tcPr>
          <w:p w14:paraId="68D9E4E6" w14:textId="3A0BFDC7" w:rsidR="000B275F" w:rsidRPr="000B275F" w:rsidRDefault="000B275F" w:rsidP="000B275F">
            <w:pPr>
              <w:jc w:val="center"/>
              <w:rPr>
                <w:color w:val="000000"/>
                <w:sz w:val="20"/>
                <w:szCs w:val="20"/>
              </w:rPr>
            </w:pPr>
            <w:r w:rsidRPr="000B275F">
              <w:rPr>
                <w:sz w:val="20"/>
                <w:szCs w:val="20"/>
              </w:rPr>
              <w:t xml:space="preserve"> 1.7 </w:t>
            </w:r>
          </w:p>
        </w:tc>
        <w:tc>
          <w:tcPr>
            <w:tcW w:w="976" w:type="dxa"/>
            <w:tcBorders>
              <w:top w:val="nil"/>
              <w:left w:val="nil"/>
              <w:bottom w:val="nil"/>
              <w:right w:val="nil"/>
            </w:tcBorders>
            <w:shd w:val="clear" w:color="auto" w:fill="EDEDED" w:themeFill="accent3" w:themeFillTint="33"/>
            <w:noWrap/>
            <w:hideMark/>
          </w:tcPr>
          <w:p w14:paraId="0A2F3E6C" w14:textId="7FC5C597" w:rsidR="000B275F" w:rsidRPr="000B275F" w:rsidRDefault="000B275F" w:rsidP="000B275F">
            <w:pPr>
              <w:jc w:val="center"/>
              <w:rPr>
                <w:color w:val="000000"/>
                <w:sz w:val="20"/>
                <w:szCs w:val="20"/>
              </w:rPr>
            </w:pPr>
            <w:r w:rsidRPr="000B275F">
              <w:rPr>
                <w:sz w:val="20"/>
                <w:szCs w:val="20"/>
              </w:rPr>
              <w:t xml:space="preserve"> 1.7 </w:t>
            </w:r>
          </w:p>
        </w:tc>
        <w:tc>
          <w:tcPr>
            <w:tcW w:w="976" w:type="dxa"/>
            <w:tcBorders>
              <w:top w:val="nil"/>
              <w:left w:val="nil"/>
              <w:bottom w:val="nil"/>
              <w:right w:val="nil"/>
            </w:tcBorders>
            <w:shd w:val="clear" w:color="auto" w:fill="EDEDED" w:themeFill="accent3" w:themeFillTint="33"/>
            <w:noWrap/>
            <w:hideMark/>
          </w:tcPr>
          <w:p w14:paraId="517A7A2B" w14:textId="0D9CDDDC" w:rsidR="000B275F" w:rsidRPr="000B275F" w:rsidRDefault="000B275F" w:rsidP="000B275F">
            <w:pPr>
              <w:jc w:val="center"/>
              <w:rPr>
                <w:color w:val="000000"/>
                <w:sz w:val="20"/>
                <w:szCs w:val="20"/>
              </w:rPr>
            </w:pPr>
            <w:r w:rsidRPr="000B275F">
              <w:rPr>
                <w:sz w:val="20"/>
                <w:szCs w:val="20"/>
              </w:rPr>
              <w:t xml:space="preserve"> 2.0 </w:t>
            </w:r>
          </w:p>
        </w:tc>
        <w:tc>
          <w:tcPr>
            <w:tcW w:w="976" w:type="dxa"/>
            <w:tcBorders>
              <w:top w:val="nil"/>
              <w:left w:val="nil"/>
              <w:bottom w:val="nil"/>
              <w:right w:val="nil"/>
            </w:tcBorders>
            <w:shd w:val="clear" w:color="auto" w:fill="EDEDED" w:themeFill="accent3" w:themeFillTint="33"/>
            <w:noWrap/>
            <w:hideMark/>
          </w:tcPr>
          <w:p w14:paraId="62ADA1A8" w14:textId="242B6172" w:rsidR="000B275F" w:rsidRPr="000B275F" w:rsidRDefault="000B275F" w:rsidP="000B275F">
            <w:pPr>
              <w:jc w:val="center"/>
              <w:rPr>
                <w:color w:val="000000"/>
                <w:sz w:val="20"/>
                <w:szCs w:val="20"/>
              </w:rPr>
            </w:pPr>
            <w:r w:rsidRPr="000B275F">
              <w:rPr>
                <w:sz w:val="20"/>
                <w:szCs w:val="20"/>
              </w:rPr>
              <w:t xml:space="preserve"> 2.0 </w:t>
            </w:r>
          </w:p>
        </w:tc>
        <w:tc>
          <w:tcPr>
            <w:tcW w:w="976" w:type="dxa"/>
            <w:tcBorders>
              <w:top w:val="nil"/>
              <w:left w:val="nil"/>
              <w:bottom w:val="nil"/>
              <w:right w:val="nil"/>
            </w:tcBorders>
            <w:shd w:val="clear" w:color="auto" w:fill="EDEDED" w:themeFill="accent3" w:themeFillTint="33"/>
            <w:noWrap/>
            <w:hideMark/>
          </w:tcPr>
          <w:p w14:paraId="3A1F824C" w14:textId="2DC41D56" w:rsidR="000B275F" w:rsidRPr="000B275F" w:rsidRDefault="000B275F" w:rsidP="000B275F">
            <w:pPr>
              <w:jc w:val="center"/>
              <w:rPr>
                <w:color w:val="000000"/>
                <w:sz w:val="20"/>
                <w:szCs w:val="20"/>
              </w:rPr>
            </w:pPr>
            <w:r w:rsidRPr="000B275F">
              <w:rPr>
                <w:sz w:val="20"/>
                <w:szCs w:val="20"/>
              </w:rPr>
              <w:t xml:space="preserve"> 1.5 </w:t>
            </w:r>
          </w:p>
        </w:tc>
        <w:tc>
          <w:tcPr>
            <w:tcW w:w="730" w:type="dxa"/>
            <w:tcBorders>
              <w:top w:val="nil"/>
              <w:left w:val="nil"/>
              <w:bottom w:val="nil"/>
              <w:right w:val="nil"/>
            </w:tcBorders>
            <w:shd w:val="clear" w:color="auto" w:fill="EDEDED" w:themeFill="accent3" w:themeFillTint="33"/>
            <w:noWrap/>
            <w:hideMark/>
          </w:tcPr>
          <w:p w14:paraId="65D67666" w14:textId="1E54A267" w:rsidR="000B275F" w:rsidRPr="000B275F" w:rsidRDefault="000B275F" w:rsidP="000B275F">
            <w:pPr>
              <w:jc w:val="center"/>
              <w:rPr>
                <w:color w:val="000000"/>
                <w:sz w:val="20"/>
                <w:szCs w:val="20"/>
              </w:rPr>
            </w:pPr>
            <w:r w:rsidRPr="000B275F">
              <w:rPr>
                <w:sz w:val="20"/>
                <w:szCs w:val="20"/>
              </w:rPr>
              <w:t xml:space="preserve"> 1.0 </w:t>
            </w:r>
          </w:p>
        </w:tc>
        <w:tc>
          <w:tcPr>
            <w:tcW w:w="786" w:type="dxa"/>
            <w:tcBorders>
              <w:top w:val="nil"/>
              <w:left w:val="nil"/>
              <w:bottom w:val="nil"/>
              <w:right w:val="nil"/>
            </w:tcBorders>
            <w:shd w:val="clear" w:color="auto" w:fill="EDEDED" w:themeFill="accent3" w:themeFillTint="33"/>
            <w:noWrap/>
            <w:hideMark/>
          </w:tcPr>
          <w:p w14:paraId="6F890A42" w14:textId="4C698463" w:rsidR="000B275F" w:rsidRPr="000B275F" w:rsidRDefault="000B275F" w:rsidP="000B275F">
            <w:pPr>
              <w:jc w:val="center"/>
              <w:rPr>
                <w:color w:val="000000"/>
                <w:sz w:val="20"/>
                <w:szCs w:val="20"/>
              </w:rPr>
            </w:pPr>
            <w:r w:rsidRPr="000B275F">
              <w:rPr>
                <w:sz w:val="20"/>
                <w:szCs w:val="20"/>
              </w:rPr>
              <w:t xml:space="preserve"> 0.6 </w:t>
            </w:r>
          </w:p>
        </w:tc>
      </w:tr>
      <w:tr w:rsidR="000B275F" w:rsidRPr="007E2241" w14:paraId="62C0FF46" w14:textId="77777777" w:rsidTr="000B275F">
        <w:trPr>
          <w:trHeight w:val="169"/>
        </w:trPr>
        <w:tc>
          <w:tcPr>
            <w:tcW w:w="2674" w:type="dxa"/>
            <w:tcBorders>
              <w:top w:val="nil"/>
              <w:left w:val="nil"/>
              <w:bottom w:val="single" w:sz="4" w:space="0" w:color="auto"/>
              <w:right w:val="nil"/>
            </w:tcBorders>
            <w:shd w:val="clear" w:color="auto" w:fill="EDEDED" w:themeFill="accent3" w:themeFillTint="33"/>
            <w:noWrap/>
            <w:vAlign w:val="bottom"/>
            <w:hideMark/>
          </w:tcPr>
          <w:p w14:paraId="0A4C0616" w14:textId="77777777" w:rsidR="000B275F" w:rsidRPr="007E2241" w:rsidRDefault="000B275F" w:rsidP="000B275F">
            <w:pPr>
              <w:rPr>
                <w:color w:val="000000"/>
                <w:sz w:val="18"/>
                <w:szCs w:val="18"/>
              </w:rPr>
            </w:pPr>
            <w:r w:rsidRPr="007E2241">
              <w:rPr>
                <w:color w:val="000000"/>
                <w:sz w:val="18"/>
                <w:szCs w:val="18"/>
              </w:rPr>
              <w:t>Deuda</w:t>
            </w:r>
            <w:r>
              <w:rPr>
                <w:color w:val="000000"/>
                <w:sz w:val="18"/>
                <w:szCs w:val="18"/>
              </w:rPr>
              <w:t xml:space="preserve"> (% del PIB)</w:t>
            </w:r>
          </w:p>
        </w:tc>
        <w:tc>
          <w:tcPr>
            <w:tcW w:w="560" w:type="dxa"/>
            <w:tcBorders>
              <w:top w:val="nil"/>
              <w:left w:val="single" w:sz="4" w:space="0" w:color="auto"/>
              <w:bottom w:val="single" w:sz="4" w:space="0" w:color="auto"/>
              <w:right w:val="nil"/>
            </w:tcBorders>
            <w:shd w:val="clear" w:color="auto" w:fill="EDEDED" w:themeFill="accent3" w:themeFillTint="33"/>
            <w:noWrap/>
            <w:hideMark/>
          </w:tcPr>
          <w:p w14:paraId="2192315E" w14:textId="7327747E" w:rsidR="000B275F" w:rsidRPr="000B275F" w:rsidRDefault="000B275F" w:rsidP="000B275F">
            <w:pPr>
              <w:jc w:val="center"/>
              <w:rPr>
                <w:color w:val="000000"/>
                <w:sz w:val="20"/>
                <w:szCs w:val="20"/>
              </w:rPr>
            </w:pPr>
            <w:r w:rsidRPr="000B275F">
              <w:rPr>
                <w:sz w:val="20"/>
                <w:szCs w:val="20"/>
              </w:rPr>
              <w:t xml:space="preserve"> 29.2 </w:t>
            </w:r>
          </w:p>
        </w:tc>
        <w:tc>
          <w:tcPr>
            <w:tcW w:w="976" w:type="dxa"/>
            <w:tcBorders>
              <w:top w:val="nil"/>
              <w:left w:val="nil"/>
              <w:bottom w:val="single" w:sz="4" w:space="0" w:color="auto"/>
              <w:right w:val="nil"/>
            </w:tcBorders>
            <w:shd w:val="clear" w:color="auto" w:fill="EDEDED" w:themeFill="accent3" w:themeFillTint="33"/>
            <w:noWrap/>
            <w:hideMark/>
          </w:tcPr>
          <w:p w14:paraId="007C9F8B" w14:textId="48ED6C6E" w:rsidR="000B275F" w:rsidRPr="000B275F" w:rsidRDefault="000B275F" w:rsidP="000B275F">
            <w:pPr>
              <w:jc w:val="center"/>
              <w:rPr>
                <w:color w:val="000000"/>
                <w:sz w:val="20"/>
                <w:szCs w:val="20"/>
              </w:rPr>
            </w:pPr>
            <w:r w:rsidRPr="000B275F">
              <w:rPr>
                <w:sz w:val="20"/>
                <w:szCs w:val="20"/>
              </w:rPr>
              <w:t xml:space="preserve"> 28.4 </w:t>
            </w:r>
          </w:p>
        </w:tc>
        <w:tc>
          <w:tcPr>
            <w:tcW w:w="976" w:type="dxa"/>
            <w:tcBorders>
              <w:top w:val="nil"/>
              <w:left w:val="nil"/>
              <w:bottom w:val="single" w:sz="4" w:space="0" w:color="auto"/>
              <w:right w:val="nil"/>
            </w:tcBorders>
            <w:shd w:val="clear" w:color="auto" w:fill="EDEDED" w:themeFill="accent3" w:themeFillTint="33"/>
            <w:noWrap/>
            <w:hideMark/>
          </w:tcPr>
          <w:p w14:paraId="48015A68" w14:textId="6F634DF6" w:rsidR="000B275F" w:rsidRPr="000B275F" w:rsidRDefault="000B275F" w:rsidP="000B275F">
            <w:pPr>
              <w:jc w:val="center"/>
              <w:rPr>
                <w:color w:val="000000"/>
                <w:sz w:val="20"/>
                <w:szCs w:val="20"/>
              </w:rPr>
            </w:pPr>
            <w:r w:rsidRPr="000B275F">
              <w:rPr>
                <w:sz w:val="20"/>
                <w:szCs w:val="20"/>
              </w:rPr>
              <w:t xml:space="preserve"> 28.9 </w:t>
            </w:r>
          </w:p>
        </w:tc>
        <w:tc>
          <w:tcPr>
            <w:tcW w:w="976" w:type="dxa"/>
            <w:tcBorders>
              <w:top w:val="nil"/>
              <w:left w:val="nil"/>
              <w:bottom w:val="single" w:sz="4" w:space="0" w:color="auto"/>
              <w:right w:val="nil"/>
            </w:tcBorders>
            <w:shd w:val="clear" w:color="auto" w:fill="EDEDED" w:themeFill="accent3" w:themeFillTint="33"/>
            <w:noWrap/>
            <w:hideMark/>
          </w:tcPr>
          <w:p w14:paraId="76F6297C" w14:textId="17327B01" w:rsidR="000B275F" w:rsidRPr="000B275F" w:rsidRDefault="000B275F" w:rsidP="000B275F">
            <w:pPr>
              <w:jc w:val="center"/>
              <w:rPr>
                <w:color w:val="000000"/>
                <w:sz w:val="20"/>
                <w:szCs w:val="20"/>
              </w:rPr>
            </w:pPr>
            <w:r w:rsidRPr="000B275F">
              <w:rPr>
                <w:sz w:val="20"/>
                <w:szCs w:val="20"/>
              </w:rPr>
              <w:t xml:space="preserve"> 30.2 </w:t>
            </w:r>
          </w:p>
        </w:tc>
        <w:tc>
          <w:tcPr>
            <w:tcW w:w="976" w:type="dxa"/>
            <w:tcBorders>
              <w:top w:val="nil"/>
              <w:left w:val="nil"/>
              <w:bottom w:val="single" w:sz="4" w:space="0" w:color="auto"/>
              <w:right w:val="nil"/>
            </w:tcBorders>
            <w:shd w:val="clear" w:color="auto" w:fill="EDEDED" w:themeFill="accent3" w:themeFillTint="33"/>
            <w:noWrap/>
            <w:hideMark/>
          </w:tcPr>
          <w:p w14:paraId="5CA28051" w14:textId="18290A26" w:rsidR="000B275F" w:rsidRPr="000B275F" w:rsidRDefault="000B275F" w:rsidP="000B275F">
            <w:pPr>
              <w:jc w:val="center"/>
              <w:rPr>
                <w:color w:val="000000"/>
                <w:sz w:val="20"/>
                <w:szCs w:val="20"/>
              </w:rPr>
            </w:pPr>
            <w:r w:rsidRPr="000B275F">
              <w:rPr>
                <w:sz w:val="20"/>
                <w:szCs w:val="20"/>
              </w:rPr>
              <w:t xml:space="preserve"> 29.8 </w:t>
            </w:r>
          </w:p>
        </w:tc>
        <w:tc>
          <w:tcPr>
            <w:tcW w:w="730" w:type="dxa"/>
            <w:tcBorders>
              <w:top w:val="nil"/>
              <w:left w:val="nil"/>
              <w:bottom w:val="single" w:sz="4" w:space="0" w:color="auto"/>
              <w:right w:val="nil"/>
            </w:tcBorders>
            <w:shd w:val="clear" w:color="auto" w:fill="EDEDED" w:themeFill="accent3" w:themeFillTint="33"/>
            <w:noWrap/>
            <w:hideMark/>
          </w:tcPr>
          <w:p w14:paraId="61219072" w14:textId="6A1C5BC3" w:rsidR="000B275F" w:rsidRPr="000B275F" w:rsidRDefault="000B275F" w:rsidP="000B275F">
            <w:pPr>
              <w:jc w:val="center"/>
              <w:rPr>
                <w:color w:val="000000"/>
                <w:sz w:val="20"/>
                <w:szCs w:val="20"/>
              </w:rPr>
            </w:pPr>
            <w:r w:rsidRPr="000B275F">
              <w:rPr>
                <w:sz w:val="20"/>
                <w:szCs w:val="20"/>
              </w:rPr>
              <w:t xml:space="preserve"> 29.0 </w:t>
            </w:r>
          </w:p>
        </w:tc>
        <w:tc>
          <w:tcPr>
            <w:tcW w:w="786" w:type="dxa"/>
            <w:tcBorders>
              <w:top w:val="nil"/>
              <w:left w:val="nil"/>
              <w:bottom w:val="single" w:sz="4" w:space="0" w:color="auto"/>
              <w:right w:val="nil"/>
            </w:tcBorders>
            <w:shd w:val="clear" w:color="auto" w:fill="EDEDED" w:themeFill="accent3" w:themeFillTint="33"/>
            <w:noWrap/>
            <w:hideMark/>
          </w:tcPr>
          <w:p w14:paraId="5FAF4A44" w14:textId="5DCFD366" w:rsidR="000B275F" w:rsidRPr="000B275F" w:rsidRDefault="000B275F" w:rsidP="000B275F">
            <w:pPr>
              <w:jc w:val="center"/>
              <w:rPr>
                <w:color w:val="000000"/>
                <w:sz w:val="20"/>
                <w:szCs w:val="20"/>
              </w:rPr>
            </w:pPr>
            <w:r w:rsidRPr="000B275F">
              <w:rPr>
                <w:sz w:val="20"/>
                <w:szCs w:val="20"/>
              </w:rPr>
              <w:t xml:space="preserve"> 27.9 </w:t>
            </w:r>
          </w:p>
        </w:tc>
      </w:tr>
    </w:tbl>
    <w:bookmarkEnd w:id="84"/>
    <w:p w14:paraId="210E01D7" w14:textId="77777777" w:rsidR="005F38A6" w:rsidRPr="00B150B0" w:rsidRDefault="005F38A6" w:rsidP="005F38A6">
      <w:pPr>
        <w:jc w:val="both"/>
        <w:rPr>
          <w:sz w:val="16"/>
          <w:szCs w:val="16"/>
        </w:rPr>
      </w:pPr>
      <w:r w:rsidRPr="00B150B0">
        <w:rPr>
          <w:sz w:val="16"/>
          <w:szCs w:val="16"/>
        </w:rPr>
        <w:t xml:space="preserve">         Fuente: Ministerio de Finanzas</w:t>
      </w:r>
    </w:p>
    <w:p w14:paraId="62F2AC67" w14:textId="77777777" w:rsidR="006B6F50" w:rsidRDefault="006B6F50" w:rsidP="005F38A6">
      <w:pPr>
        <w:jc w:val="both"/>
        <w:rPr>
          <w:b/>
          <w:bCs/>
        </w:rPr>
      </w:pPr>
    </w:p>
    <w:p w14:paraId="2D003973" w14:textId="77777777" w:rsidR="005F38A6" w:rsidRPr="00987058" w:rsidRDefault="005F38A6" w:rsidP="005F07F9">
      <w:pPr>
        <w:pStyle w:val="Ttulo2"/>
        <w:numPr>
          <w:ilvl w:val="2"/>
          <w:numId w:val="35"/>
        </w:numPr>
        <w:tabs>
          <w:tab w:val="left" w:pos="851"/>
        </w:tabs>
        <w:ind w:left="567" w:hanging="283"/>
        <w:rPr>
          <w:bCs/>
        </w:rPr>
      </w:pPr>
      <w:bookmarkStart w:id="85" w:name="_Toc144114360"/>
      <w:r w:rsidRPr="00C538F6">
        <w:rPr>
          <w:bCs/>
        </w:rPr>
        <w:t>Impacto de u</w:t>
      </w:r>
      <w:r>
        <w:rPr>
          <w:bCs/>
        </w:rPr>
        <w:t>na disminución en la inflación en el escenario fiscal de mediano plazo</w:t>
      </w:r>
      <w:bookmarkEnd w:id="85"/>
    </w:p>
    <w:p w14:paraId="7CA8CB23" w14:textId="77777777" w:rsidR="005F38A6" w:rsidRDefault="005F38A6" w:rsidP="005F38A6">
      <w:pPr>
        <w:jc w:val="both"/>
        <w:rPr>
          <w:b/>
          <w:bCs/>
        </w:rPr>
      </w:pPr>
    </w:p>
    <w:p w14:paraId="7286002A" w14:textId="77777777" w:rsidR="005F38A6" w:rsidRDefault="005F38A6" w:rsidP="005F38A6">
      <w:pPr>
        <w:jc w:val="both"/>
      </w:pPr>
      <w:r>
        <w:t>La inflación también suele tener desviaciones inesperadas, tanto como por choques de oferta o demanda en la economía nacional o de la economía internacional. La desviación más alta fue en 2022 la cual se ubicó en 6.2% por encima de lo considerado en el proyecto de presupuesto de dicho año.  En el gráfico de abanico se puede observar que existe un 50.0% de probabilidad de que la inflación se encuentre entre 1.8% y 4.9% para 2024, y que para el 2028 se encuentre entre 1.5% y 5.4%</w:t>
      </w:r>
    </w:p>
    <w:p w14:paraId="19C12E3E" w14:textId="77777777" w:rsidR="005F38A6" w:rsidRDefault="005F38A6" w:rsidP="005F38A6">
      <w:pPr>
        <w:jc w:val="both"/>
      </w:pPr>
    </w:p>
    <w:tbl>
      <w:tblPr>
        <w:tblW w:w="8658" w:type="dxa"/>
        <w:tblLook w:val="04A0" w:firstRow="1" w:lastRow="0" w:firstColumn="1" w:lastColumn="0" w:noHBand="0" w:noVBand="1"/>
      </w:tblPr>
      <w:tblGrid>
        <w:gridCol w:w="8743"/>
      </w:tblGrid>
      <w:tr w:rsidR="005F38A6" w14:paraId="5F167908" w14:textId="77777777" w:rsidTr="00CF3012">
        <w:trPr>
          <w:trHeight w:val="27"/>
        </w:trPr>
        <w:tc>
          <w:tcPr>
            <w:tcW w:w="8658" w:type="dxa"/>
          </w:tcPr>
          <w:p w14:paraId="50D296F7" w14:textId="3633010C" w:rsidR="00B150B0" w:rsidRPr="00B150B0" w:rsidRDefault="00B150B0" w:rsidP="006B6F50">
            <w:pPr>
              <w:pStyle w:val="Descripcin"/>
              <w:rPr>
                <w:color w:val="auto"/>
              </w:rPr>
            </w:pPr>
            <w:bookmarkStart w:id="86" w:name="_Toc143593575"/>
            <w:r w:rsidRPr="00B150B0">
              <w:rPr>
                <w:color w:val="auto"/>
              </w:rPr>
              <w:t xml:space="preserve">Gráfico </w:t>
            </w:r>
            <w:r w:rsidRPr="00B150B0">
              <w:rPr>
                <w:color w:val="auto"/>
              </w:rPr>
              <w:fldChar w:fldCharType="begin"/>
            </w:r>
            <w:r w:rsidRPr="00B150B0">
              <w:rPr>
                <w:color w:val="auto"/>
              </w:rPr>
              <w:instrText xml:space="preserve"> SEQ Gráfico \* ARABIC </w:instrText>
            </w:r>
            <w:r w:rsidRPr="00B150B0">
              <w:rPr>
                <w:color w:val="auto"/>
              </w:rPr>
              <w:fldChar w:fldCharType="separate"/>
            </w:r>
            <w:r w:rsidR="00A62AFA">
              <w:rPr>
                <w:noProof/>
                <w:color w:val="auto"/>
              </w:rPr>
              <w:t>17</w:t>
            </w:r>
            <w:r w:rsidRPr="00B150B0">
              <w:rPr>
                <w:color w:val="auto"/>
              </w:rPr>
              <w:fldChar w:fldCharType="end"/>
            </w:r>
            <w:r w:rsidRPr="00B150B0">
              <w:rPr>
                <w:color w:val="auto"/>
              </w:rPr>
              <w:t xml:space="preserve">.  </w:t>
            </w:r>
            <w:r w:rsidRPr="00B150B0">
              <w:rPr>
                <w:bCs/>
                <w:color w:val="auto"/>
              </w:rPr>
              <w:t>PIB real: resultados históricos e incertidumbre en torno a los pronósticos actuales.</w:t>
            </w:r>
            <w:bookmarkEnd w:id="86"/>
          </w:p>
          <w:p w14:paraId="2317B20E" w14:textId="309D07E2" w:rsidR="005F38A6" w:rsidRDefault="00B150B0" w:rsidP="006A7377">
            <w:pPr>
              <w:rPr>
                <w:bCs/>
              </w:rPr>
            </w:pPr>
            <w:r>
              <w:rPr>
                <w:noProof/>
              </w:rPr>
              <w:drawing>
                <wp:inline distT="0" distB="0" distL="0" distR="0" wp14:anchorId="134447D0" wp14:editId="4B905E69">
                  <wp:extent cx="5414838" cy="2218414"/>
                  <wp:effectExtent l="0" t="0" r="0" b="0"/>
                  <wp:docPr id="5" name="Gráfico 5">
                    <a:extLst xmlns:a="http://schemas.openxmlformats.org/drawingml/2006/main">
                      <a:ext uri="{FF2B5EF4-FFF2-40B4-BE49-F238E27FC236}">
                        <a16:creationId xmlns:a16="http://schemas.microsoft.com/office/drawing/2014/main" id="{7E97E18E-9CAE-4389-9CDD-5AE721860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5F38A6" w14:paraId="40208D2E" w14:textId="77777777" w:rsidTr="00CF3012">
        <w:trPr>
          <w:trHeight w:val="10"/>
        </w:trPr>
        <w:tc>
          <w:tcPr>
            <w:tcW w:w="8658" w:type="dxa"/>
          </w:tcPr>
          <w:p w14:paraId="23C46341" w14:textId="77777777" w:rsidR="005F38A6" w:rsidRPr="005677CD" w:rsidRDefault="005F38A6" w:rsidP="006A7377">
            <w:pPr>
              <w:jc w:val="both"/>
              <w:rPr>
                <w:sz w:val="18"/>
                <w:szCs w:val="18"/>
              </w:rPr>
            </w:pPr>
            <w:r w:rsidRPr="005677CD">
              <w:rPr>
                <w:sz w:val="18"/>
                <w:szCs w:val="18"/>
              </w:rPr>
              <w:t xml:space="preserve">        </w:t>
            </w:r>
            <w:r w:rsidRPr="00B150B0">
              <w:rPr>
                <w:sz w:val="16"/>
                <w:szCs w:val="16"/>
              </w:rPr>
              <w:t xml:space="preserve"> Fuente: Ministerio de Finanzas con metodología de la herramienta FRAT del FMI</w:t>
            </w:r>
          </w:p>
        </w:tc>
      </w:tr>
    </w:tbl>
    <w:p w14:paraId="3BD4EC03" w14:textId="77777777" w:rsidR="005F38A6" w:rsidRPr="00B150B0" w:rsidRDefault="005F38A6" w:rsidP="005F38A6">
      <w:pPr>
        <w:jc w:val="both"/>
      </w:pPr>
    </w:p>
    <w:p w14:paraId="726F01CF" w14:textId="77777777" w:rsidR="005F38A6" w:rsidRDefault="005F38A6" w:rsidP="005F38A6">
      <w:pPr>
        <w:jc w:val="both"/>
      </w:pPr>
      <w:r>
        <w:t>En un escenario en el cual la economía mundial se ve afectada por un choque de oferta y que disminuye la inflación nacional de forma indirecta en el 2024 y 2025, se consideró una elasticidad negativa de 0.5 de precios y demanda, una elasticidad positiva entre la inflación y el deflactor de 0.8, una elasticidad de 1.1 entre el PIB nominal y los ingresos tributarios, y un gasto inelástico.</w:t>
      </w:r>
    </w:p>
    <w:p w14:paraId="27A5506C" w14:textId="77777777" w:rsidR="005F38A6" w:rsidRDefault="005F38A6" w:rsidP="005F38A6">
      <w:pPr>
        <w:jc w:val="both"/>
      </w:pPr>
    </w:p>
    <w:p w14:paraId="0C0AFA35" w14:textId="685D7D14" w:rsidR="005F38A6" w:rsidRDefault="005F38A6" w:rsidP="005F38A6">
      <w:pPr>
        <w:jc w:val="both"/>
      </w:pPr>
      <w:r>
        <w:t xml:space="preserve">Se observa que el déficit es 0.1 puntos porcentuales mayor en 2024 y 0.3 puntos porcentuales en 2025 y que este después disminuye gradualmente hasta alcanzar un nivel de </w:t>
      </w:r>
      <w:r w:rsidR="00883FCD">
        <w:t>0.2</w:t>
      </w:r>
      <w:r>
        <w:t xml:space="preserve">% con respecto al PIB en 2028. Esto se debe a que los ingresos disminuyen en la misma proporción del PIB nominal y el gasto se mantiene. En este caso también la base de comparación (PIB </w:t>
      </w:r>
      <w:r>
        <w:lastRenderedPageBreak/>
        <w:t>nominal) del déficit es menor. Por su parte la deuda pública aumenta 0.</w:t>
      </w:r>
      <w:r w:rsidR="00883FCD">
        <w:t>2</w:t>
      </w:r>
      <w:r>
        <w:t xml:space="preserve"> puntos porcentuales en 2024 y para 2028 este se encontrará en </w:t>
      </w:r>
      <w:r w:rsidR="00883FCD">
        <w:t>25.4</w:t>
      </w:r>
      <w:r>
        <w:t>%.</w:t>
      </w:r>
    </w:p>
    <w:p w14:paraId="1C2D74DC" w14:textId="77777777" w:rsidR="005F38A6" w:rsidRPr="00BA7DB9" w:rsidRDefault="005F38A6" w:rsidP="005F38A6">
      <w:pPr>
        <w:jc w:val="both"/>
      </w:pPr>
    </w:p>
    <w:p w14:paraId="16E8D8D7" w14:textId="0491954B" w:rsidR="005F38A6" w:rsidRPr="00B150B0" w:rsidRDefault="00B150B0" w:rsidP="00B150B0">
      <w:pPr>
        <w:pStyle w:val="Descripcin"/>
        <w:keepNext/>
      </w:pPr>
      <w:bookmarkStart w:id="87" w:name="_Toc143593511"/>
      <w:r w:rsidRPr="00B150B0">
        <w:rPr>
          <w:color w:val="auto"/>
        </w:rPr>
        <w:t xml:space="preserve">Tabla </w:t>
      </w:r>
      <w:r w:rsidRPr="00B150B0">
        <w:rPr>
          <w:color w:val="auto"/>
        </w:rPr>
        <w:fldChar w:fldCharType="begin"/>
      </w:r>
      <w:r w:rsidRPr="00B150B0">
        <w:rPr>
          <w:color w:val="auto"/>
        </w:rPr>
        <w:instrText xml:space="preserve"> SEQ Tabla \* ARABIC </w:instrText>
      </w:r>
      <w:r w:rsidRPr="00B150B0">
        <w:rPr>
          <w:color w:val="auto"/>
        </w:rPr>
        <w:fldChar w:fldCharType="separate"/>
      </w:r>
      <w:r w:rsidR="00A62AFA">
        <w:rPr>
          <w:noProof/>
          <w:color w:val="auto"/>
        </w:rPr>
        <w:t>9</w:t>
      </w:r>
      <w:r w:rsidRPr="00B150B0">
        <w:rPr>
          <w:color w:val="auto"/>
        </w:rPr>
        <w:fldChar w:fldCharType="end"/>
      </w:r>
      <w:r w:rsidRPr="00B150B0">
        <w:rPr>
          <w:color w:val="auto"/>
        </w:rPr>
        <w:t xml:space="preserve">. </w:t>
      </w:r>
      <w:r w:rsidR="005F38A6" w:rsidRPr="00B150B0">
        <w:rPr>
          <w:bCs/>
          <w:color w:val="auto"/>
        </w:rPr>
        <w:t>Escenario fiscal con una disminución de la inflación</w:t>
      </w:r>
      <w:bookmarkEnd w:id="87"/>
    </w:p>
    <w:tbl>
      <w:tblPr>
        <w:tblW w:w="8325" w:type="dxa"/>
        <w:jc w:val="center"/>
        <w:tblCellMar>
          <w:left w:w="70" w:type="dxa"/>
          <w:right w:w="70" w:type="dxa"/>
        </w:tblCellMar>
        <w:tblLook w:val="04A0" w:firstRow="1" w:lastRow="0" w:firstColumn="1" w:lastColumn="0" w:noHBand="0" w:noVBand="1"/>
      </w:tblPr>
      <w:tblGrid>
        <w:gridCol w:w="2705"/>
        <w:gridCol w:w="616"/>
        <w:gridCol w:w="834"/>
        <w:gridCol w:w="834"/>
        <w:gridCol w:w="834"/>
        <w:gridCol w:w="834"/>
        <w:gridCol w:w="834"/>
        <w:gridCol w:w="834"/>
      </w:tblGrid>
      <w:tr w:rsidR="005F38A6" w:rsidRPr="00487739" w14:paraId="57A847A1" w14:textId="77777777" w:rsidTr="00CF3012">
        <w:trPr>
          <w:trHeight w:val="280"/>
          <w:jc w:val="center"/>
        </w:trPr>
        <w:tc>
          <w:tcPr>
            <w:tcW w:w="2705" w:type="dxa"/>
            <w:tcBorders>
              <w:top w:val="single" w:sz="4" w:space="0" w:color="auto"/>
              <w:left w:val="nil"/>
              <w:bottom w:val="double" w:sz="6" w:space="0" w:color="auto"/>
              <w:right w:val="nil"/>
            </w:tcBorders>
            <w:shd w:val="clear" w:color="auto" w:fill="auto"/>
            <w:noWrap/>
            <w:vAlign w:val="bottom"/>
            <w:hideMark/>
          </w:tcPr>
          <w:p w14:paraId="7DD37D6E" w14:textId="77777777" w:rsidR="005F38A6" w:rsidRPr="00487739" w:rsidRDefault="005F38A6" w:rsidP="006A7377">
            <w:pPr>
              <w:rPr>
                <w:b/>
                <w:bCs/>
                <w:color w:val="000000"/>
                <w:sz w:val="20"/>
                <w:szCs w:val="20"/>
              </w:rPr>
            </w:pPr>
            <w:bookmarkStart w:id="88" w:name="_Hlk141960069"/>
            <w:r w:rsidRPr="00487739">
              <w:rPr>
                <w:b/>
                <w:bCs/>
                <w:color w:val="000000"/>
                <w:sz w:val="20"/>
                <w:szCs w:val="20"/>
              </w:rPr>
              <w:t> </w:t>
            </w:r>
          </w:p>
        </w:tc>
        <w:tc>
          <w:tcPr>
            <w:tcW w:w="616" w:type="dxa"/>
            <w:tcBorders>
              <w:top w:val="single" w:sz="4" w:space="0" w:color="auto"/>
              <w:left w:val="single" w:sz="4" w:space="0" w:color="auto"/>
              <w:bottom w:val="double" w:sz="6" w:space="0" w:color="auto"/>
              <w:right w:val="nil"/>
            </w:tcBorders>
            <w:shd w:val="clear" w:color="auto" w:fill="auto"/>
            <w:noWrap/>
            <w:vAlign w:val="bottom"/>
            <w:hideMark/>
          </w:tcPr>
          <w:p w14:paraId="357FD02F" w14:textId="77777777" w:rsidR="005F38A6" w:rsidRPr="00487739" w:rsidRDefault="005F38A6" w:rsidP="006A7377">
            <w:pPr>
              <w:jc w:val="center"/>
              <w:rPr>
                <w:b/>
                <w:bCs/>
                <w:color w:val="000000"/>
                <w:sz w:val="20"/>
                <w:szCs w:val="20"/>
              </w:rPr>
            </w:pPr>
            <w:r w:rsidRPr="00487739">
              <w:rPr>
                <w:b/>
                <w:bCs/>
                <w:color w:val="000000"/>
                <w:sz w:val="20"/>
                <w:szCs w:val="20"/>
              </w:rPr>
              <w:t>2022</w:t>
            </w:r>
          </w:p>
        </w:tc>
        <w:tc>
          <w:tcPr>
            <w:tcW w:w="834" w:type="dxa"/>
            <w:tcBorders>
              <w:top w:val="single" w:sz="4" w:space="0" w:color="auto"/>
              <w:left w:val="nil"/>
              <w:bottom w:val="double" w:sz="6" w:space="0" w:color="auto"/>
              <w:right w:val="nil"/>
            </w:tcBorders>
            <w:shd w:val="clear" w:color="auto" w:fill="auto"/>
            <w:noWrap/>
            <w:vAlign w:val="bottom"/>
            <w:hideMark/>
          </w:tcPr>
          <w:p w14:paraId="03627238" w14:textId="77777777" w:rsidR="005F38A6" w:rsidRPr="00487739" w:rsidRDefault="005F38A6" w:rsidP="006A7377">
            <w:pPr>
              <w:jc w:val="center"/>
              <w:rPr>
                <w:b/>
                <w:bCs/>
                <w:color w:val="000000"/>
                <w:sz w:val="20"/>
                <w:szCs w:val="20"/>
              </w:rPr>
            </w:pPr>
            <w:r w:rsidRPr="00487739">
              <w:rPr>
                <w:b/>
                <w:bCs/>
                <w:color w:val="000000"/>
                <w:sz w:val="20"/>
                <w:szCs w:val="20"/>
              </w:rPr>
              <w:t>2023</w:t>
            </w:r>
          </w:p>
        </w:tc>
        <w:tc>
          <w:tcPr>
            <w:tcW w:w="834" w:type="dxa"/>
            <w:tcBorders>
              <w:top w:val="single" w:sz="4" w:space="0" w:color="auto"/>
              <w:left w:val="nil"/>
              <w:bottom w:val="double" w:sz="6" w:space="0" w:color="auto"/>
              <w:right w:val="nil"/>
            </w:tcBorders>
            <w:shd w:val="clear" w:color="auto" w:fill="auto"/>
            <w:noWrap/>
            <w:vAlign w:val="bottom"/>
            <w:hideMark/>
          </w:tcPr>
          <w:p w14:paraId="72C48B55" w14:textId="77777777" w:rsidR="005F38A6" w:rsidRPr="00487739" w:rsidRDefault="005F38A6" w:rsidP="006A7377">
            <w:pPr>
              <w:jc w:val="center"/>
              <w:rPr>
                <w:b/>
                <w:bCs/>
                <w:color w:val="000000"/>
                <w:sz w:val="20"/>
                <w:szCs w:val="20"/>
              </w:rPr>
            </w:pPr>
            <w:r w:rsidRPr="00487739">
              <w:rPr>
                <w:b/>
                <w:bCs/>
                <w:color w:val="000000"/>
                <w:sz w:val="20"/>
                <w:szCs w:val="20"/>
              </w:rPr>
              <w:t>2024</w:t>
            </w:r>
          </w:p>
        </w:tc>
        <w:tc>
          <w:tcPr>
            <w:tcW w:w="834" w:type="dxa"/>
            <w:tcBorders>
              <w:top w:val="single" w:sz="4" w:space="0" w:color="auto"/>
              <w:left w:val="nil"/>
              <w:bottom w:val="double" w:sz="6" w:space="0" w:color="auto"/>
              <w:right w:val="nil"/>
            </w:tcBorders>
            <w:shd w:val="clear" w:color="auto" w:fill="auto"/>
            <w:noWrap/>
            <w:vAlign w:val="bottom"/>
            <w:hideMark/>
          </w:tcPr>
          <w:p w14:paraId="79223689" w14:textId="77777777" w:rsidR="005F38A6" w:rsidRPr="00487739" w:rsidRDefault="005F38A6" w:rsidP="006A7377">
            <w:pPr>
              <w:jc w:val="center"/>
              <w:rPr>
                <w:b/>
                <w:bCs/>
                <w:color w:val="000000"/>
                <w:sz w:val="20"/>
                <w:szCs w:val="20"/>
              </w:rPr>
            </w:pPr>
            <w:r w:rsidRPr="00487739">
              <w:rPr>
                <w:b/>
                <w:bCs/>
                <w:color w:val="000000"/>
                <w:sz w:val="20"/>
                <w:szCs w:val="20"/>
              </w:rPr>
              <w:t>2025</w:t>
            </w:r>
          </w:p>
        </w:tc>
        <w:tc>
          <w:tcPr>
            <w:tcW w:w="834" w:type="dxa"/>
            <w:tcBorders>
              <w:top w:val="single" w:sz="4" w:space="0" w:color="auto"/>
              <w:left w:val="nil"/>
              <w:bottom w:val="double" w:sz="6" w:space="0" w:color="auto"/>
              <w:right w:val="nil"/>
            </w:tcBorders>
            <w:shd w:val="clear" w:color="auto" w:fill="auto"/>
            <w:noWrap/>
            <w:vAlign w:val="bottom"/>
            <w:hideMark/>
          </w:tcPr>
          <w:p w14:paraId="30930CF2" w14:textId="77777777" w:rsidR="005F38A6" w:rsidRPr="00487739" w:rsidRDefault="005F38A6" w:rsidP="006A7377">
            <w:pPr>
              <w:jc w:val="center"/>
              <w:rPr>
                <w:b/>
                <w:bCs/>
                <w:color w:val="000000"/>
                <w:sz w:val="20"/>
                <w:szCs w:val="20"/>
              </w:rPr>
            </w:pPr>
            <w:r w:rsidRPr="00487739">
              <w:rPr>
                <w:b/>
                <w:bCs/>
                <w:color w:val="000000"/>
                <w:sz w:val="20"/>
                <w:szCs w:val="20"/>
              </w:rPr>
              <w:t>2026</w:t>
            </w:r>
          </w:p>
        </w:tc>
        <w:tc>
          <w:tcPr>
            <w:tcW w:w="834" w:type="dxa"/>
            <w:tcBorders>
              <w:top w:val="single" w:sz="4" w:space="0" w:color="auto"/>
              <w:left w:val="nil"/>
              <w:bottom w:val="double" w:sz="6" w:space="0" w:color="auto"/>
              <w:right w:val="nil"/>
            </w:tcBorders>
            <w:shd w:val="clear" w:color="auto" w:fill="auto"/>
            <w:noWrap/>
            <w:vAlign w:val="bottom"/>
            <w:hideMark/>
          </w:tcPr>
          <w:p w14:paraId="14647E67" w14:textId="77777777" w:rsidR="005F38A6" w:rsidRPr="00487739" w:rsidRDefault="005F38A6" w:rsidP="006A7377">
            <w:pPr>
              <w:jc w:val="center"/>
              <w:rPr>
                <w:b/>
                <w:bCs/>
                <w:color w:val="000000"/>
                <w:sz w:val="20"/>
                <w:szCs w:val="20"/>
              </w:rPr>
            </w:pPr>
            <w:r w:rsidRPr="00487739">
              <w:rPr>
                <w:b/>
                <w:bCs/>
                <w:color w:val="000000"/>
                <w:sz w:val="20"/>
                <w:szCs w:val="20"/>
              </w:rPr>
              <w:t>2027</w:t>
            </w:r>
          </w:p>
        </w:tc>
        <w:tc>
          <w:tcPr>
            <w:tcW w:w="834" w:type="dxa"/>
            <w:tcBorders>
              <w:top w:val="single" w:sz="4" w:space="0" w:color="auto"/>
              <w:left w:val="nil"/>
              <w:bottom w:val="double" w:sz="6" w:space="0" w:color="auto"/>
              <w:right w:val="nil"/>
            </w:tcBorders>
            <w:shd w:val="clear" w:color="auto" w:fill="auto"/>
            <w:noWrap/>
            <w:vAlign w:val="bottom"/>
            <w:hideMark/>
          </w:tcPr>
          <w:p w14:paraId="6E51EAC4" w14:textId="77777777" w:rsidR="005F38A6" w:rsidRPr="00487739" w:rsidRDefault="005F38A6" w:rsidP="006A7377">
            <w:pPr>
              <w:jc w:val="center"/>
              <w:rPr>
                <w:b/>
                <w:bCs/>
                <w:color w:val="000000"/>
                <w:sz w:val="20"/>
                <w:szCs w:val="20"/>
              </w:rPr>
            </w:pPr>
            <w:r w:rsidRPr="00487739">
              <w:rPr>
                <w:b/>
                <w:bCs/>
                <w:color w:val="000000"/>
                <w:sz w:val="20"/>
                <w:szCs w:val="20"/>
              </w:rPr>
              <w:t>2028</w:t>
            </w:r>
          </w:p>
        </w:tc>
      </w:tr>
      <w:tr w:rsidR="000B275F" w:rsidRPr="00487739" w14:paraId="023589EF" w14:textId="77777777" w:rsidTr="00CF3012">
        <w:trPr>
          <w:trHeight w:val="266"/>
          <w:jc w:val="center"/>
        </w:trPr>
        <w:tc>
          <w:tcPr>
            <w:tcW w:w="2705" w:type="dxa"/>
            <w:tcBorders>
              <w:top w:val="nil"/>
              <w:left w:val="nil"/>
              <w:bottom w:val="nil"/>
              <w:right w:val="nil"/>
            </w:tcBorders>
            <w:shd w:val="clear" w:color="auto" w:fill="auto"/>
            <w:noWrap/>
            <w:vAlign w:val="bottom"/>
            <w:hideMark/>
          </w:tcPr>
          <w:p w14:paraId="6DD0D103" w14:textId="77777777" w:rsidR="000B275F" w:rsidRPr="00487739" w:rsidRDefault="000B275F" w:rsidP="000B275F">
            <w:pPr>
              <w:rPr>
                <w:color w:val="000000"/>
                <w:sz w:val="20"/>
                <w:szCs w:val="20"/>
              </w:rPr>
            </w:pPr>
            <w:r w:rsidRPr="00487739">
              <w:rPr>
                <w:color w:val="000000"/>
                <w:sz w:val="20"/>
                <w:szCs w:val="20"/>
              </w:rPr>
              <w:t>PIB nominal</w:t>
            </w:r>
            <w:r>
              <w:rPr>
                <w:color w:val="000000"/>
                <w:sz w:val="20"/>
                <w:szCs w:val="20"/>
              </w:rPr>
              <w:t xml:space="preserve"> </w:t>
            </w:r>
            <w:r w:rsidRPr="007E2241">
              <w:rPr>
                <w:color w:val="000000"/>
                <w:sz w:val="18"/>
                <w:szCs w:val="18"/>
              </w:rPr>
              <w:t>(% crecimiento)</w:t>
            </w:r>
          </w:p>
        </w:tc>
        <w:tc>
          <w:tcPr>
            <w:tcW w:w="616" w:type="dxa"/>
            <w:tcBorders>
              <w:top w:val="nil"/>
              <w:left w:val="single" w:sz="4" w:space="0" w:color="auto"/>
              <w:bottom w:val="nil"/>
              <w:right w:val="nil"/>
            </w:tcBorders>
            <w:shd w:val="clear" w:color="auto" w:fill="auto"/>
            <w:noWrap/>
            <w:hideMark/>
          </w:tcPr>
          <w:p w14:paraId="7EEF6502" w14:textId="7998A639" w:rsidR="000B275F" w:rsidRPr="000B275F" w:rsidRDefault="000B275F" w:rsidP="000B275F">
            <w:pPr>
              <w:jc w:val="center"/>
              <w:rPr>
                <w:color w:val="000000"/>
                <w:sz w:val="20"/>
                <w:szCs w:val="20"/>
              </w:rPr>
            </w:pPr>
            <w:r w:rsidRPr="000B275F">
              <w:rPr>
                <w:sz w:val="20"/>
                <w:szCs w:val="20"/>
              </w:rPr>
              <w:t xml:space="preserve"> 10.6 </w:t>
            </w:r>
          </w:p>
        </w:tc>
        <w:tc>
          <w:tcPr>
            <w:tcW w:w="834" w:type="dxa"/>
            <w:tcBorders>
              <w:top w:val="nil"/>
              <w:left w:val="nil"/>
              <w:bottom w:val="nil"/>
              <w:right w:val="nil"/>
            </w:tcBorders>
            <w:shd w:val="clear" w:color="auto" w:fill="auto"/>
            <w:noWrap/>
            <w:hideMark/>
          </w:tcPr>
          <w:p w14:paraId="410306EC" w14:textId="2B79A24A" w:rsidR="000B275F" w:rsidRPr="000B275F" w:rsidRDefault="000B275F" w:rsidP="000B275F">
            <w:pPr>
              <w:jc w:val="center"/>
              <w:rPr>
                <w:color w:val="000000"/>
                <w:sz w:val="20"/>
                <w:szCs w:val="20"/>
              </w:rPr>
            </w:pPr>
            <w:r w:rsidRPr="000B275F">
              <w:rPr>
                <w:sz w:val="20"/>
                <w:szCs w:val="20"/>
              </w:rPr>
              <w:t xml:space="preserve"> 8.2 </w:t>
            </w:r>
          </w:p>
        </w:tc>
        <w:tc>
          <w:tcPr>
            <w:tcW w:w="834" w:type="dxa"/>
            <w:tcBorders>
              <w:top w:val="nil"/>
              <w:left w:val="nil"/>
              <w:bottom w:val="nil"/>
              <w:right w:val="nil"/>
            </w:tcBorders>
            <w:shd w:val="clear" w:color="auto" w:fill="FFF2CC" w:themeFill="accent4" w:themeFillTint="33"/>
            <w:noWrap/>
            <w:hideMark/>
          </w:tcPr>
          <w:p w14:paraId="2C2D55B1" w14:textId="4898A64D" w:rsidR="000B275F" w:rsidRPr="000B275F" w:rsidRDefault="000B275F" w:rsidP="000B275F">
            <w:pPr>
              <w:jc w:val="center"/>
              <w:rPr>
                <w:color w:val="000000"/>
                <w:sz w:val="20"/>
                <w:szCs w:val="20"/>
              </w:rPr>
            </w:pPr>
            <w:r w:rsidRPr="000B275F">
              <w:rPr>
                <w:sz w:val="20"/>
                <w:szCs w:val="20"/>
              </w:rPr>
              <w:t xml:space="preserve"> 5.2 </w:t>
            </w:r>
          </w:p>
        </w:tc>
        <w:tc>
          <w:tcPr>
            <w:tcW w:w="834" w:type="dxa"/>
            <w:tcBorders>
              <w:top w:val="nil"/>
              <w:left w:val="nil"/>
              <w:bottom w:val="nil"/>
              <w:right w:val="nil"/>
            </w:tcBorders>
            <w:shd w:val="clear" w:color="auto" w:fill="FFF2CC" w:themeFill="accent4" w:themeFillTint="33"/>
            <w:noWrap/>
            <w:hideMark/>
          </w:tcPr>
          <w:p w14:paraId="623D257D" w14:textId="1C565EEE" w:rsidR="000B275F" w:rsidRPr="000B275F" w:rsidRDefault="000B275F" w:rsidP="000B275F">
            <w:pPr>
              <w:jc w:val="center"/>
              <w:rPr>
                <w:color w:val="000000"/>
                <w:sz w:val="20"/>
                <w:szCs w:val="20"/>
              </w:rPr>
            </w:pPr>
            <w:r w:rsidRPr="000B275F">
              <w:rPr>
                <w:sz w:val="20"/>
                <w:szCs w:val="20"/>
              </w:rPr>
              <w:t xml:space="preserve"> 4.5 </w:t>
            </w:r>
          </w:p>
        </w:tc>
        <w:tc>
          <w:tcPr>
            <w:tcW w:w="834" w:type="dxa"/>
            <w:tcBorders>
              <w:top w:val="nil"/>
              <w:left w:val="nil"/>
              <w:bottom w:val="nil"/>
              <w:right w:val="nil"/>
            </w:tcBorders>
            <w:shd w:val="clear" w:color="auto" w:fill="auto"/>
            <w:noWrap/>
            <w:hideMark/>
          </w:tcPr>
          <w:p w14:paraId="5ED42378" w14:textId="4FC91438" w:rsidR="000B275F" w:rsidRPr="000B275F" w:rsidRDefault="000B275F" w:rsidP="000B275F">
            <w:pPr>
              <w:jc w:val="center"/>
              <w:rPr>
                <w:color w:val="000000"/>
                <w:sz w:val="20"/>
                <w:szCs w:val="20"/>
              </w:rPr>
            </w:pPr>
            <w:r w:rsidRPr="000B275F">
              <w:rPr>
                <w:sz w:val="20"/>
                <w:szCs w:val="20"/>
              </w:rPr>
              <w:t xml:space="preserve"> 6.4 </w:t>
            </w:r>
          </w:p>
        </w:tc>
        <w:tc>
          <w:tcPr>
            <w:tcW w:w="834" w:type="dxa"/>
            <w:tcBorders>
              <w:top w:val="nil"/>
              <w:left w:val="nil"/>
              <w:bottom w:val="nil"/>
              <w:right w:val="nil"/>
            </w:tcBorders>
            <w:shd w:val="clear" w:color="auto" w:fill="auto"/>
            <w:noWrap/>
            <w:hideMark/>
          </w:tcPr>
          <w:p w14:paraId="0B61A47D" w14:textId="1F7B818A" w:rsidR="000B275F" w:rsidRPr="000B275F" w:rsidRDefault="000B275F" w:rsidP="000B275F">
            <w:pPr>
              <w:jc w:val="center"/>
              <w:rPr>
                <w:color w:val="000000"/>
                <w:sz w:val="20"/>
                <w:szCs w:val="20"/>
              </w:rPr>
            </w:pPr>
            <w:r w:rsidRPr="000B275F">
              <w:rPr>
                <w:sz w:val="20"/>
                <w:szCs w:val="20"/>
              </w:rPr>
              <w:t xml:space="preserve"> 6.4 </w:t>
            </w:r>
          </w:p>
        </w:tc>
        <w:tc>
          <w:tcPr>
            <w:tcW w:w="834" w:type="dxa"/>
            <w:tcBorders>
              <w:top w:val="nil"/>
              <w:left w:val="nil"/>
              <w:bottom w:val="nil"/>
              <w:right w:val="nil"/>
            </w:tcBorders>
            <w:shd w:val="clear" w:color="auto" w:fill="auto"/>
            <w:noWrap/>
            <w:hideMark/>
          </w:tcPr>
          <w:p w14:paraId="3BF0067C" w14:textId="12079F84" w:rsidR="000B275F" w:rsidRPr="000B275F" w:rsidRDefault="000B275F" w:rsidP="000B275F">
            <w:pPr>
              <w:jc w:val="center"/>
              <w:rPr>
                <w:color w:val="000000"/>
                <w:sz w:val="20"/>
                <w:szCs w:val="20"/>
              </w:rPr>
            </w:pPr>
            <w:r w:rsidRPr="000B275F">
              <w:rPr>
                <w:sz w:val="20"/>
                <w:szCs w:val="20"/>
              </w:rPr>
              <w:t xml:space="preserve"> 6.4 </w:t>
            </w:r>
          </w:p>
        </w:tc>
      </w:tr>
      <w:tr w:rsidR="000B275F" w:rsidRPr="00487739" w14:paraId="3ABDEA06" w14:textId="77777777" w:rsidTr="00CF3012">
        <w:trPr>
          <w:trHeight w:val="266"/>
          <w:jc w:val="center"/>
        </w:trPr>
        <w:tc>
          <w:tcPr>
            <w:tcW w:w="2705" w:type="dxa"/>
            <w:tcBorders>
              <w:top w:val="nil"/>
              <w:left w:val="nil"/>
              <w:bottom w:val="nil"/>
              <w:right w:val="nil"/>
            </w:tcBorders>
            <w:shd w:val="clear" w:color="auto" w:fill="auto"/>
            <w:noWrap/>
            <w:vAlign w:val="bottom"/>
            <w:hideMark/>
          </w:tcPr>
          <w:p w14:paraId="5AF942DB" w14:textId="77777777" w:rsidR="000B275F" w:rsidRPr="00487739" w:rsidRDefault="000B275F" w:rsidP="000B275F">
            <w:pPr>
              <w:rPr>
                <w:color w:val="000000"/>
                <w:sz w:val="20"/>
                <w:szCs w:val="20"/>
              </w:rPr>
            </w:pPr>
            <w:r w:rsidRPr="00487739">
              <w:rPr>
                <w:color w:val="000000"/>
                <w:sz w:val="20"/>
                <w:szCs w:val="20"/>
              </w:rPr>
              <w:t>PIB real</w:t>
            </w:r>
            <w:r>
              <w:rPr>
                <w:color w:val="000000"/>
                <w:sz w:val="20"/>
                <w:szCs w:val="20"/>
              </w:rPr>
              <w:t xml:space="preserve"> </w:t>
            </w:r>
            <w:r w:rsidRPr="007E2241">
              <w:rPr>
                <w:color w:val="000000"/>
                <w:sz w:val="18"/>
                <w:szCs w:val="18"/>
              </w:rPr>
              <w:t>(% crecimiento)</w:t>
            </w:r>
          </w:p>
        </w:tc>
        <w:tc>
          <w:tcPr>
            <w:tcW w:w="616" w:type="dxa"/>
            <w:tcBorders>
              <w:top w:val="nil"/>
              <w:left w:val="single" w:sz="4" w:space="0" w:color="auto"/>
              <w:bottom w:val="nil"/>
              <w:right w:val="nil"/>
            </w:tcBorders>
            <w:shd w:val="clear" w:color="auto" w:fill="auto"/>
            <w:noWrap/>
            <w:hideMark/>
          </w:tcPr>
          <w:p w14:paraId="2786ABC5" w14:textId="33A17B94" w:rsidR="000B275F" w:rsidRPr="000B275F" w:rsidRDefault="000B275F" w:rsidP="000B275F">
            <w:pPr>
              <w:jc w:val="center"/>
              <w:rPr>
                <w:color w:val="000000"/>
                <w:sz w:val="20"/>
                <w:szCs w:val="20"/>
              </w:rPr>
            </w:pPr>
            <w:r w:rsidRPr="000B275F">
              <w:rPr>
                <w:sz w:val="20"/>
                <w:szCs w:val="20"/>
              </w:rPr>
              <w:t xml:space="preserve"> 4.1 </w:t>
            </w:r>
          </w:p>
        </w:tc>
        <w:tc>
          <w:tcPr>
            <w:tcW w:w="834" w:type="dxa"/>
            <w:tcBorders>
              <w:top w:val="nil"/>
              <w:left w:val="nil"/>
              <w:bottom w:val="nil"/>
              <w:right w:val="nil"/>
            </w:tcBorders>
            <w:shd w:val="clear" w:color="auto" w:fill="auto"/>
            <w:noWrap/>
            <w:hideMark/>
          </w:tcPr>
          <w:p w14:paraId="747877BC" w14:textId="308BA977" w:rsidR="000B275F" w:rsidRPr="000B275F" w:rsidRDefault="000B275F" w:rsidP="000B275F">
            <w:pPr>
              <w:jc w:val="center"/>
              <w:rPr>
                <w:color w:val="000000"/>
                <w:sz w:val="20"/>
                <w:szCs w:val="20"/>
              </w:rPr>
            </w:pPr>
            <w:r w:rsidRPr="000B275F">
              <w:rPr>
                <w:sz w:val="20"/>
                <w:szCs w:val="20"/>
              </w:rPr>
              <w:t xml:space="preserve"> 3.5 </w:t>
            </w:r>
          </w:p>
        </w:tc>
        <w:tc>
          <w:tcPr>
            <w:tcW w:w="834" w:type="dxa"/>
            <w:tcBorders>
              <w:top w:val="nil"/>
              <w:left w:val="nil"/>
              <w:bottom w:val="nil"/>
              <w:right w:val="nil"/>
            </w:tcBorders>
            <w:shd w:val="clear" w:color="auto" w:fill="FFF2CC" w:themeFill="accent4" w:themeFillTint="33"/>
            <w:noWrap/>
            <w:hideMark/>
          </w:tcPr>
          <w:p w14:paraId="4C9658F6" w14:textId="51122570" w:rsidR="000B275F" w:rsidRPr="000B275F" w:rsidRDefault="000B275F" w:rsidP="000B275F">
            <w:pPr>
              <w:jc w:val="center"/>
              <w:rPr>
                <w:color w:val="000000"/>
                <w:sz w:val="20"/>
                <w:szCs w:val="20"/>
              </w:rPr>
            </w:pPr>
            <w:r w:rsidRPr="000B275F">
              <w:rPr>
                <w:sz w:val="20"/>
                <w:szCs w:val="20"/>
              </w:rPr>
              <w:t xml:space="preserve"> 3.7 </w:t>
            </w:r>
          </w:p>
        </w:tc>
        <w:tc>
          <w:tcPr>
            <w:tcW w:w="834" w:type="dxa"/>
            <w:tcBorders>
              <w:top w:val="nil"/>
              <w:left w:val="nil"/>
              <w:bottom w:val="nil"/>
              <w:right w:val="nil"/>
            </w:tcBorders>
            <w:shd w:val="clear" w:color="auto" w:fill="FFF2CC" w:themeFill="accent4" w:themeFillTint="33"/>
            <w:noWrap/>
            <w:hideMark/>
          </w:tcPr>
          <w:p w14:paraId="3EDFC456" w14:textId="0407E221" w:rsidR="000B275F" w:rsidRPr="000B275F" w:rsidRDefault="000B275F" w:rsidP="000B275F">
            <w:pPr>
              <w:jc w:val="center"/>
              <w:rPr>
                <w:color w:val="000000"/>
                <w:sz w:val="20"/>
                <w:szCs w:val="20"/>
              </w:rPr>
            </w:pPr>
            <w:r w:rsidRPr="000B275F">
              <w:rPr>
                <w:sz w:val="20"/>
                <w:szCs w:val="20"/>
              </w:rPr>
              <w:t xml:space="preserve"> 3.8 </w:t>
            </w:r>
          </w:p>
        </w:tc>
        <w:tc>
          <w:tcPr>
            <w:tcW w:w="834" w:type="dxa"/>
            <w:tcBorders>
              <w:top w:val="nil"/>
              <w:left w:val="nil"/>
              <w:bottom w:val="nil"/>
              <w:right w:val="nil"/>
            </w:tcBorders>
            <w:shd w:val="clear" w:color="auto" w:fill="auto"/>
            <w:noWrap/>
            <w:hideMark/>
          </w:tcPr>
          <w:p w14:paraId="297BF175" w14:textId="2B3DB0D1" w:rsidR="000B275F" w:rsidRPr="000B275F" w:rsidRDefault="000B275F" w:rsidP="000B275F">
            <w:pPr>
              <w:jc w:val="center"/>
              <w:rPr>
                <w:color w:val="000000"/>
                <w:sz w:val="20"/>
                <w:szCs w:val="20"/>
              </w:rPr>
            </w:pPr>
            <w:r w:rsidRPr="000B275F">
              <w:rPr>
                <w:sz w:val="20"/>
                <w:szCs w:val="20"/>
              </w:rPr>
              <w:t xml:space="preserve"> 2.7 </w:t>
            </w:r>
          </w:p>
        </w:tc>
        <w:tc>
          <w:tcPr>
            <w:tcW w:w="834" w:type="dxa"/>
            <w:tcBorders>
              <w:top w:val="nil"/>
              <w:left w:val="nil"/>
              <w:bottom w:val="nil"/>
              <w:right w:val="nil"/>
            </w:tcBorders>
            <w:shd w:val="clear" w:color="auto" w:fill="auto"/>
            <w:noWrap/>
            <w:hideMark/>
          </w:tcPr>
          <w:p w14:paraId="12EAE3A8" w14:textId="5211B843" w:rsidR="000B275F" w:rsidRPr="000B275F" w:rsidRDefault="000B275F" w:rsidP="000B275F">
            <w:pPr>
              <w:jc w:val="center"/>
              <w:rPr>
                <w:color w:val="000000"/>
                <w:sz w:val="20"/>
                <w:szCs w:val="20"/>
              </w:rPr>
            </w:pPr>
            <w:r w:rsidRPr="000B275F">
              <w:rPr>
                <w:sz w:val="20"/>
                <w:szCs w:val="20"/>
              </w:rPr>
              <w:t xml:space="preserve"> 2.7 </w:t>
            </w:r>
          </w:p>
        </w:tc>
        <w:tc>
          <w:tcPr>
            <w:tcW w:w="834" w:type="dxa"/>
            <w:tcBorders>
              <w:top w:val="nil"/>
              <w:left w:val="nil"/>
              <w:bottom w:val="nil"/>
              <w:right w:val="nil"/>
            </w:tcBorders>
            <w:shd w:val="clear" w:color="auto" w:fill="auto"/>
            <w:noWrap/>
            <w:hideMark/>
          </w:tcPr>
          <w:p w14:paraId="582C68D0" w14:textId="24010DC4" w:rsidR="000B275F" w:rsidRPr="000B275F" w:rsidRDefault="000B275F" w:rsidP="000B275F">
            <w:pPr>
              <w:jc w:val="center"/>
              <w:rPr>
                <w:color w:val="000000"/>
                <w:sz w:val="20"/>
                <w:szCs w:val="20"/>
              </w:rPr>
            </w:pPr>
            <w:r w:rsidRPr="000B275F">
              <w:rPr>
                <w:sz w:val="20"/>
                <w:szCs w:val="20"/>
              </w:rPr>
              <w:t xml:space="preserve"> 2.7 </w:t>
            </w:r>
          </w:p>
        </w:tc>
      </w:tr>
      <w:tr w:rsidR="000B275F" w:rsidRPr="00487739" w14:paraId="4EAF4F9E" w14:textId="77777777" w:rsidTr="00CF3012">
        <w:trPr>
          <w:trHeight w:val="266"/>
          <w:jc w:val="center"/>
        </w:trPr>
        <w:tc>
          <w:tcPr>
            <w:tcW w:w="2705" w:type="dxa"/>
            <w:tcBorders>
              <w:top w:val="nil"/>
              <w:left w:val="nil"/>
              <w:bottom w:val="nil"/>
              <w:right w:val="nil"/>
            </w:tcBorders>
            <w:shd w:val="clear" w:color="auto" w:fill="auto"/>
            <w:noWrap/>
            <w:vAlign w:val="bottom"/>
            <w:hideMark/>
          </w:tcPr>
          <w:p w14:paraId="22C7C8B0" w14:textId="5914C685" w:rsidR="000B275F" w:rsidRPr="00487739" w:rsidRDefault="000B275F" w:rsidP="000B275F">
            <w:pPr>
              <w:rPr>
                <w:color w:val="000000"/>
                <w:sz w:val="20"/>
                <w:szCs w:val="20"/>
              </w:rPr>
            </w:pPr>
            <w:r w:rsidRPr="00487739">
              <w:rPr>
                <w:color w:val="000000"/>
                <w:sz w:val="20"/>
                <w:szCs w:val="20"/>
              </w:rPr>
              <w:t xml:space="preserve">Inflación </w:t>
            </w:r>
            <w:r>
              <w:rPr>
                <w:color w:val="000000"/>
                <w:sz w:val="20"/>
                <w:szCs w:val="20"/>
              </w:rPr>
              <w:t>(%)</w:t>
            </w:r>
          </w:p>
        </w:tc>
        <w:tc>
          <w:tcPr>
            <w:tcW w:w="616" w:type="dxa"/>
            <w:tcBorders>
              <w:top w:val="nil"/>
              <w:left w:val="single" w:sz="4" w:space="0" w:color="auto"/>
              <w:bottom w:val="nil"/>
              <w:right w:val="nil"/>
            </w:tcBorders>
            <w:shd w:val="clear" w:color="auto" w:fill="auto"/>
            <w:noWrap/>
            <w:hideMark/>
          </w:tcPr>
          <w:p w14:paraId="656ADFFA" w14:textId="791146A7" w:rsidR="000B275F" w:rsidRPr="000B275F" w:rsidRDefault="000B275F" w:rsidP="000B275F">
            <w:pPr>
              <w:jc w:val="center"/>
              <w:rPr>
                <w:color w:val="000000"/>
                <w:sz w:val="20"/>
                <w:szCs w:val="20"/>
              </w:rPr>
            </w:pPr>
            <w:r w:rsidRPr="000B275F">
              <w:rPr>
                <w:sz w:val="20"/>
                <w:szCs w:val="20"/>
              </w:rPr>
              <w:t xml:space="preserve"> 9.2 </w:t>
            </w:r>
          </w:p>
        </w:tc>
        <w:tc>
          <w:tcPr>
            <w:tcW w:w="834" w:type="dxa"/>
            <w:tcBorders>
              <w:top w:val="nil"/>
              <w:left w:val="nil"/>
              <w:bottom w:val="nil"/>
              <w:right w:val="nil"/>
            </w:tcBorders>
            <w:shd w:val="clear" w:color="auto" w:fill="auto"/>
            <w:noWrap/>
            <w:hideMark/>
          </w:tcPr>
          <w:p w14:paraId="501F6411" w14:textId="2476F3E7" w:rsidR="000B275F" w:rsidRPr="000B275F" w:rsidRDefault="000B275F" w:rsidP="000B275F">
            <w:pPr>
              <w:jc w:val="center"/>
              <w:rPr>
                <w:color w:val="000000"/>
                <w:sz w:val="20"/>
                <w:szCs w:val="20"/>
              </w:rPr>
            </w:pPr>
            <w:r w:rsidRPr="000B275F">
              <w:rPr>
                <w:sz w:val="20"/>
                <w:szCs w:val="20"/>
              </w:rPr>
              <w:t xml:space="preserve"> 4.0 </w:t>
            </w:r>
          </w:p>
        </w:tc>
        <w:tc>
          <w:tcPr>
            <w:tcW w:w="834" w:type="dxa"/>
            <w:tcBorders>
              <w:top w:val="nil"/>
              <w:left w:val="nil"/>
              <w:bottom w:val="nil"/>
              <w:right w:val="nil"/>
            </w:tcBorders>
            <w:shd w:val="clear" w:color="auto" w:fill="FFF2CC" w:themeFill="accent4" w:themeFillTint="33"/>
            <w:noWrap/>
            <w:hideMark/>
          </w:tcPr>
          <w:p w14:paraId="5F4ECFBE" w14:textId="4182C7D6" w:rsidR="000B275F" w:rsidRPr="000B275F" w:rsidRDefault="000B275F" w:rsidP="000B275F">
            <w:pPr>
              <w:jc w:val="center"/>
              <w:rPr>
                <w:color w:val="000000"/>
                <w:sz w:val="20"/>
                <w:szCs w:val="20"/>
              </w:rPr>
            </w:pPr>
            <w:r w:rsidRPr="000B275F">
              <w:rPr>
                <w:sz w:val="20"/>
                <w:szCs w:val="20"/>
              </w:rPr>
              <w:t xml:space="preserve"> 0.6 </w:t>
            </w:r>
          </w:p>
        </w:tc>
        <w:tc>
          <w:tcPr>
            <w:tcW w:w="834" w:type="dxa"/>
            <w:tcBorders>
              <w:top w:val="nil"/>
              <w:left w:val="nil"/>
              <w:bottom w:val="nil"/>
              <w:right w:val="nil"/>
            </w:tcBorders>
            <w:shd w:val="clear" w:color="auto" w:fill="FFF2CC" w:themeFill="accent4" w:themeFillTint="33"/>
            <w:noWrap/>
            <w:hideMark/>
          </w:tcPr>
          <w:p w14:paraId="6D84979E" w14:textId="1C402BAD" w:rsidR="000B275F" w:rsidRPr="000B275F" w:rsidRDefault="000B275F" w:rsidP="000B275F">
            <w:pPr>
              <w:jc w:val="center"/>
              <w:rPr>
                <w:color w:val="000000"/>
                <w:sz w:val="20"/>
                <w:szCs w:val="20"/>
              </w:rPr>
            </w:pPr>
            <w:r w:rsidRPr="000B275F">
              <w:rPr>
                <w:sz w:val="20"/>
                <w:szCs w:val="20"/>
              </w:rPr>
              <w:t xml:space="preserve"> 0.6 </w:t>
            </w:r>
          </w:p>
        </w:tc>
        <w:tc>
          <w:tcPr>
            <w:tcW w:w="834" w:type="dxa"/>
            <w:tcBorders>
              <w:top w:val="nil"/>
              <w:left w:val="nil"/>
              <w:bottom w:val="nil"/>
              <w:right w:val="nil"/>
            </w:tcBorders>
            <w:shd w:val="clear" w:color="auto" w:fill="auto"/>
            <w:noWrap/>
            <w:hideMark/>
          </w:tcPr>
          <w:p w14:paraId="12B9824F" w14:textId="581058AB" w:rsidR="000B275F" w:rsidRPr="000B275F" w:rsidRDefault="000B275F" w:rsidP="000B275F">
            <w:pPr>
              <w:jc w:val="center"/>
              <w:rPr>
                <w:color w:val="000000"/>
                <w:sz w:val="20"/>
                <w:szCs w:val="20"/>
              </w:rPr>
            </w:pPr>
            <w:r w:rsidRPr="000B275F">
              <w:rPr>
                <w:sz w:val="20"/>
                <w:szCs w:val="20"/>
              </w:rPr>
              <w:t xml:space="preserve"> 3.0 </w:t>
            </w:r>
          </w:p>
        </w:tc>
        <w:tc>
          <w:tcPr>
            <w:tcW w:w="834" w:type="dxa"/>
            <w:tcBorders>
              <w:top w:val="nil"/>
              <w:left w:val="nil"/>
              <w:bottom w:val="nil"/>
              <w:right w:val="nil"/>
            </w:tcBorders>
            <w:shd w:val="clear" w:color="auto" w:fill="auto"/>
            <w:noWrap/>
            <w:hideMark/>
          </w:tcPr>
          <w:p w14:paraId="71C8D88E" w14:textId="0B4DC349" w:rsidR="000B275F" w:rsidRPr="000B275F" w:rsidRDefault="000B275F" w:rsidP="000B275F">
            <w:pPr>
              <w:jc w:val="center"/>
              <w:rPr>
                <w:color w:val="000000"/>
                <w:sz w:val="20"/>
                <w:szCs w:val="20"/>
              </w:rPr>
            </w:pPr>
            <w:r w:rsidRPr="000B275F">
              <w:rPr>
                <w:sz w:val="20"/>
                <w:szCs w:val="20"/>
              </w:rPr>
              <w:t xml:space="preserve"> 3.0 </w:t>
            </w:r>
          </w:p>
        </w:tc>
        <w:tc>
          <w:tcPr>
            <w:tcW w:w="834" w:type="dxa"/>
            <w:tcBorders>
              <w:top w:val="nil"/>
              <w:left w:val="nil"/>
              <w:bottom w:val="nil"/>
              <w:right w:val="nil"/>
            </w:tcBorders>
            <w:shd w:val="clear" w:color="auto" w:fill="auto"/>
            <w:noWrap/>
            <w:hideMark/>
          </w:tcPr>
          <w:p w14:paraId="4128A0D8" w14:textId="3B061A0D" w:rsidR="000B275F" w:rsidRPr="000B275F" w:rsidRDefault="000B275F" w:rsidP="000B275F">
            <w:pPr>
              <w:jc w:val="center"/>
              <w:rPr>
                <w:color w:val="000000"/>
                <w:sz w:val="20"/>
                <w:szCs w:val="20"/>
              </w:rPr>
            </w:pPr>
            <w:r w:rsidRPr="000B275F">
              <w:rPr>
                <w:sz w:val="20"/>
                <w:szCs w:val="20"/>
              </w:rPr>
              <w:t xml:space="preserve"> 3.0 </w:t>
            </w:r>
          </w:p>
        </w:tc>
      </w:tr>
      <w:tr w:rsidR="000B275F" w:rsidRPr="00487739" w14:paraId="52A8B089" w14:textId="77777777" w:rsidTr="00CF3012">
        <w:trPr>
          <w:trHeight w:val="266"/>
          <w:jc w:val="center"/>
        </w:trPr>
        <w:tc>
          <w:tcPr>
            <w:tcW w:w="2705" w:type="dxa"/>
            <w:tcBorders>
              <w:top w:val="nil"/>
              <w:left w:val="nil"/>
              <w:bottom w:val="nil"/>
              <w:right w:val="nil"/>
            </w:tcBorders>
            <w:shd w:val="clear" w:color="auto" w:fill="EDEDED" w:themeFill="accent3" w:themeFillTint="33"/>
            <w:noWrap/>
            <w:vAlign w:val="bottom"/>
            <w:hideMark/>
          </w:tcPr>
          <w:p w14:paraId="368E2F60" w14:textId="77777777" w:rsidR="000B275F" w:rsidRPr="00487739" w:rsidRDefault="000B275F" w:rsidP="000B275F">
            <w:pPr>
              <w:rPr>
                <w:color w:val="000000"/>
                <w:sz w:val="20"/>
                <w:szCs w:val="20"/>
              </w:rPr>
            </w:pPr>
            <w:r w:rsidRPr="00487739">
              <w:rPr>
                <w:color w:val="000000"/>
                <w:sz w:val="20"/>
                <w:szCs w:val="20"/>
              </w:rPr>
              <w:t>Ingresos</w:t>
            </w:r>
            <w:r>
              <w:rPr>
                <w:color w:val="000000"/>
                <w:sz w:val="20"/>
                <w:szCs w:val="20"/>
              </w:rPr>
              <w:t xml:space="preserve"> </w:t>
            </w:r>
            <w:r>
              <w:rPr>
                <w:color w:val="000000"/>
                <w:sz w:val="18"/>
                <w:szCs w:val="18"/>
              </w:rPr>
              <w:t>(% del PIB)</w:t>
            </w:r>
          </w:p>
        </w:tc>
        <w:tc>
          <w:tcPr>
            <w:tcW w:w="616" w:type="dxa"/>
            <w:tcBorders>
              <w:top w:val="nil"/>
              <w:left w:val="single" w:sz="4" w:space="0" w:color="auto"/>
              <w:bottom w:val="nil"/>
              <w:right w:val="nil"/>
            </w:tcBorders>
            <w:shd w:val="clear" w:color="auto" w:fill="EDEDED" w:themeFill="accent3" w:themeFillTint="33"/>
            <w:noWrap/>
            <w:hideMark/>
          </w:tcPr>
          <w:p w14:paraId="07BC3A97" w14:textId="5F797AFC" w:rsidR="000B275F" w:rsidRPr="000B275F" w:rsidRDefault="000B275F" w:rsidP="000B275F">
            <w:pPr>
              <w:jc w:val="center"/>
              <w:rPr>
                <w:color w:val="000000"/>
                <w:sz w:val="20"/>
                <w:szCs w:val="20"/>
              </w:rPr>
            </w:pPr>
            <w:r w:rsidRPr="000B275F">
              <w:rPr>
                <w:sz w:val="20"/>
                <w:szCs w:val="20"/>
              </w:rPr>
              <w:t xml:space="preserve"> 12.7 </w:t>
            </w:r>
          </w:p>
        </w:tc>
        <w:tc>
          <w:tcPr>
            <w:tcW w:w="834" w:type="dxa"/>
            <w:tcBorders>
              <w:top w:val="nil"/>
              <w:left w:val="nil"/>
              <w:bottom w:val="nil"/>
              <w:right w:val="nil"/>
            </w:tcBorders>
            <w:shd w:val="clear" w:color="auto" w:fill="EDEDED" w:themeFill="accent3" w:themeFillTint="33"/>
            <w:noWrap/>
            <w:hideMark/>
          </w:tcPr>
          <w:p w14:paraId="5B20559F" w14:textId="2DDA5CA2" w:rsidR="000B275F" w:rsidRPr="000B275F" w:rsidRDefault="000B275F" w:rsidP="000B275F">
            <w:pPr>
              <w:jc w:val="center"/>
              <w:rPr>
                <w:color w:val="000000"/>
                <w:sz w:val="20"/>
                <w:szCs w:val="20"/>
              </w:rPr>
            </w:pPr>
            <w:r w:rsidRPr="000B275F">
              <w:rPr>
                <w:sz w:val="20"/>
                <w:szCs w:val="20"/>
              </w:rPr>
              <w:t xml:space="preserve"> 12.3 </w:t>
            </w:r>
          </w:p>
        </w:tc>
        <w:tc>
          <w:tcPr>
            <w:tcW w:w="834" w:type="dxa"/>
            <w:tcBorders>
              <w:top w:val="nil"/>
              <w:left w:val="nil"/>
              <w:bottom w:val="nil"/>
              <w:right w:val="nil"/>
            </w:tcBorders>
            <w:shd w:val="clear" w:color="auto" w:fill="EDEDED" w:themeFill="accent3" w:themeFillTint="33"/>
            <w:noWrap/>
            <w:hideMark/>
          </w:tcPr>
          <w:p w14:paraId="02819965" w14:textId="5523EF93" w:rsidR="000B275F" w:rsidRPr="000B275F" w:rsidRDefault="000B275F" w:rsidP="000B275F">
            <w:pPr>
              <w:jc w:val="center"/>
              <w:rPr>
                <w:color w:val="000000"/>
                <w:sz w:val="20"/>
                <w:szCs w:val="20"/>
              </w:rPr>
            </w:pPr>
            <w:r w:rsidRPr="000B275F">
              <w:rPr>
                <w:sz w:val="20"/>
                <w:szCs w:val="20"/>
              </w:rPr>
              <w:t xml:space="preserve"> 12.3 </w:t>
            </w:r>
          </w:p>
        </w:tc>
        <w:tc>
          <w:tcPr>
            <w:tcW w:w="834" w:type="dxa"/>
            <w:tcBorders>
              <w:top w:val="nil"/>
              <w:left w:val="nil"/>
              <w:bottom w:val="nil"/>
              <w:right w:val="nil"/>
            </w:tcBorders>
            <w:shd w:val="clear" w:color="auto" w:fill="EDEDED" w:themeFill="accent3" w:themeFillTint="33"/>
            <w:noWrap/>
            <w:hideMark/>
          </w:tcPr>
          <w:p w14:paraId="40E668FF" w14:textId="57BFE9F3" w:rsidR="000B275F" w:rsidRPr="000B275F" w:rsidRDefault="000B275F" w:rsidP="000B275F">
            <w:pPr>
              <w:jc w:val="center"/>
              <w:rPr>
                <w:color w:val="000000"/>
                <w:sz w:val="20"/>
                <w:szCs w:val="20"/>
              </w:rPr>
            </w:pPr>
            <w:r w:rsidRPr="000B275F">
              <w:rPr>
                <w:sz w:val="20"/>
                <w:szCs w:val="20"/>
              </w:rPr>
              <w:t xml:space="preserve"> 12.4 </w:t>
            </w:r>
          </w:p>
        </w:tc>
        <w:tc>
          <w:tcPr>
            <w:tcW w:w="834" w:type="dxa"/>
            <w:tcBorders>
              <w:top w:val="nil"/>
              <w:left w:val="nil"/>
              <w:bottom w:val="nil"/>
              <w:right w:val="nil"/>
            </w:tcBorders>
            <w:shd w:val="clear" w:color="auto" w:fill="EDEDED" w:themeFill="accent3" w:themeFillTint="33"/>
            <w:noWrap/>
            <w:hideMark/>
          </w:tcPr>
          <w:p w14:paraId="6256C60B" w14:textId="3AB313B0" w:rsidR="000B275F" w:rsidRPr="000B275F" w:rsidRDefault="000B275F" w:rsidP="000B275F">
            <w:pPr>
              <w:jc w:val="center"/>
              <w:rPr>
                <w:color w:val="000000"/>
                <w:sz w:val="20"/>
                <w:szCs w:val="20"/>
              </w:rPr>
            </w:pPr>
            <w:r w:rsidRPr="000B275F">
              <w:rPr>
                <w:sz w:val="20"/>
                <w:szCs w:val="20"/>
              </w:rPr>
              <w:t xml:space="preserve"> 12.4 </w:t>
            </w:r>
          </w:p>
        </w:tc>
        <w:tc>
          <w:tcPr>
            <w:tcW w:w="834" w:type="dxa"/>
            <w:tcBorders>
              <w:top w:val="nil"/>
              <w:left w:val="nil"/>
              <w:bottom w:val="nil"/>
              <w:right w:val="nil"/>
            </w:tcBorders>
            <w:shd w:val="clear" w:color="auto" w:fill="EDEDED" w:themeFill="accent3" w:themeFillTint="33"/>
            <w:noWrap/>
            <w:hideMark/>
          </w:tcPr>
          <w:p w14:paraId="35F888CF" w14:textId="429B4E50" w:rsidR="000B275F" w:rsidRPr="000B275F" w:rsidRDefault="000B275F" w:rsidP="000B275F">
            <w:pPr>
              <w:jc w:val="center"/>
              <w:rPr>
                <w:color w:val="000000"/>
                <w:sz w:val="20"/>
                <w:szCs w:val="20"/>
              </w:rPr>
            </w:pPr>
            <w:r w:rsidRPr="000B275F">
              <w:rPr>
                <w:sz w:val="20"/>
                <w:szCs w:val="20"/>
              </w:rPr>
              <w:t xml:space="preserve"> 12.5 </w:t>
            </w:r>
          </w:p>
        </w:tc>
        <w:tc>
          <w:tcPr>
            <w:tcW w:w="834" w:type="dxa"/>
            <w:tcBorders>
              <w:top w:val="nil"/>
              <w:left w:val="nil"/>
              <w:bottom w:val="nil"/>
              <w:right w:val="nil"/>
            </w:tcBorders>
            <w:shd w:val="clear" w:color="auto" w:fill="EDEDED" w:themeFill="accent3" w:themeFillTint="33"/>
            <w:noWrap/>
            <w:hideMark/>
          </w:tcPr>
          <w:p w14:paraId="1AA54DDC" w14:textId="47185E45" w:rsidR="000B275F" w:rsidRPr="000B275F" w:rsidRDefault="000B275F" w:rsidP="000B275F">
            <w:pPr>
              <w:jc w:val="center"/>
              <w:rPr>
                <w:color w:val="000000"/>
                <w:sz w:val="20"/>
                <w:szCs w:val="20"/>
              </w:rPr>
            </w:pPr>
            <w:r w:rsidRPr="000B275F">
              <w:rPr>
                <w:sz w:val="20"/>
                <w:szCs w:val="20"/>
              </w:rPr>
              <w:t xml:space="preserve"> 12.6 </w:t>
            </w:r>
          </w:p>
        </w:tc>
      </w:tr>
      <w:tr w:rsidR="000B275F" w:rsidRPr="00487739" w14:paraId="700C8F7F" w14:textId="77777777" w:rsidTr="00CF3012">
        <w:trPr>
          <w:trHeight w:val="266"/>
          <w:jc w:val="center"/>
        </w:trPr>
        <w:tc>
          <w:tcPr>
            <w:tcW w:w="2705" w:type="dxa"/>
            <w:tcBorders>
              <w:top w:val="nil"/>
              <w:left w:val="nil"/>
              <w:bottom w:val="nil"/>
              <w:right w:val="nil"/>
            </w:tcBorders>
            <w:shd w:val="clear" w:color="auto" w:fill="EDEDED" w:themeFill="accent3" w:themeFillTint="33"/>
            <w:noWrap/>
            <w:vAlign w:val="bottom"/>
            <w:hideMark/>
          </w:tcPr>
          <w:p w14:paraId="2C8959C7" w14:textId="77777777" w:rsidR="000B275F" w:rsidRPr="00487739" w:rsidRDefault="000B275F" w:rsidP="000B275F">
            <w:pPr>
              <w:rPr>
                <w:color w:val="000000"/>
                <w:sz w:val="20"/>
                <w:szCs w:val="20"/>
              </w:rPr>
            </w:pPr>
            <w:r w:rsidRPr="00487739">
              <w:rPr>
                <w:color w:val="000000"/>
                <w:sz w:val="20"/>
                <w:szCs w:val="20"/>
              </w:rPr>
              <w:t>Gastos</w:t>
            </w:r>
            <w:r>
              <w:rPr>
                <w:color w:val="000000"/>
                <w:sz w:val="20"/>
                <w:szCs w:val="20"/>
              </w:rPr>
              <w:t xml:space="preserve"> </w:t>
            </w:r>
            <w:r>
              <w:rPr>
                <w:color w:val="000000"/>
                <w:sz w:val="18"/>
                <w:szCs w:val="18"/>
              </w:rPr>
              <w:t>(% del PIB)</w:t>
            </w:r>
          </w:p>
        </w:tc>
        <w:tc>
          <w:tcPr>
            <w:tcW w:w="616" w:type="dxa"/>
            <w:tcBorders>
              <w:top w:val="nil"/>
              <w:left w:val="single" w:sz="4" w:space="0" w:color="auto"/>
              <w:bottom w:val="nil"/>
              <w:right w:val="nil"/>
            </w:tcBorders>
            <w:shd w:val="clear" w:color="auto" w:fill="EDEDED" w:themeFill="accent3" w:themeFillTint="33"/>
            <w:noWrap/>
            <w:hideMark/>
          </w:tcPr>
          <w:p w14:paraId="2C45F140" w14:textId="53C58527" w:rsidR="000B275F" w:rsidRPr="000B275F" w:rsidRDefault="000B275F" w:rsidP="000B275F">
            <w:pPr>
              <w:jc w:val="center"/>
              <w:rPr>
                <w:color w:val="000000"/>
                <w:sz w:val="20"/>
                <w:szCs w:val="20"/>
              </w:rPr>
            </w:pPr>
            <w:r w:rsidRPr="000B275F">
              <w:rPr>
                <w:sz w:val="20"/>
                <w:szCs w:val="20"/>
              </w:rPr>
              <w:t xml:space="preserve"> 14.4 </w:t>
            </w:r>
          </w:p>
        </w:tc>
        <w:tc>
          <w:tcPr>
            <w:tcW w:w="834" w:type="dxa"/>
            <w:tcBorders>
              <w:top w:val="nil"/>
              <w:left w:val="nil"/>
              <w:bottom w:val="nil"/>
              <w:right w:val="nil"/>
            </w:tcBorders>
            <w:shd w:val="clear" w:color="auto" w:fill="EDEDED" w:themeFill="accent3" w:themeFillTint="33"/>
            <w:noWrap/>
            <w:hideMark/>
          </w:tcPr>
          <w:p w14:paraId="1244E272" w14:textId="0D1F832B" w:rsidR="000B275F" w:rsidRPr="000B275F" w:rsidRDefault="000B275F" w:rsidP="000B275F">
            <w:pPr>
              <w:jc w:val="center"/>
              <w:rPr>
                <w:color w:val="000000"/>
                <w:sz w:val="20"/>
                <w:szCs w:val="20"/>
              </w:rPr>
            </w:pPr>
            <w:r w:rsidRPr="000B275F">
              <w:rPr>
                <w:sz w:val="20"/>
                <w:szCs w:val="20"/>
              </w:rPr>
              <w:t xml:space="preserve"> 14.0 </w:t>
            </w:r>
          </w:p>
        </w:tc>
        <w:tc>
          <w:tcPr>
            <w:tcW w:w="834" w:type="dxa"/>
            <w:tcBorders>
              <w:top w:val="nil"/>
              <w:left w:val="nil"/>
              <w:bottom w:val="nil"/>
              <w:right w:val="nil"/>
            </w:tcBorders>
            <w:shd w:val="clear" w:color="auto" w:fill="EDEDED" w:themeFill="accent3" w:themeFillTint="33"/>
            <w:noWrap/>
            <w:hideMark/>
          </w:tcPr>
          <w:p w14:paraId="77AFD9BF" w14:textId="160F073B" w:rsidR="000B275F" w:rsidRPr="000B275F" w:rsidRDefault="000B275F" w:rsidP="000B275F">
            <w:pPr>
              <w:jc w:val="center"/>
              <w:rPr>
                <w:color w:val="000000"/>
                <w:sz w:val="20"/>
                <w:szCs w:val="20"/>
              </w:rPr>
            </w:pPr>
            <w:r w:rsidRPr="000B275F">
              <w:rPr>
                <w:sz w:val="20"/>
                <w:szCs w:val="20"/>
              </w:rPr>
              <w:t xml:space="preserve"> 14.1 </w:t>
            </w:r>
          </w:p>
        </w:tc>
        <w:tc>
          <w:tcPr>
            <w:tcW w:w="834" w:type="dxa"/>
            <w:tcBorders>
              <w:top w:val="nil"/>
              <w:left w:val="nil"/>
              <w:bottom w:val="nil"/>
              <w:right w:val="nil"/>
            </w:tcBorders>
            <w:shd w:val="clear" w:color="auto" w:fill="EDEDED" w:themeFill="accent3" w:themeFillTint="33"/>
            <w:noWrap/>
            <w:hideMark/>
          </w:tcPr>
          <w:p w14:paraId="30416647" w14:textId="4B6D0FAA" w:rsidR="000B275F" w:rsidRPr="000B275F" w:rsidRDefault="000B275F" w:rsidP="000B275F">
            <w:pPr>
              <w:jc w:val="center"/>
              <w:rPr>
                <w:color w:val="000000"/>
                <w:sz w:val="20"/>
                <w:szCs w:val="20"/>
              </w:rPr>
            </w:pPr>
            <w:r w:rsidRPr="000B275F">
              <w:rPr>
                <w:sz w:val="20"/>
                <w:szCs w:val="20"/>
              </w:rPr>
              <w:t xml:space="preserve"> 13.9 </w:t>
            </w:r>
          </w:p>
        </w:tc>
        <w:tc>
          <w:tcPr>
            <w:tcW w:w="834" w:type="dxa"/>
            <w:tcBorders>
              <w:top w:val="nil"/>
              <w:left w:val="nil"/>
              <w:bottom w:val="nil"/>
              <w:right w:val="nil"/>
            </w:tcBorders>
            <w:shd w:val="clear" w:color="auto" w:fill="EDEDED" w:themeFill="accent3" w:themeFillTint="33"/>
            <w:noWrap/>
            <w:hideMark/>
          </w:tcPr>
          <w:p w14:paraId="57FD8F3A" w14:textId="167A48BB" w:rsidR="000B275F" w:rsidRPr="000B275F" w:rsidRDefault="000B275F" w:rsidP="000B275F">
            <w:pPr>
              <w:jc w:val="center"/>
              <w:rPr>
                <w:color w:val="000000"/>
                <w:sz w:val="20"/>
                <w:szCs w:val="20"/>
              </w:rPr>
            </w:pPr>
            <w:r w:rsidRPr="000B275F">
              <w:rPr>
                <w:sz w:val="20"/>
                <w:szCs w:val="20"/>
              </w:rPr>
              <w:t xml:space="preserve"> 13.5 </w:t>
            </w:r>
          </w:p>
        </w:tc>
        <w:tc>
          <w:tcPr>
            <w:tcW w:w="834" w:type="dxa"/>
            <w:tcBorders>
              <w:top w:val="nil"/>
              <w:left w:val="nil"/>
              <w:bottom w:val="nil"/>
              <w:right w:val="nil"/>
            </w:tcBorders>
            <w:shd w:val="clear" w:color="auto" w:fill="EDEDED" w:themeFill="accent3" w:themeFillTint="33"/>
            <w:noWrap/>
            <w:hideMark/>
          </w:tcPr>
          <w:p w14:paraId="356C9151" w14:textId="2AD89BB0" w:rsidR="000B275F" w:rsidRPr="000B275F" w:rsidRDefault="000B275F" w:rsidP="000B275F">
            <w:pPr>
              <w:jc w:val="center"/>
              <w:rPr>
                <w:color w:val="000000"/>
                <w:sz w:val="20"/>
                <w:szCs w:val="20"/>
              </w:rPr>
            </w:pPr>
            <w:r w:rsidRPr="000B275F">
              <w:rPr>
                <w:sz w:val="20"/>
                <w:szCs w:val="20"/>
              </w:rPr>
              <w:t xml:space="preserve"> 13.1 </w:t>
            </w:r>
          </w:p>
        </w:tc>
        <w:tc>
          <w:tcPr>
            <w:tcW w:w="834" w:type="dxa"/>
            <w:tcBorders>
              <w:top w:val="nil"/>
              <w:left w:val="nil"/>
              <w:bottom w:val="nil"/>
              <w:right w:val="nil"/>
            </w:tcBorders>
            <w:shd w:val="clear" w:color="auto" w:fill="EDEDED" w:themeFill="accent3" w:themeFillTint="33"/>
            <w:noWrap/>
            <w:hideMark/>
          </w:tcPr>
          <w:p w14:paraId="210FA3D3" w14:textId="7B0E323E" w:rsidR="000B275F" w:rsidRPr="000B275F" w:rsidRDefault="000B275F" w:rsidP="000B275F">
            <w:pPr>
              <w:jc w:val="center"/>
              <w:rPr>
                <w:color w:val="000000"/>
                <w:sz w:val="20"/>
                <w:szCs w:val="20"/>
              </w:rPr>
            </w:pPr>
            <w:r w:rsidRPr="000B275F">
              <w:rPr>
                <w:sz w:val="20"/>
                <w:szCs w:val="20"/>
              </w:rPr>
              <w:t xml:space="preserve"> 12.8 </w:t>
            </w:r>
          </w:p>
        </w:tc>
      </w:tr>
      <w:tr w:rsidR="000B275F" w:rsidRPr="00487739" w14:paraId="257F4A7E" w14:textId="77777777" w:rsidTr="00CF3012">
        <w:trPr>
          <w:trHeight w:val="86"/>
          <w:jc w:val="center"/>
        </w:trPr>
        <w:tc>
          <w:tcPr>
            <w:tcW w:w="2705" w:type="dxa"/>
            <w:tcBorders>
              <w:top w:val="nil"/>
              <w:left w:val="nil"/>
              <w:bottom w:val="nil"/>
              <w:right w:val="nil"/>
            </w:tcBorders>
            <w:shd w:val="clear" w:color="auto" w:fill="EDEDED" w:themeFill="accent3" w:themeFillTint="33"/>
            <w:noWrap/>
            <w:vAlign w:val="bottom"/>
            <w:hideMark/>
          </w:tcPr>
          <w:p w14:paraId="2CE9DDAB" w14:textId="77777777" w:rsidR="000B275F" w:rsidRPr="00487739" w:rsidRDefault="000B275F" w:rsidP="000B275F">
            <w:pPr>
              <w:rPr>
                <w:color w:val="000000"/>
                <w:sz w:val="20"/>
                <w:szCs w:val="20"/>
              </w:rPr>
            </w:pPr>
            <w:r w:rsidRPr="00487739">
              <w:rPr>
                <w:color w:val="000000"/>
                <w:sz w:val="20"/>
                <w:szCs w:val="20"/>
              </w:rPr>
              <w:t>Déficit</w:t>
            </w:r>
            <w:r>
              <w:rPr>
                <w:color w:val="000000"/>
                <w:sz w:val="20"/>
                <w:szCs w:val="20"/>
              </w:rPr>
              <w:t xml:space="preserve"> </w:t>
            </w:r>
            <w:r>
              <w:rPr>
                <w:color w:val="000000"/>
                <w:sz w:val="18"/>
                <w:szCs w:val="18"/>
              </w:rPr>
              <w:t>(% del PIB)</w:t>
            </w:r>
          </w:p>
        </w:tc>
        <w:tc>
          <w:tcPr>
            <w:tcW w:w="616" w:type="dxa"/>
            <w:tcBorders>
              <w:top w:val="nil"/>
              <w:left w:val="single" w:sz="4" w:space="0" w:color="auto"/>
              <w:bottom w:val="nil"/>
              <w:right w:val="nil"/>
            </w:tcBorders>
            <w:shd w:val="clear" w:color="auto" w:fill="EDEDED" w:themeFill="accent3" w:themeFillTint="33"/>
            <w:noWrap/>
            <w:hideMark/>
          </w:tcPr>
          <w:p w14:paraId="22E9BD91" w14:textId="2710A38B" w:rsidR="000B275F" w:rsidRPr="000B275F" w:rsidRDefault="000B275F" w:rsidP="000B275F">
            <w:pPr>
              <w:jc w:val="center"/>
              <w:rPr>
                <w:color w:val="000000"/>
                <w:sz w:val="20"/>
                <w:szCs w:val="20"/>
              </w:rPr>
            </w:pPr>
            <w:r w:rsidRPr="000B275F">
              <w:rPr>
                <w:sz w:val="20"/>
                <w:szCs w:val="20"/>
              </w:rPr>
              <w:t xml:space="preserve"> 1.7 </w:t>
            </w:r>
          </w:p>
        </w:tc>
        <w:tc>
          <w:tcPr>
            <w:tcW w:w="834" w:type="dxa"/>
            <w:tcBorders>
              <w:top w:val="nil"/>
              <w:left w:val="nil"/>
              <w:bottom w:val="nil"/>
              <w:right w:val="nil"/>
            </w:tcBorders>
            <w:shd w:val="clear" w:color="auto" w:fill="EDEDED" w:themeFill="accent3" w:themeFillTint="33"/>
            <w:noWrap/>
            <w:hideMark/>
          </w:tcPr>
          <w:p w14:paraId="7C1A3259" w14:textId="077CC6D3" w:rsidR="000B275F" w:rsidRPr="000B275F" w:rsidRDefault="000B275F" w:rsidP="000B275F">
            <w:pPr>
              <w:jc w:val="center"/>
              <w:rPr>
                <w:color w:val="000000"/>
                <w:sz w:val="20"/>
                <w:szCs w:val="20"/>
              </w:rPr>
            </w:pPr>
            <w:r w:rsidRPr="000B275F">
              <w:rPr>
                <w:sz w:val="20"/>
                <w:szCs w:val="20"/>
              </w:rPr>
              <w:t xml:space="preserve"> 1.7 </w:t>
            </w:r>
          </w:p>
        </w:tc>
        <w:tc>
          <w:tcPr>
            <w:tcW w:w="834" w:type="dxa"/>
            <w:tcBorders>
              <w:top w:val="nil"/>
              <w:left w:val="nil"/>
              <w:bottom w:val="nil"/>
              <w:right w:val="nil"/>
            </w:tcBorders>
            <w:shd w:val="clear" w:color="auto" w:fill="EDEDED" w:themeFill="accent3" w:themeFillTint="33"/>
            <w:noWrap/>
            <w:hideMark/>
          </w:tcPr>
          <w:p w14:paraId="140A75E6" w14:textId="45FEB4DC" w:rsidR="000B275F" w:rsidRPr="000B275F" w:rsidRDefault="000B275F" w:rsidP="000B275F">
            <w:pPr>
              <w:jc w:val="center"/>
              <w:rPr>
                <w:color w:val="000000"/>
                <w:sz w:val="20"/>
                <w:szCs w:val="20"/>
              </w:rPr>
            </w:pPr>
            <w:r w:rsidRPr="000B275F">
              <w:rPr>
                <w:sz w:val="20"/>
                <w:szCs w:val="20"/>
              </w:rPr>
              <w:t xml:space="preserve"> 1.8 </w:t>
            </w:r>
          </w:p>
        </w:tc>
        <w:tc>
          <w:tcPr>
            <w:tcW w:w="834" w:type="dxa"/>
            <w:tcBorders>
              <w:top w:val="nil"/>
              <w:left w:val="nil"/>
              <w:bottom w:val="nil"/>
              <w:right w:val="nil"/>
            </w:tcBorders>
            <w:shd w:val="clear" w:color="auto" w:fill="EDEDED" w:themeFill="accent3" w:themeFillTint="33"/>
            <w:noWrap/>
            <w:hideMark/>
          </w:tcPr>
          <w:p w14:paraId="7059ABE1" w14:textId="15499948" w:rsidR="000B275F" w:rsidRPr="000B275F" w:rsidRDefault="000B275F" w:rsidP="000B275F">
            <w:pPr>
              <w:jc w:val="center"/>
              <w:rPr>
                <w:color w:val="000000"/>
                <w:sz w:val="20"/>
                <w:szCs w:val="20"/>
              </w:rPr>
            </w:pPr>
            <w:r w:rsidRPr="000B275F">
              <w:rPr>
                <w:sz w:val="20"/>
                <w:szCs w:val="20"/>
              </w:rPr>
              <w:t xml:space="preserve"> 1.6 </w:t>
            </w:r>
          </w:p>
        </w:tc>
        <w:tc>
          <w:tcPr>
            <w:tcW w:w="834" w:type="dxa"/>
            <w:tcBorders>
              <w:top w:val="nil"/>
              <w:left w:val="nil"/>
              <w:bottom w:val="nil"/>
              <w:right w:val="nil"/>
            </w:tcBorders>
            <w:shd w:val="clear" w:color="auto" w:fill="EDEDED" w:themeFill="accent3" w:themeFillTint="33"/>
            <w:noWrap/>
            <w:hideMark/>
          </w:tcPr>
          <w:p w14:paraId="3B23C0D6" w14:textId="2210CD00" w:rsidR="000B275F" w:rsidRPr="000B275F" w:rsidRDefault="000B275F" w:rsidP="000B275F">
            <w:pPr>
              <w:jc w:val="center"/>
              <w:rPr>
                <w:color w:val="000000"/>
                <w:sz w:val="20"/>
                <w:szCs w:val="20"/>
              </w:rPr>
            </w:pPr>
            <w:r w:rsidRPr="000B275F">
              <w:rPr>
                <w:sz w:val="20"/>
                <w:szCs w:val="20"/>
              </w:rPr>
              <w:t xml:space="preserve"> 1.1 </w:t>
            </w:r>
          </w:p>
        </w:tc>
        <w:tc>
          <w:tcPr>
            <w:tcW w:w="834" w:type="dxa"/>
            <w:tcBorders>
              <w:top w:val="nil"/>
              <w:left w:val="nil"/>
              <w:bottom w:val="nil"/>
              <w:right w:val="nil"/>
            </w:tcBorders>
            <w:shd w:val="clear" w:color="auto" w:fill="EDEDED" w:themeFill="accent3" w:themeFillTint="33"/>
            <w:noWrap/>
            <w:hideMark/>
          </w:tcPr>
          <w:p w14:paraId="65A9B35F" w14:textId="6ECEC856" w:rsidR="000B275F" w:rsidRPr="000B275F" w:rsidRDefault="000B275F" w:rsidP="000B275F">
            <w:pPr>
              <w:jc w:val="center"/>
              <w:rPr>
                <w:color w:val="000000"/>
                <w:sz w:val="20"/>
                <w:szCs w:val="20"/>
              </w:rPr>
            </w:pPr>
            <w:r w:rsidRPr="000B275F">
              <w:rPr>
                <w:sz w:val="20"/>
                <w:szCs w:val="20"/>
              </w:rPr>
              <w:t xml:space="preserve"> 0.6 </w:t>
            </w:r>
          </w:p>
        </w:tc>
        <w:tc>
          <w:tcPr>
            <w:tcW w:w="834" w:type="dxa"/>
            <w:tcBorders>
              <w:top w:val="nil"/>
              <w:left w:val="nil"/>
              <w:bottom w:val="nil"/>
              <w:right w:val="nil"/>
            </w:tcBorders>
            <w:shd w:val="clear" w:color="auto" w:fill="EDEDED" w:themeFill="accent3" w:themeFillTint="33"/>
            <w:noWrap/>
            <w:hideMark/>
          </w:tcPr>
          <w:p w14:paraId="3A53375A" w14:textId="2DA1E182" w:rsidR="000B275F" w:rsidRPr="000B275F" w:rsidRDefault="000B275F" w:rsidP="000B275F">
            <w:pPr>
              <w:jc w:val="center"/>
              <w:rPr>
                <w:color w:val="000000"/>
                <w:sz w:val="20"/>
                <w:szCs w:val="20"/>
              </w:rPr>
            </w:pPr>
            <w:r w:rsidRPr="000B275F">
              <w:rPr>
                <w:sz w:val="20"/>
                <w:szCs w:val="20"/>
              </w:rPr>
              <w:t xml:space="preserve"> 0.2 </w:t>
            </w:r>
          </w:p>
        </w:tc>
      </w:tr>
      <w:tr w:rsidR="000B275F" w:rsidRPr="00487739" w14:paraId="1A413F41" w14:textId="77777777" w:rsidTr="00CF3012">
        <w:trPr>
          <w:trHeight w:val="266"/>
          <w:jc w:val="center"/>
        </w:trPr>
        <w:tc>
          <w:tcPr>
            <w:tcW w:w="2705" w:type="dxa"/>
            <w:tcBorders>
              <w:top w:val="nil"/>
              <w:left w:val="nil"/>
              <w:bottom w:val="single" w:sz="4" w:space="0" w:color="auto"/>
              <w:right w:val="nil"/>
            </w:tcBorders>
            <w:shd w:val="clear" w:color="auto" w:fill="EDEDED" w:themeFill="accent3" w:themeFillTint="33"/>
            <w:noWrap/>
            <w:vAlign w:val="bottom"/>
            <w:hideMark/>
          </w:tcPr>
          <w:p w14:paraId="1F59929A" w14:textId="77777777" w:rsidR="000B275F" w:rsidRPr="00487739" w:rsidRDefault="000B275F" w:rsidP="000B275F">
            <w:pPr>
              <w:rPr>
                <w:color w:val="000000"/>
                <w:sz w:val="20"/>
                <w:szCs w:val="20"/>
              </w:rPr>
            </w:pPr>
            <w:r w:rsidRPr="00487739">
              <w:rPr>
                <w:color w:val="000000"/>
                <w:sz w:val="20"/>
                <w:szCs w:val="20"/>
              </w:rPr>
              <w:t>Deuda</w:t>
            </w:r>
            <w:r>
              <w:rPr>
                <w:color w:val="000000"/>
                <w:sz w:val="20"/>
                <w:szCs w:val="20"/>
              </w:rPr>
              <w:t xml:space="preserve"> </w:t>
            </w:r>
            <w:r>
              <w:rPr>
                <w:color w:val="000000"/>
                <w:sz w:val="18"/>
                <w:szCs w:val="18"/>
              </w:rPr>
              <w:t>(% del PIB)</w:t>
            </w:r>
          </w:p>
        </w:tc>
        <w:tc>
          <w:tcPr>
            <w:tcW w:w="616" w:type="dxa"/>
            <w:tcBorders>
              <w:top w:val="nil"/>
              <w:left w:val="single" w:sz="4" w:space="0" w:color="auto"/>
              <w:bottom w:val="single" w:sz="4" w:space="0" w:color="auto"/>
              <w:right w:val="nil"/>
            </w:tcBorders>
            <w:shd w:val="clear" w:color="auto" w:fill="EDEDED" w:themeFill="accent3" w:themeFillTint="33"/>
            <w:noWrap/>
            <w:hideMark/>
          </w:tcPr>
          <w:p w14:paraId="4A59D4B8" w14:textId="74A0B604" w:rsidR="000B275F" w:rsidRPr="000B275F" w:rsidRDefault="000B275F" w:rsidP="000B275F">
            <w:pPr>
              <w:jc w:val="center"/>
              <w:rPr>
                <w:color w:val="000000"/>
                <w:sz w:val="20"/>
                <w:szCs w:val="20"/>
              </w:rPr>
            </w:pPr>
            <w:r w:rsidRPr="000B275F">
              <w:rPr>
                <w:sz w:val="20"/>
                <w:szCs w:val="20"/>
              </w:rPr>
              <w:t xml:space="preserve"> 29.2 </w:t>
            </w:r>
          </w:p>
        </w:tc>
        <w:tc>
          <w:tcPr>
            <w:tcW w:w="834" w:type="dxa"/>
            <w:tcBorders>
              <w:top w:val="nil"/>
              <w:left w:val="nil"/>
              <w:bottom w:val="single" w:sz="4" w:space="0" w:color="auto"/>
              <w:right w:val="nil"/>
            </w:tcBorders>
            <w:shd w:val="clear" w:color="auto" w:fill="EDEDED" w:themeFill="accent3" w:themeFillTint="33"/>
            <w:noWrap/>
            <w:hideMark/>
          </w:tcPr>
          <w:p w14:paraId="73426837" w14:textId="728B058B" w:rsidR="000B275F" w:rsidRPr="000B275F" w:rsidRDefault="000B275F" w:rsidP="000B275F">
            <w:pPr>
              <w:jc w:val="center"/>
              <w:rPr>
                <w:color w:val="000000"/>
                <w:sz w:val="20"/>
                <w:szCs w:val="20"/>
              </w:rPr>
            </w:pPr>
            <w:r w:rsidRPr="000B275F">
              <w:rPr>
                <w:sz w:val="20"/>
                <w:szCs w:val="20"/>
              </w:rPr>
              <w:t xml:space="preserve"> 28.4 </w:t>
            </w:r>
          </w:p>
        </w:tc>
        <w:tc>
          <w:tcPr>
            <w:tcW w:w="834" w:type="dxa"/>
            <w:tcBorders>
              <w:top w:val="nil"/>
              <w:left w:val="nil"/>
              <w:bottom w:val="single" w:sz="4" w:space="0" w:color="auto"/>
              <w:right w:val="nil"/>
            </w:tcBorders>
            <w:shd w:val="clear" w:color="auto" w:fill="EDEDED" w:themeFill="accent3" w:themeFillTint="33"/>
            <w:noWrap/>
            <w:hideMark/>
          </w:tcPr>
          <w:p w14:paraId="55A4E9DC" w14:textId="4554DD4B" w:rsidR="000B275F" w:rsidRPr="000B275F" w:rsidRDefault="000B275F" w:rsidP="000B275F">
            <w:pPr>
              <w:jc w:val="center"/>
              <w:rPr>
                <w:color w:val="000000"/>
                <w:sz w:val="20"/>
                <w:szCs w:val="20"/>
              </w:rPr>
            </w:pPr>
            <w:r w:rsidRPr="000B275F">
              <w:rPr>
                <w:sz w:val="20"/>
                <w:szCs w:val="20"/>
              </w:rPr>
              <w:t xml:space="preserve"> 28.1 </w:t>
            </w:r>
          </w:p>
        </w:tc>
        <w:tc>
          <w:tcPr>
            <w:tcW w:w="834" w:type="dxa"/>
            <w:tcBorders>
              <w:top w:val="nil"/>
              <w:left w:val="nil"/>
              <w:bottom w:val="single" w:sz="4" w:space="0" w:color="auto"/>
              <w:right w:val="nil"/>
            </w:tcBorders>
            <w:shd w:val="clear" w:color="auto" w:fill="EDEDED" w:themeFill="accent3" w:themeFillTint="33"/>
            <w:noWrap/>
            <w:hideMark/>
          </w:tcPr>
          <w:p w14:paraId="32AC7BB5" w14:textId="00AE960A" w:rsidR="000B275F" w:rsidRPr="000B275F" w:rsidRDefault="000B275F" w:rsidP="000B275F">
            <w:pPr>
              <w:jc w:val="center"/>
              <w:rPr>
                <w:color w:val="000000"/>
                <w:sz w:val="20"/>
                <w:szCs w:val="20"/>
              </w:rPr>
            </w:pPr>
            <w:r w:rsidRPr="000B275F">
              <w:rPr>
                <w:sz w:val="20"/>
                <w:szCs w:val="20"/>
              </w:rPr>
              <w:t xml:space="preserve"> 28.5 </w:t>
            </w:r>
          </w:p>
        </w:tc>
        <w:tc>
          <w:tcPr>
            <w:tcW w:w="834" w:type="dxa"/>
            <w:tcBorders>
              <w:top w:val="nil"/>
              <w:left w:val="nil"/>
              <w:bottom w:val="single" w:sz="4" w:space="0" w:color="auto"/>
              <w:right w:val="nil"/>
            </w:tcBorders>
            <w:shd w:val="clear" w:color="auto" w:fill="EDEDED" w:themeFill="accent3" w:themeFillTint="33"/>
            <w:noWrap/>
            <w:hideMark/>
          </w:tcPr>
          <w:p w14:paraId="1E129FFB" w14:textId="609AC7FE" w:rsidR="000B275F" w:rsidRPr="000B275F" w:rsidRDefault="000B275F" w:rsidP="000B275F">
            <w:pPr>
              <w:jc w:val="center"/>
              <w:rPr>
                <w:color w:val="000000"/>
                <w:sz w:val="20"/>
                <w:szCs w:val="20"/>
              </w:rPr>
            </w:pPr>
            <w:r w:rsidRPr="000B275F">
              <w:rPr>
                <w:sz w:val="20"/>
                <w:szCs w:val="20"/>
              </w:rPr>
              <w:t xml:space="preserve"> 27.9 </w:t>
            </w:r>
          </w:p>
        </w:tc>
        <w:tc>
          <w:tcPr>
            <w:tcW w:w="834" w:type="dxa"/>
            <w:tcBorders>
              <w:top w:val="nil"/>
              <w:left w:val="nil"/>
              <w:bottom w:val="single" w:sz="4" w:space="0" w:color="auto"/>
              <w:right w:val="nil"/>
            </w:tcBorders>
            <w:shd w:val="clear" w:color="auto" w:fill="EDEDED" w:themeFill="accent3" w:themeFillTint="33"/>
            <w:noWrap/>
            <w:hideMark/>
          </w:tcPr>
          <w:p w14:paraId="4B900FC3" w14:textId="25B44911" w:rsidR="000B275F" w:rsidRPr="000B275F" w:rsidRDefault="000B275F" w:rsidP="000B275F">
            <w:pPr>
              <w:jc w:val="center"/>
              <w:rPr>
                <w:color w:val="000000"/>
                <w:sz w:val="20"/>
                <w:szCs w:val="20"/>
              </w:rPr>
            </w:pPr>
            <w:r w:rsidRPr="000B275F">
              <w:rPr>
                <w:sz w:val="20"/>
                <w:szCs w:val="20"/>
              </w:rPr>
              <w:t xml:space="preserve"> 26.8 </w:t>
            </w:r>
          </w:p>
        </w:tc>
        <w:tc>
          <w:tcPr>
            <w:tcW w:w="834" w:type="dxa"/>
            <w:tcBorders>
              <w:top w:val="nil"/>
              <w:left w:val="nil"/>
              <w:bottom w:val="single" w:sz="4" w:space="0" w:color="auto"/>
              <w:right w:val="nil"/>
            </w:tcBorders>
            <w:shd w:val="clear" w:color="auto" w:fill="EDEDED" w:themeFill="accent3" w:themeFillTint="33"/>
            <w:noWrap/>
            <w:hideMark/>
          </w:tcPr>
          <w:p w14:paraId="70B992CA" w14:textId="6219A2B2" w:rsidR="000B275F" w:rsidRPr="000B275F" w:rsidRDefault="000B275F" w:rsidP="000B275F">
            <w:pPr>
              <w:jc w:val="center"/>
              <w:rPr>
                <w:color w:val="000000"/>
                <w:sz w:val="20"/>
                <w:szCs w:val="20"/>
              </w:rPr>
            </w:pPr>
            <w:r w:rsidRPr="000B275F">
              <w:rPr>
                <w:sz w:val="20"/>
                <w:szCs w:val="20"/>
              </w:rPr>
              <w:t xml:space="preserve"> 25.4 </w:t>
            </w:r>
          </w:p>
        </w:tc>
      </w:tr>
    </w:tbl>
    <w:bookmarkEnd w:id="88"/>
    <w:p w14:paraId="54245B6E" w14:textId="4B3ED960" w:rsidR="005F38A6" w:rsidRDefault="005F38A6" w:rsidP="005F38A6">
      <w:pPr>
        <w:jc w:val="both"/>
        <w:rPr>
          <w:sz w:val="16"/>
          <w:szCs w:val="16"/>
        </w:rPr>
      </w:pPr>
      <w:r w:rsidRPr="00B150B0">
        <w:rPr>
          <w:sz w:val="16"/>
          <w:szCs w:val="16"/>
        </w:rPr>
        <w:t xml:space="preserve">         Fuente: Ministerio de Finanzas</w:t>
      </w:r>
    </w:p>
    <w:p w14:paraId="45261B28" w14:textId="61EC9ADB" w:rsidR="003F375D" w:rsidRDefault="003F375D" w:rsidP="005F38A6">
      <w:pPr>
        <w:jc w:val="both"/>
        <w:rPr>
          <w:sz w:val="16"/>
          <w:szCs w:val="16"/>
        </w:rPr>
      </w:pPr>
    </w:p>
    <w:p w14:paraId="4CFDAEC8" w14:textId="77777777" w:rsidR="003F375D" w:rsidRPr="00B150B0" w:rsidRDefault="003F375D" w:rsidP="005F38A6">
      <w:pPr>
        <w:jc w:val="both"/>
        <w:rPr>
          <w:sz w:val="16"/>
          <w:szCs w:val="16"/>
        </w:rPr>
      </w:pPr>
    </w:p>
    <w:p w14:paraId="1F8D1738" w14:textId="77777777" w:rsidR="005F38A6" w:rsidRPr="00987058" w:rsidRDefault="005F38A6" w:rsidP="005F07F9">
      <w:pPr>
        <w:pStyle w:val="Ttulo2"/>
        <w:numPr>
          <w:ilvl w:val="1"/>
          <w:numId w:val="35"/>
        </w:numPr>
        <w:tabs>
          <w:tab w:val="left" w:pos="567"/>
        </w:tabs>
        <w:ind w:left="426" w:hanging="284"/>
        <w:rPr>
          <w:bCs/>
        </w:rPr>
      </w:pPr>
      <w:bookmarkStart w:id="89" w:name="_Toc144114361"/>
      <w:r w:rsidRPr="00987058">
        <w:rPr>
          <w:bCs/>
        </w:rPr>
        <w:t>Riesgos asociados al tipo de cambio</w:t>
      </w:r>
      <w:bookmarkEnd w:id="89"/>
    </w:p>
    <w:p w14:paraId="02C08BED" w14:textId="77777777" w:rsidR="005F38A6" w:rsidRPr="00380532" w:rsidRDefault="005F38A6" w:rsidP="005F38A6">
      <w:pPr>
        <w:rPr>
          <w:b/>
          <w:bCs/>
        </w:rPr>
      </w:pPr>
    </w:p>
    <w:p w14:paraId="2FC4A8A3" w14:textId="77777777" w:rsidR="005F38A6" w:rsidRDefault="005F38A6" w:rsidP="005F38A6">
      <w:pPr>
        <w:jc w:val="both"/>
        <w:rPr>
          <w:rFonts w:eastAsiaTheme="minorEastAsia"/>
        </w:rPr>
      </w:pPr>
      <w:r w:rsidRPr="0037756D">
        <w:rPr>
          <w:rFonts w:eastAsiaTheme="minorEastAsia"/>
        </w:rPr>
        <w:t xml:space="preserve">En Guatemala el tipo de cambio es determinado por la interacción entre oferta y demanda en el mercado cambiario, por lo que está expuesto a </w:t>
      </w:r>
      <w:r>
        <w:rPr>
          <w:rFonts w:eastAsiaTheme="minorEastAsia"/>
        </w:rPr>
        <w:t>las variaciones</w:t>
      </w:r>
      <w:r w:rsidRPr="0037756D">
        <w:rPr>
          <w:rFonts w:eastAsiaTheme="minorEastAsia"/>
        </w:rPr>
        <w:t xml:space="preserve"> en los flujos del mercado cambiario</w:t>
      </w:r>
      <w:r>
        <w:rPr>
          <w:rFonts w:eastAsiaTheme="minorEastAsia"/>
        </w:rPr>
        <w:t>. Estas variaciones tienen un efecto en las variables fiscales, de forma directa sobre la recaudación, sobre el saldo de la deuda en moneda extranjera, en el pago de los intereses y sobre lo importado por el gobierno, y de forma indirecta por la afectación de la demanda agregada, la competitividad en el comercio internacional, la inflación, entre otros.</w:t>
      </w:r>
    </w:p>
    <w:p w14:paraId="26864F22" w14:textId="77777777" w:rsidR="005F38A6" w:rsidRDefault="005F38A6" w:rsidP="005F38A6">
      <w:pPr>
        <w:jc w:val="both"/>
        <w:rPr>
          <w:rFonts w:eastAsiaTheme="minorEastAsia"/>
        </w:rPr>
      </w:pPr>
    </w:p>
    <w:p w14:paraId="099694A3" w14:textId="77777777" w:rsidR="005F38A6" w:rsidRPr="00101F7D" w:rsidRDefault="005F38A6" w:rsidP="005F38A6">
      <w:pPr>
        <w:jc w:val="both"/>
        <w:rPr>
          <w:rFonts w:eastAsiaTheme="minorEastAsia"/>
        </w:rPr>
      </w:pPr>
      <w:r>
        <w:rPr>
          <w:lang w:val="es-MX"/>
        </w:rPr>
        <w:t xml:space="preserve">En el largo plazo el tipo de cambio nominal ha mostrado una </w:t>
      </w:r>
      <w:r w:rsidRPr="00211577">
        <w:rPr>
          <w:lang w:val="es-MX"/>
        </w:rPr>
        <w:t>leve apreciación</w:t>
      </w:r>
      <w:r>
        <w:rPr>
          <w:lang w:val="es-MX"/>
        </w:rPr>
        <w:t>,</w:t>
      </w:r>
      <w:r w:rsidRPr="00211577">
        <w:rPr>
          <w:lang w:val="es-MX"/>
        </w:rPr>
        <w:t xml:space="preserve"> del 2001 al 2022 </w:t>
      </w:r>
      <w:r>
        <w:rPr>
          <w:lang w:val="es-MX"/>
        </w:rPr>
        <w:t>este</w:t>
      </w:r>
      <w:r w:rsidRPr="00211577">
        <w:rPr>
          <w:lang w:val="es-MX"/>
        </w:rPr>
        <w:t xml:space="preserve"> presentó una apreciación de 1.9%. En </w:t>
      </w:r>
      <w:r>
        <w:rPr>
          <w:lang w:val="es-MX"/>
        </w:rPr>
        <w:t>plazos definidos</w:t>
      </w:r>
      <w:r w:rsidRPr="00211577">
        <w:rPr>
          <w:lang w:val="es-MX"/>
        </w:rPr>
        <w:t xml:space="preserve"> han existido periodos en los cuales la depreciación ha sido alta, tal fue</w:t>
      </w:r>
      <w:r w:rsidRPr="00CC294F">
        <w:rPr>
          <w:lang w:val="es-MX"/>
        </w:rPr>
        <w:t xml:space="preserve"> el caso del 2009</w:t>
      </w:r>
      <w:r>
        <w:rPr>
          <w:lang w:val="es-MX"/>
        </w:rPr>
        <w:t xml:space="preserve"> (7.4%)</w:t>
      </w:r>
      <w:r w:rsidRPr="00CC294F">
        <w:rPr>
          <w:lang w:val="es-MX"/>
        </w:rPr>
        <w:t xml:space="preserve"> por los efectos de la crisis económica y en 2018 </w:t>
      </w:r>
      <w:r>
        <w:rPr>
          <w:lang w:val="es-MX"/>
        </w:rPr>
        <w:t xml:space="preserve">(5.3%) </w:t>
      </w:r>
      <w:r w:rsidRPr="00CC294F">
        <w:rPr>
          <w:lang w:val="es-MX"/>
        </w:rPr>
        <w:t xml:space="preserve">por la normalización del tipo de cambio después de la fuerte apreciación del 2017. </w:t>
      </w:r>
    </w:p>
    <w:p w14:paraId="70D0D70D" w14:textId="77777777" w:rsidR="005F38A6" w:rsidRDefault="005F38A6" w:rsidP="005F38A6">
      <w:pPr>
        <w:ind w:right="49"/>
        <w:jc w:val="both"/>
        <w:rPr>
          <w:lang w:val="es-MX"/>
        </w:rPr>
      </w:pPr>
    </w:p>
    <w:tbl>
      <w:tblPr>
        <w:tblpPr w:leftFromText="141" w:rightFromText="141" w:vertAnchor="text" w:horzAnchor="margin" w:tblpXSpec="center" w:tblpY="8"/>
        <w:tblW w:w="0" w:type="auto"/>
        <w:tblLook w:val="04A0" w:firstRow="1" w:lastRow="0" w:firstColumn="1" w:lastColumn="0" w:noHBand="0" w:noVBand="1"/>
      </w:tblPr>
      <w:tblGrid>
        <w:gridCol w:w="4426"/>
        <w:gridCol w:w="4379"/>
      </w:tblGrid>
      <w:tr w:rsidR="005F38A6" w14:paraId="2E8DF628" w14:textId="77777777" w:rsidTr="00885487">
        <w:trPr>
          <w:trHeight w:val="293"/>
        </w:trPr>
        <w:tc>
          <w:tcPr>
            <w:tcW w:w="8805" w:type="dxa"/>
            <w:gridSpan w:val="2"/>
          </w:tcPr>
          <w:p w14:paraId="51AE80BF" w14:textId="5BA99079" w:rsidR="005F38A6" w:rsidRPr="00411D33" w:rsidRDefault="00B150B0" w:rsidP="00CF3012">
            <w:pPr>
              <w:pStyle w:val="Descripcin"/>
              <w:rPr>
                <w:color w:val="auto"/>
              </w:rPr>
            </w:pPr>
            <w:bookmarkStart w:id="90" w:name="_Toc143593576"/>
            <w:r w:rsidRPr="00B150B0">
              <w:rPr>
                <w:color w:val="auto"/>
              </w:rPr>
              <w:t xml:space="preserve">Gráfico </w:t>
            </w:r>
            <w:r w:rsidRPr="00B150B0">
              <w:rPr>
                <w:color w:val="auto"/>
              </w:rPr>
              <w:fldChar w:fldCharType="begin"/>
            </w:r>
            <w:r w:rsidRPr="00B150B0">
              <w:rPr>
                <w:color w:val="auto"/>
              </w:rPr>
              <w:instrText xml:space="preserve"> SEQ Gráfico \* ARABIC </w:instrText>
            </w:r>
            <w:r w:rsidRPr="00B150B0">
              <w:rPr>
                <w:color w:val="auto"/>
              </w:rPr>
              <w:fldChar w:fldCharType="separate"/>
            </w:r>
            <w:r w:rsidR="00A62AFA">
              <w:rPr>
                <w:noProof/>
                <w:color w:val="auto"/>
              </w:rPr>
              <w:t>18</w:t>
            </w:r>
            <w:r w:rsidRPr="00B150B0">
              <w:rPr>
                <w:color w:val="auto"/>
              </w:rPr>
              <w:fldChar w:fldCharType="end"/>
            </w:r>
            <w:r w:rsidRPr="00B150B0">
              <w:rPr>
                <w:color w:val="auto"/>
              </w:rPr>
              <w:t xml:space="preserve">. </w:t>
            </w:r>
            <w:r w:rsidRPr="00B150B0">
              <w:rPr>
                <w:color w:val="auto"/>
                <w:sz w:val="22"/>
                <w:szCs w:val="22"/>
              </w:rPr>
              <w:t xml:space="preserve"> Tipo de Cambio (Quetzales X 1.00US dólares)</w:t>
            </w:r>
            <w:bookmarkEnd w:id="90"/>
          </w:p>
        </w:tc>
      </w:tr>
      <w:tr w:rsidR="005F38A6" w14:paraId="453D916B" w14:textId="77777777" w:rsidTr="00885487">
        <w:trPr>
          <w:trHeight w:val="293"/>
        </w:trPr>
        <w:tc>
          <w:tcPr>
            <w:tcW w:w="4426" w:type="dxa"/>
          </w:tcPr>
          <w:p w14:paraId="77390693" w14:textId="77777777" w:rsidR="003F375D" w:rsidRDefault="003F375D" w:rsidP="00CF3012">
            <w:pPr>
              <w:jc w:val="center"/>
              <w:rPr>
                <w:rFonts w:eastAsiaTheme="minorEastAsia"/>
                <w:b/>
                <w:color w:val="000000" w:themeColor="text1"/>
              </w:rPr>
            </w:pPr>
          </w:p>
          <w:p w14:paraId="17291D0C" w14:textId="7A53ADA2" w:rsidR="005F38A6" w:rsidRPr="00CF3012" w:rsidRDefault="005F38A6" w:rsidP="00CF3012">
            <w:pPr>
              <w:jc w:val="center"/>
              <w:rPr>
                <w:rFonts w:eastAsiaTheme="minorEastAsia"/>
                <w:b/>
                <w:color w:val="000000" w:themeColor="text1"/>
              </w:rPr>
            </w:pPr>
            <w:r w:rsidRPr="00CF3012">
              <w:rPr>
                <w:rFonts w:eastAsiaTheme="minorEastAsia"/>
                <w:b/>
                <w:color w:val="000000" w:themeColor="text1"/>
              </w:rPr>
              <w:t>Estadísticas descriptivas del tipo de cambio diario de referencia</w:t>
            </w:r>
          </w:p>
        </w:tc>
        <w:tc>
          <w:tcPr>
            <w:tcW w:w="4378" w:type="dxa"/>
          </w:tcPr>
          <w:p w14:paraId="59494AFC" w14:textId="77777777" w:rsidR="003F375D" w:rsidRDefault="003F375D" w:rsidP="00CF3012">
            <w:pPr>
              <w:jc w:val="center"/>
              <w:rPr>
                <w:rFonts w:eastAsiaTheme="minorEastAsia"/>
                <w:b/>
                <w:color w:val="000000" w:themeColor="text1"/>
              </w:rPr>
            </w:pPr>
          </w:p>
          <w:p w14:paraId="1F4C17E6" w14:textId="61BE36CD" w:rsidR="005F38A6" w:rsidRPr="00CF3012" w:rsidRDefault="005F38A6" w:rsidP="00CF3012">
            <w:pPr>
              <w:jc w:val="center"/>
              <w:rPr>
                <w:rFonts w:eastAsiaTheme="minorEastAsia"/>
                <w:b/>
                <w:color w:val="000000" w:themeColor="text1"/>
              </w:rPr>
            </w:pPr>
            <w:r w:rsidRPr="00CF3012">
              <w:rPr>
                <w:rFonts w:eastAsiaTheme="minorEastAsia"/>
                <w:b/>
                <w:color w:val="000000" w:themeColor="text1"/>
              </w:rPr>
              <w:t>Depreciación o apreciación del tipo de cambio</w:t>
            </w:r>
          </w:p>
        </w:tc>
      </w:tr>
      <w:tr w:rsidR="005F38A6" w14:paraId="0EFEB895" w14:textId="77777777" w:rsidTr="00885487">
        <w:tblPrEx>
          <w:tblCellMar>
            <w:left w:w="70" w:type="dxa"/>
            <w:right w:w="70" w:type="dxa"/>
          </w:tblCellMar>
        </w:tblPrEx>
        <w:trPr>
          <w:trHeight w:val="2695"/>
        </w:trPr>
        <w:tc>
          <w:tcPr>
            <w:tcW w:w="4426" w:type="dxa"/>
          </w:tcPr>
          <w:p w14:paraId="66009EEB" w14:textId="77777777" w:rsidR="005F38A6" w:rsidRDefault="005F38A6" w:rsidP="006A7377">
            <w:pPr>
              <w:jc w:val="both"/>
              <w:rPr>
                <w:rFonts w:eastAsiaTheme="minorEastAsia"/>
                <w:color w:val="000000" w:themeColor="text1"/>
              </w:rPr>
            </w:pPr>
            <w:r w:rsidRPr="0090118F">
              <w:rPr>
                <w:rFonts w:eastAsiaTheme="minorEastAsia"/>
                <w:noProof/>
                <w:color w:val="000000" w:themeColor="text1"/>
              </w:rPr>
              <w:drawing>
                <wp:inline distT="0" distB="0" distL="0" distR="0" wp14:anchorId="58FD9AED" wp14:editId="423C3121">
                  <wp:extent cx="2638255" cy="1631092"/>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9176" cy="1644026"/>
                          </a:xfrm>
                          <a:prstGeom prst="rect">
                            <a:avLst/>
                          </a:prstGeom>
                          <a:noFill/>
                          <a:ln>
                            <a:noFill/>
                          </a:ln>
                        </pic:spPr>
                      </pic:pic>
                    </a:graphicData>
                  </a:graphic>
                </wp:inline>
              </w:drawing>
            </w:r>
          </w:p>
        </w:tc>
        <w:tc>
          <w:tcPr>
            <w:tcW w:w="4378" w:type="dxa"/>
          </w:tcPr>
          <w:p w14:paraId="40DD9089" w14:textId="77777777" w:rsidR="005F38A6" w:rsidRDefault="005F38A6" w:rsidP="006A7377">
            <w:pPr>
              <w:jc w:val="both"/>
              <w:rPr>
                <w:rFonts w:eastAsiaTheme="minorEastAsia"/>
                <w:color w:val="000000" w:themeColor="text1"/>
              </w:rPr>
            </w:pPr>
            <w:r>
              <w:rPr>
                <w:noProof/>
              </w:rPr>
              <w:drawing>
                <wp:inline distT="0" distB="0" distL="0" distR="0" wp14:anchorId="2D15112F" wp14:editId="7B6646EB">
                  <wp:extent cx="2687320" cy="1705233"/>
                  <wp:effectExtent l="0" t="0" r="0" b="0"/>
                  <wp:docPr id="19" name="Gráfico 19">
                    <a:extLst xmlns:a="http://schemas.openxmlformats.org/drawingml/2006/main">
                      <a:ext uri="{FF2B5EF4-FFF2-40B4-BE49-F238E27FC236}">
                        <a16:creationId xmlns:a16="http://schemas.microsoft.com/office/drawing/2014/main" id="{00000000-0008-0000-2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5F38A6" w14:paraId="43E6A431" w14:textId="77777777" w:rsidTr="00885487">
        <w:trPr>
          <w:trHeight w:val="146"/>
        </w:trPr>
        <w:tc>
          <w:tcPr>
            <w:tcW w:w="8805" w:type="dxa"/>
            <w:gridSpan w:val="2"/>
          </w:tcPr>
          <w:p w14:paraId="5CFBD351" w14:textId="77777777" w:rsidR="005F38A6" w:rsidRPr="000438E8" w:rsidRDefault="005F38A6" w:rsidP="006A7377">
            <w:pPr>
              <w:jc w:val="both"/>
              <w:rPr>
                <w:rFonts w:eastAsiaTheme="minorEastAsia"/>
                <w:color w:val="000000" w:themeColor="text1"/>
                <w:sz w:val="16"/>
                <w:szCs w:val="16"/>
              </w:rPr>
            </w:pPr>
            <w:r w:rsidRPr="000438E8">
              <w:rPr>
                <w:rFonts w:eastAsiaTheme="minorEastAsia"/>
                <w:color w:val="000000" w:themeColor="text1"/>
                <w:sz w:val="16"/>
                <w:szCs w:val="16"/>
              </w:rPr>
              <w:t xml:space="preserve">Fuente: Dirección de Análisis y Política Fiscal con información de </w:t>
            </w:r>
            <w:proofErr w:type="spellStart"/>
            <w:r w:rsidRPr="000438E8">
              <w:rPr>
                <w:rFonts w:eastAsiaTheme="minorEastAsia"/>
                <w:color w:val="000000" w:themeColor="text1"/>
                <w:sz w:val="16"/>
                <w:szCs w:val="16"/>
              </w:rPr>
              <w:t>Banguat</w:t>
            </w:r>
            <w:proofErr w:type="spellEnd"/>
            <w:r w:rsidRPr="000438E8">
              <w:rPr>
                <w:rFonts w:eastAsiaTheme="minorEastAsia"/>
                <w:color w:val="000000" w:themeColor="text1"/>
                <w:sz w:val="16"/>
                <w:szCs w:val="16"/>
              </w:rPr>
              <w:t>.</w:t>
            </w:r>
          </w:p>
        </w:tc>
      </w:tr>
    </w:tbl>
    <w:p w14:paraId="0235B682" w14:textId="77777777" w:rsidR="005F38A6" w:rsidRPr="009C7C94" w:rsidRDefault="005F38A6" w:rsidP="005F38A6">
      <w:pPr>
        <w:ind w:right="49"/>
        <w:jc w:val="both"/>
      </w:pPr>
    </w:p>
    <w:p w14:paraId="6AC340BA" w14:textId="65F50CA9" w:rsidR="005F38A6" w:rsidRDefault="005F38A6" w:rsidP="000438E8">
      <w:pPr>
        <w:jc w:val="both"/>
        <w:rPr>
          <w:lang w:val="es-MX"/>
        </w:rPr>
      </w:pPr>
      <w:r>
        <w:rPr>
          <w:lang w:val="es-MX"/>
        </w:rPr>
        <w:t>En general el tipo de cambio ha tenido un comportamiento estable desde el 2001. No obstante,</w:t>
      </w:r>
      <w:r w:rsidRPr="00D8636D">
        <w:rPr>
          <w:lang w:val="es-MX"/>
        </w:rPr>
        <w:t xml:space="preserve"> </w:t>
      </w:r>
      <w:r w:rsidRPr="00101F7D">
        <w:rPr>
          <w:lang w:val="es-MX"/>
        </w:rPr>
        <w:t xml:space="preserve">se realizará un análisis de como una apreciación del 10.0% puede afectar el monto </w:t>
      </w:r>
      <w:r w:rsidRPr="00101F7D">
        <w:rPr>
          <w:lang w:val="es-MX"/>
        </w:rPr>
        <w:lastRenderedPageBreak/>
        <w:t>de la recaudación tributaria esperada en el ejercicio fiscal de 2024. Además, de como una posible depreciación del 10.0% puede afectar el saldo de la deuda proyectado para 2024 y el pago de intereses.</w:t>
      </w:r>
    </w:p>
    <w:p w14:paraId="5F9705D9" w14:textId="77777777" w:rsidR="005F38A6" w:rsidRDefault="005F38A6" w:rsidP="005F38A6">
      <w:pPr>
        <w:rPr>
          <w:lang w:val="es-MX"/>
        </w:rPr>
      </w:pPr>
    </w:p>
    <w:p w14:paraId="3FC82D59" w14:textId="77777777" w:rsidR="005F38A6" w:rsidRPr="00987058" w:rsidRDefault="005F38A6" w:rsidP="00CC7591">
      <w:pPr>
        <w:pStyle w:val="Ttulo2"/>
        <w:numPr>
          <w:ilvl w:val="2"/>
          <w:numId w:val="35"/>
        </w:numPr>
        <w:ind w:left="426" w:hanging="284"/>
        <w:rPr>
          <w:bCs/>
        </w:rPr>
      </w:pPr>
      <w:bookmarkStart w:id="91" w:name="_Toc144114362"/>
      <w:r>
        <w:rPr>
          <w:bCs/>
        </w:rPr>
        <w:t>Impacto de una</w:t>
      </w:r>
      <w:r w:rsidRPr="000F1E27">
        <w:rPr>
          <w:bCs/>
        </w:rPr>
        <w:t xml:space="preserve"> apreciación</w:t>
      </w:r>
      <w:r>
        <w:rPr>
          <w:bCs/>
        </w:rPr>
        <w:t xml:space="preserve"> en las cuentas fiscales</w:t>
      </w:r>
      <w:bookmarkEnd w:id="91"/>
    </w:p>
    <w:p w14:paraId="7D808F29" w14:textId="77777777" w:rsidR="005F38A6" w:rsidRPr="000F1E27" w:rsidRDefault="005F38A6" w:rsidP="005F38A6">
      <w:pPr>
        <w:ind w:left="851"/>
        <w:jc w:val="both"/>
        <w:rPr>
          <w:b/>
          <w:bCs/>
        </w:rPr>
      </w:pPr>
    </w:p>
    <w:p w14:paraId="4801244F" w14:textId="77777777" w:rsidR="005F38A6" w:rsidRPr="00FD30BC" w:rsidRDefault="005F38A6" w:rsidP="005F07F9">
      <w:pPr>
        <w:pStyle w:val="Ttulo2"/>
        <w:numPr>
          <w:ilvl w:val="3"/>
          <w:numId w:val="35"/>
        </w:numPr>
        <w:tabs>
          <w:tab w:val="left" w:pos="993"/>
        </w:tabs>
        <w:ind w:left="567" w:hanging="283"/>
        <w:rPr>
          <w:bCs/>
        </w:rPr>
      </w:pPr>
      <w:bookmarkStart w:id="92" w:name="_Toc144114363"/>
      <w:r w:rsidRPr="00FA4202">
        <w:rPr>
          <w:bCs/>
        </w:rPr>
        <w:t>Impacto en la recaudación</w:t>
      </w:r>
      <w:bookmarkEnd w:id="92"/>
    </w:p>
    <w:p w14:paraId="6EDAD3D2" w14:textId="77777777" w:rsidR="005F38A6" w:rsidRPr="00FA4202" w:rsidRDefault="005F38A6" w:rsidP="005F38A6">
      <w:pPr>
        <w:jc w:val="both"/>
        <w:rPr>
          <w:b/>
          <w:bCs/>
        </w:rPr>
      </w:pPr>
    </w:p>
    <w:p w14:paraId="5BFD196C" w14:textId="29BAA9E3" w:rsidR="005F38A6" w:rsidRDefault="005F38A6" w:rsidP="005F38A6">
      <w:pPr>
        <w:jc w:val="both"/>
      </w:pPr>
      <w:r w:rsidRPr="002A5547">
        <w:t>En el año 2024 se espera que la tasa de crecimiento de las importaciones se ubique en 6.0% y del IVA importaciones</w:t>
      </w:r>
      <w:r>
        <w:t>,</w:t>
      </w:r>
      <w:r w:rsidRPr="002A5547">
        <w:t xml:space="preserve"> recaudación </w:t>
      </w:r>
      <w:r w:rsidR="003F375D">
        <w:t xml:space="preserve">obtenida </w:t>
      </w:r>
      <w:r w:rsidRPr="002A5547">
        <w:t>de</w:t>
      </w:r>
      <w:r w:rsidR="003F375D">
        <w:t>l</w:t>
      </w:r>
      <w:r w:rsidRPr="002A5547">
        <w:t xml:space="preserve"> territorio aduanero</w:t>
      </w:r>
      <w:r>
        <w:t>,</w:t>
      </w:r>
      <w:r w:rsidRPr="002A5547">
        <w:t xml:space="preserve"> se espera un monto aproximado de Q26,</w:t>
      </w:r>
      <w:r w:rsidR="006C6819">
        <w:t>660.5</w:t>
      </w:r>
      <w:r w:rsidR="003F375D">
        <w:t>,</w:t>
      </w:r>
      <w:r w:rsidR="006C6819">
        <w:t xml:space="preserve"> </w:t>
      </w:r>
      <w:r w:rsidRPr="002A5547">
        <w:t>en el escenario base. Pero de existir una fuerte apreciación del tipo de cambio, debido a un aumento de las exportaciones o una disminución de las importaciones, un aumento considerable en el flujo de remesas, entre otros, el IVA recaudado disminuiría, debido a la disminución de</w:t>
      </w:r>
      <w:r w:rsidR="003F375D">
        <w:t>l valor de</w:t>
      </w:r>
      <w:r w:rsidRPr="002A5547">
        <w:t xml:space="preserve"> las importaciones en quetzales que reduce la base imponible del impuesto. </w:t>
      </w:r>
    </w:p>
    <w:p w14:paraId="17C52113" w14:textId="77777777" w:rsidR="005F38A6" w:rsidRPr="002A5547" w:rsidRDefault="005F38A6" w:rsidP="005F38A6">
      <w:pPr>
        <w:jc w:val="both"/>
      </w:pPr>
    </w:p>
    <w:p w14:paraId="00928B68" w14:textId="182FE406" w:rsidR="005F38A6" w:rsidRDefault="005F38A6" w:rsidP="005F38A6">
      <w:pPr>
        <w:jc w:val="both"/>
      </w:pPr>
      <w:r>
        <w:t xml:space="preserve">En el escenario base se prevé que el tipo de cambio tenga un leve impacto </w:t>
      </w:r>
      <w:r w:rsidR="00636619">
        <w:t>negativo</w:t>
      </w:r>
      <w:r>
        <w:t xml:space="preserve"> en la recaudación debido </w:t>
      </w:r>
      <w:r w:rsidR="003F375D">
        <w:t xml:space="preserve">a </w:t>
      </w:r>
      <w:r>
        <w:t xml:space="preserve">la </w:t>
      </w:r>
      <w:r w:rsidR="00636619">
        <w:t>apreciación</w:t>
      </w:r>
      <w:r>
        <w:t xml:space="preserve"> esperada. No obstante, ante</w:t>
      </w:r>
      <w:r w:rsidRPr="002A5547">
        <w:t xml:space="preserve"> una apreciación del 10.0% respecto al escenario base, la recaudación esperada disminuiría en la misma proporción y se ubicaría alrededor de Q</w:t>
      </w:r>
      <w:r>
        <w:t>2,725.8</w:t>
      </w:r>
      <w:r w:rsidRPr="002A5547">
        <w:t xml:space="preserve"> millones</w:t>
      </w:r>
      <w:r>
        <w:t>,</w:t>
      </w:r>
      <w:r w:rsidRPr="002A5547">
        <w:t xml:space="preserve"> representando una reducción de 0.3% con respecto al PIB.</w:t>
      </w:r>
    </w:p>
    <w:p w14:paraId="10FABC6C" w14:textId="77777777" w:rsidR="005F38A6" w:rsidRPr="002A5547" w:rsidRDefault="005F38A6" w:rsidP="005F38A6">
      <w:pPr>
        <w:jc w:val="both"/>
      </w:pPr>
    </w:p>
    <w:p w14:paraId="7E1B3214" w14:textId="0C7F706A" w:rsidR="005F38A6" w:rsidRPr="000438E8" w:rsidRDefault="000438E8" w:rsidP="000438E8">
      <w:pPr>
        <w:pStyle w:val="Descripcin"/>
        <w:keepNext/>
        <w:rPr>
          <w:color w:val="auto"/>
        </w:rPr>
      </w:pPr>
      <w:bookmarkStart w:id="93" w:name="_Toc143593512"/>
      <w:r w:rsidRPr="000438E8">
        <w:rPr>
          <w:color w:val="auto"/>
        </w:rPr>
        <w:t xml:space="preserve">Tabla </w:t>
      </w:r>
      <w:r w:rsidRPr="000438E8">
        <w:rPr>
          <w:color w:val="auto"/>
        </w:rPr>
        <w:fldChar w:fldCharType="begin"/>
      </w:r>
      <w:r w:rsidRPr="000438E8">
        <w:rPr>
          <w:color w:val="auto"/>
        </w:rPr>
        <w:instrText xml:space="preserve"> SEQ Tabla \* ARABIC </w:instrText>
      </w:r>
      <w:r w:rsidRPr="000438E8">
        <w:rPr>
          <w:color w:val="auto"/>
        </w:rPr>
        <w:fldChar w:fldCharType="separate"/>
      </w:r>
      <w:r w:rsidR="00A62AFA">
        <w:rPr>
          <w:noProof/>
          <w:color w:val="auto"/>
        </w:rPr>
        <w:t>10</w:t>
      </w:r>
      <w:r w:rsidRPr="000438E8">
        <w:rPr>
          <w:color w:val="auto"/>
        </w:rPr>
        <w:fldChar w:fldCharType="end"/>
      </w:r>
      <w:r w:rsidRPr="000438E8">
        <w:rPr>
          <w:color w:val="auto"/>
        </w:rPr>
        <w:t xml:space="preserve">.  </w:t>
      </w:r>
      <w:r w:rsidR="005F38A6" w:rsidRPr="000438E8">
        <w:rPr>
          <w:bCs/>
          <w:color w:val="auto"/>
        </w:rPr>
        <w:t>Impacto en la recaudación del IVA importaciones por una apreciación del 10.0% con respecto al escenario de presupuesto</w:t>
      </w:r>
      <w:bookmarkEnd w:id="93"/>
    </w:p>
    <w:tbl>
      <w:tblPr>
        <w:tblW w:w="8802" w:type="dxa"/>
        <w:jc w:val="center"/>
        <w:tblCellMar>
          <w:left w:w="70" w:type="dxa"/>
          <w:right w:w="70" w:type="dxa"/>
        </w:tblCellMar>
        <w:tblLook w:val="04A0" w:firstRow="1" w:lastRow="0" w:firstColumn="1" w:lastColumn="0" w:noHBand="0" w:noVBand="1"/>
      </w:tblPr>
      <w:tblGrid>
        <w:gridCol w:w="2765"/>
        <w:gridCol w:w="1123"/>
        <w:gridCol w:w="1204"/>
        <w:gridCol w:w="1070"/>
        <w:gridCol w:w="1445"/>
        <w:gridCol w:w="1195"/>
      </w:tblGrid>
      <w:tr w:rsidR="005F38A6" w:rsidRPr="002A5547" w14:paraId="08820551" w14:textId="77777777" w:rsidTr="00885487">
        <w:trPr>
          <w:trHeight w:val="814"/>
          <w:jc w:val="center"/>
        </w:trPr>
        <w:tc>
          <w:tcPr>
            <w:tcW w:w="2765" w:type="dxa"/>
            <w:tcBorders>
              <w:top w:val="single" w:sz="4" w:space="0" w:color="auto"/>
              <w:left w:val="nil"/>
              <w:bottom w:val="double" w:sz="6" w:space="0" w:color="auto"/>
              <w:right w:val="nil"/>
            </w:tcBorders>
            <w:shd w:val="clear" w:color="auto" w:fill="auto"/>
            <w:vAlign w:val="center"/>
            <w:hideMark/>
          </w:tcPr>
          <w:p w14:paraId="745D3378" w14:textId="77777777" w:rsidR="005F38A6" w:rsidRPr="002A5547" w:rsidRDefault="005F38A6" w:rsidP="006A7377">
            <w:pPr>
              <w:jc w:val="center"/>
              <w:rPr>
                <w:b/>
                <w:bCs/>
                <w:color w:val="000000"/>
                <w:sz w:val="20"/>
                <w:szCs w:val="20"/>
              </w:rPr>
            </w:pPr>
            <w:r w:rsidRPr="002A5547">
              <w:rPr>
                <w:b/>
                <w:bCs/>
                <w:color w:val="000000"/>
                <w:sz w:val="20"/>
                <w:szCs w:val="20"/>
              </w:rPr>
              <w:t>Efecto</w:t>
            </w:r>
          </w:p>
        </w:tc>
        <w:tc>
          <w:tcPr>
            <w:tcW w:w="1123" w:type="dxa"/>
            <w:tcBorders>
              <w:top w:val="single" w:sz="4" w:space="0" w:color="auto"/>
              <w:left w:val="nil"/>
              <w:bottom w:val="double" w:sz="6" w:space="0" w:color="auto"/>
              <w:right w:val="nil"/>
            </w:tcBorders>
            <w:shd w:val="clear" w:color="auto" w:fill="auto"/>
            <w:vAlign w:val="center"/>
            <w:hideMark/>
          </w:tcPr>
          <w:p w14:paraId="368C711D" w14:textId="77777777" w:rsidR="005F38A6" w:rsidRPr="002A5547" w:rsidRDefault="005F38A6" w:rsidP="006A7377">
            <w:pPr>
              <w:jc w:val="center"/>
              <w:rPr>
                <w:b/>
                <w:bCs/>
                <w:color w:val="000000"/>
                <w:sz w:val="20"/>
                <w:szCs w:val="20"/>
              </w:rPr>
            </w:pPr>
            <w:r w:rsidRPr="002A5547">
              <w:rPr>
                <w:b/>
                <w:bCs/>
                <w:color w:val="000000"/>
                <w:sz w:val="20"/>
                <w:szCs w:val="20"/>
              </w:rPr>
              <w:t>2023</w:t>
            </w:r>
            <w:r w:rsidRPr="002A5547">
              <w:rPr>
                <w:b/>
                <w:bCs/>
                <w:color w:val="000000"/>
                <w:sz w:val="20"/>
                <w:szCs w:val="20"/>
              </w:rPr>
              <w:br/>
              <w:t>Estimación</w:t>
            </w:r>
          </w:p>
        </w:tc>
        <w:tc>
          <w:tcPr>
            <w:tcW w:w="1204" w:type="dxa"/>
            <w:tcBorders>
              <w:top w:val="single" w:sz="4" w:space="0" w:color="auto"/>
              <w:left w:val="nil"/>
              <w:bottom w:val="double" w:sz="6" w:space="0" w:color="auto"/>
              <w:right w:val="nil"/>
            </w:tcBorders>
            <w:shd w:val="clear" w:color="auto" w:fill="auto"/>
            <w:vAlign w:val="center"/>
            <w:hideMark/>
          </w:tcPr>
          <w:p w14:paraId="44DC3C61" w14:textId="77777777" w:rsidR="005F38A6" w:rsidRPr="002A5547" w:rsidRDefault="005F38A6" w:rsidP="006A7377">
            <w:pPr>
              <w:jc w:val="center"/>
              <w:rPr>
                <w:b/>
                <w:bCs/>
                <w:color w:val="000000"/>
                <w:sz w:val="20"/>
                <w:szCs w:val="20"/>
              </w:rPr>
            </w:pPr>
            <w:r w:rsidRPr="002A5547">
              <w:rPr>
                <w:b/>
                <w:bCs/>
                <w:color w:val="000000"/>
                <w:sz w:val="20"/>
                <w:szCs w:val="20"/>
              </w:rPr>
              <w:t>2024 presupuesto</w:t>
            </w:r>
          </w:p>
        </w:tc>
        <w:tc>
          <w:tcPr>
            <w:tcW w:w="1070" w:type="dxa"/>
            <w:tcBorders>
              <w:top w:val="single" w:sz="4" w:space="0" w:color="auto"/>
              <w:left w:val="nil"/>
              <w:bottom w:val="double" w:sz="6" w:space="0" w:color="auto"/>
              <w:right w:val="nil"/>
            </w:tcBorders>
            <w:shd w:val="clear" w:color="auto" w:fill="auto"/>
            <w:vAlign w:val="center"/>
            <w:hideMark/>
          </w:tcPr>
          <w:p w14:paraId="50051CB8" w14:textId="77777777" w:rsidR="005F38A6" w:rsidRPr="002A5547" w:rsidRDefault="005F38A6" w:rsidP="006A7377">
            <w:pPr>
              <w:jc w:val="center"/>
              <w:rPr>
                <w:b/>
                <w:bCs/>
                <w:color w:val="000000"/>
                <w:sz w:val="20"/>
                <w:szCs w:val="20"/>
              </w:rPr>
            </w:pPr>
            <w:r w:rsidRPr="002A5547">
              <w:rPr>
                <w:b/>
                <w:bCs/>
                <w:color w:val="000000"/>
                <w:sz w:val="20"/>
                <w:szCs w:val="20"/>
              </w:rPr>
              <w:t>2024 shock</w:t>
            </w:r>
          </w:p>
        </w:tc>
        <w:tc>
          <w:tcPr>
            <w:tcW w:w="1445" w:type="dxa"/>
            <w:tcBorders>
              <w:top w:val="single" w:sz="4" w:space="0" w:color="auto"/>
              <w:left w:val="nil"/>
              <w:bottom w:val="double" w:sz="6" w:space="0" w:color="auto"/>
              <w:right w:val="nil"/>
            </w:tcBorders>
            <w:shd w:val="clear" w:color="auto" w:fill="auto"/>
            <w:vAlign w:val="center"/>
            <w:hideMark/>
          </w:tcPr>
          <w:p w14:paraId="6F2BA39F" w14:textId="77777777" w:rsidR="005F38A6" w:rsidRPr="002A5547" w:rsidRDefault="005F38A6" w:rsidP="006A7377">
            <w:pPr>
              <w:jc w:val="center"/>
              <w:rPr>
                <w:b/>
                <w:bCs/>
                <w:color w:val="000000"/>
                <w:sz w:val="20"/>
                <w:szCs w:val="20"/>
              </w:rPr>
            </w:pPr>
            <w:r w:rsidRPr="002A5547">
              <w:rPr>
                <w:b/>
                <w:bCs/>
                <w:color w:val="000000"/>
                <w:sz w:val="20"/>
                <w:szCs w:val="20"/>
              </w:rPr>
              <w:t xml:space="preserve">Variación </w:t>
            </w:r>
            <w:r w:rsidRPr="002A5547">
              <w:rPr>
                <w:b/>
                <w:bCs/>
                <w:color w:val="000000"/>
                <w:sz w:val="20"/>
                <w:szCs w:val="20"/>
              </w:rPr>
              <w:br/>
              <w:t>(pres- choque)</w:t>
            </w:r>
          </w:p>
        </w:tc>
        <w:tc>
          <w:tcPr>
            <w:tcW w:w="1195" w:type="dxa"/>
            <w:tcBorders>
              <w:top w:val="single" w:sz="4" w:space="0" w:color="auto"/>
              <w:left w:val="nil"/>
              <w:bottom w:val="double" w:sz="6" w:space="0" w:color="auto"/>
              <w:right w:val="nil"/>
            </w:tcBorders>
            <w:shd w:val="clear" w:color="auto" w:fill="auto"/>
            <w:vAlign w:val="center"/>
            <w:hideMark/>
          </w:tcPr>
          <w:p w14:paraId="7830F05D" w14:textId="77777777" w:rsidR="005F38A6" w:rsidRPr="002A5547" w:rsidRDefault="005F38A6" w:rsidP="006A7377">
            <w:pPr>
              <w:jc w:val="center"/>
              <w:rPr>
                <w:b/>
                <w:bCs/>
                <w:color w:val="000000"/>
                <w:sz w:val="20"/>
                <w:szCs w:val="20"/>
              </w:rPr>
            </w:pPr>
            <w:r w:rsidRPr="002A5547">
              <w:rPr>
                <w:b/>
                <w:bCs/>
                <w:color w:val="000000"/>
                <w:sz w:val="20"/>
                <w:szCs w:val="20"/>
              </w:rPr>
              <w:t>Variación (% del PIB)</w:t>
            </w:r>
          </w:p>
        </w:tc>
      </w:tr>
      <w:tr w:rsidR="00D17F18" w:rsidRPr="002A5547" w14:paraId="5E88B65F" w14:textId="77777777" w:rsidTr="00167F1B">
        <w:trPr>
          <w:trHeight w:val="353"/>
          <w:jc w:val="center"/>
        </w:trPr>
        <w:tc>
          <w:tcPr>
            <w:tcW w:w="2765" w:type="dxa"/>
            <w:tcBorders>
              <w:top w:val="nil"/>
              <w:left w:val="nil"/>
              <w:bottom w:val="nil"/>
              <w:right w:val="nil"/>
            </w:tcBorders>
            <w:shd w:val="clear" w:color="auto" w:fill="auto"/>
            <w:noWrap/>
            <w:vAlign w:val="center"/>
            <w:hideMark/>
          </w:tcPr>
          <w:p w14:paraId="7F12ACB2" w14:textId="77777777" w:rsidR="00D17F18" w:rsidRPr="002A5547" w:rsidRDefault="00D17F18" w:rsidP="00D17F18">
            <w:pPr>
              <w:rPr>
                <w:color w:val="000000"/>
                <w:sz w:val="20"/>
                <w:szCs w:val="20"/>
              </w:rPr>
            </w:pPr>
            <w:r w:rsidRPr="002A5547">
              <w:rPr>
                <w:color w:val="000000"/>
                <w:sz w:val="20"/>
                <w:szCs w:val="20"/>
              </w:rPr>
              <w:t>Tipo de cambio</w:t>
            </w:r>
            <w:r>
              <w:rPr>
                <w:color w:val="000000"/>
                <w:sz w:val="20"/>
                <w:szCs w:val="20"/>
              </w:rPr>
              <w:t xml:space="preserve"> (QX1.0USD)</w:t>
            </w:r>
          </w:p>
        </w:tc>
        <w:tc>
          <w:tcPr>
            <w:tcW w:w="1123" w:type="dxa"/>
            <w:tcBorders>
              <w:top w:val="nil"/>
              <w:left w:val="nil"/>
              <w:bottom w:val="nil"/>
              <w:right w:val="nil"/>
            </w:tcBorders>
            <w:shd w:val="clear" w:color="auto" w:fill="auto"/>
            <w:noWrap/>
            <w:vAlign w:val="center"/>
            <w:hideMark/>
          </w:tcPr>
          <w:p w14:paraId="0A781251" w14:textId="4262FD9D" w:rsidR="00D17F18" w:rsidRPr="00D17F18" w:rsidRDefault="00D17F18" w:rsidP="00D17F18">
            <w:pPr>
              <w:jc w:val="center"/>
              <w:rPr>
                <w:color w:val="000000"/>
                <w:sz w:val="20"/>
                <w:szCs w:val="20"/>
              </w:rPr>
            </w:pPr>
            <w:r w:rsidRPr="00D17F18">
              <w:rPr>
                <w:sz w:val="20"/>
                <w:szCs w:val="20"/>
              </w:rPr>
              <w:t>7.85</w:t>
            </w:r>
          </w:p>
        </w:tc>
        <w:tc>
          <w:tcPr>
            <w:tcW w:w="1204" w:type="dxa"/>
            <w:tcBorders>
              <w:top w:val="nil"/>
              <w:left w:val="nil"/>
              <w:bottom w:val="nil"/>
              <w:right w:val="nil"/>
            </w:tcBorders>
            <w:shd w:val="clear" w:color="auto" w:fill="auto"/>
            <w:noWrap/>
            <w:vAlign w:val="center"/>
            <w:hideMark/>
          </w:tcPr>
          <w:p w14:paraId="3B636566" w14:textId="5665F9B1" w:rsidR="00D17F18" w:rsidRPr="00D17F18" w:rsidRDefault="00D17F18" w:rsidP="00D17F18">
            <w:pPr>
              <w:jc w:val="center"/>
              <w:rPr>
                <w:color w:val="000000"/>
                <w:sz w:val="20"/>
                <w:szCs w:val="20"/>
              </w:rPr>
            </w:pPr>
            <w:r w:rsidRPr="00D17F18">
              <w:rPr>
                <w:sz w:val="20"/>
                <w:szCs w:val="20"/>
              </w:rPr>
              <w:t>7.79</w:t>
            </w:r>
          </w:p>
        </w:tc>
        <w:tc>
          <w:tcPr>
            <w:tcW w:w="1070" w:type="dxa"/>
            <w:tcBorders>
              <w:top w:val="nil"/>
              <w:left w:val="nil"/>
              <w:bottom w:val="nil"/>
              <w:right w:val="nil"/>
            </w:tcBorders>
            <w:shd w:val="clear" w:color="auto" w:fill="auto"/>
            <w:noWrap/>
            <w:vAlign w:val="center"/>
            <w:hideMark/>
          </w:tcPr>
          <w:p w14:paraId="6F35C7D4" w14:textId="36E4737C" w:rsidR="00D17F18" w:rsidRPr="00D17F18" w:rsidRDefault="00D17F18" w:rsidP="00D17F18">
            <w:pPr>
              <w:jc w:val="center"/>
              <w:rPr>
                <w:color w:val="000000"/>
                <w:sz w:val="20"/>
                <w:szCs w:val="20"/>
              </w:rPr>
            </w:pPr>
            <w:r w:rsidRPr="00D17F18">
              <w:rPr>
                <w:sz w:val="20"/>
                <w:szCs w:val="20"/>
              </w:rPr>
              <w:t>7.01</w:t>
            </w:r>
          </w:p>
        </w:tc>
        <w:tc>
          <w:tcPr>
            <w:tcW w:w="1445" w:type="dxa"/>
            <w:tcBorders>
              <w:top w:val="nil"/>
              <w:left w:val="nil"/>
              <w:bottom w:val="nil"/>
              <w:right w:val="nil"/>
            </w:tcBorders>
            <w:shd w:val="clear" w:color="auto" w:fill="auto"/>
            <w:noWrap/>
            <w:vAlign w:val="center"/>
            <w:hideMark/>
          </w:tcPr>
          <w:p w14:paraId="7D3FFEAE" w14:textId="2BFFDBFF" w:rsidR="00D17F18" w:rsidRPr="00D17F18" w:rsidRDefault="00D17F18" w:rsidP="00D17F18">
            <w:pPr>
              <w:jc w:val="center"/>
              <w:rPr>
                <w:color w:val="000000"/>
                <w:sz w:val="20"/>
                <w:szCs w:val="20"/>
              </w:rPr>
            </w:pPr>
            <w:r w:rsidRPr="00D17F18">
              <w:rPr>
                <w:sz w:val="20"/>
                <w:szCs w:val="20"/>
              </w:rPr>
              <w:t>-0.78</w:t>
            </w:r>
          </w:p>
        </w:tc>
        <w:tc>
          <w:tcPr>
            <w:tcW w:w="1195" w:type="dxa"/>
            <w:tcBorders>
              <w:top w:val="nil"/>
              <w:left w:val="nil"/>
              <w:bottom w:val="nil"/>
              <w:right w:val="nil"/>
            </w:tcBorders>
            <w:shd w:val="clear" w:color="auto" w:fill="auto"/>
            <w:noWrap/>
            <w:vAlign w:val="center"/>
            <w:hideMark/>
          </w:tcPr>
          <w:p w14:paraId="1B1A645B" w14:textId="6459371D" w:rsidR="00D17F18" w:rsidRPr="00D17F18" w:rsidRDefault="00D17F18" w:rsidP="00D17F18">
            <w:pPr>
              <w:jc w:val="center"/>
              <w:rPr>
                <w:color w:val="000000"/>
                <w:sz w:val="20"/>
                <w:szCs w:val="20"/>
              </w:rPr>
            </w:pPr>
            <w:r w:rsidRPr="00D17F18">
              <w:rPr>
                <w:sz w:val="20"/>
                <w:szCs w:val="20"/>
              </w:rPr>
              <w:t>-</w:t>
            </w:r>
          </w:p>
        </w:tc>
      </w:tr>
      <w:tr w:rsidR="00D17F18" w:rsidRPr="002A5547" w14:paraId="45D235CA" w14:textId="77777777" w:rsidTr="00167F1B">
        <w:trPr>
          <w:trHeight w:val="338"/>
          <w:jc w:val="center"/>
        </w:trPr>
        <w:tc>
          <w:tcPr>
            <w:tcW w:w="2765" w:type="dxa"/>
            <w:tcBorders>
              <w:top w:val="nil"/>
              <w:left w:val="nil"/>
              <w:bottom w:val="single" w:sz="4" w:space="0" w:color="auto"/>
              <w:right w:val="nil"/>
            </w:tcBorders>
            <w:shd w:val="clear" w:color="auto" w:fill="auto"/>
            <w:noWrap/>
            <w:vAlign w:val="center"/>
            <w:hideMark/>
          </w:tcPr>
          <w:p w14:paraId="3DC94702" w14:textId="77777777" w:rsidR="00D17F18" w:rsidRPr="002A5547" w:rsidRDefault="00D17F18" w:rsidP="00D17F18">
            <w:pPr>
              <w:rPr>
                <w:color w:val="000000"/>
                <w:sz w:val="20"/>
                <w:szCs w:val="20"/>
              </w:rPr>
            </w:pPr>
            <w:r w:rsidRPr="002A5547">
              <w:rPr>
                <w:color w:val="000000"/>
                <w:sz w:val="20"/>
                <w:szCs w:val="20"/>
              </w:rPr>
              <w:t>Efecto en millones de quetzales</w:t>
            </w:r>
          </w:p>
        </w:tc>
        <w:tc>
          <w:tcPr>
            <w:tcW w:w="1123" w:type="dxa"/>
            <w:tcBorders>
              <w:top w:val="nil"/>
              <w:left w:val="nil"/>
              <w:bottom w:val="single" w:sz="4" w:space="0" w:color="auto"/>
              <w:right w:val="nil"/>
            </w:tcBorders>
            <w:shd w:val="clear" w:color="auto" w:fill="auto"/>
            <w:noWrap/>
            <w:vAlign w:val="center"/>
            <w:hideMark/>
          </w:tcPr>
          <w:p w14:paraId="6DB5F22A" w14:textId="32616006" w:rsidR="00D17F18" w:rsidRPr="00D17F18" w:rsidRDefault="00D17F18" w:rsidP="00D17F18">
            <w:pPr>
              <w:jc w:val="center"/>
              <w:rPr>
                <w:color w:val="000000"/>
                <w:sz w:val="20"/>
                <w:szCs w:val="20"/>
              </w:rPr>
            </w:pPr>
            <w:r w:rsidRPr="00D17F18">
              <w:rPr>
                <w:sz w:val="20"/>
                <w:szCs w:val="20"/>
              </w:rPr>
              <w:t>329.5</w:t>
            </w:r>
          </w:p>
        </w:tc>
        <w:tc>
          <w:tcPr>
            <w:tcW w:w="1204" w:type="dxa"/>
            <w:tcBorders>
              <w:top w:val="nil"/>
              <w:left w:val="nil"/>
              <w:bottom w:val="single" w:sz="4" w:space="0" w:color="auto"/>
              <w:right w:val="nil"/>
            </w:tcBorders>
            <w:shd w:val="clear" w:color="auto" w:fill="auto"/>
            <w:noWrap/>
            <w:vAlign w:val="center"/>
            <w:hideMark/>
          </w:tcPr>
          <w:p w14:paraId="7818184F" w14:textId="0CE365DA" w:rsidR="00D17F18" w:rsidRPr="00D17F18" w:rsidRDefault="00D17F18" w:rsidP="00D17F18">
            <w:pPr>
              <w:jc w:val="center"/>
              <w:rPr>
                <w:color w:val="000000"/>
                <w:sz w:val="20"/>
                <w:szCs w:val="20"/>
              </w:rPr>
            </w:pPr>
            <w:r w:rsidRPr="00D17F18">
              <w:rPr>
                <w:sz w:val="20"/>
                <w:szCs w:val="20"/>
              </w:rPr>
              <w:t>-197.3</w:t>
            </w:r>
          </w:p>
        </w:tc>
        <w:tc>
          <w:tcPr>
            <w:tcW w:w="1070" w:type="dxa"/>
            <w:tcBorders>
              <w:top w:val="nil"/>
              <w:left w:val="nil"/>
              <w:bottom w:val="single" w:sz="4" w:space="0" w:color="auto"/>
              <w:right w:val="nil"/>
            </w:tcBorders>
            <w:shd w:val="clear" w:color="auto" w:fill="auto"/>
            <w:noWrap/>
            <w:vAlign w:val="center"/>
            <w:hideMark/>
          </w:tcPr>
          <w:p w14:paraId="4F6993FF" w14:textId="138875F3" w:rsidR="00D17F18" w:rsidRPr="00D17F18" w:rsidRDefault="00D17F18" w:rsidP="00D17F18">
            <w:pPr>
              <w:jc w:val="center"/>
              <w:rPr>
                <w:color w:val="000000"/>
                <w:sz w:val="20"/>
                <w:szCs w:val="20"/>
              </w:rPr>
            </w:pPr>
            <w:r w:rsidRPr="00D17F18">
              <w:rPr>
                <w:sz w:val="20"/>
                <w:szCs w:val="20"/>
              </w:rPr>
              <w:t>-2,923.0</w:t>
            </w:r>
          </w:p>
        </w:tc>
        <w:tc>
          <w:tcPr>
            <w:tcW w:w="1445" w:type="dxa"/>
            <w:tcBorders>
              <w:top w:val="nil"/>
              <w:left w:val="nil"/>
              <w:bottom w:val="single" w:sz="4" w:space="0" w:color="auto"/>
              <w:right w:val="nil"/>
            </w:tcBorders>
            <w:shd w:val="clear" w:color="auto" w:fill="auto"/>
            <w:noWrap/>
            <w:vAlign w:val="center"/>
            <w:hideMark/>
          </w:tcPr>
          <w:p w14:paraId="205F7CDF" w14:textId="27F64B37" w:rsidR="00D17F18" w:rsidRPr="00D17F18" w:rsidRDefault="00D17F18" w:rsidP="00D17F18">
            <w:pPr>
              <w:jc w:val="center"/>
              <w:rPr>
                <w:color w:val="000000"/>
                <w:sz w:val="20"/>
                <w:szCs w:val="20"/>
              </w:rPr>
            </w:pPr>
            <w:r w:rsidRPr="00D17F18">
              <w:rPr>
                <w:sz w:val="20"/>
                <w:szCs w:val="20"/>
              </w:rPr>
              <w:t>2,725.8</w:t>
            </w:r>
          </w:p>
        </w:tc>
        <w:tc>
          <w:tcPr>
            <w:tcW w:w="1195" w:type="dxa"/>
            <w:tcBorders>
              <w:top w:val="nil"/>
              <w:left w:val="nil"/>
              <w:bottom w:val="single" w:sz="4" w:space="0" w:color="auto"/>
              <w:right w:val="nil"/>
            </w:tcBorders>
            <w:shd w:val="clear" w:color="auto" w:fill="auto"/>
            <w:noWrap/>
            <w:vAlign w:val="center"/>
            <w:hideMark/>
          </w:tcPr>
          <w:p w14:paraId="0A464BAF" w14:textId="3B92A3E5" w:rsidR="00D17F18" w:rsidRPr="00D17F18" w:rsidRDefault="00D17F18" w:rsidP="00D17F18">
            <w:pPr>
              <w:jc w:val="center"/>
              <w:rPr>
                <w:color w:val="000000"/>
                <w:sz w:val="20"/>
                <w:szCs w:val="20"/>
              </w:rPr>
            </w:pPr>
            <w:r w:rsidRPr="00D17F18">
              <w:rPr>
                <w:sz w:val="20"/>
                <w:szCs w:val="20"/>
              </w:rPr>
              <w:t>0.3%</w:t>
            </w:r>
          </w:p>
        </w:tc>
      </w:tr>
    </w:tbl>
    <w:p w14:paraId="2C666F95" w14:textId="77777777" w:rsidR="005F38A6" w:rsidRPr="002A5547" w:rsidRDefault="005F38A6" w:rsidP="005F38A6">
      <w:pPr>
        <w:rPr>
          <w:sz w:val="18"/>
          <w:szCs w:val="18"/>
        </w:rPr>
      </w:pPr>
      <w:r w:rsidRPr="002A5547">
        <w:rPr>
          <w:sz w:val="18"/>
          <w:szCs w:val="18"/>
        </w:rPr>
        <w:t xml:space="preserve">   </w:t>
      </w:r>
      <w:r w:rsidRPr="000438E8">
        <w:rPr>
          <w:sz w:val="16"/>
          <w:szCs w:val="16"/>
        </w:rPr>
        <w:t>Fuente: Ministerio de Finanzas</w:t>
      </w:r>
    </w:p>
    <w:p w14:paraId="70D381DD" w14:textId="77777777" w:rsidR="005F38A6" w:rsidRDefault="005F38A6" w:rsidP="005F38A6">
      <w:pPr>
        <w:rPr>
          <w:b/>
          <w:bCs/>
        </w:rPr>
      </w:pPr>
    </w:p>
    <w:p w14:paraId="7D29FA36" w14:textId="77777777" w:rsidR="005F38A6" w:rsidRDefault="005F38A6" w:rsidP="005F38A6">
      <w:pPr>
        <w:jc w:val="both"/>
        <w:rPr>
          <w:b/>
          <w:bCs/>
        </w:rPr>
      </w:pPr>
      <w:r w:rsidRPr="001571AE">
        <w:t xml:space="preserve">Es importante indicar </w:t>
      </w:r>
      <w:r>
        <w:t>que, en este efecto</w:t>
      </w:r>
      <w:r w:rsidRPr="001571AE">
        <w:t xml:space="preserve">, no </w:t>
      </w:r>
      <w:r>
        <w:t xml:space="preserve">se </w:t>
      </w:r>
      <w:r w:rsidRPr="001571AE">
        <w:t xml:space="preserve">considera, el impacto positivo que tiene sobre </w:t>
      </w:r>
      <w:r>
        <w:t xml:space="preserve">las </w:t>
      </w:r>
      <w:r w:rsidRPr="001571AE">
        <w:t>importaciones, la reducción del tipo de cambio nominal, que podría aumentar la demanda de importaciones y por ende aumentar la recaudación, reduciendo la posible disminución en los ingresos fiscales</w:t>
      </w:r>
      <w:r>
        <w:rPr>
          <w:b/>
          <w:bCs/>
        </w:rPr>
        <w:t xml:space="preserve">.  </w:t>
      </w:r>
    </w:p>
    <w:p w14:paraId="4E70DE6E" w14:textId="77777777" w:rsidR="005F38A6" w:rsidRDefault="005F38A6" w:rsidP="005F38A6">
      <w:pPr>
        <w:rPr>
          <w:b/>
          <w:bCs/>
        </w:rPr>
      </w:pPr>
    </w:p>
    <w:p w14:paraId="5B1202B1" w14:textId="77777777" w:rsidR="005F38A6" w:rsidRPr="00987058" w:rsidRDefault="005F38A6" w:rsidP="005F07F9">
      <w:pPr>
        <w:pStyle w:val="Ttulo2"/>
        <w:numPr>
          <w:ilvl w:val="3"/>
          <w:numId w:val="35"/>
        </w:numPr>
        <w:tabs>
          <w:tab w:val="left" w:pos="993"/>
        </w:tabs>
        <w:ind w:left="567" w:hanging="283"/>
        <w:rPr>
          <w:bCs/>
        </w:rPr>
      </w:pPr>
      <w:bookmarkStart w:id="94" w:name="_Toc144114364"/>
      <w:r w:rsidRPr="00FA4202">
        <w:rPr>
          <w:bCs/>
        </w:rPr>
        <w:t>Impacto en el gasto público (intereses y otros gastos)</w:t>
      </w:r>
      <w:bookmarkEnd w:id="94"/>
    </w:p>
    <w:p w14:paraId="5CFE2D3F" w14:textId="77777777" w:rsidR="005F38A6" w:rsidRDefault="005F38A6" w:rsidP="005F38A6">
      <w:pPr>
        <w:jc w:val="both"/>
      </w:pPr>
    </w:p>
    <w:p w14:paraId="1E1AA7C6" w14:textId="21AC8637" w:rsidR="005F38A6" w:rsidRDefault="005F38A6" w:rsidP="005F38A6">
      <w:pPr>
        <w:jc w:val="both"/>
      </w:pPr>
      <w:r>
        <w:t>Además, en relación a las importaciones que el Gobierno realizará en 2024 correspondiente al gasto corriente y gasto de capital, se estimó que el gobierno utiliza para consumo final el 2.9% de productos importados del total y para la formación bruta de capital el 25.9%, considerando la matriz de insumo producto de 2013 de Cuentas Nacionales del Banco de Guatemala. Con estos ponderados se prevé que el gasto total disminuya Q8</w:t>
      </w:r>
      <w:r w:rsidR="006C6819">
        <w:t>73.7</w:t>
      </w:r>
      <w:r>
        <w:t xml:space="preserve"> millones (0.1% del PIB) ante una apreciación del 10.0% del tipo de cambio en el escenario base.</w:t>
      </w:r>
    </w:p>
    <w:p w14:paraId="7FA32141" w14:textId="63633B70" w:rsidR="005F38A6" w:rsidRDefault="005F38A6" w:rsidP="005F38A6">
      <w:pPr>
        <w:jc w:val="both"/>
        <w:rPr>
          <w:sz w:val="10"/>
          <w:szCs w:val="10"/>
        </w:rPr>
      </w:pPr>
    </w:p>
    <w:p w14:paraId="1E9C92C5" w14:textId="77777777" w:rsidR="000438E8" w:rsidRPr="002121FC" w:rsidRDefault="000438E8" w:rsidP="005F38A6">
      <w:pPr>
        <w:jc w:val="both"/>
        <w:rPr>
          <w:sz w:val="10"/>
          <w:szCs w:val="10"/>
        </w:rPr>
      </w:pPr>
    </w:p>
    <w:p w14:paraId="303FC203" w14:textId="22D2AA2A" w:rsidR="005F38A6" w:rsidRPr="000438E8" w:rsidRDefault="000438E8" w:rsidP="000438E8">
      <w:pPr>
        <w:pStyle w:val="Descripcin"/>
        <w:keepNext/>
        <w:rPr>
          <w:color w:val="auto"/>
        </w:rPr>
      </w:pPr>
      <w:bookmarkStart w:id="95" w:name="_Toc143593513"/>
      <w:r w:rsidRPr="000438E8">
        <w:rPr>
          <w:color w:val="auto"/>
        </w:rPr>
        <w:lastRenderedPageBreak/>
        <w:t xml:space="preserve">Tabla </w:t>
      </w:r>
      <w:r w:rsidRPr="000438E8">
        <w:rPr>
          <w:color w:val="auto"/>
        </w:rPr>
        <w:fldChar w:fldCharType="begin"/>
      </w:r>
      <w:r w:rsidRPr="000438E8">
        <w:rPr>
          <w:color w:val="auto"/>
        </w:rPr>
        <w:instrText xml:space="preserve"> SEQ Tabla \* ARABIC </w:instrText>
      </w:r>
      <w:r w:rsidRPr="000438E8">
        <w:rPr>
          <w:color w:val="auto"/>
        </w:rPr>
        <w:fldChar w:fldCharType="separate"/>
      </w:r>
      <w:r w:rsidR="00A62AFA">
        <w:rPr>
          <w:noProof/>
          <w:color w:val="auto"/>
        </w:rPr>
        <w:t>11</w:t>
      </w:r>
      <w:r w:rsidRPr="000438E8">
        <w:rPr>
          <w:color w:val="auto"/>
        </w:rPr>
        <w:fldChar w:fldCharType="end"/>
      </w:r>
      <w:r w:rsidRPr="000438E8">
        <w:rPr>
          <w:color w:val="auto"/>
        </w:rPr>
        <w:t xml:space="preserve">. </w:t>
      </w:r>
      <w:r w:rsidR="005F38A6" w:rsidRPr="000438E8">
        <w:rPr>
          <w:bCs/>
          <w:color w:val="auto"/>
        </w:rPr>
        <w:t>Impacto en el gasto importado</w:t>
      </w:r>
      <w:bookmarkEnd w:id="95"/>
      <w:r w:rsidR="005F38A6" w:rsidRPr="000438E8">
        <w:rPr>
          <w:bCs/>
          <w:color w:val="auto"/>
        </w:rPr>
        <w:t xml:space="preserve"> </w:t>
      </w:r>
      <w:r w:rsidR="00D17F18">
        <w:rPr>
          <w:bCs/>
          <w:color w:val="auto"/>
        </w:rPr>
        <w:t>en 2024</w:t>
      </w:r>
    </w:p>
    <w:tbl>
      <w:tblPr>
        <w:tblW w:w="8440" w:type="dxa"/>
        <w:tblCellMar>
          <w:left w:w="70" w:type="dxa"/>
          <w:right w:w="70" w:type="dxa"/>
        </w:tblCellMar>
        <w:tblLook w:val="04A0" w:firstRow="1" w:lastRow="0" w:firstColumn="1" w:lastColumn="0" w:noHBand="0" w:noVBand="1"/>
      </w:tblPr>
      <w:tblGrid>
        <w:gridCol w:w="1580"/>
        <w:gridCol w:w="1500"/>
        <w:gridCol w:w="1660"/>
        <w:gridCol w:w="1200"/>
        <w:gridCol w:w="1300"/>
        <w:gridCol w:w="1200"/>
      </w:tblGrid>
      <w:tr w:rsidR="005F38A6" w:rsidRPr="004E19E8" w14:paraId="7FB8E2A1" w14:textId="77777777" w:rsidTr="006A7377">
        <w:trPr>
          <w:trHeight w:val="780"/>
        </w:trPr>
        <w:tc>
          <w:tcPr>
            <w:tcW w:w="1580" w:type="dxa"/>
            <w:tcBorders>
              <w:top w:val="single" w:sz="4" w:space="0" w:color="auto"/>
              <w:left w:val="nil"/>
              <w:bottom w:val="double" w:sz="6" w:space="0" w:color="auto"/>
              <w:right w:val="nil"/>
            </w:tcBorders>
            <w:shd w:val="clear" w:color="auto" w:fill="auto"/>
            <w:noWrap/>
            <w:vAlign w:val="center"/>
            <w:hideMark/>
          </w:tcPr>
          <w:p w14:paraId="1902A943" w14:textId="77777777" w:rsidR="005F38A6" w:rsidRPr="004E19E8" w:rsidRDefault="005F38A6" w:rsidP="006A7377">
            <w:pPr>
              <w:jc w:val="center"/>
              <w:rPr>
                <w:b/>
                <w:bCs/>
                <w:color w:val="000000"/>
                <w:sz w:val="20"/>
                <w:szCs w:val="20"/>
              </w:rPr>
            </w:pPr>
            <w:r w:rsidRPr="004E19E8">
              <w:rPr>
                <w:b/>
                <w:bCs/>
                <w:color w:val="000000"/>
                <w:sz w:val="20"/>
                <w:szCs w:val="20"/>
              </w:rPr>
              <w:t> </w:t>
            </w:r>
          </w:p>
        </w:tc>
        <w:tc>
          <w:tcPr>
            <w:tcW w:w="1500" w:type="dxa"/>
            <w:tcBorders>
              <w:top w:val="single" w:sz="4" w:space="0" w:color="auto"/>
              <w:left w:val="nil"/>
              <w:bottom w:val="double" w:sz="6" w:space="0" w:color="auto"/>
              <w:right w:val="nil"/>
            </w:tcBorders>
            <w:shd w:val="clear" w:color="auto" w:fill="auto"/>
            <w:vAlign w:val="center"/>
            <w:hideMark/>
          </w:tcPr>
          <w:p w14:paraId="16241D59" w14:textId="77777777" w:rsidR="005F38A6" w:rsidRPr="004E19E8" w:rsidRDefault="005F38A6" w:rsidP="006A7377">
            <w:pPr>
              <w:jc w:val="center"/>
              <w:rPr>
                <w:b/>
                <w:bCs/>
                <w:color w:val="000000"/>
                <w:sz w:val="20"/>
                <w:szCs w:val="20"/>
              </w:rPr>
            </w:pPr>
            <w:r w:rsidRPr="004E19E8">
              <w:rPr>
                <w:b/>
                <w:bCs/>
                <w:color w:val="000000"/>
                <w:sz w:val="20"/>
                <w:szCs w:val="20"/>
              </w:rPr>
              <w:t>Gasto total</w:t>
            </w:r>
          </w:p>
        </w:tc>
        <w:tc>
          <w:tcPr>
            <w:tcW w:w="1660" w:type="dxa"/>
            <w:tcBorders>
              <w:top w:val="single" w:sz="4" w:space="0" w:color="auto"/>
              <w:left w:val="nil"/>
              <w:bottom w:val="double" w:sz="6" w:space="0" w:color="auto"/>
              <w:right w:val="nil"/>
            </w:tcBorders>
            <w:shd w:val="clear" w:color="auto" w:fill="auto"/>
            <w:vAlign w:val="center"/>
            <w:hideMark/>
          </w:tcPr>
          <w:p w14:paraId="0286A70B" w14:textId="77777777" w:rsidR="005F38A6" w:rsidRPr="004E19E8" w:rsidRDefault="005F38A6" w:rsidP="006A7377">
            <w:pPr>
              <w:jc w:val="center"/>
              <w:rPr>
                <w:b/>
                <w:bCs/>
                <w:color w:val="000000"/>
                <w:sz w:val="20"/>
                <w:szCs w:val="20"/>
              </w:rPr>
            </w:pPr>
            <w:r w:rsidRPr="004E19E8">
              <w:rPr>
                <w:b/>
                <w:bCs/>
                <w:color w:val="000000"/>
                <w:sz w:val="20"/>
                <w:szCs w:val="20"/>
              </w:rPr>
              <w:t>Gasto importado</w:t>
            </w:r>
          </w:p>
        </w:tc>
        <w:tc>
          <w:tcPr>
            <w:tcW w:w="1200" w:type="dxa"/>
            <w:tcBorders>
              <w:top w:val="single" w:sz="4" w:space="0" w:color="auto"/>
              <w:left w:val="nil"/>
              <w:bottom w:val="double" w:sz="6" w:space="0" w:color="auto"/>
              <w:right w:val="nil"/>
            </w:tcBorders>
            <w:shd w:val="clear" w:color="auto" w:fill="auto"/>
            <w:vAlign w:val="center"/>
            <w:hideMark/>
          </w:tcPr>
          <w:p w14:paraId="02C2FDF5" w14:textId="77777777" w:rsidR="005F38A6" w:rsidRPr="004E19E8" w:rsidRDefault="005F38A6" w:rsidP="006A7377">
            <w:pPr>
              <w:jc w:val="center"/>
              <w:rPr>
                <w:b/>
                <w:bCs/>
                <w:color w:val="000000"/>
                <w:sz w:val="20"/>
                <w:szCs w:val="20"/>
              </w:rPr>
            </w:pPr>
            <w:r w:rsidRPr="004E19E8">
              <w:rPr>
                <w:b/>
                <w:bCs/>
                <w:color w:val="000000"/>
                <w:sz w:val="20"/>
                <w:szCs w:val="20"/>
              </w:rPr>
              <w:t>Gasto importado con choque</w:t>
            </w:r>
          </w:p>
        </w:tc>
        <w:tc>
          <w:tcPr>
            <w:tcW w:w="1300" w:type="dxa"/>
            <w:tcBorders>
              <w:top w:val="single" w:sz="4" w:space="0" w:color="auto"/>
              <w:left w:val="nil"/>
              <w:bottom w:val="double" w:sz="6" w:space="0" w:color="auto"/>
              <w:right w:val="nil"/>
            </w:tcBorders>
            <w:shd w:val="clear" w:color="auto" w:fill="auto"/>
            <w:vAlign w:val="center"/>
            <w:hideMark/>
          </w:tcPr>
          <w:p w14:paraId="0D9552E3" w14:textId="77777777" w:rsidR="005F38A6" w:rsidRPr="004E19E8" w:rsidRDefault="005F38A6" w:rsidP="006A7377">
            <w:pPr>
              <w:jc w:val="center"/>
              <w:rPr>
                <w:b/>
                <w:bCs/>
                <w:color w:val="000000"/>
                <w:sz w:val="20"/>
                <w:szCs w:val="20"/>
              </w:rPr>
            </w:pPr>
            <w:r w:rsidRPr="004E19E8">
              <w:rPr>
                <w:b/>
                <w:bCs/>
                <w:color w:val="000000"/>
                <w:sz w:val="20"/>
                <w:szCs w:val="20"/>
              </w:rPr>
              <w:t xml:space="preserve">Variación </w:t>
            </w:r>
            <w:r w:rsidRPr="004E19E8">
              <w:rPr>
                <w:b/>
                <w:bCs/>
                <w:color w:val="000000"/>
                <w:sz w:val="20"/>
                <w:szCs w:val="20"/>
              </w:rPr>
              <w:br/>
              <w:t>(pres- choque)</w:t>
            </w:r>
          </w:p>
        </w:tc>
        <w:tc>
          <w:tcPr>
            <w:tcW w:w="1200" w:type="dxa"/>
            <w:tcBorders>
              <w:top w:val="single" w:sz="4" w:space="0" w:color="auto"/>
              <w:left w:val="nil"/>
              <w:bottom w:val="double" w:sz="6" w:space="0" w:color="auto"/>
              <w:right w:val="nil"/>
            </w:tcBorders>
            <w:shd w:val="clear" w:color="auto" w:fill="auto"/>
            <w:vAlign w:val="center"/>
            <w:hideMark/>
          </w:tcPr>
          <w:p w14:paraId="34997F64" w14:textId="77777777" w:rsidR="005F38A6" w:rsidRPr="004E19E8" w:rsidRDefault="005F38A6" w:rsidP="006A7377">
            <w:pPr>
              <w:jc w:val="center"/>
              <w:rPr>
                <w:b/>
                <w:bCs/>
                <w:color w:val="000000"/>
                <w:sz w:val="20"/>
                <w:szCs w:val="20"/>
              </w:rPr>
            </w:pPr>
            <w:r w:rsidRPr="004E19E8">
              <w:rPr>
                <w:b/>
                <w:bCs/>
                <w:color w:val="000000"/>
                <w:sz w:val="20"/>
                <w:szCs w:val="20"/>
              </w:rPr>
              <w:t xml:space="preserve"> % del PIB</w:t>
            </w:r>
          </w:p>
        </w:tc>
      </w:tr>
      <w:tr w:rsidR="00D17F18" w:rsidRPr="004E19E8" w14:paraId="7AB50382" w14:textId="77777777" w:rsidTr="0094272E">
        <w:trPr>
          <w:trHeight w:val="315"/>
        </w:trPr>
        <w:tc>
          <w:tcPr>
            <w:tcW w:w="1580" w:type="dxa"/>
            <w:tcBorders>
              <w:top w:val="nil"/>
              <w:left w:val="nil"/>
              <w:bottom w:val="nil"/>
              <w:right w:val="nil"/>
            </w:tcBorders>
            <w:shd w:val="clear" w:color="auto" w:fill="auto"/>
            <w:noWrap/>
            <w:vAlign w:val="bottom"/>
            <w:hideMark/>
          </w:tcPr>
          <w:p w14:paraId="72DB372B" w14:textId="77777777" w:rsidR="00D17F18" w:rsidRPr="004E19E8" w:rsidRDefault="00D17F18" w:rsidP="00D17F18">
            <w:pPr>
              <w:rPr>
                <w:color w:val="000000"/>
                <w:sz w:val="20"/>
                <w:szCs w:val="20"/>
              </w:rPr>
            </w:pPr>
            <w:r w:rsidRPr="004E19E8">
              <w:rPr>
                <w:color w:val="000000"/>
                <w:sz w:val="20"/>
                <w:szCs w:val="20"/>
              </w:rPr>
              <w:t>Gasto corriente</w:t>
            </w:r>
          </w:p>
        </w:tc>
        <w:tc>
          <w:tcPr>
            <w:tcW w:w="1500" w:type="dxa"/>
            <w:tcBorders>
              <w:top w:val="nil"/>
              <w:left w:val="nil"/>
              <w:bottom w:val="nil"/>
              <w:right w:val="nil"/>
            </w:tcBorders>
            <w:shd w:val="clear" w:color="auto" w:fill="auto"/>
            <w:noWrap/>
            <w:hideMark/>
          </w:tcPr>
          <w:p w14:paraId="5EE0500D" w14:textId="4C9A3CEA" w:rsidR="00D17F18" w:rsidRPr="00D17F18" w:rsidRDefault="00D17F18" w:rsidP="00D17F18">
            <w:pPr>
              <w:jc w:val="center"/>
              <w:rPr>
                <w:color w:val="000000"/>
                <w:sz w:val="20"/>
                <w:szCs w:val="20"/>
              </w:rPr>
            </w:pPr>
            <w:r w:rsidRPr="00D17F18">
              <w:rPr>
                <w:sz w:val="20"/>
                <w:szCs w:val="20"/>
              </w:rPr>
              <w:t>95,170.5</w:t>
            </w:r>
          </w:p>
        </w:tc>
        <w:tc>
          <w:tcPr>
            <w:tcW w:w="1660" w:type="dxa"/>
            <w:tcBorders>
              <w:top w:val="nil"/>
              <w:left w:val="nil"/>
              <w:bottom w:val="nil"/>
              <w:right w:val="nil"/>
            </w:tcBorders>
            <w:shd w:val="clear" w:color="auto" w:fill="auto"/>
            <w:noWrap/>
            <w:hideMark/>
          </w:tcPr>
          <w:p w14:paraId="5E6BDE0F" w14:textId="5DED6911" w:rsidR="00D17F18" w:rsidRPr="00D17F18" w:rsidRDefault="00D17F18" w:rsidP="00D17F18">
            <w:pPr>
              <w:jc w:val="center"/>
              <w:rPr>
                <w:color w:val="000000"/>
                <w:sz w:val="20"/>
                <w:szCs w:val="20"/>
              </w:rPr>
            </w:pPr>
            <w:r w:rsidRPr="00D17F18">
              <w:rPr>
                <w:sz w:val="20"/>
                <w:szCs w:val="20"/>
              </w:rPr>
              <w:t>2,782.6</w:t>
            </w:r>
          </w:p>
        </w:tc>
        <w:tc>
          <w:tcPr>
            <w:tcW w:w="1200" w:type="dxa"/>
            <w:tcBorders>
              <w:top w:val="nil"/>
              <w:left w:val="nil"/>
              <w:bottom w:val="nil"/>
              <w:right w:val="nil"/>
            </w:tcBorders>
            <w:shd w:val="clear" w:color="auto" w:fill="auto"/>
            <w:noWrap/>
            <w:hideMark/>
          </w:tcPr>
          <w:p w14:paraId="6B32CF65" w14:textId="161A859A" w:rsidR="00D17F18" w:rsidRPr="00D17F18" w:rsidRDefault="00D17F18" w:rsidP="00D17F18">
            <w:pPr>
              <w:jc w:val="center"/>
              <w:rPr>
                <w:color w:val="000000"/>
                <w:sz w:val="20"/>
                <w:szCs w:val="20"/>
              </w:rPr>
            </w:pPr>
            <w:r w:rsidRPr="00D17F18">
              <w:rPr>
                <w:sz w:val="20"/>
                <w:szCs w:val="20"/>
              </w:rPr>
              <w:t>2,504.3</w:t>
            </w:r>
          </w:p>
        </w:tc>
        <w:tc>
          <w:tcPr>
            <w:tcW w:w="1300" w:type="dxa"/>
            <w:tcBorders>
              <w:top w:val="nil"/>
              <w:left w:val="nil"/>
              <w:bottom w:val="nil"/>
              <w:right w:val="nil"/>
            </w:tcBorders>
            <w:shd w:val="clear" w:color="auto" w:fill="auto"/>
            <w:noWrap/>
            <w:hideMark/>
          </w:tcPr>
          <w:p w14:paraId="174B4FC1" w14:textId="71FCE9A5" w:rsidR="00D17F18" w:rsidRPr="00D17F18" w:rsidRDefault="00D17F18" w:rsidP="00D17F18">
            <w:pPr>
              <w:jc w:val="center"/>
              <w:rPr>
                <w:color w:val="000000"/>
                <w:sz w:val="20"/>
                <w:szCs w:val="20"/>
              </w:rPr>
            </w:pPr>
            <w:r w:rsidRPr="00D17F18">
              <w:rPr>
                <w:sz w:val="20"/>
                <w:szCs w:val="20"/>
              </w:rPr>
              <w:t>278.3</w:t>
            </w:r>
          </w:p>
        </w:tc>
        <w:tc>
          <w:tcPr>
            <w:tcW w:w="1200" w:type="dxa"/>
            <w:tcBorders>
              <w:top w:val="nil"/>
              <w:left w:val="nil"/>
              <w:bottom w:val="nil"/>
              <w:right w:val="nil"/>
            </w:tcBorders>
            <w:shd w:val="clear" w:color="auto" w:fill="auto"/>
            <w:noWrap/>
            <w:hideMark/>
          </w:tcPr>
          <w:p w14:paraId="3F3F4E8B" w14:textId="1C070DB7" w:rsidR="00D17F18" w:rsidRPr="00D17F18" w:rsidRDefault="00D17F18" w:rsidP="00D17F18">
            <w:pPr>
              <w:jc w:val="center"/>
              <w:rPr>
                <w:color w:val="000000"/>
                <w:sz w:val="20"/>
                <w:szCs w:val="20"/>
              </w:rPr>
            </w:pPr>
            <w:r w:rsidRPr="00D17F18">
              <w:rPr>
                <w:sz w:val="20"/>
                <w:szCs w:val="20"/>
              </w:rPr>
              <w:t>0.0%</w:t>
            </w:r>
          </w:p>
        </w:tc>
      </w:tr>
      <w:tr w:rsidR="00D17F18" w:rsidRPr="004E19E8" w14:paraId="4D72879E" w14:textId="77777777" w:rsidTr="0094272E">
        <w:trPr>
          <w:trHeight w:val="300"/>
        </w:trPr>
        <w:tc>
          <w:tcPr>
            <w:tcW w:w="1580" w:type="dxa"/>
            <w:tcBorders>
              <w:top w:val="nil"/>
              <w:left w:val="nil"/>
              <w:bottom w:val="nil"/>
              <w:right w:val="nil"/>
            </w:tcBorders>
            <w:shd w:val="clear" w:color="auto" w:fill="auto"/>
            <w:noWrap/>
            <w:vAlign w:val="bottom"/>
            <w:hideMark/>
          </w:tcPr>
          <w:p w14:paraId="0D548A57" w14:textId="77777777" w:rsidR="00D17F18" w:rsidRPr="004E19E8" w:rsidRDefault="00D17F18" w:rsidP="00D17F18">
            <w:pPr>
              <w:rPr>
                <w:color w:val="000000"/>
                <w:sz w:val="20"/>
                <w:szCs w:val="20"/>
              </w:rPr>
            </w:pPr>
            <w:r w:rsidRPr="004E19E8">
              <w:rPr>
                <w:color w:val="000000"/>
                <w:sz w:val="20"/>
                <w:szCs w:val="20"/>
              </w:rPr>
              <w:t>Gasto de capital</w:t>
            </w:r>
          </w:p>
        </w:tc>
        <w:tc>
          <w:tcPr>
            <w:tcW w:w="1500" w:type="dxa"/>
            <w:tcBorders>
              <w:top w:val="nil"/>
              <w:left w:val="nil"/>
              <w:bottom w:val="nil"/>
              <w:right w:val="nil"/>
            </w:tcBorders>
            <w:shd w:val="clear" w:color="auto" w:fill="auto"/>
            <w:noWrap/>
            <w:hideMark/>
          </w:tcPr>
          <w:p w14:paraId="7F4BE5AC" w14:textId="566721D7" w:rsidR="00D17F18" w:rsidRPr="00D17F18" w:rsidRDefault="00D17F18" w:rsidP="00D17F18">
            <w:pPr>
              <w:jc w:val="center"/>
              <w:rPr>
                <w:color w:val="000000"/>
                <w:sz w:val="20"/>
                <w:szCs w:val="20"/>
              </w:rPr>
            </w:pPr>
            <w:r w:rsidRPr="00D17F18">
              <w:rPr>
                <w:sz w:val="20"/>
                <w:szCs w:val="20"/>
              </w:rPr>
              <w:t>22,956.8</w:t>
            </w:r>
          </w:p>
        </w:tc>
        <w:tc>
          <w:tcPr>
            <w:tcW w:w="1660" w:type="dxa"/>
            <w:tcBorders>
              <w:top w:val="nil"/>
              <w:left w:val="nil"/>
              <w:bottom w:val="nil"/>
              <w:right w:val="nil"/>
            </w:tcBorders>
            <w:shd w:val="clear" w:color="auto" w:fill="auto"/>
            <w:noWrap/>
            <w:hideMark/>
          </w:tcPr>
          <w:p w14:paraId="1DB6EEEC" w14:textId="442A0E8F" w:rsidR="00D17F18" w:rsidRPr="00D17F18" w:rsidRDefault="00D17F18" w:rsidP="00D17F18">
            <w:pPr>
              <w:jc w:val="center"/>
              <w:rPr>
                <w:color w:val="000000"/>
                <w:sz w:val="20"/>
                <w:szCs w:val="20"/>
              </w:rPr>
            </w:pPr>
            <w:r w:rsidRPr="00D17F18">
              <w:rPr>
                <w:sz w:val="20"/>
                <w:szCs w:val="20"/>
              </w:rPr>
              <w:t>5,954.4</w:t>
            </w:r>
          </w:p>
        </w:tc>
        <w:tc>
          <w:tcPr>
            <w:tcW w:w="1200" w:type="dxa"/>
            <w:tcBorders>
              <w:top w:val="nil"/>
              <w:left w:val="nil"/>
              <w:bottom w:val="nil"/>
              <w:right w:val="nil"/>
            </w:tcBorders>
            <w:shd w:val="clear" w:color="auto" w:fill="auto"/>
            <w:noWrap/>
            <w:hideMark/>
          </w:tcPr>
          <w:p w14:paraId="0DF89BE5" w14:textId="132761AB" w:rsidR="00D17F18" w:rsidRPr="00D17F18" w:rsidRDefault="00D17F18" w:rsidP="00D17F18">
            <w:pPr>
              <w:jc w:val="center"/>
              <w:rPr>
                <w:color w:val="000000"/>
                <w:sz w:val="20"/>
                <w:szCs w:val="20"/>
              </w:rPr>
            </w:pPr>
            <w:r w:rsidRPr="00D17F18">
              <w:rPr>
                <w:sz w:val="20"/>
                <w:szCs w:val="20"/>
              </w:rPr>
              <w:t>5,358.9</w:t>
            </w:r>
          </w:p>
        </w:tc>
        <w:tc>
          <w:tcPr>
            <w:tcW w:w="1300" w:type="dxa"/>
            <w:tcBorders>
              <w:top w:val="nil"/>
              <w:left w:val="nil"/>
              <w:bottom w:val="nil"/>
              <w:right w:val="nil"/>
            </w:tcBorders>
            <w:shd w:val="clear" w:color="auto" w:fill="auto"/>
            <w:noWrap/>
            <w:hideMark/>
          </w:tcPr>
          <w:p w14:paraId="15815099" w14:textId="22718033" w:rsidR="00D17F18" w:rsidRPr="00D17F18" w:rsidRDefault="00D17F18" w:rsidP="00D17F18">
            <w:pPr>
              <w:jc w:val="center"/>
              <w:rPr>
                <w:color w:val="000000"/>
                <w:sz w:val="20"/>
                <w:szCs w:val="20"/>
              </w:rPr>
            </w:pPr>
            <w:r w:rsidRPr="00D17F18">
              <w:rPr>
                <w:sz w:val="20"/>
                <w:szCs w:val="20"/>
              </w:rPr>
              <w:t>595.4</w:t>
            </w:r>
          </w:p>
        </w:tc>
        <w:tc>
          <w:tcPr>
            <w:tcW w:w="1200" w:type="dxa"/>
            <w:tcBorders>
              <w:top w:val="nil"/>
              <w:left w:val="nil"/>
              <w:bottom w:val="nil"/>
              <w:right w:val="nil"/>
            </w:tcBorders>
            <w:shd w:val="clear" w:color="auto" w:fill="auto"/>
            <w:noWrap/>
            <w:hideMark/>
          </w:tcPr>
          <w:p w14:paraId="1CFDBE19" w14:textId="4D778C07" w:rsidR="00D17F18" w:rsidRPr="00D17F18" w:rsidRDefault="00D17F18" w:rsidP="00D17F18">
            <w:pPr>
              <w:jc w:val="center"/>
              <w:rPr>
                <w:color w:val="000000"/>
                <w:sz w:val="20"/>
                <w:szCs w:val="20"/>
              </w:rPr>
            </w:pPr>
            <w:r w:rsidRPr="00D17F18">
              <w:rPr>
                <w:sz w:val="20"/>
                <w:szCs w:val="20"/>
              </w:rPr>
              <w:t>0.1%</w:t>
            </w:r>
          </w:p>
        </w:tc>
      </w:tr>
      <w:tr w:rsidR="00D17F18" w:rsidRPr="004E19E8" w14:paraId="16E9B1C7" w14:textId="77777777" w:rsidTr="0094272E">
        <w:trPr>
          <w:trHeight w:val="300"/>
        </w:trPr>
        <w:tc>
          <w:tcPr>
            <w:tcW w:w="1580" w:type="dxa"/>
            <w:tcBorders>
              <w:top w:val="nil"/>
              <w:left w:val="nil"/>
              <w:bottom w:val="single" w:sz="4" w:space="0" w:color="auto"/>
              <w:right w:val="nil"/>
            </w:tcBorders>
            <w:shd w:val="clear" w:color="auto" w:fill="auto"/>
            <w:noWrap/>
            <w:vAlign w:val="bottom"/>
            <w:hideMark/>
          </w:tcPr>
          <w:p w14:paraId="3DC99DA1" w14:textId="77777777" w:rsidR="00D17F18" w:rsidRPr="004E19E8" w:rsidRDefault="00D17F18" w:rsidP="00D17F18">
            <w:pPr>
              <w:rPr>
                <w:b/>
                <w:bCs/>
                <w:color w:val="000000"/>
                <w:sz w:val="20"/>
                <w:szCs w:val="20"/>
              </w:rPr>
            </w:pPr>
            <w:r w:rsidRPr="004E19E8">
              <w:rPr>
                <w:b/>
                <w:bCs/>
                <w:color w:val="000000"/>
                <w:sz w:val="20"/>
                <w:szCs w:val="20"/>
              </w:rPr>
              <w:t>Total</w:t>
            </w:r>
          </w:p>
        </w:tc>
        <w:tc>
          <w:tcPr>
            <w:tcW w:w="1500" w:type="dxa"/>
            <w:tcBorders>
              <w:top w:val="nil"/>
              <w:left w:val="nil"/>
              <w:bottom w:val="single" w:sz="4" w:space="0" w:color="auto"/>
              <w:right w:val="nil"/>
            </w:tcBorders>
            <w:shd w:val="clear" w:color="auto" w:fill="auto"/>
            <w:noWrap/>
            <w:hideMark/>
          </w:tcPr>
          <w:p w14:paraId="7AB0EC2C" w14:textId="0690D1C8" w:rsidR="00D17F18" w:rsidRPr="00D17F18" w:rsidRDefault="00D17F18" w:rsidP="00D17F18">
            <w:pPr>
              <w:jc w:val="center"/>
              <w:rPr>
                <w:b/>
                <w:bCs/>
                <w:color w:val="000000"/>
                <w:sz w:val="20"/>
                <w:szCs w:val="20"/>
              </w:rPr>
            </w:pPr>
            <w:r w:rsidRPr="00D17F18">
              <w:rPr>
                <w:sz w:val="20"/>
                <w:szCs w:val="20"/>
              </w:rPr>
              <w:t>118,127.3</w:t>
            </w:r>
          </w:p>
        </w:tc>
        <w:tc>
          <w:tcPr>
            <w:tcW w:w="1660" w:type="dxa"/>
            <w:tcBorders>
              <w:top w:val="nil"/>
              <w:left w:val="nil"/>
              <w:bottom w:val="single" w:sz="4" w:space="0" w:color="auto"/>
              <w:right w:val="nil"/>
            </w:tcBorders>
            <w:shd w:val="clear" w:color="auto" w:fill="auto"/>
            <w:noWrap/>
            <w:hideMark/>
          </w:tcPr>
          <w:p w14:paraId="70614726" w14:textId="4E44143B" w:rsidR="00D17F18" w:rsidRPr="00D17F18" w:rsidRDefault="00D17F18" w:rsidP="00D17F18">
            <w:pPr>
              <w:jc w:val="center"/>
              <w:rPr>
                <w:b/>
                <w:bCs/>
                <w:color w:val="000000"/>
                <w:sz w:val="20"/>
                <w:szCs w:val="20"/>
              </w:rPr>
            </w:pPr>
            <w:r w:rsidRPr="00D17F18">
              <w:rPr>
                <w:sz w:val="20"/>
                <w:szCs w:val="20"/>
              </w:rPr>
              <w:t>8,736.9</w:t>
            </w:r>
          </w:p>
        </w:tc>
        <w:tc>
          <w:tcPr>
            <w:tcW w:w="1200" w:type="dxa"/>
            <w:tcBorders>
              <w:top w:val="nil"/>
              <w:left w:val="nil"/>
              <w:bottom w:val="single" w:sz="4" w:space="0" w:color="auto"/>
              <w:right w:val="nil"/>
            </w:tcBorders>
            <w:shd w:val="clear" w:color="auto" w:fill="auto"/>
            <w:noWrap/>
            <w:hideMark/>
          </w:tcPr>
          <w:p w14:paraId="5EF35DAF" w14:textId="4FF727C0" w:rsidR="00D17F18" w:rsidRPr="00D17F18" w:rsidRDefault="00D17F18" w:rsidP="00D17F18">
            <w:pPr>
              <w:jc w:val="center"/>
              <w:rPr>
                <w:b/>
                <w:bCs/>
                <w:color w:val="000000"/>
                <w:sz w:val="20"/>
                <w:szCs w:val="20"/>
              </w:rPr>
            </w:pPr>
            <w:r w:rsidRPr="00D17F18">
              <w:rPr>
                <w:sz w:val="20"/>
                <w:szCs w:val="20"/>
              </w:rPr>
              <w:t>7,863.2</w:t>
            </w:r>
          </w:p>
        </w:tc>
        <w:tc>
          <w:tcPr>
            <w:tcW w:w="1300" w:type="dxa"/>
            <w:tcBorders>
              <w:top w:val="nil"/>
              <w:left w:val="nil"/>
              <w:bottom w:val="single" w:sz="4" w:space="0" w:color="auto"/>
              <w:right w:val="nil"/>
            </w:tcBorders>
            <w:shd w:val="clear" w:color="auto" w:fill="auto"/>
            <w:noWrap/>
            <w:hideMark/>
          </w:tcPr>
          <w:p w14:paraId="395DFD88" w14:textId="036C753C" w:rsidR="00D17F18" w:rsidRPr="00D17F18" w:rsidRDefault="00D17F18" w:rsidP="00D17F18">
            <w:pPr>
              <w:jc w:val="center"/>
              <w:rPr>
                <w:b/>
                <w:bCs/>
                <w:color w:val="000000"/>
                <w:sz w:val="20"/>
                <w:szCs w:val="20"/>
              </w:rPr>
            </w:pPr>
            <w:r w:rsidRPr="00D17F18">
              <w:rPr>
                <w:sz w:val="20"/>
                <w:szCs w:val="20"/>
              </w:rPr>
              <w:t>873.7</w:t>
            </w:r>
          </w:p>
        </w:tc>
        <w:tc>
          <w:tcPr>
            <w:tcW w:w="1200" w:type="dxa"/>
            <w:tcBorders>
              <w:top w:val="nil"/>
              <w:left w:val="nil"/>
              <w:bottom w:val="single" w:sz="4" w:space="0" w:color="auto"/>
              <w:right w:val="nil"/>
            </w:tcBorders>
            <w:shd w:val="clear" w:color="auto" w:fill="auto"/>
            <w:noWrap/>
            <w:hideMark/>
          </w:tcPr>
          <w:p w14:paraId="65D42704" w14:textId="37BBF99F" w:rsidR="00D17F18" w:rsidRPr="00D17F18" w:rsidRDefault="00D17F18" w:rsidP="00D17F18">
            <w:pPr>
              <w:jc w:val="center"/>
              <w:rPr>
                <w:b/>
                <w:bCs/>
                <w:color w:val="000000"/>
                <w:sz w:val="20"/>
                <w:szCs w:val="20"/>
              </w:rPr>
            </w:pPr>
            <w:r w:rsidRPr="00D17F18">
              <w:rPr>
                <w:sz w:val="20"/>
                <w:szCs w:val="20"/>
              </w:rPr>
              <w:t>0.1%</w:t>
            </w:r>
          </w:p>
        </w:tc>
      </w:tr>
    </w:tbl>
    <w:p w14:paraId="1E55D34C" w14:textId="77777777" w:rsidR="005F38A6" w:rsidRPr="000438E8" w:rsidRDefault="005F38A6" w:rsidP="005F38A6">
      <w:pPr>
        <w:rPr>
          <w:sz w:val="16"/>
          <w:szCs w:val="16"/>
        </w:rPr>
      </w:pPr>
      <w:r w:rsidRPr="000438E8">
        <w:rPr>
          <w:sz w:val="16"/>
          <w:szCs w:val="16"/>
        </w:rPr>
        <w:t>Fuente: Ministerio de Finanzas</w:t>
      </w:r>
    </w:p>
    <w:p w14:paraId="5D97C055" w14:textId="77777777" w:rsidR="005F38A6" w:rsidRDefault="005F38A6" w:rsidP="005F38A6">
      <w:pPr>
        <w:jc w:val="both"/>
      </w:pPr>
    </w:p>
    <w:p w14:paraId="21BA5FC9" w14:textId="626FFE53" w:rsidR="005F38A6" w:rsidRDefault="005F38A6" w:rsidP="005F38A6">
      <w:pPr>
        <w:jc w:val="both"/>
      </w:pPr>
      <w:r>
        <w:t>Por su parte el gasto de intereses disminuye con respecto al escenario base, esto dado que el saldo de la deuda en moneda extranjera se reduce en la misma proporción que la apreciación y por lo tanto los intereses correspondientes. La disminución de los intereses ante una apreciación del 10.0% se estima en Q</w:t>
      </w:r>
      <w:r w:rsidR="006C6819">
        <w:t>507.7</w:t>
      </w:r>
      <w:r>
        <w:t xml:space="preserve"> millones y representa 0.1% del PIB de 2024.</w:t>
      </w:r>
    </w:p>
    <w:p w14:paraId="7D7C9B74" w14:textId="3064A129" w:rsidR="00885487" w:rsidRDefault="00885487" w:rsidP="005F38A6">
      <w:pPr>
        <w:jc w:val="both"/>
      </w:pPr>
    </w:p>
    <w:p w14:paraId="1F876AA7" w14:textId="77777777" w:rsidR="00885487" w:rsidRDefault="00885487" w:rsidP="005F38A6">
      <w:pPr>
        <w:jc w:val="both"/>
      </w:pPr>
    </w:p>
    <w:p w14:paraId="3B4A95BB" w14:textId="7D2171CF" w:rsidR="005F38A6" w:rsidRPr="000438E8" w:rsidRDefault="000438E8" w:rsidP="000438E8">
      <w:pPr>
        <w:pStyle w:val="Descripcin"/>
        <w:keepNext/>
      </w:pPr>
      <w:bookmarkStart w:id="96" w:name="_Toc143593514"/>
      <w:r w:rsidRPr="000438E8">
        <w:rPr>
          <w:color w:val="auto"/>
        </w:rPr>
        <w:t xml:space="preserve">Tabla </w:t>
      </w:r>
      <w:r w:rsidRPr="000438E8">
        <w:rPr>
          <w:color w:val="auto"/>
        </w:rPr>
        <w:fldChar w:fldCharType="begin"/>
      </w:r>
      <w:r w:rsidRPr="000438E8">
        <w:rPr>
          <w:color w:val="auto"/>
        </w:rPr>
        <w:instrText xml:space="preserve"> SEQ Tabla \* ARABIC </w:instrText>
      </w:r>
      <w:r w:rsidRPr="000438E8">
        <w:rPr>
          <w:color w:val="auto"/>
        </w:rPr>
        <w:fldChar w:fldCharType="separate"/>
      </w:r>
      <w:r w:rsidR="00A62AFA">
        <w:rPr>
          <w:noProof/>
          <w:color w:val="auto"/>
        </w:rPr>
        <w:t>12</w:t>
      </w:r>
      <w:r w:rsidRPr="000438E8">
        <w:rPr>
          <w:color w:val="auto"/>
        </w:rPr>
        <w:fldChar w:fldCharType="end"/>
      </w:r>
      <w:r w:rsidRPr="000438E8">
        <w:rPr>
          <w:color w:val="auto"/>
        </w:rPr>
        <w:t xml:space="preserve">.  </w:t>
      </w:r>
      <w:r w:rsidR="005F38A6" w:rsidRPr="000438E8">
        <w:rPr>
          <w:bCs/>
          <w:color w:val="auto"/>
        </w:rPr>
        <w:t>Impacto en el pago de intereses</w:t>
      </w:r>
      <w:bookmarkEnd w:id="96"/>
      <w:r w:rsidR="005F38A6" w:rsidRPr="000438E8">
        <w:rPr>
          <w:bCs/>
          <w:color w:val="auto"/>
        </w:rPr>
        <w:t xml:space="preserve"> </w:t>
      </w:r>
    </w:p>
    <w:p w14:paraId="375EEE91" w14:textId="77777777" w:rsidR="005F38A6" w:rsidRDefault="005F38A6" w:rsidP="005F38A6">
      <w:pPr>
        <w:jc w:val="center"/>
        <w:rPr>
          <w:b/>
          <w:bCs/>
        </w:rPr>
      </w:pPr>
    </w:p>
    <w:tbl>
      <w:tblPr>
        <w:tblW w:w="8997" w:type="dxa"/>
        <w:tblCellMar>
          <w:left w:w="70" w:type="dxa"/>
          <w:right w:w="70" w:type="dxa"/>
        </w:tblCellMar>
        <w:tblLook w:val="04A0" w:firstRow="1" w:lastRow="0" w:firstColumn="1" w:lastColumn="0" w:noHBand="0" w:noVBand="1"/>
      </w:tblPr>
      <w:tblGrid>
        <w:gridCol w:w="3261"/>
        <w:gridCol w:w="840"/>
        <w:gridCol w:w="1370"/>
        <w:gridCol w:w="1027"/>
        <w:gridCol w:w="1472"/>
        <w:gridCol w:w="1027"/>
      </w:tblGrid>
      <w:tr w:rsidR="005F38A6" w:rsidRPr="009C2728" w14:paraId="0F17337D" w14:textId="77777777" w:rsidTr="006A7377">
        <w:trPr>
          <w:trHeight w:val="412"/>
        </w:trPr>
        <w:tc>
          <w:tcPr>
            <w:tcW w:w="3261" w:type="dxa"/>
            <w:tcBorders>
              <w:top w:val="single" w:sz="4" w:space="0" w:color="auto"/>
              <w:left w:val="nil"/>
              <w:bottom w:val="double" w:sz="6" w:space="0" w:color="auto"/>
              <w:right w:val="nil"/>
            </w:tcBorders>
            <w:shd w:val="clear" w:color="auto" w:fill="auto"/>
            <w:noWrap/>
            <w:vAlign w:val="center"/>
            <w:hideMark/>
          </w:tcPr>
          <w:p w14:paraId="4FF2FD07" w14:textId="77777777" w:rsidR="005F38A6" w:rsidRPr="009C2728" w:rsidRDefault="005F38A6" w:rsidP="006A7377">
            <w:pPr>
              <w:jc w:val="center"/>
              <w:rPr>
                <w:b/>
                <w:bCs/>
                <w:color w:val="000000"/>
                <w:sz w:val="20"/>
                <w:szCs w:val="20"/>
              </w:rPr>
            </w:pPr>
            <w:r w:rsidRPr="009C2728">
              <w:rPr>
                <w:b/>
                <w:bCs/>
                <w:color w:val="000000"/>
                <w:sz w:val="20"/>
                <w:szCs w:val="20"/>
              </w:rPr>
              <w:t>Diferencia</w:t>
            </w:r>
          </w:p>
        </w:tc>
        <w:tc>
          <w:tcPr>
            <w:tcW w:w="840" w:type="dxa"/>
            <w:tcBorders>
              <w:top w:val="single" w:sz="4" w:space="0" w:color="auto"/>
              <w:left w:val="single" w:sz="4" w:space="0" w:color="auto"/>
              <w:bottom w:val="double" w:sz="6" w:space="0" w:color="auto"/>
              <w:right w:val="nil"/>
            </w:tcBorders>
            <w:shd w:val="clear" w:color="auto" w:fill="auto"/>
            <w:noWrap/>
            <w:vAlign w:val="center"/>
            <w:hideMark/>
          </w:tcPr>
          <w:p w14:paraId="37E1D2E8" w14:textId="77777777" w:rsidR="005F38A6" w:rsidRPr="009C2728" w:rsidRDefault="005F38A6" w:rsidP="006A7377">
            <w:pPr>
              <w:jc w:val="center"/>
              <w:rPr>
                <w:b/>
                <w:bCs/>
                <w:color w:val="000000"/>
                <w:sz w:val="20"/>
                <w:szCs w:val="20"/>
              </w:rPr>
            </w:pPr>
            <w:r w:rsidRPr="009C2728">
              <w:rPr>
                <w:b/>
                <w:bCs/>
                <w:color w:val="000000"/>
                <w:sz w:val="20"/>
                <w:szCs w:val="20"/>
              </w:rPr>
              <w:t>2023</w:t>
            </w:r>
          </w:p>
        </w:tc>
        <w:tc>
          <w:tcPr>
            <w:tcW w:w="1370" w:type="dxa"/>
            <w:tcBorders>
              <w:top w:val="single" w:sz="4" w:space="0" w:color="auto"/>
              <w:left w:val="nil"/>
              <w:bottom w:val="double" w:sz="6" w:space="0" w:color="auto"/>
              <w:right w:val="nil"/>
            </w:tcBorders>
            <w:shd w:val="clear" w:color="auto" w:fill="auto"/>
            <w:vAlign w:val="center"/>
            <w:hideMark/>
          </w:tcPr>
          <w:p w14:paraId="6D64CE31" w14:textId="77777777" w:rsidR="005F38A6" w:rsidRPr="009C2728" w:rsidRDefault="005F38A6" w:rsidP="006A7377">
            <w:pPr>
              <w:jc w:val="center"/>
              <w:rPr>
                <w:b/>
                <w:bCs/>
                <w:color w:val="000000"/>
                <w:sz w:val="20"/>
                <w:szCs w:val="20"/>
              </w:rPr>
            </w:pPr>
            <w:r w:rsidRPr="009C2728">
              <w:rPr>
                <w:b/>
                <w:bCs/>
                <w:color w:val="000000"/>
                <w:sz w:val="20"/>
                <w:szCs w:val="20"/>
              </w:rPr>
              <w:t>2024 presupuesto</w:t>
            </w:r>
          </w:p>
        </w:tc>
        <w:tc>
          <w:tcPr>
            <w:tcW w:w="1027" w:type="dxa"/>
            <w:tcBorders>
              <w:top w:val="single" w:sz="4" w:space="0" w:color="auto"/>
              <w:left w:val="nil"/>
              <w:bottom w:val="double" w:sz="6" w:space="0" w:color="auto"/>
              <w:right w:val="nil"/>
            </w:tcBorders>
            <w:shd w:val="clear" w:color="auto" w:fill="auto"/>
            <w:vAlign w:val="center"/>
            <w:hideMark/>
          </w:tcPr>
          <w:p w14:paraId="4F472BAE" w14:textId="77777777" w:rsidR="005F38A6" w:rsidRPr="009C2728" w:rsidRDefault="005F38A6" w:rsidP="006A7377">
            <w:pPr>
              <w:jc w:val="center"/>
              <w:rPr>
                <w:b/>
                <w:bCs/>
                <w:color w:val="000000"/>
                <w:sz w:val="20"/>
                <w:szCs w:val="20"/>
              </w:rPr>
            </w:pPr>
            <w:r w:rsidRPr="009C2728">
              <w:rPr>
                <w:b/>
                <w:bCs/>
                <w:color w:val="000000"/>
                <w:sz w:val="20"/>
                <w:szCs w:val="20"/>
              </w:rPr>
              <w:t xml:space="preserve">2024 </w:t>
            </w:r>
            <w:r w:rsidRPr="009C2728">
              <w:rPr>
                <w:b/>
                <w:bCs/>
                <w:color w:val="000000"/>
                <w:sz w:val="20"/>
                <w:szCs w:val="20"/>
              </w:rPr>
              <w:br/>
              <w:t>choque</w:t>
            </w:r>
          </w:p>
        </w:tc>
        <w:tc>
          <w:tcPr>
            <w:tcW w:w="1472" w:type="dxa"/>
            <w:tcBorders>
              <w:top w:val="single" w:sz="4" w:space="0" w:color="auto"/>
              <w:left w:val="nil"/>
              <w:bottom w:val="double" w:sz="6" w:space="0" w:color="auto"/>
              <w:right w:val="nil"/>
            </w:tcBorders>
            <w:shd w:val="clear" w:color="auto" w:fill="auto"/>
            <w:vAlign w:val="center"/>
            <w:hideMark/>
          </w:tcPr>
          <w:p w14:paraId="7863920B" w14:textId="77777777" w:rsidR="005F38A6" w:rsidRPr="009C2728" w:rsidRDefault="005F38A6" w:rsidP="006A7377">
            <w:pPr>
              <w:jc w:val="center"/>
              <w:rPr>
                <w:b/>
                <w:bCs/>
                <w:color w:val="000000"/>
                <w:sz w:val="20"/>
                <w:szCs w:val="20"/>
              </w:rPr>
            </w:pPr>
            <w:r w:rsidRPr="009C2728">
              <w:rPr>
                <w:b/>
                <w:bCs/>
                <w:color w:val="000000"/>
                <w:sz w:val="20"/>
                <w:szCs w:val="20"/>
              </w:rPr>
              <w:t xml:space="preserve">Variación </w:t>
            </w:r>
            <w:r w:rsidRPr="009C2728">
              <w:rPr>
                <w:b/>
                <w:bCs/>
                <w:color w:val="000000"/>
                <w:sz w:val="20"/>
                <w:szCs w:val="20"/>
              </w:rPr>
              <w:br/>
              <w:t>(pres- choque)</w:t>
            </w:r>
          </w:p>
        </w:tc>
        <w:tc>
          <w:tcPr>
            <w:tcW w:w="1027" w:type="dxa"/>
            <w:tcBorders>
              <w:top w:val="single" w:sz="4" w:space="0" w:color="auto"/>
              <w:left w:val="nil"/>
              <w:bottom w:val="double" w:sz="6" w:space="0" w:color="auto"/>
              <w:right w:val="nil"/>
            </w:tcBorders>
            <w:shd w:val="clear" w:color="auto" w:fill="auto"/>
            <w:vAlign w:val="center"/>
            <w:hideMark/>
          </w:tcPr>
          <w:p w14:paraId="1EE6960D" w14:textId="77777777" w:rsidR="005F38A6" w:rsidRPr="009C2728" w:rsidRDefault="005F38A6" w:rsidP="006A7377">
            <w:pPr>
              <w:jc w:val="center"/>
              <w:rPr>
                <w:b/>
                <w:bCs/>
                <w:color w:val="000000"/>
                <w:sz w:val="20"/>
                <w:szCs w:val="20"/>
              </w:rPr>
            </w:pPr>
            <w:r w:rsidRPr="009C2728">
              <w:rPr>
                <w:b/>
                <w:bCs/>
                <w:color w:val="000000"/>
                <w:sz w:val="20"/>
                <w:szCs w:val="20"/>
              </w:rPr>
              <w:t xml:space="preserve">Variación </w:t>
            </w:r>
            <w:r w:rsidRPr="009C2728">
              <w:rPr>
                <w:b/>
                <w:bCs/>
                <w:color w:val="000000"/>
                <w:sz w:val="20"/>
                <w:szCs w:val="20"/>
              </w:rPr>
              <w:br/>
              <w:t>(% del PIB)</w:t>
            </w:r>
          </w:p>
        </w:tc>
      </w:tr>
      <w:tr w:rsidR="00D17F18" w:rsidRPr="009C2728" w14:paraId="50056EA5" w14:textId="77777777" w:rsidTr="005F3606">
        <w:trPr>
          <w:trHeight w:val="247"/>
        </w:trPr>
        <w:tc>
          <w:tcPr>
            <w:tcW w:w="3261" w:type="dxa"/>
            <w:tcBorders>
              <w:top w:val="nil"/>
              <w:left w:val="nil"/>
              <w:bottom w:val="nil"/>
              <w:right w:val="nil"/>
            </w:tcBorders>
            <w:shd w:val="clear" w:color="auto" w:fill="auto"/>
            <w:noWrap/>
            <w:vAlign w:val="bottom"/>
            <w:hideMark/>
          </w:tcPr>
          <w:p w14:paraId="081EEFD2" w14:textId="77777777" w:rsidR="00D17F18" w:rsidRPr="009C2728" w:rsidRDefault="00D17F18" w:rsidP="00D17F18">
            <w:pPr>
              <w:rPr>
                <w:color w:val="000000"/>
                <w:sz w:val="20"/>
                <w:szCs w:val="20"/>
              </w:rPr>
            </w:pPr>
            <w:r w:rsidRPr="009C2728">
              <w:rPr>
                <w:color w:val="000000"/>
                <w:sz w:val="20"/>
                <w:szCs w:val="20"/>
              </w:rPr>
              <w:t>Intereses (millones de Q.)</w:t>
            </w:r>
          </w:p>
        </w:tc>
        <w:tc>
          <w:tcPr>
            <w:tcW w:w="840" w:type="dxa"/>
            <w:tcBorders>
              <w:top w:val="nil"/>
              <w:left w:val="single" w:sz="4" w:space="0" w:color="auto"/>
              <w:bottom w:val="nil"/>
              <w:right w:val="nil"/>
            </w:tcBorders>
            <w:shd w:val="clear" w:color="auto" w:fill="auto"/>
            <w:noWrap/>
            <w:hideMark/>
          </w:tcPr>
          <w:p w14:paraId="25E3019D" w14:textId="7F0CBCE8" w:rsidR="00D17F18" w:rsidRPr="00D17F18" w:rsidRDefault="00D17F18" w:rsidP="00D17F18">
            <w:pPr>
              <w:jc w:val="center"/>
              <w:rPr>
                <w:color w:val="000000"/>
                <w:sz w:val="20"/>
                <w:szCs w:val="20"/>
              </w:rPr>
            </w:pPr>
            <w:r w:rsidRPr="00D17F18">
              <w:rPr>
                <w:sz w:val="20"/>
                <w:szCs w:val="20"/>
              </w:rPr>
              <w:t xml:space="preserve">13,010.7 </w:t>
            </w:r>
          </w:p>
        </w:tc>
        <w:tc>
          <w:tcPr>
            <w:tcW w:w="1370" w:type="dxa"/>
            <w:tcBorders>
              <w:top w:val="nil"/>
              <w:left w:val="nil"/>
              <w:bottom w:val="nil"/>
              <w:right w:val="nil"/>
            </w:tcBorders>
            <w:shd w:val="clear" w:color="auto" w:fill="auto"/>
            <w:noWrap/>
            <w:hideMark/>
          </w:tcPr>
          <w:p w14:paraId="10C1B1F7" w14:textId="7F93A8D3" w:rsidR="00D17F18" w:rsidRPr="00D17F18" w:rsidRDefault="00D17F18" w:rsidP="00D17F18">
            <w:pPr>
              <w:jc w:val="center"/>
              <w:rPr>
                <w:color w:val="000000"/>
                <w:sz w:val="20"/>
                <w:szCs w:val="20"/>
              </w:rPr>
            </w:pPr>
            <w:r w:rsidRPr="00D17F18">
              <w:rPr>
                <w:sz w:val="20"/>
                <w:szCs w:val="20"/>
              </w:rPr>
              <w:t xml:space="preserve">13,858.8 </w:t>
            </w:r>
          </w:p>
        </w:tc>
        <w:tc>
          <w:tcPr>
            <w:tcW w:w="1027" w:type="dxa"/>
            <w:tcBorders>
              <w:top w:val="nil"/>
              <w:left w:val="nil"/>
              <w:bottom w:val="nil"/>
              <w:right w:val="nil"/>
            </w:tcBorders>
            <w:shd w:val="clear" w:color="auto" w:fill="auto"/>
            <w:noWrap/>
            <w:hideMark/>
          </w:tcPr>
          <w:p w14:paraId="71D5009B" w14:textId="1D52ADF7" w:rsidR="00D17F18" w:rsidRPr="00D17F18" w:rsidRDefault="00D17F18" w:rsidP="00D17F18">
            <w:pPr>
              <w:jc w:val="center"/>
              <w:rPr>
                <w:color w:val="000000"/>
                <w:sz w:val="20"/>
                <w:szCs w:val="20"/>
              </w:rPr>
            </w:pPr>
            <w:r w:rsidRPr="00D17F18">
              <w:rPr>
                <w:sz w:val="20"/>
                <w:szCs w:val="20"/>
              </w:rPr>
              <w:t xml:space="preserve">13,351.1 </w:t>
            </w:r>
          </w:p>
        </w:tc>
        <w:tc>
          <w:tcPr>
            <w:tcW w:w="1472" w:type="dxa"/>
            <w:tcBorders>
              <w:top w:val="nil"/>
              <w:left w:val="nil"/>
              <w:bottom w:val="nil"/>
              <w:right w:val="nil"/>
            </w:tcBorders>
            <w:shd w:val="clear" w:color="auto" w:fill="auto"/>
            <w:noWrap/>
            <w:hideMark/>
          </w:tcPr>
          <w:p w14:paraId="13853D23" w14:textId="00782CDA" w:rsidR="00D17F18" w:rsidRPr="00D17F18" w:rsidRDefault="00D17F18" w:rsidP="00D17F18">
            <w:pPr>
              <w:jc w:val="center"/>
              <w:rPr>
                <w:color w:val="000000"/>
                <w:sz w:val="20"/>
                <w:szCs w:val="20"/>
              </w:rPr>
            </w:pPr>
            <w:r w:rsidRPr="00D17F18">
              <w:rPr>
                <w:sz w:val="20"/>
                <w:szCs w:val="20"/>
              </w:rPr>
              <w:t xml:space="preserve">507.7 </w:t>
            </w:r>
          </w:p>
        </w:tc>
        <w:tc>
          <w:tcPr>
            <w:tcW w:w="1027" w:type="dxa"/>
            <w:tcBorders>
              <w:top w:val="nil"/>
              <w:left w:val="nil"/>
              <w:bottom w:val="nil"/>
              <w:right w:val="nil"/>
            </w:tcBorders>
            <w:shd w:val="clear" w:color="auto" w:fill="auto"/>
            <w:noWrap/>
            <w:hideMark/>
          </w:tcPr>
          <w:p w14:paraId="798720E2" w14:textId="21132E2B" w:rsidR="00D17F18" w:rsidRPr="00D17F18" w:rsidRDefault="00D17F18" w:rsidP="00D17F18">
            <w:pPr>
              <w:jc w:val="center"/>
              <w:rPr>
                <w:color w:val="000000"/>
                <w:sz w:val="20"/>
                <w:szCs w:val="20"/>
              </w:rPr>
            </w:pPr>
            <w:r w:rsidRPr="00D17F18">
              <w:rPr>
                <w:sz w:val="20"/>
                <w:szCs w:val="20"/>
              </w:rPr>
              <w:t>0.1%</w:t>
            </w:r>
          </w:p>
        </w:tc>
      </w:tr>
      <w:tr w:rsidR="00D17F18" w:rsidRPr="009C2728" w14:paraId="0048EE34" w14:textId="77777777" w:rsidTr="005F3606">
        <w:trPr>
          <w:trHeight w:val="235"/>
        </w:trPr>
        <w:tc>
          <w:tcPr>
            <w:tcW w:w="3261" w:type="dxa"/>
            <w:tcBorders>
              <w:top w:val="nil"/>
              <w:left w:val="nil"/>
              <w:bottom w:val="single" w:sz="4" w:space="0" w:color="auto"/>
              <w:right w:val="nil"/>
            </w:tcBorders>
            <w:shd w:val="clear" w:color="auto" w:fill="auto"/>
            <w:noWrap/>
            <w:vAlign w:val="bottom"/>
            <w:hideMark/>
          </w:tcPr>
          <w:p w14:paraId="7B72832F" w14:textId="77777777" w:rsidR="00D17F18" w:rsidRPr="009C2728" w:rsidRDefault="00D17F18" w:rsidP="00D17F18">
            <w:pPr>
              <w:ind w:firstLineChars="100" w:firstLine="200"/>
              <w:rPr>
                <w:color w:val="000000"/>
                <w:sz w:val="20"/>
                <w:szCs w:val="20"/>
              </w:rPr>
            </w:pPr>
            <w:r w:rsidRPr="009C2728">
              <w:rPr>
                <w:color w:val="000000"/>
                <w:sz w:val="20"/>
                <w:szCs w:val="20"/>
              </w:rPr>
              <w:t>Moneda extranjera (millones de Q.)</w:t>
            </w:r>
          </w:p>
        </w:tc>
        <w:tc>
          <w:tcPr>
            <w:tcW w:w="840" w:type="dxa"/>
            <w:tcBorders>
              <w:top w:val="nil"/>
              <w:left w:val="single" w:sz="4" w:space="0" w:color="auto"/>
              <w:bottom w:val="single" w:sz="4" w:space="0" w:color="auto"/>
              <w:right w:val="nil"/>
            </w:tcBorders>
            <w:shd w:val="clear" w:color="auto" w:fill="auto"/>
            <w:noWrap/>
            <w:hideMark/>
          </w:tcPr>
          <w:p w14:paraId="731F9AB5" w14:textId="3F15E6D3" w:rsidR="00D17F18" w:rsidRPr="00D17F18" w:rsidRDefault="00D17F18" w:rsidP="00D17F18">
            <w:pPr>
              <w:jc w:val="center"/>
              <w:rPr>
                <w:color w:val="000000"/>
                <w:sz w:val="20"/>
                <w:szCs w:val="20"/>
              </w:rPr>
            </w:pPr>
            <w:r w:rsidRPr="00D17F18">
              <w:rPr>
                <w:sz w:val="20"/>
                <w:szCs w:val="20"/>
              </w:rPr>
              <w:t xml:space="preserve">4,762.3 </w:t>
            </w:r>
          </w:p>
        </w:tc>
        <w:tc>
          <w:tcPr>
            <w:tcW w:w="1370" w:type="dxa"/>
            <w:tcBorders>
              <w:top w:val="nil"/>
              <w:left w:val="nil"/>
              <w:bottom w:val="single" w:sz="4" w:space="0" w:color="auto"/>
              <w:right w:val="nil"/>
            </w:tcBorders>
            <w:shd w:val="clear" w:color="auto" w:fill="auto"/>
            <w:noWrap/>
            <w:hideMark/>
          </w:tcPr>
          <w:p w14:paraId="1E7EFCAE" w14:textId="5E2B8312" w:rsidR="00D17F18" w:rsidRPr="00D17F18" w:rsidRDefault="00D17F18" w:rsidP="00D17F18">
            <w:pPr>
              <w:jc w:val="center"/>
              <w:rPr>
                <w:color w:val="000000"/>
                <w:sz w:val="20"/>
                <w:szCs w:val="20"/>
              </w:rPr>
            </w:pPr>
            <w:r w:rsidRPr="00D17F18">
              <w:rPr>
                <w:sz w:val="20"/>
                <w:szCs w:val="20"/>
              </w:rPr>
              <w:t xml:space="preserve">5,076.8 </w:t>
            </w:r>
          </w:p>
        </w:tc>
        <w:tc>
          <w:tcPr>
            <w:tcW w:w="1027" w:type="dxa"/>
            <w:tcBorders>
              <w:top w:val="nil"/>
              <w:left w:val="nil"/>
              <w:bottom w:val="single" w:sz="4" w:space="0" w:color="auto"/>
              <w:right w:val="nil"/>
            </w:tcBorders>
            <w:shd w:val="clear" w:color="auto" w:fill="auto"/>
            <w:noWrap/>
            <w:hideMark/>
          </w:tcPr>
          <w:p w14:paraId="08B05A7C" w14:textId="0AF15758" w:rsidR="00D17F18" w:rsidRPr="00D17F18" w:rsidRDefault="00D17F18" w:rsidP="00D17F18">
            <w:pPr>
              <w:jc w:val="center"/>
              <w:rPr>
                <w:color w:val="000000"/>
                <w:sz w:val="20"/>
                <w:szCs w:val="20"/>
              </w:rPr>
            </w:pPr>
            <w:r w:rsidRPr="00D17F18">
              <w:rPr>
                <w:sz w:val="20"/>
                <w:szCs w:val="20"/>
              </w:rPr>
              <w:t xml:space="preserve">4,569.1 </w:t>
            </w:r>
          </w:p>
        </w:tc>
        <w:tc>
          <w:tcPr>
            <w:tcW w:w="1472" w:type="dxa"/>
            <w:tcBorders>
              <w:top w:val="nil"/>
              <w:left w:val="nil"/>
              <w:bottom w:val="single" w:sz="4" w:space="0" w:color="auto"/>
              <w:right w:val="nil"/>
            </w:tcBorders>
            <w:shd w:val="clear" w:color="auto" w:fill="auto"/>
            <w:noWrap/>
            <w:hideMark/>
          </w:tcPr>
          <w:p w14:paraId="708BEE28" w14:textId="7BCF8BFA" w:rsidR="00D17F18" w:rsidRPr="00D17F18" w:rsidRDefault="00D17F18" w:rsidP="00D17F18">
            <w:pPr>
              <w:jc w:val="center"/>
              <w:rPr>
                <w:color w:val="000000"/>
                <w:sz w:val="20"/>
                <w:szCs w:val="20"/>
              </w:rPr>
            </w:pPr>
            <w:r w:rsidRPr="00D17F18">
              <w:rPr>
                <w:sz w:val="20"/>
                <w:szCs w:val="20"/>
              </w:rPr>
              <w:t xml:space="preserve">507.7 </w:t>
            </w:r>
          </w:p>
        </w:tc>
        <w:tc>
          <w:tcPr>
            <w:tcW w:w="1027" w:type="dxa"/>
            <w:tcBorders>
              <w:top w:val="nil"/>
              <w:left w:val="nil"/>
              <w:bottom w:val="single" w:sz="4" w:space="0" w:color="auto"/>
              <w:right w:val="nil"/>
            </w:tcBorders>
            <w:shd w:val="clear" w:color="auto" w:fill="auto"/>
            <w:noWrap/>
            <w:hideMark/>
          </w:tcPr>
          <w:p w14:paraId="433C6DB1" w14:textId="1BAEF7D0" w:rsidR="00D17F18" w:rsidRPr="00D17F18" w:rsidRDefault="00D17F18" w:rsidP="00D17F18">
            <w:pPr>
              <w:jc w:val="center"/>
              <w:rPr>
                <w:color w:val="000000"/>
                <w:sz w:val="20"/>
                <w:szCs w:val="20"/>
              </w:rPr>
            </w:pPr>
            <w:r w:rsidRPr="00D17F18">
              <w:rPr>
                <w:sz w:val="20"/>
                <w:szCs w:val="20"/>
              </w:rPr>
              <w:t>0.1%</w:t>
            </w:r>
          </w:p>
        </w:tc>
      </w:tr>
    </w:tbl>
    <w:p w14:paraId="08E6FEA3" w14:textId="77777777" w:rsidR="005F38A6" w:rsidRPr="000438E8" w:rsidRDefault="005F38A6" w:rsidP="005F38A6">
      <w:pPr>
        <w:rPr>
          <w:sz w:val="16"/>
          <w:szCs w:val="16"/>
        </w:rPr>
      </w:pPr>
      <w:r w:rsidRPr="000438E8">
        <w:rPr>
          <w:sz w:val="16"/>
          <w:szCs w:val="16"/>
        </w:rPr>
        <w:t>Fuente: Ministerio de Finanzas</w:t>
      </w:r>
    </w:p>
    <w:p w14:paraId="20C35A1B" w14:textId="77777777" w:rsidR="005F38A6" w:rsidRDefault="005F38A6" w:rsidP="005F38A6">
      <w:pPr>
        <w:jc w:val="both"/>
      </w:pPr>
    </w:p>
    <w:p w14:paraId="01648A15" w14:textId="77777777" w:rsidR="005F38A6" w:rsidRPr="00987058" w:rsidRDefault="005F38A6" w:rsidP="005F07F9">
      <w:pPr>
        <w:pStyle w:val="Ttulo2"/>
        <w:numPr>
          <w:ilvl w:val="3"/>
          <w:numId w:val="35"/>
        </w:numPr>
        <w:tabs>
          <w:tab w:val="left" w:pos="1134"/>
        </w:tabs>
        <w:ind w:left="567" w:hanging="283"/>
        <w:rPr>
          <w:bCs/>
        </w:rPr>
      </w:pPr>
      <w:bookmarkStart w:id="97" w:name="_Toc144114365"/>
      <w:r w:rsidRPr="00FA4202">
        <w:rPr>
          <w:bCs/>
        </w:rPr>
        <w:t>Impacto en el saldo de la deuda pública</w:t>
      </w:r>
      <w:bookmarkEnd w:id="97"/>
      <w:r>
        <w:rPr>
          <w:bCs/>
        </w:rPr>
        <w:t xml:space="preserve"> </w:t>
      </w:r>
    </w:p>
    <w:p w14:paraId="0911E86A" w14:textId="77777777" w:rsidR="005F38A6" w:rsidRDefault="005F38A6" w:rsidP="005F38A6">
      <w:pPr>
        <w:jc w:val="both"/>
      </w:pPr>
    </w:p>
    <w:p w14:paraId="0F0DDCC0" w14:textId="2FB42671" w:rsidR="005F38A6" w:rsidRPr="001A034A" w:rsidRDefault="005F38A6" w:rsidP="005F38A6">
      <w:pPr>
        <w:jc w:val="both"/>
      </w:pPr>
      <w:r>
        <w:t>La deuda</w:t>
      </w:r>
      <w:r w:rsidRPr="00BA6451">
        <w:t xml:space="preserve"> pública en moneda extranjera y el pago de sus intereses dependen del tipo de </w:t>
      </w:r>
      <w:r>
        <w:t>cambio de cada periodo, una apreciación disminuye el saldo de la deuda en quetzales y el costo de financiamiento.  Una apreciación del 10.0% (Q7.01) con respecto al escenario base (Q7.79) de 2024, llevaría a la deuda pública a disminuir de 2</w:t>
      </w:r>
      <w:r w:rsidR="006C6819">
        <w:t>7.9</w:t>
      </w:r>
      <w:r>
        <w:t>% a 2</w:t>
      </w:r>
      <w:r w:rsidR="006C6819">
        <w:t>6</w:t>
      </w:r>
      <w:r>
        <w:t>.</w:t>
      </w:r>
      <w:r w:rsidR="006C6819">
        <w:t>7</w:t>
      </w:r>
      <w:r>
        <w:t>% en dicho año. Asimismo, el saldo de la deuda extranjera con respecto el total disminuiría de 41.6% a 39.0%, lo que mejoraría los indicadores de perfil de la deuda pública.</w:t>
      </w:r>
    </w:p>
    <w:p w14:paraId="21DA7BDB" w14:textId="77777777" w:rsidR="005F38A6" w:rsidRDefault="005F38A6" w:rsidP="005F38A6">
      <w:pPr>
        <w:jc w:val="center"/>
        <w:rPr>
          <w:b/>
          <w:bCs/>
        </w:rPr>
      </w:pPr>
    </w:p>
    <w:p w14:paraId="55CE4CAF" w14:textId="27D249A2" w:rsidR="005F38A6" w:rsidRPr="000438E8" w:rsidRDefault="000438E8" w:rsidP="000438E8">
      <w:pPr>
        <w:pStyle w:val="Descripcin"/>
        <w:keepNext/>
      </w:pPr>
      <w:bookmarkStart w:id="98" w:name="_Toc143593515"/>
      <w:r w:rsidRPr="000438E8">
        <w:rPr>
          <w:color w:val="auto"/>
        </w:rPr>
        <w:t xml:space="preserve">Tabla </w:t>
      </w:r>
      <w:r w:rsidRPr="000438E8">
        <w:rPr>
          <w:color w:val="auto"/>
        </w:rPr>
        <w:fldChar w:fldCharType="begin"/>
      </w:r>
      <w:r w:rsidRPr="000438E8">
        <w:rPr>
          <w:color w:val="auto"/>
        </w:rPr>
        <w:instrText xml:space="preserve"> SEQ Tabla \* ARABIC </w:instrText>
      </w:r>
      <w:r w:rsidRPr="000438E8">
        <w:rPr>
          <w:color w:val="auto"/>
        </w:rPr>
        <w:fldChar w:fldCharType="separate"/>
      </w:r>
      <w:r w:rsidR="00A62AFA">
        <w:rPr>
          <w:noProof/>
          <w:color w:val="auto"/>
        </w:rPr>
        <w:t>13</w:t>
      </w:r>
      <w:r w:rsidRPr="000438E8">
        <w:rPr>
          <w:color w:val="auto"/>
        </w:rPr>
        <w:fldChar w:fldCharType="end"/>
      </w:r>
      <w:r w:rsidRPr="000438E8">
        <w:rPr>
          <w:color w:val="auto"/>
        </w:rPr>
        <w:t xml:space="preserve">.  </w:t>
      </w:r>
      <w:r w:rsidR="005F38A6" w:rsidRPr="000438E8">
        <w:rPr>
          <w:bCs/>
          <w:color w:val="auto"/>
        </w:rPr>
        <w:t>Impacto en la deuda pública ante una apreciación del 10.0% con respecto al escenario de presupuesto</w:t>
      </w:r>
      <w:bookmarkEnd w:id="98"/>
    </w:p>
    <w:tbl>
      <w:tblPr>
        <w:tblW w:w="8811" w:type="dxa"/>
        <w:tblCellMar>
          <w:left w:w="70" w:type="dxa"/>
          <w:right w:w="70" w:type="dxa"/>
        </w:tblCellMar>
        <w:tblLook w:val="04A0" w:firstRow="1" w:lastRow="0" w:firstColumn="1" w:lastColumn="0" w:noHBand="0" w:noVBand="1"/>
      </w:tblPr>
      <w:tblGrid>
        <w:gridCol w:w="3216"/>
        <w:gridCol w:w="1037"/>
        <w:gridCol w:w="1202"/>
        <w:gridCol w:w="975"/>
        <w:gridCol w:w="1396"/>
        <w:gridCol w:w="985"/>
      </w:tblGrid>
      <w:tr w:rsidR="005F38A6" w:rsidRPr="004E19E8" w14:paraId="728E74FE" w14:textId="77777777" w:rsidTr="006A7377">
        <w:trPr>
          <w:trHeight w:val="332"/>
        </w:trPr>
        <w:tc>
          <w:tcPr>
            <w:tcW w:w="3216" w:type="dxa"/>
            <w:tcBorders>
              <w:top w:val="single" w:sz="4" w:space="0" w:color="auto"/>
              <w:left w:val="nil"/>
              <w:bottom w:val="double" w:sz="6" w:space="0" w:color="auto"/>
              <w:right w:val="nil"/>
            </w:tcBorders>
            <w:shd w:val="clear" w:color="auto" w:fill="auto"/>
            <w:noWrap/>
            <w:vAlign w:val="center"/>
            <w:hideMark/>
          </w:tcPr>
          <w:p w14:paraId="6660C464" w14:textId="77777777" w:rsidR="005F38A6" w:rsidRPr="004E19E8" w:rsidRDefault="005F38A6" w:rsidP="006A7377">
            <w:pPr>
              <w:jc w:val="center"/>
              <w:rPr>
                <w:b/>
                <w:bCs/>
                <w:color w:val="000000"/>
                <w:sz w:val="20"/>
                <w:szCs w:val="20"/>
              </w:rPr>
            </w:pPr>
            <w:r w:rsidRPr="004E19E8">
              <w:rPr>
                <w:b/>
                <w:bCs/>
                <w:color w:val="000000"/>
                <w:sz w:val="20"/>
                <w:szCs w:val="20"/>
              </w:rPr>
              <w:t>Diferencia</w:t>
            </w:r>
          </w:p>
        </w:tc>
        <w:tc>
          <w:tcPr>
            <w:tcW w:w="1037" w:type="dxa"/>
            <w:tcBorders>
              <w:top w:val="single" w:sz="4" w:space="0" w:color="auto"/>
              <w:left w:val="single" w:sz="4" w:space="0" w:color="auto"/>
              <w:bottom w:val="double" w:sz="6" w:space="0" w:color="auto"/>
              <w:right w:val="nil"/>
            </w:tcBorders>
            <w:shd w:val="clear" w:color="auto" w:fill="auto"/>
            <w:noWrap/>
            <w:vAlign w:val="center"/>
            <w:hideMark/>
          </w:tcPr>
          <w:p w14:paraId="295B22F8" w14:textId="77777777" w:rsidR="005F38A6" w:rsidRPr="004E19E8" w:rsidRDefault="005F38A6" w:rsidP="006A7377">
            <w:pPr>
              <w:jc w:val="center"/>
              <w:rPr>
                <w:b/>
                <w:bCs/>
                <w:color w:val="000000"/>
                <w:sz w:val="20"/>
                <w:szCs w:val="20"/>
              </w:rPr>
            </w:pPr>
            <w:r w:rsidRPr="004E19E8">
              <w:rPr>
                <w:b/>
                <w:bCs/>
                <w:color w:val="000000"/>
                <w:sz w:val="20"/>
                <w:szCs w:val="20"/>
              </w:rPr>
              <w:t>2023</w:t>
            </w:r>
          </w:p>
        </w:tc>
        <w:tc>
          <w:tcPr>
            <w:tcW w:w="1202" w:type="dxa"/>
            <w:tcBorders>
              <w:top w:val="single" w:sz="4" w:space="0" w:color="auto"/>
              <w:left w:val="nil"/>
              <w:bottom w:val="double" w:sz="6" w:space="0" w:color="auto"/>
              <w:right w:val="nil"/>
            </w:tcBorders>
            <w:shd w:val="clear" w:color="auto" w:fill="auto"/>
            <w:vAlign w:val="center"/>
            <w:hideMark/>
          </w:tcPr>
          <w:p w14:paraId="28595A7D" w14:textId="77777777" w:rsidR="005F38A6" w:rsidRPr="004E19E8" w:rsidRDefault="005F38A6" w:rsidP="006A7377">
            <w:pPr>
              <w:jc w:val="center"/>
              <w:rPr>
                <w:b/>
                <w:bCs/>
                <w:color w:val="000000"/>
                <w:sz w:val="20"/>
                <w:szCs w:val="20"/>
              </w:rPr>
            </w:pPr>
            <w:r w:rsidRPr="004E19E8">
              <w:rPr>
                <w:b/>
                <w:bCs/>
                <w:color w:val="000000"/>
                <w:sz w:val="20"/>
                <w:szCs w:val="20"/>
              </w:rPr>
              <w:t>2024 presupuesto</w:t>
            </w:r>
          </w:p>
        </w:tc>
        <w:tc>
          <w:tcPr>
            <w:tcW w:w="975" w:type="dxa"/>
            <w:tcBorders>
              <w:top w:val="single" w:sz="4" w:space="0" w:color="auto"/>
              <w:left w:val="nil"/>
              <w:bottom w:val="double" w:sz="6" w:space="0" w:color="auto"/>
              <w:right w:val="nil"/>
            </w:tcBorders>
            <w:shd w:val="clear" w:color="auto" w:fill="auto"/>
            <w:vAlign w:val="center"/>
            <w:hideMark/>
          </w:tcPr>
          <w:p w14:paraId="06F13173" w14:textId="77777777" w:rsidR="005F38A6" w:rsidRPr="004E19E8" w:rsidRDefault="005F38A6" w:rsidP="006A7377">
            <w:pPr>
              <w:jc w:val="center"/>
              <w:rPr>
                <w:b/>
                <w:bCs/>
                <w:color w:val="000000"/>
                <w:sz w:val="20"/>
                <w:szCs w:val="20"/>
              </w:rPr>
            </w:pPr>
            <w:r w:rsidRPr="004E19E8">
              <w:rPr>
                <w:b/>
                <w:bCs/>
                <w:color w:val="000000"/>
                <w:sz w:val="20"/>
                <w:szCs w:val="20"/>
              </w:rPr>
              <w:t xml:space="preserve">2024 </w:t>
            </w:r>
            <w:r w:rsidRPr="004E19E8">
              <w:rPr>
                <w:b/>
                <w:bCs/>
                <w:color w:val="000000"/>
                <w:sz w:val="20"/>
                <w:szCs w:val="20"/>
              </w:rPr>
              <w:br/>
              <w:t>choque</w:t>
            </w:r>
          </w:p>
        </w:tc>
        <w:tc>
          <w:tcPr>
            <w:tcW w:w="1396" w:type="dxa"/>
            <w:tcBorders>
              <w:top w:val="single" w:sz="4" w:space="0" w:color="auto"/>
              <w:left w:val="nil"/>
              <w:bottom w:val="double" w:sz="6" w:space="0" w:color="auto"/>
              <w:right w:val="nil"/>
            </w:tcBorders>
            <w:shd w:val="clear" w:color="auto" w:fill="auto"/>
            <w:vAlign w:val="center"/>
            <w:hideMark/>
          </w:tcPr>
          <w:p w14:paraId="6E02B98E" w14:textId="77777777" w:rsidR="005F38A6" w:rsidRPr="004E19E8" w:rsidRDefault="005F38A6" w:rsidP="006A7377">
            <w:pPr>
              <w:jc w:val="center"/>
              <w:rPr>
                <w:b/>
                <w:bCs/>
                <w:color w:val="000000"/>
                <w:sz w:val="20"/>
                <w:szCs w:val="20"/>
              </w:rPr>
            </w:pPr>
            <w:r w:rsidRPr="004E19E8">
              <w:rPr>
                <w:b/>
                <w:bCs/>
                <w:color w:val="000000"/>
                <w:sz w:val="20"/>
                <w:szCs w:val="20"/>
              </w:rPr>
              <w:t xml:space="preserve">Variación </w:t>
            </w:r>
            <w:r w:rsidRPr="004E19E8">
              <w:rPr>
                <w:b/>
                <w:bCs/>
                <w:color w:val="000000"/>
                <w:sz w:val="20"/>
                <w:szCs w:val="20"/>
              </w:rPr>
              <w:br/>
              <w:t>(pres- choque)</w:t>
            </w:r>
          </w:p>
        </w:tc>
        <w:tc>
          <w:tcPr>
            <w:tcW w:w="985" w:type="dxa"/>
            <w:tcBorders>
              <w:top w:val="single" w:sz="4" w:space="0" w:color="auto"/>
              <w:left w:val="nil"/>
              <w:bottom w:val="double" w:sz="6" w:space="0" w:color="auto"/>
              <w:right w:val="nil"/>
            </w:tcBorders>
            <w:shd w:val="clear" w:color="auto" w:fill="auto"/>
            <w:vAlign w:val="center"/>
            <w:hideMark/>
          </w:tcPr>
          <w:p w14:paraId="79955FF0" w14:textId="77777777" w:rsidR="005F38A6" w:rsidRPr="004E19E8" w:rsidRDefault="005F38A6" w:rsidP="006A7377">
            <w:pPr>
              <w:jc w:val="center"/>
              <w:rPr>
                <w:b/>
                <w:bCs/>
                <w:color w:val="000000"/>
                <w:sz w:val="20"/>
                <w:szCs w:val="20"/>
              </w:rPr>
            </w:pPr>
            <w:r w:rsidRPr="004E19E8">
              <w:rPr>
                <w:b/>
                <w:bCs/>
                <w:color w:val="000000"/>
                <w:sz w:val="20"/>
                <w:szCs w:val="20"/>
              </w:rPr>
              <w:t xml:space="preserve">Variación </w:t>
            </w:r>
            <w:r w:rsidRPr="004E19E8">
              <w:rPr>
                <w:b/>
                <w:bCs/>
                <w:color w:val="000000"/>
                <w:sz w:val="20"/>
                <w:szCs w:val="20"/>
              </w:rPr>
              <w:br/>
              <w:t>(% del PIB)</w:t>
            </w:r>
          </w:p>
        </w:tc>
      </w:tr>
      <w:tr w:rsidR="00D17F18" w:rsidRPr="004E19E8" w14:paraId="02C0BDF9" w14:textId="77777777" w:rsidTr="009D2C67">
        <w:trPr>
          <w:trHeight w:val="199"/>
        </w:trPr>
        <w:tc>
          <w:tcPr>
            <w:tcW w:w="3216" w:type="dxa"/>
            <w:tcBorders>
              <w:top w:val="nil"/>
              <w:left w:val="nil"/>
              <w:bottom w:val="nil"/>
              <w:right w:val="nil"/>
            </w:tcBorders>
            <w:shd w:val="clear" w:color="auto" w:fill="auto"/>
            <w:noWrap/>
            <w:vAlign w:val="bottom"/>
            <w:hideMark/>
          </w:tcPr>
          <w:p w14:paraId="5E2B2963" w14:textId="77777777" w:rsidR="00D17F18" w:rsidRPr="004E19E8" w:rsidRDefault="00D17F18" w:rsidP="00D17F18">
            <w:pPr>
              <w:rPr>
                <w:color w:val="000000"/>
                <w:sz w:val="20"/>
                <w:szCs w:val="20"/>
              </w:rPr>
            </w:pPr>
            <w:r w:rsidRPr="004E19E8">
              <w:rPr>
                <w:color w:val="000000"/>
                <w:sz w:val="20"/>
                <w:szCs w:val="20"/>
              </w:rPr>
              <w:t>Deuda (% PIB)</w:t>
            </w:r>
          </w:p>
        </w:tc>
        <w:tc>
          <w:tcPr>
            <w:tcW w:w="1037" w:type="dxa"/>
            <w:tcBorders>
              <w:top w:val="nil"/>
              <w:left w:val="single" w:sz="4" w:space="0" w:color="auto"/>
              <w:bottom w:val="nil"/>
              <w:right w:val="nil"/>
            </w:tcBorders>
            <w:shd w:val="clear" w:color="auto" w:fill="auto"/>
            <w:noWrap/>
            <w:hideMark/>
          </w:tcPr>
          <w:p w14:paraId="38DF9135" w14:textId="68DD8FCE" w:rsidR="00D17F18" w:rsidRPr="00D17F18" w:rsidRDefault="00D17F18" w:rsidP="00D17F18">
            <w:pPr>
              <w:jc w:val="center"/>
              <w:rPr>
                <w:color w:val="000000"/>
                <w:sz w:val="20"/>
                <w:szCs w:val="20"/>
              </w:rPr>
            </w:pPr>
            <w:r w:rsidRPr="00D17F18">
              <w:rPr>
                <w:sz w:val="20"/>
                <w:szCs w:val="20"/>
              </w:rPr>
              <w:t>28.4%</w:t>
            </w:r>
          </w:p>
        </w:tc>
        <w:tc>
          <w:tcPr>
            <w:tcW w:w="1202" w:type="dxa"/>
            <w:tcBorders>
              <w:top w:val="nil"/>
              <w:left w:val="nil"/>
              <w:bottom w:val="nil"/>
              <w:right w:val="nil"/>
            </w:tcBorders>
            <w:shd w:val="clear" w:color="auto" w:fill="auto"/>
            <w:noWrap/>
            <w:hideMark/>
          </w:tcPr>
          <w:p w14:paraId="73D27AB6" w14:textId="14EBAEF7" w:rsidR="00D17F18" w:rsidRPr="00D17F18" w:rsidRDefault="00D17F18" w:rsidP="00D17F18">
            <w:pPr>
              <w:jc w:val="center"/>
              <w:rPr>
                <w:color w:val="000000"/>
                <w:sz w:val="20"/>
                <w:szCs w:val="20"/>
              </w:rPr>
            </w:pPr>
            <w:r w:rsidRPr="00D17F18">
              <w:rPr>
                <w:sz w:val="20"/>
                <w:szCs w:val="20"/>
              </w:rPr>
              <w:t>27.9%</w:t>
            </w:r>
          </w:p>
        </w:tc>
        <w:tc>
          <w:tcPr>
            <w:tcW w:w="975" w:type="dxa"/>
            <w:tcBorders>
              <w:top w:val="nil"/>
              <w:left w:val="nil"/>
              <w:bottom w:val="nil"/>
              <w:right w:val="nil"/>
            </w:tcBorders>
            <w:shd w:val="clear" w:color="auto" w:fill="auto"/>
            <w:noWrap/>
            <w:hideMark/>
          </w:tcPr>
          <w:p w14:paraId="6CBA9DDD" w14:textId="1DA186FA" w:rsidR="00D17F18" w:rsidRPr="00D17F18" w:rsidRDefault="00D17F18" w:rsidP="00D17F18">
            <w:pPr>
              <w:jc w:val="center"/>
              <w:rPr>
                <w:color w:val="000000"/>
                <w:sz w:val="20"/>
                <w:szCs w:val="20"/>
              </w:rPr>
            </w:pPr>
            <w:r w:rsidRPr="00D17F18">
              <w:rPr>
                <w:sz w:val="20"/>
                <w:szCs w:val="20"/>
              </w:rPr>
              <w:t>26.7%</w:t>
            </w:r>
          </w:p>
        </w:tc>
        <w:tc>
          <w:tcPr>
            <w:tcW w:w="1396" w:type="dxa"/>
            <w:tcBorders>
              <w:top w:val="nil"/>
              <w:left w:val="nil"/>
              <w:bottom w:val="nil"/>
              <w:right w:val="nil"/>
            </w:tcBorders>
            <w:shd w:val="clear" w:color="auto" w:fill="auto"/>
            <w:noWrap/>
            <w:hideMark/>
          </w:tcPr>
          <w:p w14:paraId="4E4709F7" w14:textId="6FAC067B" w:rsidR="00D17F18" w:rsidRPr="00D17F18" w:rsidRDefault="00D17F18" w:rsidP="00D17F18">
            <w:pPr>
              <w:jc w:val="center"/>
              <w:rPr>
                <w:color w:val="000000"/>
                <w:sz w:val="20"/>
                <w:szCs w:val="20"/>
              </w:rPr>
            </w:pPr>
            <w:r w:rsidRPr="00D17F18">
              <w:rPr>
                <w:sz w:val="20"/>
                <w:szCs w:val="20"/>
              </w:rPr>
              <w:t>1.2%</w:t>
            </w:r>
          </w:p>
        </w:tc>
        <w:tc>
          <w:tcPr>
            <w:tcW w:w="985" w:type="dxa"/>
            <w:tcBorders>
              <w:top w:val="nil"/>
              <w:left w:val="nil"/>
              <w:bottom w:val="nil"/>
              <w:right w:val="nil"/>
            </w:tcBorders>
            <w:shd w:val="clear" w:color="auto" w:fill="auto"/>
            <w:noWrap/>
            <w:hideMark/>
          </w:tcPr>
          <w:p w14:paraId="16562B1D" w14:textId="470DD1FD" w:rsidR="00D17F18" w:rsidRPr="00D17F18" w:rsidRDefault="00D17F18" w:rsidP="00D17F18">
            <w:pPr>
              <w:jc w:val="center"/>
              <w:rPr>
                <w:color w:val="000000"/>
                <w:sz w:val="20"/>
                <w:szCs w:val="20"/>
              </w:rPr>
            </w:pPr>
            <w:r w:rsidRPr="00D17F18">
              <w:rPr>
                <w:sz w:val="20"/>
                <w:szCs w:val="20"/>
              </w:rPr>
              <w:t>-</w:t>
            </w:r>
          </w:p>
        </w:tc>
      </w:tr>
      <w:tr w:rsidR="00D17F18" w:rsidRPr="004E19E8" w14:paraId="26644D7B" w14:textId="77777777" w:rsidTr="009D2C67">
        <w:trPr>
          <w:trHeight w:val="190"/>
        </w:trPr>
        <w:tc>
          <w:tcPr>
            <w:tcW w:w="3216" w:type="dxa"/>
            <w:tcBorders>
              <w:top w:val="nil"/>
              <w:left w:val="nil"/>
              <w:bottom w:val="nil"/>
              <w:right w:val="nil"/>
            </w:tcBorders>
            <w:shd w:val="clear" w:color="auto" w:fill="auto"/>
            <w:noWrap/>
            <w:vAlign w:val="bottom"/>
            <w:hideMark/>
          </w:tcPr>
          <w:p w14:paraId="3744A30B" w14:textId="77777777" w:rsidR="00D17F18" w:rsidRPr="004E19E8" w:rsidRDefault="00D17F18" w:rsidP="00D17F18">
            <w:pPr>
              <w:rPr>
                <w:color w:val="000000"/>
                <w:sz w:val="20"/>
                <w:szCs w:val="20"/>
              </w:rPr>
            </w:pPr>
            <w:r w:rsidRPr="004E19E8">
              <w:rPr>
                <w:color w:val="000000"/>
                <w:sz w:val="20"/>
                <w:szCs w:val="20"/>
              </w:rPr>
              <w:t>Moneda nacional (% del total)</w:t>
            </w:r>
          </w:p>
        </w:tc>
        <w:tc>
          <w:tcPr>
            <w:tcW w:w="1037" w:type="dxa"/>
            <w:tcBorders>
              <w:top w:val="nil"/>
              <w:left w:val="single" w:sz="4" w:space="0" w:color="auto"/>
              <w:bottom w:val="nil"/>
              <w:right w:val="nil"/>
            </w:tcBorders>
            <w:shd w:val="clear" w:color="auto" w:fill="auto"/>
            <w:noWrap/>
            <w:hideMark/>
          </w:tcPr>
          <w:p w14:paraId="5F2FAF91" w14:textId="7347D52F" w:rsidR="00D17F18" w:rsidRPr="00D17F18" w:rsidRDefault="00D17F18" w:rsidP="00D17F18">
            <w:pPr>
              <w:jc w:val="center"/>
              <w:rPr>
                <w:color w:val="000000"/>
                <w:sz w:val="20"/>
                <w:szCs w:val="20"/>
              </w:rPr>
            </w:pPr>
            <w:r w:rsidRPr="00D17F18">
              <w:rPr>
                <w:sz w:val="20"/>
                <w:szCs w:val="20"/>
              </w:rPr>
              <w:t>56.0%</w:t>
            </w:r>
          </w:p>
        </w:tc>
        <w:tc>
          <w:tcPr>
            <w:tcW w:w="1202" w:type="dxa"/>
            <w:tcBorders>
              <w:top w:val="nil"/>
              <w:left w:val="nil"/>
              <w:bottom w:val="nil"/>
              <w:right w:val="nil"/>
            </w:tcBorders>
            <w:shd w:val="clear" w:color="auto" w:fill="auto"/>
            <w:noWrap/>
            <w:hideMark/>
          </w:tcPr>
          <w:p w14:paraId="436F44F6" w14:textId="60C2BBE2" w:rsidR="00D17F18" w:rsidRPr="00D17F18" w:rsidRDefault="00D17F18" w:rsidP="00D17F18">
            <w:pPr>
              <w:jc w:val="center"/>
              <w:rPr>
                <w:color w:val="000000"/>
                <w:sz w:val="20"/>
                <w:szCs w:val="20"/>
              </w:rPr>
            </w:pPr>
            <w:r w:rsidRPr="00D17F18">
              <w:rPr>
                <w:sz w:val="20"/>
                <w:szCs w:val="20"/>
              </w:rPr>
              <w:t>58.4%</w:t>
            </w:r>
          </w:p>
        </w:tc>
        <w:tc>
          <w:tcPr>
            <w:tcW w:w="975" w:type="dxa"/>
            <w:tcBorders>
              <w:top w:val="nil"/>
              <w:left w:val="nil"/>
              <w:bottom w:val="nil"/>
              <w:right w:val="nil"/>
            </w:tcBorders>
            <w:shd w:val="clear" w:color="auto" w:fill="auto"/>
            <w:noWrap/>
            <w:hideMark/>
          </w:tcPr>
          <w:p w14:paraId="1EB571CD" w14:textId="30AB2AA8" w:rsidR="00D17F18" w:rsidRPr="00D17F18" w:rsidRDefault="00D17F18" w:rsidP="00D17F18">
            <w:pPr>
              <w:jc w:val="center"/>
              <w:rPr>
                <w:color w:val="000000"/>
                <w:sz w:val="20"/>
                <w:szCs w:val="20"/>
              </w:rPr>
            </w:pPr>
            <w:r w:rsidRPr="00D17F18">
              <w:rPr>
                <w:sz w:val="20"/>
                <w:szCs w:val="20"/>
              </w:rPr>
              <w:t>61.0%</w:t>
            </w:r>
          </w:p>
        </w:tc>
        <w:tc>
          <w:tcPr>
            <w:tcW w:w="1396" w:type="dxa"/>
            <w:tcBorders>
              <w:top w:val="nil"/>
              <w:left w:val="nil"/>
              <w:bottom w:val="nil"/>
              <w:right w:val="nil"/>
            </w:tcBorders>
            <w:shd w:val="clear" w:color="auto" w:fill="auto"/>
            <w:noWrap/>
            <w:hideMark/>
          </w:tcPr>
          <w:p w14:paraId="31DB968C" w14:textId="07344598" w:rsidR="00D17F18" w:rsidRPr="00D17F18" w:rsidRDefault="00D17F18" w:rsidP="00D17F18">
            <w:pPr>
              <w:jc w:val="center"/>
              <w:rPr>
                <w:color w:val="000000"/>
                <w:sz w:val="20"/>
                <w:szCs w:val="20"/>
              </w:rPr>
            </w:pPr>
            <w:r w:rsidRPr="00D17F18">
              <w:rPr>
                <w:sz w:val="20"/>
                <w:szCs w:val="20"/>
              </w:rPr>
              <w:t>-2.5%</w:t>
            </w:r>
          </w:p>
        </w:tc>
        <w:tc>
          <w:tcPr>
            <w:tcW w:w="985" w:type="dxa"/>
            <w:tcBorders>
              <w:top w:val="nil"/>
              <w:left w:val="nil"/>
              <w:bottom w:val="nil"/>
              <w:right w:val="nil"/>
            </w:tcBorders>
            <w:shd w:val="clear" w:color="auto" w:fill="auto"/>
            <w:noWrap/>
            <w:hideMark/>
          </w:tcPr>
          <w:p w14:paraId="502B40DD" w14:textId="73A3AE89" w:rsidR="00D17F18" w:rsidRPr="00D17F18" w:rsidRDefault="00D17F18" w:rsidP="00D17F18">
            <w:pPr>
              <w:jc w:val="center"/>
              <w:rPr>
                <w:color w:val="000000"/>
                <w:sz w:val="20"/>
                <w:szCs w:val="20"/>
              </w:rPr>
            </w:pPr>
            <w:r w:rsidRPr="00D17F18">
              <w:rPr>
                <w:sz w:val="20"/>
                <w:szCs w:val="20"/>
              </w:rPr>
              <w:t>-</w:t>
            </w:r>
          </w:p>
        </w:tc>
      </w:tr>
      <w:tr w:rsidR="00D17F18" w:rsidRPr="004E19E8" w14:paraId="3B2FD9DB" w14:textId="77777777" w:rsidTr="009D2C67">
        <w:trPr>
          <w:trHeight w:val="190"/>
        </w:trPr>
        <w:tc>
          <w:tcPr>
            <w:tcW w:w="3216" w:type="dxa"/>
            <w:tcBorders>
              <w:top w:val="nil"/>
              <w:left w:val="nil"/>
              <w:bottom w:val="nil"/>
              <w:right w:val="nil"/>
            </w:tcBorders>
            <w:shd w:val="clear" w:color="auto" w:fill="auto"/>
            <w:noWrap/>
            <w:vAlign w:val="bottom"/>
            <w:hideMark/>
          </w:tcPr>
          <w:p w14:paraId="70FD3070" w14:textId="77777777" w:rsidR="00D17F18" w:rsidRPr="004E19E8" w:rsidRDefault="00D17F18" w:rsidP="00D17F18">
            <w:pPr>
              <w:rPr>
                <w:color w:val="000000"/>
                <w:sz w:val="20"/>
                <w:szCs w:val="20"/>
              </w:rPr>
            </w:pPr>
            <w:r w:rsidRPr="004E19E8">
              <w:rPr>
                <w:color w:val="000000"/>
                <w:sz w:val="20"/>
                <w:szCs w:val="20"/>
              </w:rPr>
              <w:t>Moneda Extrajera (% del total)</w:t>
            </w:r>
          </w:p>
        </w:tc>
        <w:tc>
          <w:tcPr>
            <w:tcW w:w="1037" w:type="dxa"/>
            <w:tcBorders>
              <w:top w:val="nil"/>
              <w:left w:val="single" w:sz="4" w:space="0" w:color="auto"/>
              <w:bottom w:val="nil"/>
              <w:right w:val="nil"/>
            </w:tcBorders>
            <w:shd w:val="clear" w:color="auto" w:fill="auto"/>
            <w:noWrap/>
            <w:hideMark/>
          </w:tcPr>
          <w:p w14:paraId="3C3820D7" w14:textId="613C3B0D" w:rsidR="00D17F18" w:rsidRPr="00D17F18" w:rsidRDefault="00D17F18" w:rsidP="00D17F18">
            <w:pPr>
              <w:jc w:val="center"/>
              <w:rPr>
                <w:color w:val="000000"/>
                <w:sz w:val="20"/>
                <w:szCs w:val="20"/>
              </w:rPr>
            </w:pPr>
            <w:r w:rsidRPr="00D17F18">
              <w:rPr>
                <w:sz w:val="20"/>
                <w:szCs w:val="20"/>
              </w:rPr>
              <w:t>44.0%</w:t>
            </w:r>
          </w:p>
        </w:tc>
        <w:tc>
          <w:tcPr>
            <w:tcW w:w="1202" w:type="dxa"/>
            <w:tcBorders>
              <w:top w:val="nil"/>
              <w:left w:val="nil"/>
              <w:bottom w:val="nil"/>
              <w:right w:val="nil"/>
            </w:tcBorders>
            <w:shd w:val="clear" w:color="auto" w:fill="auto"/>
            <w:noWrap/>
            <w:hideMark/>
          </w:tcPr>
          <w:p w14:paraId="50509E2A" w14:textId="7BE7F854" w:rsidR="00D17F18" w:rsidRPr="00D17F18" w:rsidRDefault="00D17F18" w:rsidP="00D17F18">
            <w:pPr>
              <w:jc w:val="center"/>
              <w:rPr>
                <w:color w:val="000000"/>
                <w:sz w:val="20"/>
                <w:szCs w:val="20"/>
              </w:rPr>
            </w:pPr>
            <w:r w:rsidRPr="00D17F18">
              <w:rPr>
                <w:sz w:val="20"/>
                <w:szCs w:val="20"/>
              </w:rPr>
              <w:t>41.6%</w:t>
            </w:r>
          </w:p>
        </w:tc>
        <w:tc>
          <w:tcPr>
            <w:tcW w:w="975" w:type="dxa"/>
            <w:tcBorders>
              <w:top w:val="nil"/>
              <w:left w:val="nil"/>
              <w:bottom w:val="nil"/>
              <w:right w:val="nil"/>
            </w:tcBorders>
            <w:shd w:val="clear" w:color="auto" w:fill="auto"/>
            <w:noWrap/>
            <w:hideMark/>
          </w:tcPr>
          <w:p w14:paraId="3FD084BA" w14:textId="50AFD4A9" w:rsidR="00D17F18" w:rsidRPr="00D17F18" w:rsidRDefault="00D17F18" w:rsidP="00D17F18">
            <w:pPr>
              <w:jc w:val="center"/>
              <w:rPr>
                <w:color w:val="000000"/>
                <w:sz w:val="20"/>
                <w:szCs w:val="20"/>
              </w:rPr>
            </w:pPr>
            <w:r w:rsidRPr="00D17F18">
              <w:rPr>
                <w:sz w:val="20"/>
                <w:szCs w:val="20"/>
              </w:rPr>
              <w:t>39.0%</w:t>
            </w:r>
          </w:p>
        </w:tc>
        <w:tc>
          <w:tcPr>
            <w:tcW w:w="1396" w:type="dxa"/>
            <w:tcBorders>
              <w:top w:val="nil"/>
              <w:left w:val="nil"/>
              <w:bottom w:val="nil"/>
              <w:right w:val="nil"/>
            </w:tcBorders>
            <w:shd w:val="clear" w:color="auto" w:fill="auto"/>
            <w:noWrap/>
            <w:hideMark/>
          </w:tcPr>
          <w:p w14:paraId="3D80BABF" w14:textId="77E04037" w:rsidR="00D17F18" w:rsidRPr="00D17F18" w:rsidRDefault="00D17F18" w:rsidP="00D17F18">
            <w:pPr>
              <w:jc w:val="center"/>
              <w:rPr>
                <w:color w:val="000000"/>
                <w:sz w:val="20"/>
                <w:szCs w:val="20"/>
              </w:rPr>
            </w:pPr>
            <w:r w:rsidRPr="00D17F18">
              <w:rPr>
                <w:sz w:val="20"/>
                <w:szCs w:val="20"/>
              </w:rPr>
              <w:t>2.5%</w:t>
            </w:r>
          </w:p>
        </w:tc>
        <w:tc>
          <w:tcPr>
            <w:tcW w:w="985" w:type="dxa"/>
            <w:tcBorders>
              <w:top w:val="nil"/>
              <w:left w:val="nil"/>
              <w:bottom w:val="nil"/>
              <w:right w:val="nil"/>
            </w:tcBorders>
            <w:shd w:val="clear" w:color="auto" w:fill="auto"/>
            <w:noWrap/>
            <w:hideMark/>
          </w:tcPr>
          <w:p w14:paraId="0E890FCD" w14:textId="07E9FBE5" w:rsidR="00D17F18" w:rsidRPr="00D17F18" w:rsidRDefault="00D17F18" w:rsidP="00D17F18">
            <w:pPr>
              <w:jc w:val="center"/>
              <w:rPr>
                <w:color w:val="000000"/>
                <w:sz w:val="20"/>
                <w:szCs w:val="20"/>
              </w:rPr>
            </w:pPr>
            <w:r w:rsidRPr="00D17F18">
              <w:rPr>
                <w:sz w:val="20"/>
                <w:szCs w:val="20"/>
              </w:rPr>
              <w:t>-</w:t>
            </w:r>
          </w:p>
        </w:tc>
      </w:tr>
      <w:tr w:rsidR="00D17F18" w:rsidRPr="004E19E8" w14:paraId="6F008591" w14:textId="77777777" w:rsidTr="009D2C67">
        <w:trPr>
          <w:trHeight w:val="190"/>
        </w:trPr>
        <w:tc>
          <w:tcPr>
            <w:tcW w:w="3216" w:type="dxa"/>
            <w:tcBorders>
              <w:top w:val="nil"/>
              <w:left w:val="nil"/>
              <w:bottom w:val="nil"/>
              <w:right w:val="nil"/>
            </w:tcBorders>
            <w:shd w:val="clear" w:color="auto" w:fill="auto"/>
            <w:noWrap/>
            <w:vAlign w:val="bottom"/>
            <w:hideMark/>
          </w:tcPr>
          <w:p w14:paraId="35C56ABF" w14:textId="77777777" w:rsidR="00D17F18" w:rsidRPr="004E19E8" w:rsidRDefault="00D17F18" w:rsidP="00D17F18">
            <w:pPr>
              <w:rPr>
                <w:color w:val="000000"/>
                <w:sz w:val="20"/>
                <w:szCs w:val="20"/>
              </w:rPr>
            </w:pPr>
            <w:r w:rsidRPr="004E19E8">
              <w:rPr>
                <w:color w:val="000000"/>
                <w:sz w:val="20"/>
                <w:szCs w:val="20"/>
              </w:rPr>
              <w:t>Saldo de deuda (millones de Q.)</w:t>
            </w:r>
          </w:p>
        </w:tc>
        <w:tc>
          <w:tcPr>
            <w:tcW w:w="1037" w:type="dxa"/>
            <w:tcBorders>
              <w:top w:val="nil"/>
              <w:left w:val="single" w:sz="4" w:space="0" w:color="auto"/>
              <w:bottom w:val="nil"/>
              <w:right w:val="nil"/>
            </w:tcBorders>
            <w:shd w:val="clear" w:color="auto" w:fill="auto"/>
            <w:noWrap/>
            <w:hideMark/>
          </w:tcPr>
          <w:p w14:paraId="719CE019" w14:textId="318CE523" w:rsidR="00D17F18" w:rsidRPr="00D17F18" w:rsidRDefault="00D17F18" w:rsidP="00D17F18">
            <w:pPr>
              <w:jc w:val="center"/>
              <w:rPr>
                <w:color w:val="000000"/>
                <w:sz w:val="20"/>
                <w:szCs w:val="20"/>
              </w:rPr>
            </w:pPr>
            <w:r w:rsidRPr="00D17F18">
              <w:rPr>
                <w:sz w:val="20"/>
                <w:szCs w:val="20"/>
              </w:rPr>
              <w:t xml:space="preserve">226,369.2 </w:t>
            </w:r>
          </w:p>
        </w:tc>
        <w:tc>
          <w:tcPr>
            <w:tcW w:w="1202" w:type="dxa"/>
            <w:tcBorders>
              <w:top w:val="nil"/>
              <w:left w:val="nil"/>
              <w:bottom w:val="nil"/>
              <w:right w:val="nil"/>
            </w:tcBorders>
            <w:shd w:val="clear" w:color="auto" w:fill="auto"/>
            <w:noWrap/>
            <w:hideMark/>
          </w:tcPr>
          <w:p w14:paraId="2A4E208F" w14:textId="660174C2" w:rsidR="00D17F18" w:rsidRPr="00D17F18" w:rsidRDefault="00D17F18" w:rsidP="00D17F18">
            <w:pPr>
              <w:jc w:val="center"/>
              <w:rPr>
                <w:color w:val="000000"/>
                <w:sz w:val="20"/>
                <w:szCs w:val="20"/>
              </w:rPr>
            </w:pPr>
            <w:r w:rsidRPr="00D17F18">
              <w:rPr>
                <w:sz w:val="20"/>
                <w:szCs w:val="20"/>
              </w:rPr>
              <w:t xml:space="preserve">235,006.2 </w:t>
            </w:r>
          </w:p>
        </w:tc>
        <w:tc>
          <w:tcPr>
            <w:tcW w:w="975" w:type="dxa"/>
            <w:tcBorders>
              <w:top w:val="nil"/>
              <w:left w:val="nil"/>
              <w:bottom w:val="nil"/>
              <w:right w:val="nil"/>
            </w:tcBorders>
            <w:shd w:val="clear" w:color="auto" w:fill="auto"/>
            <w:noWrap/>
            <w:hideMark/>
          </w:tcPr>
          <w:p w14:paraId="1243E2FF" w14:textId="6C0C1817" w:rsidR="00D17F18" w:rsidRPr="00D17F18" w:rsidRDefault="00D17F18" w:rsidP="00D17F18">
            <w:pPr>
              <w:jc w:val="center"/>
              <w:rPr>
                <w:color w:val="000000"/>
                <w:sz w:val="20"/>
                <w:szCs w:val="20"/>
              </w:rPr>
            </w:pPr>
            <w:r w:rsidRPr="00D17F18">
              <w:rPr>
                <w:sz w:val="20"/>
                <w:szCs w:val="20"/>
              </w:rPr>
              <w:t xml:space="preserve">225,238.1 </w:t>
            </w:r>
          </w:p>
        </w:tc>
        <w:tc>
          <w:tcPr>
            <w:tcW w:w="1396" w:type="dxa"/>
            <w:tcBorders>
              <w:top w:val="nil"/>
              <w:left w:val="nil"/>
              <w:bottom w:val="nil"/>
              <w:right w:val="nil"/>
            </w:tcBorders>
            <w:shd w:val="clear" w:color="auto" w:fill="auto"/>
            <w:noWrap/>
            <w:hideMark/>
          </w:tcPr>
          <w:p w14:paraId="51680A55" w14:textId="09F9DBD3" w:rsidR="00D17F18" w:rsidRPr="00D17F18" w:rsidRDefault="00D17F18" w:rsidP="00D17F18">
            <w:pPr>
              <w:jc w:val="center"/>
              <w:rPr>
                <w:color w:val="000000"/>
                <w:sz w:val="20"/>
                <w:szCs w:val="20"/>
              </w:rPr>
            </w:pPr>
            <w:r w:rsidRPr="00D17F18">
              <w:rPr>
                <w:sz w:val="20"/>
                <w:szCs w:val="20"/>
              </w:rPr>
              <w:t xml:space="preserve">9,768.2 </w:t>
            </w:r>
          </w:p>
        </w:tc>
        <w:tc>
          <w:tcPr>
            <w:tcW w:w="985" w:type="dxa"/>
            <w:tcBorders>
              <w:top w:val="nil"/>
              <w:left w:val="nil"/>
              <w:bottom w:val="nil"/>
              <w:right w:val="nil"/>
            </w:tcBorders>
            <w:shd w:val="clear" w:color="auto" w:fill="auto"/>
            <w:noWrap/>
            <w:hideMark/>
          </w:tcPr>
          <w:p w14:paraId="1F61337A" w14:textId="3E72E953" w:rsidR="00D17F18" w:rsidRPr="00D17F18" w:rsidRDefault="00D17F18" w:rsidP="00D17F18">
            <w:pPr>
              <w:jc w:val="center"/>
              <w:rPr>
                <w:color w:val="000000"/>
                <w:sz w:val="20"/>
                <w:szCs w:val="20"/>
              </w:rPr>
            </w:pPr>
            <w:r w:rsidRPr="00D17F18">
              <w:rPr>
                <w:sz w:val="20"/>
                <w:szCs w:val="20"/>
              </w:rPr>
              <w:t>1.2%</w:t>
            </w:r>
          </w:p>
        </w:tc>
      </w:tr>
      <w:tr w:rsidR="00D17F18" w:rsidRPr="004E19E8" w14:paraId="45864B73" w14:textId="77777777" w:rsidTr="009D2C67">
        <w:trPr>
          <w:trHeight w:val="190"/>
        </w:trPr>
        <w:tc>
          <w:tcPr>
            <w:tcW w:w="3216" w:type="dxa"/>
            <w:tcBorders>
              <w:top w:val="nil"/>
              <w:left w:val="nil"/>
              <w:bottom w:val="single" w:sz="4" w:space="0" w:color="auto"/>
              <w:right w:val="nil"/>
            </w:tcBorders>
            <w:shd w:val="clear" w:color="auto" w:fill="auto"/>
            <w:noWrap/>
            <w:vAlign w:val="bottom"/>
            <w:hideMark/>
          </w:tcPr>
          <w:p w14:paraId="0210F900" w14:textId="77777777" w:rsidR="00D17F18" w:rsidRPr="004E19E8" w:rsidRDefault="00D17F18" w:rsidP="00D17F18">
            <w:pPr>
              <w:ind w:firstLineChars="100" w:firstLine="200"/>
              <w:rPr>
                <w:color w:val="000000"/>
                <w:sz w:val="20"/>
                <w:szCs w:val="20"/>
              </w:rPr>
            </w:pPr>
            <w:r w:rsidRPr="004E19E8">
              <w:rPr>
                <w:color w:val="000000"/>
                <w:sz w:val="20"/>
                <w:szCs w:val="20"/>
              </w:rPr>
              <w:t>Moneda extranjera (millones de Q.)</w:t>
            </w:r>
          </w:p>
        </w:tc>
        <w:tc>
          <w:tcPr>
            <w:tcW w:w="1037" w:type="dxa"/>
            <w:tcBorders>
              <w:top w:val="nil"/>
              <w:left w:val="single" w:sz="4" w:space="0" w:color="auto"/>
              <w:bottom w:val="single" w:sz="4" w:space="0" w:color="auto"/>
              <w:right w:val="nil"/>
            </w:tcBorders>
            <w:shd w:val="clear" w:color="auto" w:fill="auto"/>
            <w:noWrap/>
            <w:hideMark/>
          </w:tcPr>
          <w:p w14:paraId="602D2913" w14:textId="6A876BA8" w:rsidR="00D17F18" w:rsidRPr="00D17F18" w:rsidRDefault="00D17F18" w:rsidP="00D17F18">
            <w:pPr>
              <w:jc w:val="center"/>
              <w:rPr>
                <w:color w:val="000000"/>
                <w:sz w:val="20"/>
                <w:szCs w:val="20"/>
              </w:rPr>
            </w:pPr>
            <w:r w:rsidRPr="00D17F18">
              <w:rPr>
                <w:sz w:val="20"/>
                <w:szCs w:val="20"/>
              </w:rPr>
              <w:t xml:space="preserve">99,631.8 </w:t>
            </w:r>
          </w:p>
        </w:tc>
        <w:tc>
          <w:tcPr>
            <w:tcW w:w="1202" w:type="dxa"/>
            <w:tcBorders>
              <w:top w:val="nil"/>
              <w:left w:val="nil"/>
              <w:bottom w:val="single" w:sz="4" w:space="0" w:color="auto"/>
              <w:right w:val="nil"/>
            </w:tcBorders>
            <w:shd w:val="clear" w:color="auto" w:fill="auto"/>
            <w:noWrap/>
            <w:hideMark/>
          </w:tcPr>
          <w:p w14:paraId="3F8DA0F6" w14:textId="14B519D4" w:rsidR="00D17F18" w:rsidRPr="00D17F18" w:rsidRDefault="00D17F18" w:rsidP="00D17F18">
            <w:pPr>
              <w:jc w:val="center"/>
              <w:rPr>
                <w:color w:val="000000"/>
                <w:sz w:val="20"/>
                <w:szCs w:val="20"/>
              </w:rPr>
            </w:pPr>
            <w:r w:rsidRPr="00D17F18">
              <w:rPr>
                <w:sz w:val="20"/>
                <w:szCs w:val="20"/>
              </w:rPr>
              <w:t xml:space="preserve">97,681.6 </w:t>
            </w:r>
          </w:p>
        </w:tc>
        <w:tc>
          <w:tcPr>
            <w:tcW w:w="975" w:type="dxa"/>
            <w:tcBorders>
              <w:top w:val="nil"/>
              <w:left w:val="nil"/>
              <w:bottom w:val="single" w:sz="4" w:space="0" w:color="auto"/>
              <w:right w:val="nil"/>
            </w:tcBorders>
            <w:shd w:val="clear" w:color="auto" w:fill="auto"/>
            <w:noWrap/>
            <w:hideMark/>
          </w:tcPr>
          <w:p w14:paraId="3764CCCB" w14:textId="303B9244" w:rsidR="00D17F18" w:rsidRPr="00D17F18" w:rsidRDefault="00D17F18" w:rsidP="00D17F18">
            <w:pPr>
              <w:jc w:val="center"/>
              <w:rPr>
                <w:color w:val="000000"/>
                <w:sz w:val="20"/>
                <w:szCs w:val="20"/>
              </w:rPr>
            </w:pPr>
            <w:r w:rsidRPr="00D17F18">
              <w:rPr>
                <w:sz w:val="20"/>
                <w:szCs w:val="20"/>
              </w:rPr>
              <w:t xml:space="preserve">87,913.5 </w:t>
            </w:r>
          </w:p>
        </w:tc>
        <w:tc>
          <w:tcPr>
            <w:tcW w:w="1396" w:type="dxa"/>
            <w:tcBorders>
              <w:top w:val="nil"/>
              <w:left w:val="nil"/>
              <w:bottom w:val="single" w:sz="4" w:space="0" w:color="auto"/>
              <w:right w:val="nil"/>
            </w:tcBorders>
            <w:shd w:val="clear" w:color="auto" w:fill="auto"/>
            <w:noWrap/>
            <w:hideMark/>
          </w:tcPr>
          <w:p w14:paraId="31114FE7" w14:textId="24866CF1" w:rsidR="00D17F18" w:rsidRPr="00D17F18" w:rsidRDefault="00D17F18" w:rsidP="00D17F18">
            <w:pPr>
              <w:jc w:val="center"/>
              <w:rPr>
                <w:color w:val="000000"/>
                <w:sz w:val="20"/>
                <w:szCs w:val="20"/>
              </w:rPr>
            </w:pPr>
            <w:r w:rsidRPr="00D17F18">
              <w:rPr>
                <w:sz w:val="20"/>
                <w:szCs w:val="20"/>
              </w:rPr>
              <w:t xml:space="preserve">9,768.2 </w:t>
            </w:r>
          </w:p>
        </w:tc>
        <w:tc>
          <w:tcPr>
            <w:tcW w:w="985" w:type="dxa"/>
            <w:tcBorders>
              <w:top w:val="nil"/>
              <w:left w:val="nil"/>
              <w:bottom w:val="single" w:sz="4" w:space="0" w:color="auto"/>
              <w:right w:val="nil"/>
            </w:tcBorders>
            <w:shd w:val="clear" w:color="auto" w:fill="auto"/>
            <w:noWrap/>
            <w:hideMark/>
          </w:tcPr>
          <w:p w14:paraId="003327B0" w14:textId="3D24740A" w:rsidR="00D17F18" w:rsidRPr="00D17F18" w:rsidRDefault="00D17F18" w:rsidP="00D17F18">
            <w:pPr>
              <w:jc w:val="center"/>
              <w:rPr>
                <w:color w:val="000000"/>
                <w:sz w:val="20"/>
                <w:szCs w:val="20"/>
              </w:rPr>
            </w:pPr>
            <w:r w:rsidRPr="00D17F18">
              <w:rPr>
                <w:sz w:val="20"/>
                <w:szCs w:val="20"/>
              </w:rPr>
              <w:t>1.2%</w:t>
            </w:r>
          </w:p>
        </w:tc>
      </w:tr>
    </w:tbl>
    <w:p w14:paraId="4C0963AE" w14:textId="77777777" w:rsidR="005F38A6" w:rsidRPr="000438E8" w:rsidRDefault="005F38A6" w:rsidP="005F38A6">
      <w:pPr>
        <w:rPr>
          <w:sz w:val="16"/>
          <w:szCs w:val="16"/>
        </w:rPr>
      </w:pPr>
      <w:r w:rsidRPr="000438E8">
        <w:rPr>
          <w:sz w:val="16"/>
          <w:szCs w:val="16"/>
        </w:rPr>
        <w:t>Fuente: Ministerio de Finanzas</w:t>
      </w:r>
    </w:p>
    <w:p w14:paraId="1F41D777" w14:textId="77777777" w:rsidR="005F38A6" w:rsidRDefault="005F38A6" w:rsidP="005F38A6">
      <w:pPr>
        <w:jc w:val="both"/>
      </w:pPr>
    </w:p>
    <w:p w14:paraId="3BF3AE1F" w14:textId="478763A3" w:rsidR="005F38A6" w:rsidRDefault="005F38A6" w:rsidP="005F38A6">
      <w:pPr>
        <w:jc w:val="both"/>
      </w:pPr>
      <w:r>
        <w:t xml:space="preserve">En resumen, </w:t>
      </w:r>
      <w:r w:rsidRPr="00806999">
        <w:t xml:space="preserve">el impacto neto </w:t>
      </w:r>
      <w:r>
        <w:t xml:space="preserve">de una apreciación del 10.0% </w:t>
      </w:r>
      <w:r w:rsidRPr="00806999">
        <w:t xml:space="preserve">sería negativo </w:t>
      </w:r>
      <w:r>
        <w:t>entre los ingresos y gastos por Q1,</w:t>
      </w:r>
      <w:r w:rsidR="006C6819">
        <w:t>344.4</w:t>
      </w:r>
      <w:r>
        <w:t xml:space="preserve">, dado </w:t>
      </w:r>
      <w:r w:rsidRPr="00806999">
        <w:t>que la recaudación disminuiría en una mayor proporción que los gastos</w:t>
      </w:r>
      <w:r>
        <w:t xml:space="preserve">. Sin embargo, los saldos de la deuda pública se verían beneficiados por la reducción de la deuda en moneda extranjera. </w:t>
      </w:r>
    </w:p>
    <w:p w14:paraId="554335CA" w14:textId="60492C95" w:rsidR="005F38A6" w:rsidRPr="000438E8" w:rsidRDefault="000438E8" w:rsidP="000438E8">
      <w:pPr>
        <w:pStyle w:val="Descripcin"/>
        <w:keepNext/>
      </w:pPr>
      <w:bookmarkStart w:id="99" w:name="_Toc143593516"/>
      <w:r w:rsidRPr="000438E8">
        <w:rPr>
          <w:color w:val="auto"/>
        </w:rPr>
        <w:lastRenderedPageBreak/>
        <w:t xml:space="preserve">Tabla </w:t>
      </w:r>
      <w:r w:rsidRPr="000438E8">
        <w:rPr>
          <w:color w:val="auto"/>
        </w:rPr>
        <w:fldChar w:fldCharType="begin"/>
      </w:r>
      <w:r w:rsidRPr="000438E8">
        <w:rPr>
          <w:color w:val="auto"/>
        </w:rPr>
        <w:instrText xml:space="preserve"> SEQ Tabla \* ARABIC </w:instrText>
      </w:r>
      <w:r w:rsidRPr="000438E8">
        <w:rPr>
          <w:color w:val="auto"/>
        </w:rPr>
        <w:fldChar w:fldCharType="separate"/>
      </w:r>
      <w:r w:rsidR="00A62AFA">
        <w:rPr>
          <w:noProof/>
          <w:color w:val="auto"/>
        </w:rPr>
        <w:t>14</w:t>
      </w:r>
      <w:r w:rsidRPr="000438E8">
        <w:rPr>
          <w:color w:val="auto"/>
        </w:rPr>
        <w:fldChar w:fldCharType="end"/>
      </w:r>
      <w:r w:rsidRPr="000438E8">
        <w:rPr>
          <w:color w:val="auto"/>
        </w:rPr>
        <w:t xml:space="preserve">.  </w:t>
      </w:r>
      <w:r w:rsidR="005F38A6" w:rsidRPr="000438E8">
        <w:rPr>
          <w:bCs/>
          <w:color w:val="auto"/>
        </w:rPr>
        <w:t>Impacto neto de una apreciación del 10.0% en la política fiscal</w:t>
      </w:r>
      <w:bookmarkEnd w:id="99"/>
    </w:p>
    <w:tbl>
      <w:tblPr>
        <w:tblW w:w="6579" w:type="dxa"/>
        <w:jc w:val="center"/>
        <w:tblCellMar>
          <w:left w:w="70" w:type="dxa"/>
          <w:right w:w="70" w:type="dxa"/>
        </w:tblCellMar>
        <w:tblLook w:val="04A0" w:firstRow="1" w:lastRow="0" w:firstColumn="1" w:lastColumn="0" w:noHBand="0" w:noVBand="1"/>
      </w:tblPr>
      <w:tblGrid>
        <w:gridCol w:w="3876"/>
        <w:gridCol w:w="1368"/>
        <w:gridCol w:w="1335"/>
      </w:tblGrid>
      <w:tr w:rsidR="005F38A6" w:rsidRPr="00122F5D" w14:paraId="0D773A70" w14:textId="77777777" w:rsidTr="006A7377">
        <w:trPr>
          <w:trHeight w:val="235"/>
          <w:jc w:val="center"/>
        </w:trPr>
        <w:tc>
          <w:tcPr>
            <w:tcW w:w="3876" w:type="dxa"/>
            <w:tcBorders>
              <w:top w:val="single" w:sz="4" w:space="0" w:color="auto"/>
              <w:left w:val="nil"/>
              <w:bottom w:val="double" w:sz="6" w:space="0" w:color="auto"/>
              <w:right w:val="nil"/>
            </w:tcBorders>
            <w:shd w:val="clear" w:color="auto" w:fill="auto"/>
            <w:noWrap/>
            <w:vAlign w:val="bottom"/>
            <w:hideMark/>
          </w:tcPr>
          <w:p w14:paraId="0E736253" w14:textId="77777777" w:rsidR="005F38A6" w:rsidRPr="00122F5D" w:rsidRDefault="005F38A6" w:rsidP="006A7377">
            <w:pPr>
              <w:rPr>
                <w:b/>
                <w:bCs/>
                <w:color w:val="000000"/>
                <w:sz w:val="22"/>
                <w:szCs w:val="22"/>
              </w:rPr>
            </w:pPr>
            <w:bookmarkStart w:id="100" w:name="_Hlk141960944"/>
            <w:r w:rsidRPr="00122F5D">
              <w:rPr>
                <w:b/>
                <w:bCs/>
                <w:color w:val="000000"/>
                <w:sz w:val="22"/>
                <w:szCs w:val="22"/>
              </w:rPr>
              <w:t> </w:t>
            </w:r>
          </w:p>
        </w:tc>
        <w:tc>
          <w:tcPr>
            <w:tcW w:w="1368" w:type="dxa"/>
            <w:tcBorders>
              <w:top w:val="single" w:sz="4" w:space="0" w:color="auto"/>
              <w:left w:val="single" w:sz="4" w:space="0" w:color="auto"/>
              <w:bottom w:val="double" w:sz="6" w:space="0" w:color="auto"/>
              <w:right w:val="nil"/>
            </w:tcBorders>
            <w:shd w:val="clear" w:color="auto" w:fill="auto"/>
            <w:noWrap/>
            <w:vAlign w:val="bottom"/>
            <w:hideMark/>
          </w:tcPr>
          <w:p w14:paraId="7B8FB8C1" w14:textId="77777777" w:rsidR="005F38A6" w:rsidRDefault="005F38A6" w:rsidP="006A7377">
            <w:pPr>
              <w:jc w:val="center"/>
              <w:rPr>
                <w:b/>
                <w:bCs/>
                <w:color w:val="000000"/>
                <w:sz w:val="22"/>
                <w:szCs w:val="22"/>
              </w:rPr>
            </w:pPr>
            <w:r w:rsidRPr="00122F5D">
              <w:rPr>
                <w:b/>
                <w:bCs/>
                <w:color w:val="000000"/>
                <w:sz w:val="22"/>
                <w:szCs w:val="22"/>
              </w:rPr>
              <w:t>Impacto</w:t>
            </w:r>
          </w:p>
          <w:p w14:paraId="53AFC391" w14:textId="77777777" w:rsidR="005F38A6" w:rsidRPr="00122F5D" w:rsidRDefault="005F38A6" w:rsidP="006A7377">
            <w:pPr>
              <w:jc w:val="center"/>
              <w:rPr>
                <w:b/>
                <w:bCs/>
                <w:color w:val="000000"/>
                <w:sz w:val="22"/>
                <w:szCs w:val="22"/>
              </w:rPr>
            </w:pPr>
            <w:r w:rsidRPr="00BA6451">
              <w:rPr>
                <w:b/>
                <w:bCs/>
                <w:color w:val="000000"/>
                <w:sz w:val="20"/>
                <w:szCs w:val="20"/>
              </w:rPr>
              <w:t>(pres- choque)</w:t>
            </w:r>
          </w:p>
        </w:tc>
        <w:tc>
          <w:tcPr>
            <w:tcW w:w="1335" w:type="dxa"/>
            <w:tcBorders>
              <w:top w:val="single" w:sz="4" w:space="0" w:color="auto"/>
              <w:left w:val="nil"/>
              <w:bottom w:val="double" w:sz="6" w:space="0" w:color="auto"/>
              <w:right w:val="nil"/>
            </w:tcBorders>
            <w:shd w:val="clear" w:color="auto" w:fill="auto"/>
            <w:noWrap/>
            <w:vAlign w:val="bottom"/>
            <w:hideMark/>
          </w:tcPr>
          <w:p w14:paraId="18EE6A78" w14:textId="77777777" w:rsidR="005F38A6" w:rsidRPr="00122F5D" w:rsidRDefault="005F38A6" w:rsidP="006A7377">
            <w:pPr>
              <w:jc w:val="center"/>
              <w:rPr>
                <w:b/>
                <w:bCs/>
                <w:color w:val="000000"/>
                <w:sz w:val="22"/>
                <w:szCs w:val="22"/>
              </w:rPr>
            </w:pPr>
            <w:r w:rsidRPr="00122F5D">
              <w:rPr>
                <w:b/>
                <w:bCs/>
                <w:color w:val="000000"/>
                <w:sz w:val="22"/>
                <w:szCs w:val="22"/>
              </w:rPr>
              <w:t>% del PIB</w:t>
            </w:r>
          </w:p>
        </w:tc>
      </w:tr>
      <w:tr w:rsidR="005F38A6" w:rsidRPr="00122F5D" w14:paraId="2B2AC585" w14:textId="77777777" w:rsidTr="006A7377">
        <w:trPr>
          <w:trHeight w:val="128"/>
          <w:jc w:val="center"/>
        </w:trPr>
        <w:tc>
          <w:tcPr>
            <w:tcW w:w="3876" w:type="dxa"/>
            <w:tcBorders>
              <w:top w:val="nil"/>
              <w:left w:val="nil"/>
              <w:bottom w:val="nil"/>
              <w:right w:val="nil"/>
            </w:tcBorders>
            <w:shd w:val="clear" w:color="000000" w:fill="EDEDED"/>
            <w:noWrap/>
            <w:hideMark/>
          </w:tcPr>
          <w:p w14:paraId="3209A10C" w14:textId="77777777" w:rsidR="005F38A6" w:rsidRPr="00122F5D" w:rsidRDefault="005F38A6" w:rsidP="006A7377">
            <w:pPr>
              <w:rPr>
                <w:b/>
                <w:bCs/>
                <w:color w:val="000000"/>
                <w:sz w:val="20"/>
                <w:szCs w:val="20"/>
              </w:rPr>
            </w:pPr>
            <w:r w:rsidRPr="00122F5D">
              <w:rPr>
                <w:b/>
                <w:bCs/>
                <w:color w:val="000000"/>
                <w:sz w:val="20"/>
                <w:szCs w:val="20"/>
              </w:rPr>
              <w:t>Impacto en los ingresos y gastos</w:t>
            </w:r>
          </w:p>
        </w:tc>
        <w:tc>
          <w:tcPr>
            <w:tcW w:w="1368" w:type="dxa"/>
            <w:tcBorders>
              <w:top w:val="nil"/>
              <w:left w:val="single" w:sz="4" w:space="0" w:color="auto"/>
              <w:bottom w:val="nil"/>
              <w:right w:val="nil"/>
            </w:tcBorders>
            <w:shd w:val="clear" w:color="000000" w:fill="EDEDED"/>
            <w:noWrap/>
            <w:vAlign w:val="bottom"/>
            <w:hideMark/>
          </w:tcPr>
          <w:p w14:paraId="36741257" w14:textId="77777777" w:rsidR="005F38A6" w:rsidRPr="00122F5D" w:rsidRDefault="005F38A6" w:rsidP="006A7377">
            <w:pPr>
              <w:rPr>
                <w:b/>
                <w:bCs/>
                <w:color w:val="000000"/>
                <w:sz w:val="20"/>
                <w:szCs w:val="20"/>
              </w:rPr>
            </w:pPr>
          </w:p>
        </w:tc>
        <w:tc>
          <w:tcPr>
            <w:tcW w:w="1335" w:type="dxa"/>
            <w:tcBorders>
              <w:top w:val="nil"/>
              <w:left w:val="nil"/>
              <w:bottom w:val="nil"/>
              <w:right w:val="nil"/>
            </w:tcBorders>
            <w:shd w:val="clear" w:color="000000" w:fill="EDEDED"/>
            <w:noWrap/>
            <w:vAlign w:val="bottom"/>
            <w:hideMark/>
          </w:tcPr>
          <w:p w14:paraId="1DF06A4D" w14:textId="77777777" w:rsidR="005F38A6" w:rsidRPr="00122F5D" w:rsidRDefault="005F38A6" w:rsidP="006A7377">
            <w:pPr>
              <w:rPr>
                <w:b/>
                <w:bCs/>
                <w:color w:val="000000"/>
                <w:sz w:val="20"/>
                <w:szCs w:val="20"/>
              </w:rPr>
            </w:pPr>
          </w:p>
        </w:tc>
      </w:tr>
      <w:tr w:rsidR="00D17F18" w:rsidRPr="00122F5D" w14:paraId="1A06057A" w14:textId="77777777" w:rsidTr="00A96240">
        <w:trPr>
          <w:trHeight w:val="223"/>
          <w:jc w:val="center"/>
        </w:trPr>
        <w:tc>
          <w:tcPr>
            <w:tcW w:w="3876" w:type="dxa"/>
            <w:tcBorders>
              <w:top w:val="nil"/>
              <w:left w:val="nil"/>
              <w:bottom w:val="nil"/>
              <w:right w:val="nil"/>
            </w:tcBorders>
            <w:shd w:val="clear" w:color="auto" w:fill="auto"/>
            <w:noWrap/>
            <w:hideMark/>
          </w:tcPr>
          <w:p w14:paraId="22E845FA" w14:textId="77777777" w:rsidR="00D17F18" w:rsidRPr="00122F5D" w:rsidRDefault="00D17F18" w:rsidP="00D17F18">
            <w:pPr>
              <w:rPr>
                <w:color w:val="000000"/>
                <w:sz w:val="20"/>
                <w:szCs w:val="20"/>
              </w:rPr>
            </w:pPr>
            <w:r w:rsidRPr="00122F5D">
              <w:rPr>
                <w:color w:val="000000"/>
                <w:sz w:val="20"/>
                <w:szCs w:val="20"/>
              </w:rPr>
              <w:t>(-) Recaudación (IVA importaciones)</w:t>
            </w:r>
          </w:p>
        </w:tc>
        <w:tc>
          <w:tcPr>
            <w:tcW w:w="1368" w:type="dxa"/>
            <w:tcBorders>
              <w:top w:val="nil"/>
              <w:left w:val="single" w:sz="4" w:space="0" w:color="auto"/>
              <w:bottom w:val="nil"/>
              <w:right w:val="nil"/>
            </w:tcBorders>
            <w:shd w:val="clear" w:color="auto" w:fill="auto"/>
            <w:noWrap/>
            <w:hideMark/>
          </w:tcPr>
          <w:p w14:paraId="43D14650" w14:textId="3476A573" w:rsidR="00D17F18" w:rsidRPr="00D17F18" w:rsidRDefault="00D17F18" w:rsidP="00D17F18">
            <w:pPr>
              <w:jc w:val="center"/>
              <w:rPr>
                <w:color w:val="000000"/>
                <w:sz w:val="20"/>
                <w:szCs w:val="20"/>
              </w:rPr>
            </w:pPr>
            <w:r w:rsidRPr="00D17F18">
              <w:rPr>
                <w:sz w:val="20"/>
                <w:szCs w:val="20"/>
              </w:rPr>
              <w:t xml:space="preserve"> 2,725.8 </w:t>
            </w:r>
          </w:p>
        </w:tc>
        <w:tc>
          <w:tcPr>
            <w:tcW w:w="1335" w:type="dxa"/>
            <w:tcBorders>
              <w:top w:val="nil"/>
              <w:left w:val="nil"/>
              <w:bottom w:val="nil"/>
              <w:right w:val="nil"/>
            </w:tcBorders>
            <w:shd w:val="clear" w:color="auto" w:fill="auto"/>
            <w:noWrap/>
            <w:hideMark/>
          </w:tcPr>
          <w:p w14:paraId="4E833145" w14:textId="50342C8D" w:rsidR="00D17F18" w:rsidRPr="00D17F18" w:rsidRDefault="00D17F18" w:rsidP="00D17F18">
            <w:pPr>
              <w:jc w:val="center"/>
              <w:rPr>
                <w:color w:val="000000"/>
                <w:sz w:val="20"/>
                <w:szCs w:val="20"/>
              </w:rPr>
            </w:pPr>
            <w:r w:rsidRPr="00D17F18">
              <w:rPr>
                <w:sz w:val="20"/>
                <w:szCs w:val="20"/>
              </w:rPr>
              <w:t>0.3%</w:t>
            </w:r>
          </w:p>
        </w:tc>
      </w:tr>
      <w:tr w:rsidR="00D17F18" w:rsidRPr="00122F5D" w14:paraId="56DBA91D" w14:textId="77777777" w:rsidTr="00A96240">
        <w:trPr>
          <w:trHeight w:val="223"/>
          <w:jc w:val="center"/>
        </w:trPr>
        <w:tc>
          <w:tcPr>
            <w:tcW w:w="3876" w:type="dxa"/>
            <w:tcBorders>
              <w:top w:val="nil"/>
              <w:left w:val="nil"/>
              <w:bottom w:val="nil"/>
              <w:right w:val="nil"/>
            </w:tcBorders>
            <w:shd w:val="clear" w:color="auto" w:fill="auto"/>
            <w:noWrap/>
            <w:hideMark/>
          </w:tcPr>
          <w:p w14:paraId="740CD1E3" w14:textId="77777777" w:rsidR="00D17F18" w:rsidRPr="00122F5D" w:rsidRDefault="00D17F18" w:rsidP="00D17F18">
            <w:pPr>
              <w:rPr>
                <w:color w:val="000000"/>
                <w:sz w:val="20"/>
                <w:szCs w:val="20"/>
              </w:rPr>
            </w:pPr>
            <w:r w:rsidRPr="00122F5D">
              <w:rPr>
                <w:color w:val="000000"/>
                <w:sz w:val="20"/>
                <w:szCs w:val="20"/>
              </w:rPr>
              <w:t>(+) Intereses (Deuda)</w:t>
            </w:r>
          </w:p>
        </w:tc>
        <w:tc>
          <w:tcPr>
            <w:tcW w:w="1368" w:type="dxa"/>
            <w:tcBorders>
              <w:top w:val="nil"/>
              <w:left w:val="single" w:sz="4" w:space="0" w:color="auto"/>
              <w:bottom w:val="nil"/>
              <w:right w:val="nil"/>
            </w:tcBorders>
            <w:shd w:val="clear" w:color="auto" w:fill="auto"/>
            <w:noWrap/>
            <w:hideMark/>
          </w:tcPr>
          <w:p w14:paraId="2ADCF6FD" w14:textId="56520D7F" w:rsidR="00D17F18" w:rsidRPr="00D17F18" w:rsidRDefault="00D17F18" w:rsidP="00D17F18">
            <w:pPr>
              <w:jc w:val="center"/>
              <w:rPr>
                <w:color w:val="000000"/>
                <w:sz w:val="20"/>
                <w:szCs w:val="20"/>
              </w:rPr>
            </w:pPr>
            <w:r w:rsidRPr="00D17F18">
              <w:rPr>
                <w:sz w:val="20"/>
                <w:szCs w:val="20"/>
              </w:rPr>
              <w:t xml:space="preserve"> 507.7 </w:t>
            </w:r>
          </w:p>
        </w:tc>
        <w:tc>
          <w:tcPr>
            <w:tcW w:w="1335" w:type="dxa"/>
            <w:tcBorders>
              <w:top w:val="nil"/>
              <w:left w:val="nil"/>
              <w:bottom w:val="nil"/>
              <w:right w:val="nil"/>
            </w:tcBorders>
            <w:shd w:val="clear" w:color="auto" w:fill="auto"/>
            <w:noWrap/>
            <w:hideMark/>
          </w:tcPr>
          <w:p w14:paraId="79FC15C2" w14:textId="3FB928E7" w:rsidR="00D17F18" w:rsidRPr="00D17F18" w:rsidRDefault="00D17F18" w:rsidP="00D17F18">
            <w:pPr>
              <w:jc w:val="center"/>
              <w:rPr>
                <w:color w:val="000000"/>
                <w:sz w:val="20"/>
                <w:szCs w:val="20"/>
              </w:rPr>
            </w:pPr>
            <w:r w:rsidRPr="00D17F18">
              <w:rPr>
                <w:sz w:val="20"/>
                <w:szCs w:val="20"/>
              </w:rPr>
              <w:t>0.1%</w:t>
            </w:r>
          </w:p>
        </w:tc>
      </w:tr>
      <w:tr w:rsidR="00D17F18" w:rsidRPr="00122F5D" w14:paraId="6BBF0334" w14:textId="77777777" w:rsidTr="00A96240">
        <w:trPr>
          <w:trHeight w:val="223"/>
          <w:jc w:val="center"/>
        </w:trPr>
        <w:tc>
          <w:tcPr>
            <w:tcW w:w="3876" w:type="dxa"/>
            <w:tcBorders>
              <w:top w:val="nil"/>
              <w:left w:val="nil"/>
              <w:bottom w:val="nil"/>
              <w:right w:val="nil"/>
            </w:tcBorders>
            <w:shd w:val="clear" w:color="auto" w:fill="auto"/>
            <w:noWrap/>
            <w:hideMark/>
          </w:tcPr>
          <w:p w14:paraId="43F39E45" w14:textId="77777777" w:rsidR="00D17F18" w:rsidRPr="00122F5D" w:rsidRDefault="00D17F18" w:rsidP="00D17F18">
            <w:pPr>
              <w:rPr>
                <w:color w:val="000000"/>
                <w:sz w:val="20"/>
                <w:szCs w:val="20"/>
              </w:rPr>
            </w:pPr>
            <w:r w:rsidRPr="00122F5D">
              <w:rPr>
                <w:color w:val="000000"/>
                <w:sz w:val="20"/>
                <w:szCs w:val="20"/>
              </w:rPr>
              <w:t>(+) Gasto importado</w:t>
            </w:r>
          </w:p>
        </w:tc>
        <w:tc>
          <w:tcPr>
            <w:tcW w:w="1368" w:type="dxa"/>
            <w:tcBorders>
              <w:top w:val="nil"/>
              <w:left w:val="single" w:sz="4" w:space="0" w:color="auto"/>
              <w:bottom w:val="nil"/>
              <w:right w:val="nil"/>
            </w:tcBorders>
            <w:shd w:val="clear" w:color="auto" w:fill="auto"/>
            <w:noWrap/>
            <w:hideMark/>
          </w:tcPr>
          <w:p w14:paraId="740B83A5" w14:textId="1C282E10" w:rsidR="00D17F18" w:rsidRPr="00D17F18" w:rsidRDefault="00D17F18" w:rsidP="00D17F18">
            <w:pPr>
              <w:jc w:val="center"/>
              <w:rPr>
                <w:color w:val="000000"/>
                <w:sz w:val="20"/>
                <w:szCs w:val="20"/>
              </w:rPr>
            </w:pPr>
            <w:r w:rsidRPr="00D17F18">
              <w:rPr>
                <w:sz w:val="20"/>
                <w:szCs w:val="20"/>
              </w:rPr>
              <w:t xml:space="preserve"> 873.7 </w:t>
            </w:r>
          </w:p>
        </w:tc>
        <w:tc>
          <w:tcPr>
            <w:tcW w:w="1335" w:type="dxa"/>
            <w:tcBorders>
              <w:top w:val="nil"/>
              <w:left w:val="nil"/>
              <w:bottom w:val="nil"/>
              <w:right w:val="nil"/>
            </w:tcBorders>
            <w:shd w:val="clear" w:color="auto" w:fill="auto"/>
            <w:noWrap/>
            <w:hideMark/>
          </w:tcPr>
          <w:p w14:paraId="78C65530" w14:textId="45A691BA" w:rsidR="00D17F18" w:rsidRPr="00D17F18" w:rsidRDefault="00D17F18" w:rsidP="00D17F18">
            <w:pPr>
              <w:jc w:val="center"/>
              <w:rPr>
                <w:color w:val="000000"/>
                <w:sz w:val="20"/>
                <w:szCs w:val="20"/>
              </w:rPr>
            </w:pPr>
            <w:r w:rsidRPr="00D17F18">
              <w:rPr>
                <w:sz w:val="20"/>
                <w:szCs w:val="20"/>
              </w:rPr>
              <w:t>0.1%</w:t>
            </w:r>
          </w:p>
        </w:tc>
      </w:tr>
      <w:tr w:rsidR="00D17F18" w:rsidRPr="00122F5D" w14:paraId="1A77EEAC" w14:textId="77777777" w:rsidTr="00A96240">
        <w:trPr>
          <w:trHeight w:val="245"/>
          <w:jc w:val="center"/>
        </w:trPr>
        <w:tc>
          <w:tcPr>
            <w:tcW w:w="3876" w:type="dxa"/>
            <w:tcBorders>
              <w:top w:val="nil"/>
              <w:left w:val="nil"/>
              <w:bottom w:val="nil"/>
              <w:right w:val="nil"/>
            </w:tcBorders>
            <w:shd w:val="clear" w:color="auto" w:fill="auto"/>
            <w:noWrap/>
            <w:hideMark/>
          </w:tcPr>
          <w:p w14:paraId="19EAC9F8" w14:textId="77777777" w:rsidR="00D17F18" w:rsidRPr="00122F5D" w:rsidRDefault="00D17F18" w:rsidP="00D17F18">
            <w:pPr>
              <w:rPr>
                <w:b/>
                <w:bCs/>
                <w:color w:val="000000"/>
                <w:sz w:val="20"/>
                <w:szCs w:val="20"/>
              </w:rPr>
            </w:pPr>
            <w:r w:rsidRPr="00122F5D">
              <w:rPr>
                <w:b/>
                <w:bCs/>
                <w:color w:val="000000"/>
                <w:sz w:val="20"/>
                <w:szCs w:val="20"/>
              </w:rPr>
              <w:t>Total</w:t>
            </w:r>
          </w:p>
        </w:tc>
        <w:tc>
          <w:tcPr>
            <w:tcW w:w="1368" w:type="dxa"/>
            <w:tcBorders>
              <w:top w:val="nil"/>
              <w:left w:val="single" w:sz="4" w:space="0" w:color="auto"/>
              <w:bottom w:val="nil"/>
              <w:right w:val="nil"/>
            </w:tcBorders>
            <w:shd w:val="clear" w:color="auto" w:fill="auto"/>
            <w:noWrap/>
            <w:hideMark/>
          </w:tcPr>
          <w:p w14:paraId="5F52EE1B" w14:textId="5B2FE774" w:rsidR="00D17F18" w:rsidRPr="00D17F18" w:rsidRDefault="00D17F18" w:rsidP="00D17F18">
            <w:pPr>
              <w:jc w:val="center"/>
              <w:rPr>
                <w:b/>
                <w:bCs/>
                <w:color w:val="000000"/>
                <w:sz w:val="20"/>
                <w:szCs w:val="20"/>
              </w:rPr>
            </w:pPr>
            <w:r w:rsidRPr="00D17F18">
              <w:rPr>
                <w:sz w:val="20"/>
                <w:szCs w:val="20"/>
              </w:rPr>
              <w:t xml:space="preserve">-1,344.4 </w:t>
            </w:r>
          </w:p>
        </w:tc>
        <w:tc>
          <w:tcPr>
            <w:tcW w:w="1335" w:type="dxa"/>
            <w:tcBorders>
              <w:top w:val="nil"/>
              <w:left w:val="nil"/>
              <w:bottom w:val="nil"/>
              <w:right w:val="nil"/>
            </w:tcBorders>
            <w:shd w:val="clear" w:color="auto" w:fill="auto"/>
            <w:noWrap/>
            <w:hideMark/>
          </w:tcPr>
          <w:p w14:paraId="0B8578CC" w14:textId="44DD1167" w:rsidR="00D17F18" w:rsidRPr="00D17F18" w:rsidRDefault="00D17F18" w:rsidP="00D17F18">
            <w:pPr>
              <w:jc w:val="center"/>
              <w:rPr>
                <w:b/>
                <w:bCs/>
                <w:color w:val="000000"/>
                <w:sz w:val="20"/>
                <w:szCs w:val="20"/>
              </w:rPr>
            </w:pPr>
            <w:r w:rsidRPr="00D17F18">
              <w:rPr>
                <w:sz w:val="20"/>
                <w:szCs w:val="20"/>
              </w:rPr>
              <w:t>-0.2%</w:t>
            </w:r>
          </w:p>
        </w:tc>
      </w:tr>
      <w:tr w:rsidR="00D17F18" w:rsidRPr="00122F5D" w14:paraId="6B57604A" w14:textId="77777777" w:rsidTr="00A96240">
        <w:trPr>
          <w:trHeight w:val="257"/>
          <w:jc w:val="center"/>
        </w:trPr>
        <w:tc>
          <w:tcPr>
            <w:tcW w:w="3876" w:type="dxa"/>
            <w:tcBorders>
              <w:top w:val="nil"/>
              <w:left w:val="nil"/>
              <w:bottom w:val="nil"/>
              <w:right w:val="nil"/>
            </w:tcBorders>
            <w:shd w:val="clear" w:color="000000" w:fill="EDEDED"/>
            <w:noWrap/>
            <w:hideMark/>
          </w:tcPr>
          <w:p w14:paraId="060BF7AE" w14:textId="77777777" w:rsidR="00D17F18" w:rsidRPr="00122F5D" w:rsidRDefault="00D17F18" w:rsidP="00D17F18">
            <w:pPr>
              <w:rPr>
                <w:b/>
                <w:bCs/>
                <w:color w:val="000000"/>
                <w:sz w:val="20"/>
                <w:szCs w:val="20"/>
              </w:rPr>
            </w:pPr>
            <w:r w:rsidRPr="00122F5D">
              <w:rPr>
                <w:b/>
                <w:bCs/>
                <w:color w:val="000000"/>
                <w:sz w:val="20"/>
                <w:szCs w:val="20"/>
              </w:rPr>
              <w:t>Impacto en la deuda (-)</w:t>
            </w:r>
          </w:p>
        </w:tc>
        <w:tc>
          <w:tcPr>
            <w:tcW w:w="1368" w:type="dxa"/>
            <w:tcBorders>
              <w:top w:val="nil"/>
              <w:left w:val="single" w:sz="4" w:space="0" w:color="auto"/>
              <w:bottom w:val="nil"/>
              <w:right w:val="nil"/>
            </w:tcBorders>
            <w:shd w:val="clear" w:color="000000" w:fill="EDEDED"/>
            <w:noWrap/>
            <w:hideMark/>
          </w:tcPr>
          <w:p w14:paraId="142994B9" w14:textId="77777777" w:rsidR="00D17F18" w:rsidRPr="00D17F18" w:rsidRDefault="00D17F18" w:rsidP="00D17F18">
            <w:pPr>
              <w:jc w:val="center"/>
              <w:rPr>
                <w:b/>
                <w:bCs/>
                <w:color w:val="000000"/>
                <w:sz w:val="20"/>
                <w:szCs w:val="20"/>
              </w:rPr>
            </w:pPr>
          </w:p>
        </w:tc>
        <w:tc>
          <w:tcPr>
            <w:tcW w:w="1335" w:type="dxa"/>
            <w:tcBorders>
              <w:top w:val="nil"/>
              <w:left w:val="nil"/>
              <w:bottom w:val="nil"/>
              <w:right w:val="nil"/>
            </w:tcBorders>
            <w:shd w:val="clear" w:color="000000" w:fill="EDEDED"/>
            <w:noWrap/>
            <w:hideMark/>
          </w:tcPr>
          <w:p w14:paraId="1A3B2DC3" w14:textId="77777777" w:rsidR="00D17F18" w:rsidRPr="00D17F18" w:rsidRDefault="00D17F18" w:rsidP="00D17F18">
            <w:pPr>
              <w:jc w:val="center"/>
              <w:rPr>
                <w:b/>
                <w:bCs/>
                <w:color w:val="000000"/>
                <w:sz w:val="20"/>
                <w:szCs w:val="20"/>
              </w:rPr>
            </w:pPr>
          </w:p>
        </w:tc>
      </w:tr>
      <w:tr w:rsidR="00D17F18" w:rsidRPr="00122F5D" w14:paraId="78D32D98" w14:textId="77777777" w:rsidTr="00A96240">
        <w:trPr>
          <w:trHeight w:val="245"/>
          <w:jc w:val="center"/>
        </w:trPr>
        <w:tc>
          <w:tcPr>
            <w:tcW w:w="3876" w:type="dxa"/>
            <w:tcBorders>
              <w:top w:val="nil"/>
              <w:left w:val="nil"/>
              <w:bottom w:val="nil"/>
              <w:right w:val="nil"/>
            </w:tcBorders>
            <w:shd w:val="clear" w:color="auto" w:fill="auto"/>
            <w:noWrap/>
            <w:hideMark/>
          </w:tcPr>
          <w:p w14:paraId="1215D78B" w14:textId="77777777" w:rsidR="00D17F18" w:rsidRPr="00122F5D" w:rsidRDefault="00D17F18" w:rsidP="00D17F18">
            <w:pPr>
              <w:rPr>
                <w:color w:val="000000"/>
                <w:sz w:val="20"/>
                <w:szCs w:val="20"/>
              </w:rPr>
            </w:pPr>
            <w:r w:rsidRPr="00122F5D">
              <w:rPr>
                <w:color w:val="000000"/>
                <w:sz w:val="20"/>
                <w:szCs w:val="20"/>
              </w:rPr>
              <w:t xml:space="preserve">(-) Deuda </w:t>
            </w:r>
          </w:p>
        </w:tc>
        <w:tc>
          <w:tcPr>
            <w:tcW w:w="1368" w:type="dxa"/>
            <w:tcBorders>
              <w:top w:val="nil"/>
              <w:left w:val="single" w:sz="4" w:space="0" w:color="auto"/>
              <w:bottom w:val="nil"/>
              <w:right w:val="nil"/>
            </w:tcBorders>
            <w:shd w:val="clear" w:color="auto" w:fill="auto"/>
            <w:noWrap/>
            <w:hideMark/>
          </w:tcPr>
          <w:p w14:paraId="6AFAAF42" w14:textId="1CB75AA2" w:rsidR="00D17F18" w:rsidRPr="00D17F18" w:rsidRDefault="00D17F18" w:rsidP="00D17F18">
            <w:pPr>
              <w:jc w:val="center"/>
              <w:rPr>
                <w:color w:val="000000"/>
                <w:sz w:val="20"/>
                <w:szCs w:val="20"/>
              </w:rPr>
            </w:pPr>
            <w:r w:rsidRPr="00D17F18">
              <w:rPr>
                <w:sz w:val="20"/>
                <w:szCs w:val="20"/>
              </w:rPr>
              <w:t xml:space="preserve">-9,768.2 </w:t>
            </w:r>
          </w:p>
        </w:tc>
        <w:tc>
          <w:tcPr>
            <w:tcW w:w="1335" w:type="dxa"/>
            <w:tcBorders>
              <w:top w:val="nil"/>
              <w:left w:val="nil"/>
              <w:bottom w:val="nil"/>
              <w:right w:val="nil"/>
            </w:tcBorders>
            <w:shd w:val="clear" w:color="auto" w:fill="auto"/>
            <w:noWrap/>
            <w:hideMark/>
          </w:tcPr>
          <w:p w14:paraId="2E2266EC" w14:textId="08952FF2" w:rsidR="00D17F18" w:rsidRPr="00D17F18" w:rsidRDefault="00D17F18" w:rsidP="00D17F18">
            <w:pPr>
              <w:jc w:val="center"/>
              <w:rPr>
                <w:color w:val="000000"/>
                <w:sz w:val="20"/>
                <w:szCs w:val="20"/>
              </w:rPr>
            </w:pPr>
            <w:r w:rsidRPr="00D17F18">
              <w:rPr>
                <w:sz w:val="20"/>
                <w:szCs w:val="20"/>
              </w:rPr>
              <w:t>-1.2%</w:t>
            </w:r>
          </w:p>
        </w:tc>
      </w:tr>
      <w:tr w:rsidR="00D17F18" w:rsidRPr="00122F5D" w14:paraId="1D2DDE6A" w14:textId="77777777" w:rsidTr="00A96240">
        <w:trPr>
          <w:trHeight w:val="245"/>
          <w:jc w:val="center"/>
        </w:trPr>
        <w:tc>
          <w:tcPr>
            <w:tcW w:w="3876" w:type="dxa"/>
            <w:tcBorders>
              <w:top w:val="nil"/>
              <w:left w:val="nil"/>
              <w:bottom w:val="single" w:sz="4" w:space="0" w:color="auto"/>
              <w:right w:val="nil"/>
            </w:tcBorders>
            <w:shd w:val="clear" w:color="auto" w:fill="auto"/>
            <w:noWrap/>
            <w:hideMark/>
          </w:tcPr>
          <w:p w14:paraId="58891375" w14:textId="77777777" w:rsidR="00D17F18" w:rsidRPr="00122F5D" w:rsidRDefault="00D17F18" w:rsidP="00D17F18">
            <w:pPr>
              <w:rPr>
                <w:color w:val="000000"/>
                <w:sz w:val="20"/>
                <w:szCs w:val="20"/>
              </w:rPr>
            </w:pPr>
            <w:r w:rsidRPr="00122F5D">
              <w:rPr>
                <w:color w:val="000000"/>
                <w:sz w:val="20"/>
                <w:szCs w:val="20"/>
              </w:rPr>
              <w:t>(-) Moneda Extrajera</w:t>
            </w:r>
          </w:p>
        </w:tc>
        <w:tc>
          <w:tcPr>
            <w:tcW w:w="1368" w:type="dxa"/>
            <w:tcBorders>
              <w:top w:val="nil"/>
              <w:left w:val="single" w:sz="4" w:space="0" w:color="auto"/>
              <w:bottom w:val="single" w:sz="4" w:space="0" w:color="auto"/>
              <w:right w:val="nil"/>
            </w:tcBorders>
            <w:shd w:val="clear" w:color="auto" w:fill="auto"/>
            <w:noWrap/>
            <w:hideMark/>
          </w:tcPr>
          <w:p w14:paraId="1DBC576F" w14:textId="3008CB29" w:rsidR="00D17F18" w:rsidRPr="00D17F18" w:rsidRDefault="00D17F18" w:rsidP="00D17F18">
            <w:pPr>
              <w:jc w:val="center"/>
              <w:rPr>
                <w:color w:val="000000"/>
                <w:sz w:val="20"/>
                <w:szCs w:val="20"/>
              </w:rPr>
            </w:pPr>
            <w:r w:rsidRPr="00D17F18">
              <w:rPr>
                <w:sz w:val="20"/>
                <w:szCs w:val="20"/>
              </w:rPr>
              <w:t xml:space="preserve">-9,768.2 </w:t>
            </w:r>
          </w:p>
        </w:tc>
        <w:tc>
          <w:tcPr>
            <w:tcW w:w="1335" w:type="dxa"/>
            <w:tcBorders>
              <w:top w:val="nil"/>
              <w:left w:val="nil"/>
              <w:bottom w:val="single" w:sz="4" w:space="0" w:color="auto"/>
              <w:right w:val="nil"/>
            </w:tcBorders>
            <w:shd w:val="clear" w:color="auto" w:fill="auto"/>
            <w:noWrap/>
            <w:hideMark/>
          </w:tcPr>
          <w:p w14:paraId="5D72EE53" w14:textId="69EEC4F8" w:rsidR="00D17F18" w:rsidRPr="00D17F18" w:rsidRDefault="00D17F18" w:rsidP="00D17F18">
            <w:pPr>
              <w:jc w:val="center"/>
              <w:rPr>
                <w:color w:val="000000"/>
                <w:sz w:val="20"/>
                <w:szCs w:val="20"/>
              </w:rPr>
            </w:pPr>
            <w:r w:rsidRPr="00D17F18">
              <w:rPr>
                <w:sz w:val="20"/>
                <w:szCs w:val="20"/>
              </w:rPr>
              <w:t>-2.5%</w:t>
            </w:r>
          </w:p>
        </w:tc>
      </w:tr>
    </w:tbl>
    <w:bookmarkEnd w:id="100"/>
    <w:p w14:paraId="03BA5071" w14:textId="77777777" w:rsidR="005F38A6" w:rsidRPr="000438E8" w:rsidRDefault="005F38A6" w:rsidP="005F38A6">
      <w:pPr>
        <w:rPr>
          <w:sz w:val="16"/>
          <w:szCs w:val="16"/>
        </w:rPr>
      </w:pPr>
      <w:r w:rsidRPr="000438E8">
        <w:rPr>
          <w:sz w:val="16"/>
          <w:szCs w:val="16"/>
        </w:rPr>
        <w:t xml:space="preserve">                         Fuente: Ministerio de Finanzas</w:t>
      </w:r>
    </w:p>
    <w:p w14:paraId="3A573F07" w14:textId="77777777" w:rsidR="00910096" w:rsidRDefault="00910096" w:rsidP="005F38A6">
      <w:pPr>
        <w:jc w:val="both"/>
        <w:rPr>
          <w:b/>
          <w:bCs/>
        </w:rPr>
      </w:pPr>
    </w:p>
    <w:p w14:paraId="4887572B" w14:textId="77777777" w:rsidR="005F38A6" w:rsidRPr="00987058" w:rsidRDefault="005F38A6" w:rsidP="00CC7591">
      <w:pPr>
        <w:pStyle w:val="Ttulo2"/>
        <w:numPr>
          <w:ilvl w:val="2"/>
          <w:numId w:val="35"/>
        </w:numPr>
        <w:tabs>
          <w:tab w:val="left" w:pos="851"/>
        </w:tabs>
        <w:ind w:left="567" w:hanging="283"/>
        <w:rPr>
          <w:bCs/>
        </w:rPr>
      </w:pPr>
      <w:bookmarkStart w:id="101" w:name="_Toc144114366"/>
      <w:r w:rsidRPr="00FA4202">
        <w:rPr>
          <w:bCs/>
        </w:rPr>
        <w:t>Impacto de una depreciación en las cuentas fiscales</w:t>
      </w:r>
      <w:bookmarkEnd w:id="101"/>
      <w:r w:rsidRPr="00FA4202">
        <w:rPr>
          <w:bCs/>
        </w:rPr>
        <w:t xml:space="preserve"> </w:t>
      </w:r>
    </w:p>
    <w:p w14:paraId="0B27E6C3" w14:textId="77777777" w:rsidR="005F38A6" w:rsidRPr="00FA4202" w:rsidRDefault="005F38A6" w:rsidP="005F38A6">
      <w:pPr>
        <w:jc w:val="both"/>
        <w:rPr>
          <w:b/>
          <w:bCs/>
        </w:rPr>
      </w:pPr>
    </w:p>
    <w:p w14:paraId="14CC8E06" w14:textId="77777777" w:rsidR="005F38A6" w:rsidRPr="00987058" w:rsidRDefault="005F38A6" w:rsidP="005F07F9">
      <w:pPr>
        <w:pStyle w:val="Ttulo2"/>
        <w:numPr>
          <w:ilvl w:val="3"/>
          <w:numId w:val="35"/>
        </w:numPr>
        <w:tabs>
          <w:tab w:val="left" w:pos="1276"/>
        </w:tabs>
        <w:ind w:left="709" w:hanging="283"/>
        <w:rPr>
          <w:bCs/>
        </w:rPr>
      </w:pPr>
      <w:bookmarkStart w:id="102" w:name="_Toc144114367"/>
      <w:r w:rsidRPr="00FA4202">
        <w:rPr>
          <w:bCs/>
        </w:rPr>
        <w:t>Impacto en la recaudación</w:t>
      </w:r>
      <w:bookmarkEnd w:id="102"/>
    </w:p>
    <w:p w14:paraId="06714517" w14:textId="77777777" w:rsidR="005F38A6" w:rsidRDefault="005F38A6" w:rsidP="005F38A6">
      <w:pPr>
        <w:ind w:left="425"/>
        <w:jc w:val="both"/>
      </w:pPr>
    </w:p>
    <w:p w14:paraId="42742CB7" w14:textId="5D2FC058" w:rsidR="005F38A6" w:rsidRDefault="005F38A6" w:rsidP="005F38A6">
      <w:pPr>
        <w:jc w:val="both"/>
      </w:pPr>
      <w:r>
        <w:t>En el caso de una depreciación</w:t>
      </w:r>
      <w:r w:rsidR="00D027A7">
        <w:t xml:space="preserve"> del tipo de cambio</w:t>
      </w:r>
      <w:r>
        <w:t>, la recaudación tributaría aumentaría por el aumento en la base imponible, por lo que una depreciación del 10.0% aumentaría en esa proporción la recaudación del IVA importaciones. Por lo que del escenario base</w:t>
      </w:r>
      <w:r w:rsidR="00D027A7">
        <w:t>,</w:t>
      </w:r>
      <w:r>
        <w:t xml:space="preserve"> la recaudación </w:t>
      </w:r>
      <w:r w:rsidRPr="009D45E5">
        <w:t>aumentaría en Q2,725.8.0</w:t>
      </w:r>
      <w:r>
        <w:t xml:space="preserve"> millones.</w:t>
      </w:r>
    </w:p>
    <w:p w14:paraId="7DE44C82" w14:textId="77777777" w:rsidR="005F38A6" w:rsidRDefault="005F38A6" w:rsidP="005F38A6">
      <w:pPr>
        <w:jc w:val="both"/>
      </w:pPr>
    </w:p>
    <w:p w14:paraId="3A5803E0" w14:textId="1651B1F4" w:rsidR="005F38A6" w:rsidRDefault="000438E8" w:rsidP="000438E8">
      <w:pPr>
        <w:pStyle w:val="Descripcin"/>
        <w:keepNext/>
      </w:pPr>
      <w:bookmarkStart w:id="103" w:name="_Toc143593517"/>
      <w:r w:rsidRPr="000438E8">
        <w:rPr>
          <w:color w:val="auto"/>
        </w:rPr>
        <w:t xml:space="preserve">Tabla </w:t>
      </w:r>
      <w:r w:rsidRPr="000438E8">
        <w:rPr>
          <w:color w:val="auto"/>
        </w:rPr>
        <w:fldChar w:fldCharType="begin"/>
      </w:r>
      <w:r w:rsidRPr="000438E8">
        <w:rPr>
          <w:color w:val="auto"/>
        </w:rPr>
        <w:instrText xml:space="preserve"> SEQ Tabla \* ARABIC </w:instrText>
      </w:r>
      <w:r w:rsidRPr="000438E8">
        <w:rPr>
          <w:color w:val="auto"/>
        </w:rPr>
        <w:fldChar w:fldCharType="separate"/>
      </w:r>
      <w:r w:rsidR="00A62AFA">
        <w:rPr>
          <w:noProof/>
          <w:color w:val="auto"/>
        </w:rPr>
        <w:t>15</w:t>
      </w:r>
      <w:r w:rsidRPr="000438E8">
        <w:rPr>
          <w:color w:val="auto"/>
        </w:rPr>
        <w:fldChar w:fldCharType="end"/>
      </w:r>
      <w:r w:rsidRPr="000438E8">
        <w:rPr>
          <w:color w:val="auto"/>
        </w:rPr>
        <w:t xml:space="preserve">.  </w:t>
      </w:r>
      <w:r w:rsidR="005F38A6" w:rsidRPr="000438E8">
        <w:rPr>
          <w:bCs/>
          <w:color w:val="auto"/>
        </w:rPr>
        <w:t>Impacto en la recaudación del IVA importaciones por una depreciación del 10.0%</w:t>
      </w:r>
      <w:bookmarkEnd w:id="103"/>
    </w:p>
    <w:tbl>
      <w:tblPr>
        <w:tblW w:w="8581" w:type="dxa"/>
        <w:tblCellMar>
          <w:left w:w="70" w:type="dxa"/>
          <w:right w:w="70" w:type="dxa"/>
        </w:tblCellMar>
        <w:tblLook w:val="04A0" w:firstRow="1" w:lastRow="0" w:firstColumn="1" w:lastColumn="0" w:noHBand="0" w:noVBand="1"/>
      </w:tblPr>
      <w:tblGrid>
        <w:gridCol w:w="2695"/>
        <w:gridCol w:w="1096"/>
        <w:gridCol w:w="1174"/>
        <w:gridCol w:w="1043"/>
        <w:gridCol w:w="1408"/>
        <w:gridCol w:w="1165"/>
      </w:tblGrid>
      <w:tr w:rsidR="005F38A6" w:rsidRPr="005000AB" w14:paraId="16961EAF" w14:textId="77777777" w:rsidTr="006A7377">
        <w:trPr>
          <w:trHeight w:val="673"/>
        </w:trPr>
        <w:tc>
          <w:tcPr>
            <w:tcW w:w="2695" w:type="dxa"/>
            <w:tcBorders>
              <w:top w:val="single" w:sz="4" w:space="0" w:color="auto"/>
              <w:left w:val="nil"/>
              <w:bottom w:val="double" w:sz="6" w:space="0" w:color="auto"/>
              <w:right w:val="nil"/>
            </w:tcBorders>
            <w:shd w:val="clear" w:color="auto" w:fill="auto"/>
            <w:vAlign w:val="center"/>
            <w:hideMark/>
          </w:tcPr>
          <w:p w14:paraId="5D996A89" w14:textId="77777777" w:rsidR="005F38A6" w:rsidRPr="005000AB" w:rsidRDefault="005F38A6" w:rsidP="006A7377">
            <w:pPr>
              <w:jc w:val="center"/>
              <w:rPr>
                <w:b/>
                <w:bCs/>
                <w:color w:val="000000"/>
                <w:sz w:val="20"/>
                <w:szCs w:val="20"/>
              </w:rPr>
            </w:pPr>
            <w:r w:rsidRPr="005000AB">
              <w:rPr>
                <w:b/>
                <w:bCs/>
                <w:color w:val="000000"/>
                <w:sz w:val="20"/>
                <w:szCs w:val="20"/>
              </w:rPr>
              <w:t>Efecto</w:t>
            </w:r>
          </w:p>
        </w:tc>
        <w:tc>
          <w:tcPr>
            <w:tcW w:w="1096" w:type="dxa"/>
            <w:tcBorders>
              <w:top w:val="single" w:sz="4" w:space="0" w:color="auto"/>
              <w:left w:val="nil"/>
              <w:bottom w:val="double" w:sz="6" w:space="0" w:color="auto"/>
              <w:right w:val="nil"/>
            </w:tcBorders>
            <w:shd w:val="clear" w:color="auto" w:fill="auto"/>
            <w:vAlign w:val="center"/>
            <w:hideMark/>
          </w:tcPr>
          <w:p w14:paraId="6198F284" w14:textId="77777777" w:rsidR="005F38A6" w:rsidRPr="005000AB" w:rsidRDefault="005F38A6" w:rsidP="006A7377">
            <w:pPr>
              <w:jc w:val="center"/>
              <w:rPr>
                <w:b/>
                <w:bCs/>
                <w:color w:val="000000"/>
                <w:sz w:val="20"/>
                <w:szCs w:val="20"/>
              </w:rPr>
            </w:pPr>
            <w:r w:rsidRPr="005000AB">
              <w:rPr>
                <w:b/>
                <w:bCs/>
                <w:color w:val="000000"/>
                <w:sz w:val="20"/>
                <w:szCs w:val="20"/>
              </w:rPr>
              <w:t>2023</w:t>
            </w:r>
            <w:r w:rsidRPr="005000AB">
              <w:rPr>
                <w:b/>
                <w:bCs/>
                <w:color w:val="000000"/>
                <w:sz w:val="20"/>
                <w:szCs w:val="20"/>
              </w:rPr>
              <w:br/>
              <w:t>Estimación</w:t>
            </w:r>
          </w:p>
        </w:tc>
        <w:tc>
          <w:tcPr>
            <w:tcW w:w="1174" w:type="dxa"/>
            <w:tcBorders>
              <w:top w:val="single" w:sz="4" w:space="0" w:color="auto"/>
              <w:left w:val="nil"/>
              <w:bottom w:val="double" w:sz="6" w:space="0" w:color="auto"/>
              <w:right w:val="nil"/>
            </w:tcBorders>
            <w:shd w:val="clear" w:color="auto" w:fill="auto"/>
            <w:vAlign w:val="center"/>
            <w:hideMark/>
          </w:tcPr>
          <w:p w14:paraId="439CAF9C" w14:textId="77777777" w:rsidR="005F38A6" w:rsidRPr="005000AB" w:rsidRDefault="005F38A6" w:rsidP="006A7377">
            <w:pPr>
              <w:jc w:val="center"/>
              <w:rPr>
                <w:b/>
                <w:bCs/>
                <w:color w:val="000000"/>
                <w:sz w:val="20"/>
                <w:szCs w:val="20"/>
              </w:rPr>
            </w:pPr>
            <w:r w:rsidRPr="005000AB">
              <w:rPr>
                <w:b/>
                <w:bCs/>
                <w:color w:val="000000"/>
                <w:sz w:val="20"/>
                <w:szCs w:val="20"/>
              </w:rPr>
              <w:t>2024 presupuesto</w:t>
            </w:r>
          </w:p>
        </w:tc>
        <w:tc>
          <w:tcPr>
            <w:tcW w:w="1043" w:type="dxa"/>
            <w:tcBorders>
              <w:top w:val="single" w:sz="4" w:space="0" w:color="auto"/>
              <w:left w:val="nil"/>
              <w:bottom w:val="double" w:sz="6" w:space="0" w:color="auto"/>
              <w:right w:val="nil"/>
            </w:tcBorders>
            <w:shd w:val="clear" w:color="auto" w:fill="auto"/>
            <w:vAlign w:val="center"/>
            <w:hideMark/>
          </w:tcPr>
          <w:p w14:paraId="6D09BE99" w14:textId="77777777" w:rsidR="005F38A6" w:rsidRPr="005000AB" w:rsidRDefault="005F38A6" w:rsidP="006A7377">
            <w:pPr>
              <w:jc w:val="center"/>
              <w:rPr>
                <w:b/>
                <w:bCs/>
                <w:color w:val="000000"/>
                <w:sz w:val="20"/>
                <w:szCs w:val="20"/>
              </w:rPr>
            </w:pPr>
            <w:r w:rsidRPr="005000AB">
              <w:rPr>
                <w:b/>
                <w:bCs/>
                <w:color w:val="000000"/>
                <w:sz w:val="20"/>
                <w:szCs w:val="20"/>
              </w:rPr>
              <w:t>2024 shock</w:t>
            </w:r>
          </w:p>
        </w:tc>
        <w:tc>
          <w:tcPr>
            <w:tcW w:w="1408" w:type="dxa"/>
            <w:tcBorders>
              <w:top w:val="single" w:sz="4" w:space="0" w:color="auto"/>
              <w:left w:val="nil"/>
              <w:bottom w:val="double" w:sz="6" w:space="0" w:color="auto"/>
              <w:right w:val="nil"/>
            </w:tcBorders>
            <w:shd w:val="clear" w:color="auto" w:fill="auto"/>
            <w:vAlign w:val="center"/>
            <w:hideMark/>
          </w:tcPr>
          <w:p w14:paraId="29E1E600" w14:textId="7B04827B" w:rsidR="005F38A6" w:rsidRPr="005000AB" w:rsidRDefault="005F38A6" w:rsidP="006A7377">
            <w:pPr>
              <w:jc w:val="center"/>
              <w:rPr>
                <w:b/>
                <w:bCs/>
                <w:color w:val="000000"/>
                <w:sz w:val="20"/>
                <w:szCs w:val="20"/>
              </w:rPr>
            </w:pPr>
            <w:r w:rsidRPr="005000AB">
              <w:rPr>
                <w:b/>
                <w:bCs/>
                <w:color w:val="000000"/>
                <w:sz w:val="20"/>
                <w:szCs w:val="20"/>
              </w:rPr>
              <w:t xml:space="preserve">Variación </w:t>
            </w:r>
            <w:r w:rsidRPr="005000AB">
              <w:rPr>
                <w:b/>
                <w:bCs/>
                <w:color w:val="000000"/>
                <w:sz w:val="20"/>
                <w:szCs w:val="20"/>
              </w:rPr>
              <w:br/>
              <w:t>(</w:t>
            </w:r>
            <w:r w:rsidR="009D45E5">
              <w:rPr>
                <w:b/>
                <w:bCs/>
                <w:color w:val="000000"/>
                <w:sz w:val="20"/>
                <w:szCs w:val="20"/>
              </w:rPr>
              <w:t>choque</w:t>
            </w:r>
            <w:r w:rsidRPr="005000AB">
              <w:rPr>
                <w:b/>
                <w:bCs/>
                <w:color w:val="000000"/>
                <w:sz w:val="20"/>
                <w:szCs w:val="20"/>
              </w:rPr>
              <w:t xml:space="preserve">- </w:t>
            </w:r>
            <w:r w:rsidR="009D45E5">
              <w:rPr>
                <w:b/>
                <w:bCs/>
                <w:color w:val="000000"/>
                <w:sz w:val="20"/>
                <w:szCs w:val="20"/>
              </w:rPr>
              <w:t>pres</w:t>
            </w:r>
            <w:r w:rsidRPr="005000AB">
              <w:rPr>
                <w:b/>
                <w:bCs/>
                <w:color w:val="000000"/>
                <w:sz w:val="20"/>
                <w:szCs w:val="20"/>
              </w:rPr>
              <w:t>)</w:t>
            </w:r>
          </w:p>
        </w:tc>
        <w:tc>
          <w:tcPr>
            <w:tcW w:w="1165" w:type="dxa"/>
            <w:tcBorders>
              <w:top w:val="single" w:sz="4" w:space="0" w:color="auto"/>
              <w:left w:val="nil"/>
              <w:bottom w:val="double" w:sz="6" w:space="0" w:color="auto"/>
              <w:right w:val="nil"/>
            </w:tcBorders>
            <w:shd w:val="clear" w:color="auto" w:fill="auto"/>
            <w:vAlign w:val="center"/>
            <w:hideMark/>
          </w:tcPr>
          <w:p w14:paraId="5A414F90" w14:textId="77777777" w:rsidR="005F38A6" w:rsidRPr="005000AB" w:rsidRDefault="005F38A6" w:rsidP="006A7377">
            <w:pPr>
              <w:jc w:val="center"/>
              <w:rPr>
                <w:b/>
                <w:bCs/>
                <w:color w:val="000000"/>
                <w:sz w:val="20"/>
                <w:szCs w:val="20"/>
              </w:rPr>
            </w:pPr>
            <w:r w:rsidRPr="005000AB">
              <w:rPr>
                <w:b/>
                <w:bCs/>
                <w:color w:val="000000"/>
                <w:sz w:val="20"/>
                <w:szCs w:val="20"/>
              </w:rPr>
              <w:t>Variación (% del PIB)</w:t>
            </w:r>
          </w:p>
        </w:tc>
      </w:tr>
      <w:tr w:rsidR="00D17F18" w:rsidRPr="005000AB" w14:paraId="2DF98404" w14:textId="77777777" w:rsidTr="00143F78">
        <w:trPr>
          <w:trHeight w:val="294"/>
        </w:trPr>
        <w:tc>
          <w:tcPr>
            <w:tcW w:w="2695" w:type="dxa"/>
            <w:tcBorders>
              <w:top w:val="nil"/>
              <w:left w:val="nil"/>
              <w:bottom w:val="nil"/>
              <w:right w:val="nil"/>
            </w:tcBorders>
            <w:shd w:val="clear" w:color="auto" w:fill="auto"/>
            <w:noWrap/>
            <w:vAlign w:val="bottom"/>
            <w:hideMark/>
          </w:tcPr>
          <w:p w14:paraId="1823CB1C" w14:textId="77777777" w:rsidR="00D17F18" w:rsidRPr="005000AB" w:rsidRDefault="00D17F18" w:rsidP="00D17F18">
            <w:pPr>
              <w:rPr>
                <w:color w:val="000000"/>
                <w:sz w:val="20"/>
                <w:szCs w:val="20"/>
              </w:rPr>
            </w:pPr>
            <w:r w:rsidRPr="005000AB">
              <w:rPr>
                <w:color w:val="000000"/>
                <w:sz w:val="20"/>
                <w:szCs w:val="20"/>
              </w:rPr>
              <w:t xml:space="preserve">Tipo de cambio </w:t>
            </w:r>
          </w:p>
        </w:tc>
        <w:tc>
          <w:tcPr>
            <w:tcW w:w="1096" w:type="dxa"/>
            <w:tcBorders>
              <w:top w:val="nil"/>
              <w:left w:val="nil"/>
              <w:bottom w:val="nil"/>
              <w:right w:val="nil"/>
            </w:tcBorders>
            <w:shd w:val="clear" w:color="auto" w:fill="auto"/>
            <w:noWrap/>
            <w:hideMark/>
          </w:tcPr>
          <w:p w14:paraId="3033B91B" w14:textId="482FB258" w:rsidR="00D17F18" w:rsidRPr="00D17F18" w:rsidRDefault="00D17F18" w:rsidP="00D17F18">
            <w:pPr>
              <w:jc w:val="center"/>
              <w:rPr>
                <w:color w:val="000000"/>
                <w:sz w:val="20"/>
                <w:szCs w:val="20"/>
              </w:rPr>
            </w:pPr>
            <w:r w:rsidRPr="00D17F18">
              <w:rPr>
                <w:sz w:val="20"/>
                <w:szCs w:val="20"/>
              </w:rPr>
              <w:t>7.85</w:t>
            </w:r>
          </w:p>
        </w:tc>
        <w:tc>
          <w:tcPr>
            <w:tcW w:w="1174" w:type="dxa"/>
            <w:tcBorders>
              <w:top w:val="nil"/>
              <w:left w:val="nil"/>
              <w:bottom w:val="nil"/>
              <w:right w:val="nil"/>
            </w:tcBorders>
            <w:shd w:val="clear" w:color="auto" w:fill="auto"/>
            <w:noWrap/>
            <w:hideMark/>
          </w:tcPr>
          <w:p w14:paraId="4B5102AC" w14:textId="05DEDAD4" w:rsidR="00D17F18" w:rsidRPr="00D17F18" w:rsidRDefault="00D17F18" w:rsidP="00D17F18">
            <w:pPr>
              <w:jc w:val="center"/>
              <w:rPr>
                <w:color w:val="000000"/>
                <w:sz w:val="20"/>
                <w:szCs w:val="20"/>
              </w:rPr>
            </w:pPr>
            <w:r w:rsidRPr="00D17F18">
              <w:rPr>
                <w:sz w:val="20"/>
                <w:szCs w:val="20"/>
              </w:rPr>
              <w:t>7.79</w:t>
            </w:r>
          </w:p>
        </w:tc>
        <w:tc>
          <w:tcPr>
            <w:tcW w:w="1043" w:type="dxa"/>
            <w:tcBorders>
              <w:top w:val="nil"/>
              <w:left w:val="nil"/>
              <w:bottom w:val="nil"/>
              <w:right w:val="nil"/>
            </w:tcBorders>
            <w:shd w:val="clear" w:color="auto" w:fill="auto"/>
            <w:noWrap/>
            <w:hideMark/>
          </w:tcPr>
          <w:p w14:paraId="7DE04D5B" w14:textId="5C4D5D97" w:rsidR="00D17F18" w:rsidRPr="00D17F18" w:rsidRDefault="00D17F18" w:rsidP="00D17F18">
            <w:pPr>
              <w:jc w:val="center"/>
              <w:rPr>
                <w:color w:val="000000"/>
                <w:sz w:val="20"/>
                <w:szCs w:val="20"/>
              </w:rPr>
            </w:pPr>
            <w:r w:rsidRPr="00D17F18">
              <w:rPr>
                <w:sz w:val="20"/>
                <w:szCs w:val="20"/>
              </w:rPr>
              <w:t>8.57</w:t>
            </w:r>
          </w:p>
        </w:tc>
        <w:tc>
          <w:tcPr>
            <w:tcW w:w="1408" w:type="dxa"/>
            <w:tcBorders>
              <w:top w:val="nil"/>
              <w:left w:val="nil"/>
              <w:bottom w:val="nil"/>
              <w:right w:val="nil"/>
            </w:tcBorders>
            <w:shd w:val="clear" w:color="auto" w:fill="auto"/>
            <w:noWrap/>
            <w:hideMark/>
          </w:tcPr>
          <w:p w14:paraId="2104AA33" w14:textId="38E6434A" w:rsidR="00D17F18" w:rsidRPr="00D17F18" w:rsidRDefault="00D17F18" w:rsidP="00D17F18">
            <w:pPr>
              <w:jc w:val="center"/>
              <w:rPr>
                <w:color w:val="000000"/>
                <w:sz w:val="20"/>
                <w:szCs w:val="20"/>
              </w:rPr>
            </w:pPr>
            <w:r w:rsidRPr="00D17F18">
              <w:rPr>
                <w:sz w:val="20"/>
                <w:szCs w:val="20"/>
              </w:rPr>
              <w:t>0.78</w:t>
            </w:r>
          </w:p>
        </w:tc>
        <w:tc>
          <w:tcPr>
            <w:tcW w:w="1165" w:type="dxa"/>
            <w:tcBorders>
              <w:top w:val="nil"/>
              <w:left w:val="nil"/>
              <w:bottom w:val="nil"/>
              <w:right w:val="nil"/>
            </w:tcBorders>
            <w:shd w:val="clear" w:color="auto" w:fill="auto"/>
            <w:noWrap/>
            <w:hideMark/>
          </w:tcPr>
          <w:p w14:paraId="4B023008" w14:textId="2660DC8D" w:rsidR="00D17F18" w:rsidRPr="00D17F18" w:rsidRDefault="00D17F18" w:rsidP="00D17F18">
            <w:pPr>
              <w:jc w:val="center"/>
              <w:rPr>
                <w:color w:val="000000"/>
                <w:sz w:val="20"/>
                <w:szCs w:val="20"/>
              </w:rPr>
            </w:pPr>
            <w:r w:rsidRPr="00D17F18">
              <w:rPr>
                <w:sz w:val="20"/>
                <w:szCs w:val="20"/>
              </w:rPr>
              <w:t>-</w:t>
            </w:r>
          </w:p>
        </w:tc>
      </w:tr>
      <w:tr w:rsidR="00D17F18" w:rsidRPr="005000AB" w14:paraId="0459BF7D" w14:textId="77777777" w:rsidTr="00143F78">
        <w:trPr>
          <w:trHeight w:val="280"/>
        </w:trPr>
        <w:tc>
          <w:tcPr>
            <w:tcW w:w="2695" w:type="dxa"/>
            <w:tcBorders>
              <w:top w:val="nil"/>
              <w:left w:val="nil"/>
              <w:bottom w:val="single" w:sz="4" w:space="0" w:color="auto"/>
              <w:right w:val="nil"/>
            </w:tcBorders>
            <w:shd w:val="clear" w:color="auto" w:fill="auto"/>
            <w:noWrap/>
            <w:vAlign w:val="bottom"/>
            <w:hideMark/>
          </w:tcPr>
          <w:p w14:paraId="584A5083" w14:textId="77777777" w:rsidR="00D17F18" w:rsidRPr="005000AB" w:rsidRDefault="00D17F18" w:rsidP="00D17F18">
            <w:pPr>
              <w:rPr>
                <w:color w:val="000000"/>
                <w:sz w:val="20"/>
                <w:szCs w:val="20"/>
              </w:rPr>
            </w:pPr>
            <w:r w:rsidRPr="005000AB">
              <w:rPr>
                <w:color w:val="000000"/>
                <w:sz w:val="20"/>
                <w:szCs w:val="20"/>
              </w:rPr>
              <w:t>Efecto en millones de quetzales</w:t>
            </w:r>
          </w:p>
        </w:tc>
        <w:tc>
          <w:tcPr>
            <w:tcW w:w="1096" w:type="dxa"/>
            <w:tcBorders>
              <w:top w:val="nil"/>
              <w:left w:val="nil"/>
              <w:bottom w:val="single" w:sz="4" w:space="0" w:color="auto"/>
              <w:right w:val="nil"/>
            </w:tcBorders>
            <w:shd w:val="clear" w:color="auto" w:fill="auto"/>
            <w:noWrap/>
            <w:hideMark/>
          </w:tcPr>
          <w:p w14:paraId="35FFA13C" w14:textId="45035D75" w:rsidR="00D17F18" w:rsidRPr="00D17F18" w:rsidRDefault="00D17F18" w:rsidP="00D17F18">
            <w:pPr>
              <w:jc w:val="center"/>
              <w:rPr>
                <w:color w:val="000000"/>
                <w:sz w:val="20"/>
                <w:szCs w:val="20"/>
              </w:rPr>
            </w:pPr>
            <w:r w:rsidRPr="00D17F18">
              <w:rPr>
                <w:sz w:val="20"/>
                <w:szCs w:val="20"/>
              </w:rPr>
              <w:t>329.5</w:t>
            </w:r>
          </w:p>
        </w:tc>
        <w:tc>
          <w:tcPr>
            <w:tcW w:w="1174" w:type="dxa"/>
            <w:tcBorders>
              <w:top w:val="nil"/>
              <w:left w:val="nil"/>
              <w:bottom w:val="single" w:sz="4" w:space="0" w:color="auto"/>
              <w:right w:val="nil"/>
            </w:tcBorders>
            <w:shd w:val="clear" w:color="auto" w:fill="auto"/>
            <w:noWrap/>
            <w:hideMark/>
          </w:tcPr>
          <w:p w14:paraId="2AD94700" w14:textId="05DA2232" w:rsidR="00D17F18" w:rsidRPr="00D17F18" w:rsidRDefault="00D17F18" w:rsidP="00D17F18">
            <w:pPr>
              <w:jc w:val="center"/>
              <w:rPr>
                <w:color w:val="000000"/>
                <w:sz w:val="20"/>
                <w:szCs w:val="20"/>
              </w:rPr>
            </w:pPr>
            <w:r w:rsidRPr="00D17F18">
              <w:rPr>
                <w:sz w:val="20"/>
                <w:szCs w:val="20"/>
              </w:rPr>
              <w:t>-197.3</w:t>
            </w:r>
          </w:p>
        </w:tc>
        <w:tc>
          <w:tcPr>
            <w:tcW w:w="1043" w:type="dxa"/>
            <w:tcBorders>
              <w:top w:val="nil"/>
              <w:left w:val="nil"/>
              <w:bottom w:val="single" w:sz="4" w:space="0" w:color="auto"/>
              <w:right w:val="nil"/>
            </w:tcBorders>
            <w:shd w:val="clear" w:color="auto" w:fill="auto"/>
            <w:noWrap/>
            <w:hideMark/>
          </w:tcPr>
          <w:p w14:paraId="6C859A6C" w14:textId="73B811E2" w:rsidR="00D17F18" w:rsidRPr="00D17F18" w:rsidRDefault="00D17F18" w:rsidP="00D17F18">
            <w:pPr>
              <w:jc w:val="center"/>
              <w:rPr>
                <w:color w:val="000000"/>
                <w:sz w:val="20"/>
                <w:szCs w:val="20"/>
              </w:rPr>
            </w:pPr>
            <w:r w:rsidRPr="00D17F18">
              <w:rPr>
                <w:sz w:val="20"/>
                <w:szCs w:val="20"/>
              </w:rPr>
              <w:t>2,528.5</w:t>
            </w:r>
          </w:p>
        </w:tc>
        <w:tc>
          <w:tcPr>
            <w:tcW w:w="1408" w:type="dxa"/>
            <w:tcBorders>
              <w:top w:val="nil"/>
              <w:left w:val="nil"/>
              <w:bottom w:val="single" w:sz="4" w:space="0" w:color="auto"/>
              <w:right w:val="nil"/>
            </w:tcBorders>
            <w:shd w:val="clear" w:color="auto" w:fill="auto"/>
            <w:noWrap/>
            <w:hideMark/>
          </w:tcPr>
          <w:p w14:paraId="5C820FC1" w14:textId="770E9900" w:rsidR="00D17F18" w:rsidRPr="00D17F18" w:rsidRDefault="00D17F18" w:rsidP="00D17F18">
            <w:pPr>
              <w:jc w:val="center"/>
              <w:rPr>
                <w:color w:val="000000"/>
                <w:sz w:val="20"/>
                <w:szCs w:val="20"/>
              </w:rPr>
            </w:pPr>
            <w:r w:rsidRPr="00D17F18">
              <w:rPr>
                <w:sz w:val="20"/>
                <w:szCs w:val="20"/>
              </w:rPr>
              <w:t>2,725.8</w:t>
            </w:r>
          </w:p>
        </w:tc>
        <w:tc>
          <w:tcPr>
            <w:tcW w:w="1165" w:type="dxa"/>
            <w:tcBorders>
              <w:top w:val="nil"/>
              <w:left w:val="nil"/>
              <w:bottom w:val="single" w:sz="4" w:space="0" w:color="auto"/>
              <w:right w:val="nil"/>
            </w:tcBorders>
            <w:shd w:val="clear" w:color="auto" w:fill="auto"/>
            <w:noWrap/>
            <w:hideMark/>
          </w:tcPr>
          <w:p w14:paraId="04A335F6" w14:textId="0C4EF11E" w:rsidR="00D17F18" w:rsidRPr="00D17F18" w:rsidRDefault="00D17F18" w:rsidP="00D17F18">
            <w:pPr>
              <w:jc w:val="center"/>
              <w:rPr>
                <w:color w:val="000000"/>
                <w:sz w:val="20"/>
                <w:szCs w:val="20"/>
              </w:rPr>
            </w:pPr>
            <w:r w:rsidRPr="00D17F18">
              <w:rPr>
                <w:sz w:val="20"/>
                <w:szCs w:val="20"/>
              </w:rPr>
              <w:t>0.3%</w:t>
            </w:r>
          </w:p>
        </w:tc>
      </w:tr>
    </w:tbl>
    <w:p w14:paraId="0213DCD4" w14:textId="77777777" w:rsidR="005F38A6" w:rsidRPr="000438E8" w:rsidRDefault="005F38A6" w:rsidP="005F38A6">
      <w:pPr>
        <w:jc w:val="both"/>
        <w:rPr>
          <w:sz w:val="22"/>
          <w:szCs w:val="22"/>
        </w:rPr>
      </w:pPr>
      <w:r w:rsidRPr="000438E8">
        <w:rPr>
          <w:sz w:val="16"/>
          <w:szCs w:val="16"/>
        </w:rPr>
        <w:t>Fuente: Ministerio de Finanzas</w:t>
      </w:r>
    </w:p>
    <w:p w14:paraId="4F0B7041" w14:textId="77777777" w:rsidR="005F38A6" w:rsidRPr="00F94ECE" w:rsidRDefault="005F38A6" w:rsidP="005F38A6">
      <w:pPr>
        <w:jc w:val="both"/>
      </w:pPr>
    </w:p>
    <w:p w14:paraId="04DE5326" w14:textId="264720A5" w:rsidR="005F38A6" w:rsidRPr="002121FC" w:rsidRDefault="005F38A6" w:rsidP="005F38A6">
      <w:pPr>
        <w:jc w:val="both"/>
      </w:pPr>
      <w:r w:rsidRPr="002121FC">
        <w:t xml:space="preserve">Así como en el escenario anterior, es importante indicar que este efecto, no considera, el impacto negativo que tiene sobre las importaciones, el aumento del tipo de cambio nominal, </w:t>
      </w:r>
      <w:r w:rsidR="00D027A7">
        <w:t xml:space="preserve">que </w:t>
      </w:r>
      <w:r w:rsidRPr="002121FC">
        <w:t xml:space="preserve">podría disminuir la demanda de importaciones y por ende disminuir la recaudación, reduciendo el posible aumento en los ingresos fiscales.  </w:t>
      </w:r>
    </w:p>
    <w:p w14:paraId="602881A4" w14:textId="77777777" w:rsidR="005F38A6" w:rsidRDefault="005F38A6" w:rsidP="005F38A6">
      <w:pPr>
        <w:rPr>
          <w:b/>
          <w:bCs/>
        </w:rPr>
      </w:pPr>
    </w:p>
    <w:p w14:paraId="0D024A32" w14:textId="77777777" w:rsidR="005F38A6" w:rsidRPr="00987058" w:rsidRDefault="005F38A6" w:rsidP="005F07F9">
      <w:pPr>
        <w:pStyle w:val="Ttulo2"/>
        <w:numPr>
          <w:ilvl w:val="3"/>
          <w:numId w:val="35"/>
        </w:numPr>
        <w:tabs>
          <w:tab w:val="left" w:pos="1276"/>
        </w:tabs>
        <w:ind w:hanging="294"/>
        <w:rPr>
          <w:bCs/>
        </w:rPr>
      </w:pPr>
      <w:bookmarkStart w:id="104" w:name="_Toc144114368"/>
      <w:r w:rsidRPr="00FA4202">
        <w:rPr>
          <w:bCs/>
        </w:rPr>
        <w:t>Impacto en el gasto público (intereses y otros gastos)</w:t>
      </w:r>
      <w:bookmarkEnd w:id="104"/>
    </w:p>
    <w:p w14:paraId="2BE51CEF" w14:textId="77777777" w:rsidR="005F38A6" w:rsidRPr="00FA4202" w:rsidRDefault="005F38A6" w:rsidP="005F38A6">
      <w:pPr>
        <w:rPr>
          <w:b/>
          <w:bCs/>
        </w:rPr>
      </w:pPr>
    </w:p>
    <w:p w14:paraId="0F93BC38" w14:textId="5DBE3908" w:rsidR="005F38A6" w:rsidRPr="009D45E5" w:rsidRDefault="005F38A6" w:rsidP="005F38A6">
      <w:pPr>
        <w:jc w:val="both"/>
      </w:pPr>
      <w:r>
        <w:t>En relación a las importaciones que el Gobierno realizará en 2024</w:t>
      </w:r>
      <w:r w:rsidR="00D027A7">
        <w:t>,</w:t>
      </w:r>
      <w:r>
        <w:t xml:space="preserve"> correspondiente al gasto corriente y gasto de capital, se estima que el gobierno utiliza para consumo final el 2.9% de productos importados del total y</w:t>
      </w:r>
      <w:r w:rsidR="00D027A7">
        <w:t>,</w:t>
      </w:r>
      <w:r>
        <w:t xml:space="preserve"> para la formación bruta de capital el 25.9%, considerando la matriz de insumo producto de 2013 de Cuentas Nacionales del Banco de Guatemala. Con estos ponderados se prevé que el gasto </w:t>
      </w:r>
      <w:r w:rsidRPr="009D45E5">
        <w:t>total aumentaría Q8</w:t>
      </w:r>
      <w:r w:rsidR="006C6819" w:rsidRPr="009D45E5">
        <w:t>73</w:t>
      </w:r>
      <w:r w:rsidRPr="009D45E5">
        <w:t>.</w:t>
      </w:r>
      <w:r w:rsidR="006C6819" w:rsidRPr="009D45E5">
        <w:t>7</w:t>
      </w:r>
      <w:r w:rsidRPr="009D45E5">
        <w:t xml:space="preserve"> millones (0.1% del PIB) ante una depreciación del 10.0% del tipo de cambio en el escenario base.</w:t>
      </w:r>
    </w:p>
    <w:p w14:paraId="31A85715" w14:textId="747ACED6" w:rsidR="005F38A6" w:rsidRPr="009D45E5" w:rsidRDefault="005F38A6" w:rsidP="005F38A6">
      <w:pPr>
        <w:jc w:val="both"/>
      </w:pPr>
    </w:p>
    <w:p w14:paraId="28EB9329" w14:textId="77777777" w:rsidR="000438E8" w:rsidRPr="009D45E5" w:rsidRDefault="000438E8" w:rsidP="005F38A6">
      <w:pPr>
        <w:jc w:val="both"/>
      </w:pPr>
    </w:p>
    <w:p w14:paraId="222196F3" w14:textId="16BDC797" w:rsidR="005F38A6" w:rsidRPr="009D45E5" w:rsidRDefault="000438E8" w:rsidP="000438E8">
      <w:pPr>
        <w:pStyle w:val="Descripcin"/>
        <w:keepNext/>
      </w:pPr>
      <w:bookmarkStart w:id="105" w:name="_Toc143593518"/>
      <w:r w:rsidRPr="009D45E5">
        <w:rPr>
          <w:color w:val="auto"/>
        </w:rPr>
        <w:lastRenderedPageBreak/>
        <w:t xml:space="preserve">Tabla </w:t>
      </w:r>
      <w:r w:rsidRPr="009D45E5">
        <w:rPr>
          <w:color w:val="auto"/>
        </w:rPr>
        <w:fldChar w:fldCharType="begin"/>
      </w:r>
      <w:r w:rsidRPr="009D45E5">
        <w:rPr>
          <w:color w:val="auto"/>
        </w:rPr>
        <w:instrText xml:space="preserve"> SEQ Tabla \* ARABIC </w:instrText>
      </w:r>
      <w:r w:rsidRPr="009D45E5">
        <w:rPr>
          <w:color w:val="auto"/>
        </w:rPr>
        <w:fldChar w:fldCharType="separate"/>
      </w:r>
      <w:r w:rsidR="00A62AFA" w:rsidRPr="009D45E5">
        <w:rPr>
          <w:noProof/>
          <w:color w:val="auto"/>
        </w:rPr>
        <w:t>16</w:t>
      </w:r>
      <w:r w:rsidRPr="009D45E5">
        <w:rPr>
          <w:color w:val="auto"/>
        </w:rPr>
        <w:fldChar w:fldCharType="end"/>
      </w:r>
      <w:r w:rsidRPr="009D45E5">
        <w:rPr>
          <w:color w:val="auto"/>
        </w:rPr>
        <w:t xml:space="preserve">.  </w:t>
      </w:r>
      <w:r w:rsidR="005F38A6" w:rsidRPr="009D45E5">
        <w:rPr>
          <w:bCs/>
          <w:color w:val="auto"/>
        </w:rPr>
        <w:t>Impacto de una depreciación del 10.0% en el gasto importado</w:t>
      </w:r>
      <w:bookmarkEnd w:id="105"/>
      <w:r w:rsidR="005F38A6" w:rsidRPr="009D45E5">
        <w:rPr>
          <w:bCs/>
          <w:color w:val="auto"/>
        </w:rPr>
        <w:t xml:space="preserve"> </w:t>
      </w:r>
    </w:p>
    <w:tbl>
      <w:tblPr>
        <w:tblW w:w="8440" w:type="dxa"/>
        <w:tblCellMar>
          <w:left w:w="70" w:type="dxa"/>
          <w:right w:w="70" w:type="dxa"/>
        </w:tblCellMar>
        <w:tblLook w:val="04A0" w:firstRow="1" w:lastRow="0" w:firstColumn="1" w:lastColumn="0" w:noHBand="0" w:noVBand="1"/>
      </w:tblPr>
      <w:tblGrid>
        <w:gridCol w:w="1580"/>
        <w:gridCol w:w="1500"/>
        <w:gridCol w:w="1660"/>
        <w:gridCol w:w="1200"/>
        <w:gridCol w:w="1300"/>
        <w:gridCol w:w="1200"/>
      </w:tblGrid>
      <w:tr w:rsidR="005F38A6" w:rsidRPr="009D45E5" w14:paraId="3EBDD09A" w14:textId="77777777" w:rsidTr="006A7377">
        <w:trPr>
          <w:trHeight w:val="780"/>
        </w:trPr>
        <w:tc>
          <w:tcPr>
            <w:tcW w:w="1580" w:type="dxa"/>
            <w:tcBorders>
              <w:top w:val="single" w:sz="4" w:space="0" w:color="auto"/>
              <w:left w:val="nil"/>
              <w:bottom w:val="double" w:sz="6" w:space="0" w:color="auto"/>
              <w:right w:val="nil"/>
            </w:tcBorders>
            <w:shd w:val="clear" w:color="auto" w:fill="auto"/>
            <w:noWrap/>
            <w:vAlign w:val="center"/>
            <w:hideMark/>
          </w:tcPr>
          <w:p w14:paraId="7DA8A557" w14:textId="77777777" w:rsidR="005F38A6" w:rsidRPr="009D45E5" w:rsidRDefault="005F38A6" w:rsidP="006A7377">
            <w:pPr>
              <w:jc w:val="center"/>
              <w:rPr>
                <w:b/>
                <w:bCs/>
                <w:color w:val="000000"/>
                <w:sz w:val="20"/>
                <w:szCs w:val="20"/>
              </w:rPr>
            </w:pPr>
            <w:r w:rsidRPr="009D45E5">
              <w:rPr>
                <w:b/>
                <w:bCs/>
                <w:color w:val="000000"/>
                <w:sz w:val="20"/>
                <w:szCs w:val="20"/>
              </w:rPr>
              <w:t> </w:t>
            </w:r>
          </w:p>
        </w:tc>
        <w:tc>
          <w:tcPr>
            <w:tcW w:w="1500" w:type="dxa"/>
            <w:tcBorders>
              <w:top w:val="single" w:sz="4" w:space="0" w:color="auto"/>
              <w:left w:val="nil"/>
              <w:bottom w:val="double" w:sz="6" w:space="0" w:color="auto"/>
              <w:right w:val="nil"/>
            </w:tcBorders>
            <w:shd w:val="clear" w:color="auto" w:fill="auto"/>
            <w:vAlign w:val="center"/>
            <w:hideMark/>
          </w:tcPr>
          <w:p w14:paraId="49DBFC3B" w14:textId="77777777" w:rsidR="005F38A6" w:rsidRPr="009D45E5" w:rsidRDefault="005F38A6" w:rsidP="006A7377">
            <w:pPr>
              <w:jc w:val="center"/>
              <w:rPr>
                <w:b/>
                <w:bCs/>
                <w:color w:val="000000"/>
                <w:sz w:val="20"/>
                <w:szCs w:val="20"/>
              </w:rPr>
            </w:pPr>
            <w:r w:rsidRPr="009D45E5">
              <w:rPr>
                <w:b/>
                <w:bCs/>
                <w:color w:val="000000"/>
                <w:sz w:val="20"/>
                <w:szCs w:val="20"/>
              </w:rPr>
              <w:t>Gasto total</w:t>
            </w:r>
          </w:p>
        </w:tc>
        <w:tc>
          <w:tcPr>
            <w:tcW w:w="1660" w:type="dxa"/>
            <w:tcBorders>
              <w:top w:val="single" w:sz="4" w:space="0" w:color="auto"/>
              <w:left w:val="nil"/>
              <w:bottom w:val="double" w:sz="6" w:space="0" w:color="auto"/>
              <w:right w:val="nil"/>
            </w:tcBorders>
            <w:shd w:val="clear" w:color="auto" w:fill="auto"/>
            <w:vAlign w:val="center"/>
            <w:hideMark/>
          </w:tcPr>
          <w:p w14:paraId="17684691" w14:textId="77777777" w:rsidR="005F38A6" w:rsidRPr="009D45E5" w:rsidRDefault="005F38A6" w:rsidP="006A7377">
            <w:pPr>
              <w:jc w:val="center"/>
              <w:rPr>
                <w:b/>
                <w:bCs/>
                <w:color w:val="000000"/>
                <w:sz w:val="20"/>
                <w:szCs w:val="20"/>
              </w:rPr>
            </w:pPr>
            <w:r w:rsidRPr="009D45E5">
              <w:rPr>
                <w:b/>
                <w:bCs/>
                <w:color w:val="000000"/>
                <w:sz w:val="20"/>
                <w:szCs w:val="20"/>
              </w:rPr>
              <w:t>Gasto importado</w:t>
            </w:r>
          </w:p>
        </w:tc>
        <w:tc>
          <w:tcPr>
            <w:tcW w:w="1200" w:type="dxa"/>
            <w:tcBorders>
              <w:top w:val="single" w:sz="4" w:space="0" w:color="auto"/>
              <w:left w:val="nil"/>
              <w:bottom w:val="double" w:sz="6" w:space="0" w:color="auto"/>
              <w:right w:val="nil"/>
            </w:tcBorders>
            <w:shd w:val="clear" w:color="auto" w:fill="auto"/>
            <w:vAlign w:val="center"/>
            <w:hideMark/>
          </w:tcPr>
          <w:p w14:paraId="1667E811" w14:textId="77777777" w:rsidR="005F38A6" w:rsidRPr="009D45E5" w:rsidRDefault="005F38A6" w:rsidP="006A7377">
            <w:pPr>
              <w:jc w:val="center"/>
              <w:rPr>
                <w:b/>
                <w:bCs/>
                <w:color w:val="000000"/>
                <w:sz w:val="20"/>
                <w:szCs w:val="20"/>
              </w:rPr>
            </w:pPr>
            <w:r w:rsidRPr="009D45E5">
              <w:rPr>
                <w:b/>
                <w:bCs/>
                <w:color w:val="000000"/>
                <w:sz w:val="20"/>
                <w:szCs w:val="20"/>
              </w:rPr>
              <w:t>Gasto importado con choque</w:t>
            </w:r>
          </w:p>
        </w:tc>
        <w:tc>
          <w:tcPr>
            <w:tcW w:w="1300" w:type="dxa"/>
            <w:tcBorders>
              <w:top w:val="single" w:sz="4" w:space="0" w:color="auto"/>
              <w:left w:val="nil"/>
              <w:bottom w:val="double" w:sz="6" w:space="0" w:color="auto"/>
              <w:right w:val="nil"/>
            </w:tcBorders>
            <w:shd w:val="clear" w:color="auto" w:fill="auto"/>
            <w:vAlign w:val="center"/>
            <w:hideMark/>
          </w:tcPr>
          <w:p w14:paraId="2B3EA147" w14:textId="0D255E6E" w:rsidR="005F38A6" w:rsidRPr="009D45E5" w:rsidRDefault="005F38A6" w:rsidP="006A7377">
            <w:pPr>
              <w:jc w:val="center"/>
              <w:rPr>
                <w:b/>
                <w:bCs/>
                <w:color w:val="000000"/>
                <w:sz w:val="20"/>
                <w:szCs w:val="20"/>
              </w:rPr>
            </w:pPr>
            <w:r w:rsidRPr="009D45E5">
              <w:rPr>
                <w:b/>
                <w:bCs/>
                <w:color w:val="000000"/>
                <w:sz w:val="20"/>
                <w:szCs w:val="20"/>
              </w:rPr>
              <w:t xml:space="preserve">Variación </w:t>
            </w:r>
            <w:r w:rsidRPr="009D45E5">
              <w:rPr>
                <w:b/>
                <w:bCs/>
                <w:color w:val="000000"/>
                <w:sz w:val="20"/>
                <w:szCs w:val="20"/>
              </w:rPr>
              <w:br/>
              <w:t>(</w:t>
            </w:r>
            <w:r w:rsidR="009D45E5" w:rsidRPr="009D45E5">
              <w:rPr>
                <w:b/>
                <w:bCs/>
                <w:color w:val="000000"/>
                <w:sz w:val="20"/>
                <w:szCs w:val="20"/>
              </w:rPr>
              <w:t>choque-pres</w:t>
            </w:r>
            <w:r w:rsidRPr="009D45E5">
              <w:rPr>
                <w:b/>
                <w:bCs/>
                <w:color w:val="000000"/>
                <w:sz w:val="20"/>
                <w:szCs w:val="20"/>
              </w:rPr>
              <w:t xml:space="preserve"> choque)</w:t>
            </w:r>
          </w:p>
        </w:tc>
        <w:tc>
          <w:tcPr>
            <w:tcW w:w="1200" w:type="dxa"/>
            <w:tcBorders>
              <w:top w:val="single" w:sz="4" w:space="0" w:color="auto"/>
              <w:left w:val="nil"/>
              <w:bottom w:val="double" w:sz="6" w:space="0" w:color="auto"/>
              <w:right w:val="nil"/>
            </w:tcBorders>
            <w:shd w:val="clear" w:color="auto" w:fill="auto"/>
            <w:vAlign w:val="center"/>
            <w:hideMark/>
          </w:tcPr>
          <w:p w14:paraId="1CBDF71D" w14:textId="77777777" w:rsidR="005F38A6" w:rsidRPr="009D45E5" w:rsidRDefault="005F38A6" w:rsidP="006A7377">
            <w:pPr>
              <w:jc w:val="center"/>
              <w:rPr>
                <w:b/>
                <w:bCs/>
                <w:color w:val="000000"/>
                <w:sz w:val="20"/>
                <w:szCs w:val="20"/>
              </w:rPr>
            </w:pPr>
            <w:r w:rsidRPr="009D45E5">
              <w:rPr>
                <w:b/>
                <w:bCs/>
                <w:color w:val="000000"/>
                <w:sz w:val="20"/>
                <w:szCs w:val="20"/>
              </w:rPr>
              <w:t xml:space="preserve"> % del PIB</w:t>
            </w:r>
          </w:p>
        </w:tc>
      </w:tr>
      <w:tr w:rsidR="00E411A4" w:rsidRPr="009D45E5" w14:paraId="1441E3D0" w14:textId="77777777" w:rsidTr="00AE7735">
        <w:trPr>
          <w:trHeight w:val="315"/>
        </w:trPr>
        <w:tc>
          <w:tcPr>
            <w:tcW w:w="1580" w:type="dxa"/>
            <w:tcBorders>
              <w:top w:val="nil"/>
              <w:left w:val="nil"/>
              <w:bottom w:val="nil"/>
              <w:right w:val="nil"/>
            </w:tcBorders>
            <w:shd w:val="clear" w:color="auto" w:fill="auto"/>
            <w:noWrap/>
            <w:vAlign w:val="bottom"/>
            <w:hideMark/>
          </w:tcPr>
          <w:p w14:paraId="12F87F36" w14:textId="77777777" w:rsidR="00E411A4" w:rsidRPr="009D45E5" w:rsidRDefault="00E411A4" w:rsidP="00E411A4">
            <w:pPr>
              <w:rPr>
                <w:color w:val="000000"/>
                <w:sz w:val="20"/>
                <w:szCs w:val="20"/>
              </w:rPr>
            </w:pPr>
            <w:r w:rsidRPr="009D45E5">
              <w:rPr>
                <w:color w:val="000000"/>
                <w:sz w:val="20"/>
                <w:szCs w:val="20"/>
              </w:rPr>
              <w:t>Gasto corriente</w:t>
            </w:r>
          </w:p>
        </w:tc>
        <w:tc>
          <w:tcPr>
            <w:tcW w:w="1500" w:type="dxa"/>
            <w:tcBorders>
              <w:top w:val="nil"/>
              <w:left w:val="nil"/>
              <w:bottom w:val="nil"/>
              <w:right w:val="nil"/>
            </w:tcBorders>
            <w:shd w:val="clear" w:color="auto" w:fill="auto"/>
            <w:noWrap/>
            <w:hideMark/>
          </w:tcPr>
          <w:p w14:paraId="6234F73B" w14:textId="1E997F67" w:rsidR="00E411A4" w:rsidRPr="009D45E5" w:rsidRDefault="00E411A4" w:rsidP="00E411A4">
            <w:pPr>
              <w:jc w:val="center"/>
              <w:rPr>
                <w:color w:val="000000"/>
                <w:sz w:val="20"/>
                <w:szCs w:val="20"/>
              </w:rPr>
            </w:pPr>
            <w:r w:rsidRPr="009D45E5">
              <w:rPr>
                <w:sz w:val="20"/>
                <w:szCs w:val="20"/>
              </w:rPr>
              <w:t>95,170.5</w:t>
            </w:r>
          </w:p>
        </w:tc>
        <w:tc>
          <w:tcPr>
            <w:tcW w:w="1660" w:type="dxa"/>
            <w:tcBorders>
              <w:top w:val="nil"/>
              <w:left w:val="nil"/>
              <w:bottom w:val="nil"/>
              <w:right w:val="nil"/>
            </w:tcBorders>
            <w:shd w:val="clear" w:color="auto" w:fill="auto"/>
            <w:noWrap/>
            <w:hideMark/>
          </w:tcPr>
          <w:p w14:paraId="24FD909D" w14:textId="40C01A0E" w:rsidR="00E411A4" w:rsidRPr="009D45E5" w:rsidRDefault="00E411A4" w:rsidP="00E411A4">
            <w:pPr>
              <w:jc w:val="center"/>
              <w:rPr>
                <w:color w:val="000000"/>
                <w:sz w:val="20"/>
                <w:szCs w:val="20"/>
              </w:rPr>
            </w:pPr>
            <w:r w:rsidRPr="009D45E5">
              <w:rPr>
                <w:sz w:val="20"/>
                <w:szCs w:val="20"/>
              </w:rPr>
              <w:t>2,782.6</w:t>
            </w:r>
          </w:p>
        </w:tc>
        <w:tc>
          <w:tcPr>
            <w:tcW w:w="1200" w:type="dxa"/>
            <w:tcBorders>
              <w:top w:val="nil"/>
              <w:left w:val="nil"/>
              <w:bottom w:val="nil"/>
              <w:right w:val="nil"/>
            </w:tcBorders>
            <w:shd w:val="clear" w:color="auto" w:fill="auto"/>
            <w:noWrap/>
            <w:hideMark/>
          </w:tcPr>
          <w:p w14:paraId="2EA1AC61" w14:textId="3765A2B7" w:rsidR="00E411A4" w:rsidRPr="009D45E5" w:rsidRDefault="00E411A4" w:rsidP="00E411A4">
            <w:pPr>
              <w:jc w:val="center"/>
              <w:rPr>
                <w:color w:val="000000"/>
                <w:sz w:val="20"/>
                <w:szCs w:val="20"/>
              </w:rPr>
            </w:pPr>
            <w:r w:rsidRPr="009D45E5">
              <w:rPr>
                <w:sz w:val="20"/>
                <w:szCs w:val="20"/>
              </w:rPr>
              <w:t>3,060.8</w:t>
            </w:r>
          </w:p>
        </w:tc>
        <w:tc>
          <w:tcPr>
            <w:tcW w:w="1300" w:type="dxa"/>
            <w:tcBorders>
              <w:top w:val="nil"/>
              <w:left w:val="nil"/>
              <w:bottom w:val="nil"/>
              <w:right w:val="nil"/>
            </w:tcBorders>
            <w:shd w:val="clear" w:color="auto" w:fill="auto"/>
            <w:noWrap/>
            <w:hideMark/>
          </w:tcPr>
          <w:p w14:paraId="0B5EDACF" w14:textId="6DA44D58" w:rsidR="00E411A4" w:rsidRPr="009D45E5" w:rsidRDefault="00E411A4" w:rsidP="00E411A4">
            <w:pPr>
              <w:jc w:val="center"/>
              <w:rPr>
                <w:color w:val="000000"/>
                <w:sz w:val="20"/>
                <w:szCs w:val="20"/>
              </w:rPr>
            </w:pPr>
            <w:r w:rsidRPr="009D45E5">
              <w:rPr>
                <w:sz w:val="20"/>
                <w:szCs w:val="20"/>
              </w:rPr>
              <w:t>278.3</w:t>
            </w:r>
          </w:p>
        </w:tc>
        <w:tc>
          <w:tcPr>
            <w:tcW w:w="1200" w:type="dxa"/>
            <w:tcBorders>
              <w:top w:val="nil"/>
              <w:left w:val="nil"/>
              <w:bottom w:val="nil"/>
              <w:right w:val="nil"/>
            </w:tcBorders>
            <w:shd w:val="clear" w:color="auto" w:fill="auto"/>
            <w:noWrap/>
            <w:hideMark/>
          </w:tcPr>
          <w:p w14:paraId="50FCFB4F" w14:textId="4D75CB19" w:rsidR="00E411A4" w:rsidRPr="009D45E5" w:rsidRDefault="00E411A4" w:rsidP="00E411A4">
            <w:pPr>
              <w:jc w:val="center"/>
              <w:rPr>
                <w:color w:val="000000"/>
                <w:sz w:val="20"/>
                <w:szCs w:val="20"/>
              </w:rPr>
            </w:pPr>
            <w:r w:rsidRPr="009D45E5">
              <w:rPr>
                <w:sz w:val="20"/>
                <w:szCs w:val="20"/>
              </w:rPr>
              <w:t>0.0%</w:t>
            </w:r>
          </w:p>
        </w:tc>
      </w:tr>
      <w:tr w:rsidR="00E411A4" w:rsidRPr="009D45E5" w14:paraId="6CD09A57" w14:textId="77777777" w:rsidTr="00AE7735">
        <w:trPr>
          <w:trHeight w:val="300"/>
        </w:trPr>
        <w:tc>
          <w:tcPr>
            <w:tcW w:w="1580" w:type="dxa"/>
            <w:tcBorders>
              <w:top w:val="nil"/>
              <w:left w:val="nil"/>
              <w:bottom w:val="nil"/>
              <w:right w:val="nil"/>
            </w:tcBorders>
            <w:shd w:val="clear" w:color="auto" w:fill="auto"/>
            <w:noWrap/>
            <w:vAlign w:val="bottom"/>
            <w:hideMark/>
          </w:tcPr>
          <w:p w14:paraId="3ECD5B6F" w14:textId="77777777" w:rsidR="00E411A4" w:rsidRPr="009D45E5" w:rsidRDefault="00E411A4" w:rsidP="00E411A4">
            <w:pPr>
              <w:rPr>
                <w:color w:val="000000"/>
                <w:sz w:val="20"/>
                <w:szCs w:val="20"/>
              </w:rPr>
            </w:pPr>
            <w:r w:rsidRPr="009D45E5">
              <w:rPr>
                <w:color w:val="000000"/>
                <w:sz w:val="20"/>
                <w:szCs w:val="20"/>
              </w:rPr>
              <w:t>Gasto de capital</w:t>
            </w:r>
          </w:p>
        </w:tc>
        <w:tc>
          <w:tcPr>
            <w:tcW w:w="1500" w:type="dxa"/>
            <w:tcBorders>
              <w:top w:val="nil"/>
              <w:left w:val="nil"/>
              <w:bottom w:val="nil"/>
              <w:right w:val="nil"/>
            </w:tcBorders>
            <w:shd w:val="clear" w:color="auto" w:fill="auto"/>
            <w:noWrap/>
            <w:hideMark/>
          </w:tcPr>
          <w:p w14:paraId="673985FE" w14:textId="2758E56C" w:rsidR="00E411A4" w:rsidRPr="009D45E5" w:rsidRDefault="00E411A4" w:rsidP="00E411A4">
            <w:pPr>
              <w:jc w:val="center"/>
              <w:rPr>
                <w:color w:val="000000"/>
                <w:sz w:val="20"/>
                <w:szCs w:val="20"/>
              </w:rPr>
            </w:pPr>
            <w:r w:rsidRPr="009D45E5">
              <w:rPr>
                <w:sz w:val="20"/>
                <w:szCs w:val="20"/>
              </w:rPr>
              <w:t>22,956.8</w:t>
            </w:r>
          </w:p>
        </w:tc>
        <w:tc>
          <w:tcPr>
            <w:tcW w:w="1660" w:type="dxa"/>
            <w:tcBorders>
              <w:top w:val="nil"/>
              <w:left w:val="nil"/>
              <w:bottom w:val="nil"/>
              <w:right w:val="nil"/>
            </w:tcBorders>
            <w:shd w:val="clear" w:color="auto" w:fill="auto"/>
            <w:noWrap/>
            <w:hideMark/>
          </w:tcPr>
          <w:p w14:paraId="24D644DB" w14:textId="2095ED34" w:rsidR="00E411A4" w:rsidRPr="009D45E5" w:rsidRDefault="00E411A4" w:rsidP="00E411A4">
            <w:pPr>
              <w:jc w:val="center"/>
              <w:rPr>
                <w:color w:val="000000"/>
                <w:sz w:val="20"/>
                <w:szCs w:val="20"/>
              </w:rPr>
            </w:pPr>
            <w:r w:rsidRPr="009D45E5">
              <w:rPr>
                <w:sz w:val="20"/>
                <w:szCs w:val="20"/>
              </w:rPr>
              <w:t>5,954.4</w:t>
            </w:r>
          </w:p>
        </w:tc>
        <w:tc>
          <w:tcPr>
            <w:tcW w:w="1200" w:type="dxa"/>
            <w:tcBorders>
              <w:top w:val="nil"/>
              <w:left w:val="nil"/>
              <w:bottom w:val="nil"/>
              <w:right w:val="nil"/>
            </w:tcBorders>
            <w:shd w:val="clear" w:color="auto" w:fill="auto"/>
            <w:noWrap/>
            <w:hideMark/>
          </w:tcPr>
          <w:p w14:paraId="4B1C4865" w14:textId="171E69BC" w:rsidR="00E411A4" w:rsidRPr="009D45E5" w:rsidRDefault="00E411A4" w:rsidP="00E411A4">
            <w:pPr>
              <w:jc w:val="center"/>
              <w:rPr>
                <w:color w:val="000000"/>
                <w:sz w:val="20"/>
                <w:szCs w:val="20"/>
              </w:rPr>
            </w:pPr>
            <w:r w:rsidRPr="009D45E5">
              <w:rPr>
                <w:sz w:val="20"/>
                <w:szCs w:val="20"/>
              </w:rPr>
              <w:t>6,549.8</w:t>
            </w:r>
          </w:p>
        </w:tc>
        <w:tc>
          <w:tcPr>
            <w:tcW w:w="1300" w:type="dxa"/>
            <w:tcBorders>
              <w:top w:val="nil"/>
              <w:left w:val="nil"/>
              <w:bottom w:val="nil"/>
              <w:right w:val="nil"/>
            </w:tcBorders>
            <w:shd w:val="clear" w:color="auto" w:fill="auto"/>
            <w:noWrap/>
            <w:hideMark/>
          </w:tcPr>
          <w:p w14:paraId="1712256F" w14:textId="53380953" w:rsidR="00E411A4" w:rsidRPr="009D45E5" w:rsidRDefault="00E411A4" w:rsidP="00E411A4">
            <w:pPr>
              <w:jc w:val="center"/>
              <w:rPr>
                <w:color w:val="000000"/>
                <w:sz w:val="20"/>
                <w:szCs w:val="20"/>
              </w:rPr>
            </w:pPr>
            <w:r w:rsidRPr="009D45E5">
              <w:rPr>
                <w:sz w:val="20"/>
                <w:szCs w:val="20"/>
              </w:rPr>
              <w:t>595.4</w:t>
            </w:r>
          </w:p>
        </w:tc>
        <w:tc>
          <w:tcPr>
            <w:tcW w:w="1200" w:type="dxa"/>
            <w:tcBorders>
              <w:top w:val="nil"/>
              <w:left w:val="nil"/>
              <w:bottom w:val="nil"/>
              <w:right w:val="nil"/>
            </w:tcBorders>
            <w:shd w:val="clear" w:color="auto" w:fill="auto"/>
            <w:noWrap/>
            <w:hideMark/>
          </w:tcPr>
          <w:p w14:paraId="2E32C587" w14:textId="244650A2" w:rsidR="00E411A4" w:rsidRPr="009D45E5" w:rsidRDefault="00E411A4" w:rsidP="00E411A4">
            <w:pPr>
              <w:jc w:val="center"/>
              <w:rPr>
                <w:color w:val="000000"/>
                <w:sz w:val="20"/>
                <w:szCs w:val="20"/>
              </w:rPr>
            </w:pPr>
            <w:r w:rsidRPr="009D45E5">
              <w:rPr>
                <w:sz w:val="20"/>
                <w:szCs w:val="20"/>
              </w:rPr>
              <w:t>0.1%</w:t>
            </w:r>
          </w:p>
        </w:tc>
      </w:tr>
      <w:tr w:rsidR="00E411A4" w:rsidRPr="009D45E5" w14:paraId="25D080CA" w14:textId="77777777" w:rsidTr="00AE7735">
        <w:trPr>
          <w:trHeight w:val="300"/>
        </w:trPr>
        <w:tc>
          <w:tcPr>
            <w:tcW w:w="1580" w:type="dxa"/>
            <w:tcBorders>
              <w:top w:val="nil"/>
              <w:left w:val="nil"/>
              <w:bottom w:val="single" w:sz="4" w:space="0" w:color="auto"/>
              <w:right w:val="nil"/>
            </w:tcBorders>
            <w:shd w:val="clear" w:color="auto" w:fill="auto"/>
            <w:noWrap/>
            <w:vAlign w:val="bottom"/>
            <w:hideMark/>
          </w:tcPr>
          <w:p w14:paraId="19BDF4B1" w14:textId="77777777" w:rsidR="00E411A4" w:rsidRPr="009D45E5" w:rsidRDefault="00E411A4" w:rsidP="00E411A4">
            <w:pPr>
              <w:rPr>
                <w:b/>
                <w:bCs/>
                <w:color w:val="000000"/>
                <w:sz w:val="20"/>
                <w:szCs w:val="20"/>
              </w:rPr>
            </w:pPr>
            <w:r w:rsidRPr="009D45E5">
              <w:rPr>
                <w:b/>
                <w:bCs/>
                <w:color w:val="000000"/>
                <w:sz w:val="20"/>
                <w:szCs w:val="20"/>
              </w:rPr>
              <w:t>Total</w:t>
            </w:r>
          </w:p>
        </w:tc>
        <w:tc>
          <w:tcPr>
            <w:tcW w:w="1500" w:type="dxa"/>
            <w:tcBorders>
              <w:top w:val="nil"/>
              <w:left w:val="nil"/>
              <w:bottom w:val="single" w:sz="4" w:space="0" w:color="auto"/>
              <w:right w:val="nil"/>
            </w:tcBorders>
            <w:shd w:val="clear" w:color="auto" w:fill="auto"/>
            <w:noWrap/>
            <w:hideMark/>
          </w:tcPr>
          <w:p w14:paraId="2760F229" w14:textId="56070F17" w:rsidR="00E411A4" w:rsidRPr="009D45E5" w:rsidRDefault="00E411A4" w:rsidP="00E411A4">
            <w:pPr>
              <w:jc w:val="center"/>
              <w:rPr>
                <w:b/>
                <w:bCs/>
                <w:color w:val="000000"/>
                <w:sz w:val="20"/>
                <w:szCs w:val="20"/>
              </w:rPr>
            </w:pPr>
            <w:r w:rsidRPr="009D45E5">
              <w:rPr>
                <w:sz w:val="20"/>
                <w:szCs w:val="20"/>
              </w:rPr>
              <w:t>118,127.3</w:t>
            </w:r>
          </w:p>
        </w:tc>
        <w:tc>
          <w:tcPr>
            <w:tcW w:w="1660" w:type="dxa"/>
            <w:tcBorders>
              <w:top w:val="nil"/>
              <w:left w:val="nil"/>
              <w:bottom w:val="single" w:sz="4" w:space="0" w:color="auto"/>
              <w:right w:val="nil"/>
            </w:tcBorders>
            <w:shd w:val="clear" w:color="auto" w:fill="auto"/>
            <w:noWrap/>
            <w:hideMark/>
          </w:tcPr>
          <w:p w14:paraId="4D36C9CA" w14:textId="4D58D92C" w:rsidR="00E411A4" w:rsidRPr="009D45E5" w:rsidRDefault="00E411A4" w:rsidP="00E411A4">
            <w:pPr>
              <w:jc w:val="center"/>
              <w:rPr>
                <w:b/>
                <w:bCs/>
                <w:color w:val="000000"/>
                <w:sz w:val="20"/>
                <w:szCs w:val="20"/>
              </w:rPr>
            </w:pPr>
            <w:r w:rsidRPr="009D45E5">
              <w:rPr>
                <w:sz w:val="20"/>
                <w:szCs w:val="20"/>
              </w:rPr>
              <w:t>8,736.9</w:t>
            </w:r>
          </w:p>
        </w:tc>
        <w:tc>
          <w:tcPr>
            <w:tcW w:w="1200" w:type="dxa"/>
            <w:tcBorders>
              <w:top w:val="nil"/>
              <w:left w:val="nil"/>
              <w:bottom w:val="single" w:sz="4" w:space="0" w:color="auto"/>
              <w:right w:val="nil"/>
            </w:tcBorders>
            <w:shd w:val="clear" w:color="auto" w:fill="auto"/>
            <w:noWrap/>
            <w:hideMark/>
          </w:tcPr>
          <w:p w14:paraId="49E81B61" w14:textId="0F6CADA5" w:rsidR="00E411A4" w:rsidRPr="009D45E5" w:rsidRDefault="00E411A4" w:rsidP="00E411A4">
            <w:pPr>
              <w:jc w:val="center"/>
              <w:rPr>
                <w:b/>
                <w:bCs/>
                <w:color w:val="000000"/>
                <w:sz w:val="20"/>
                <w:szCs w:val="20"/>
              </w:rPr>
            </w:pPr>
            <w:r w:rsidRPr="009D45E5">
              <w:rPr>
                <w:sz w:val="20"/>
                <w:szCs w:val="20"/>
              </w:rPr>
              <w:t>9,610.6</w:t>
            </w:r>
          </w:p>
        </w:tc>
        <w:tc>
          <w:tcPr>
            <w:tcW w:w="1300" w:type="dxa"/>
            <w:tcBorders>
              <w:top w:val="nil"/>
              <w:left w:val="nil"/>
              <w:bottom w:val="single" w:sz="4" w:space="0" w:color="auto"/>
              <w:right w:val="nil"/>
            </w:tcBorders>
            <w:shd w:val="clear" w:color="auto" w:fill="auto"/>
            <w:noWrap/>
            <w:hideMark/>
          </w:tcPr>
          <w:p w14:paraId="686F3FA3" w14:textId="27CAA5C5" w:rsidR="00E411A4" w:rsidRPr="009D45E5" w:rsidRDefault="00E411A4" w:rsidP="00E411A4">
            <w:pPr>
              <w:jc w:val="center"/>
              <w:rPr>
                <w:b/>
                <w:bCs/>
                <w:color w:val="000000"/>
                <w:sz w:val="20"/>
                <w:szCs w:val="20"/>
              </w:rPr>
            </w:pPr>
            <w:r w:rsidRPr="009D45E5">
              <w:rPr>
                <w:sz w:val="20"/>
                <w:szCs w:val="20"/>
              </w:rPr>
              <w:t>873.7</w:t>
            </w:r>
          </w:p>
        </w:tc>
        <w:tc>
          <w:tcPr>
            <w:tcW w:w="1200" w:type="dxa"/>
            <w:tcBorders>
              <w:top w:val="nil"/>
              <w:left w:val="nil"/>
              <w:bottom w:val="single" w:sz="4" w:space="0" w:color="auto"/>
              <w:right w:val="nil"/>
            </w:tcBorders>
            <w:shd w:val="clear" w:color="auto" w:fill="auto"/>
            <w:noWrap/>
            <w:hideMark/>
          </w:tcPr>
          <w:p w14:paraId="0EE94388" w14:textId="38901711" w:rsidR="00E411A4" w:rsidRPr="009D45E5" w:rsidRDefault="00E411A4" w:rsidP="00E411A4">
            <w:pPr>
              <w:jc w:val="center"/>
              <w:rPr>
                <w:b/>
                <w:bCs/>
                <w:color w:val="000000"/>
                <w:sz w:val="20"/>
                <w:szCs w:val="20"/>
              </w:rPr>
            </w:pPr>
            <w:r w:rsidRPr="009D45E5">
              <w:rPr>
                <w:sz w:val="20"/>
                <w:szCs w:val="20"/>
              </w:rPr>
              <w:t>0.1%</w:t>
            </w:r>
          </w:p>
        </w:tc>
      </w:tr>
    </w:tbl>
    <w:p w14:paraId="4AE98AB1" w14:textId="77777777" w:rsidR="005F38A6" w:rsidRPr="009D45E5" w:rsidRDefault="005F38A6" w:rsidP="005F38A6">
      <w:pPr>
        <w:rPr>
          <w:sz w:val="16"/>
          <w:szCs w:val="16"/>
        </w:rPr>
      </w:pPr>
      <w:r w:rsidRPr="009D45E5">
        <w:rPr>
          <w:sz w:val="16"/>
          <w:szCs w:val="16"/>
        </w:rPr>
        <w:t>Fuente: Ministerio de Finanzas</w:t>
      </w:r>
    </w:p>
    <w:p w14:paraId="02F94F97" w14:textId="77777777" w:rsidR="005F38A6" w:rsidRPr="009D45E5" w:rsidRDefault="005F38A6" w:rsidP="005F38A6"/>
    <w:p w14:paraId="316F083B" w14:textId="607C2ABE" w:rsidR="005F38A6" w:rsidRPr="009D45E5" w:rsidRDefault="005F38A6" w:rsidP="005F38A6">
      <w:pPr>
        <w:jc w:val="both"/>
      </w:pPr>
      <w:r w:rsidRPr="009D45E5">
        <w:t>Por su parte el gasto de intereses aumenta con respecto al escenario base, esto dado que el saldo de la deuda en moneda extranjera se incrementa en la misma proporción que la depreciación y por lo tanto los intereses correspondientes. El incremento de los intereses ante una depreciación del 10.0% se estima en Q</w:t>
      </w:r>
      <w:r w:rsidR="000E7D33" w:rsidRPr="009D45E5">
        <w:t>507.7</w:t>
      </w:r>
      <w:r w:rsidRPr="009D45E5">
        <w:t xml:space="preserve"> millones y representa 0.1% del PIB de 2024.</w:t>
      </w:r>
    </w:p>
    <w:p w14:paraId="0B9B9801" w14:textId="77777777" w:rsidR="005F38A6" w:rsidRPr="009D45E5" w:rsidRDefault="005F38A6" w:rsidP="005F38A6"/>
    <w:p w14:paraId="6B231D4D" w14:textId="07DB532B" w:rsidR="005F38A6" w:rsidRPr="009D45E5" w:rsidRDefault="000438E8" w:rsidP="000438E8">
      <w:pPr>
        <w:pStyle w:val="Descripcin"/>
        <w:keepNext/>
      </w:pPr>
      <w:bookmarkStart w:id="106" w:name="_Toc143593519"/>
      <w:r w:rsidRPr="009D45E5">
        <w:rPr>
          <w:color w:val="auto"/>
        </w:rPr>
        <w:t xml:space="preserve">Tabla </w:t>
      </w:r>
      <w:r w:rsidRPr="009D45E5">
        <w:rPr>
          <w:color w:val="auto"/>
        </w:rPr>
        <w:fldChar w:fldCharType="begin"/>
      </w:r>
      <w:r w:rsidRPr="009D45E5">
        <w:rPr>
          <w:color w:val="auto"/>
        </w:rPr>
        <w:instrText xml:space="preserve"> SEQ Tabla \* ARABIC </w:instrText>
      </w:r>
      <w:r w:rsidRPr="009D45E5">
        <w:rPr>
          <w:color w:val="auto"/>
        </w:rPr>
        <w:fldChar w:fldCharType="separate"/>
      </w:r>
      <w:r w:rsidR="00A62AFA" w:rsidRPr="009D45E5">
        <w:rPr>
          <w:noProof/>
          <w:color w:val="auto"/>
        </w:rPr>
        <w:t>17</w:t>
      </w:r>
      <w:r w:rsidRPr="009D45E5">
        <w:rPr>
          <w:color w:val="auto"/>
        </w:rPr>
        <w:fldChar w:fldCharType="end"/>
      </w:r>
      <w:r w:rsidRPr="009D45E5">
        <w:rPr>
          <w:color w:val="auto"/>
        </w:rPr>
        <w:t xml:space="preserve">.  </w:t>
      </w:r>
      <w:r w:rsidR="005F38A6" w:rsidRPr="009D45E5">
        <w:rPr>
          <w:bCs/>
          <w:color w:val="auto"/>
        </w:rPr>
        <w:t>Impacto en el pago de intereses</w:t>
      </w:r>
      <w:bookmarkEnd w:id="106"/>
      <w:r w:rsidR="005F38A6" w:rsidRPr="009D45E5">
        <w:rPr>
          <w:bCs/>
        </w:rPr>
        <w:t xml:space="preserve"> </w:t>
      </w:r>
    </w:p>
    <w:tbl>
      <w:tblPr>
        <w:tblW w:w="8395" w:type="dxa"/>
        <w:jc w:val="center"/>
        <w:tblCellMar>
          <w:left w:w="70" w:type="dxa"/>
          <w:right w:w="70" w:type="dxa"/>
        </w:tblCellMar>
        <w:tblLook w:val="04A0" w:firstRow="1" w:lastRow="0" w:firstColumn="1" w:lastColumn="0" w:noHBand="0" w:noVBand="1"/>
      </w:tblPr>
      <w:tblGrid>
        <w:gridCol w:w="3211"/>
        <w:gridCol w:w="1200"/>
        <w:gridCol w:w="1174"/>
        <w:gridCol w:w="840"/>
        <w:gridCol w:w="985"/>
        <w:gridCol w:w="985"/>
      </w:tblGrid>
      <w:tr w:rsidR="005F38A6" w:rsidRPr="009D45E5" w14:paraId="2D7F7BDD" w14:textId="77777777" w:rsidTr="006A7377">
        <w:trPr>
          <w:trHeight w:val="780"/>
          <w:jc w:val="center"/>
        </w:trPr>
        <w:tc>
          <w:tcPr>
            <w:tcW w:w="3211" w:type="dxa"/>
            <w:tcBorders>
              <w:top w:val="single" w:sz="4" w:space="0" w:color="auto"/>
              <w:left w:val="nil"/>
              <w:bottom w:val="double" w:sz="6" w:space="0" w:color="auto"/>
              <w:right w:val="nil"/>
            </w:tcBorders>
            <w:shd w:val="clear" w:color="auto" w:fill="auto"/>
            <w:noWrap/>
            <w:vAlign w:val="center"/>
            <w:hideMark/>
          </w:tcPr>
          <w:p w14:paraId="43079307" w14:textId="77777777" w:rsidR="005F38A6" w:rsidRPr="009D45E5" w:rsidRDefault="005F38A6" w:rsidP="006A7377">
            <w:pPr>
              <w:jc w:val="center"/>
              <w:rPr>
                <w:b/>
                <w:bCs/>
                <w:color w:val="000000"/>
                <w:sz w:val="20"/>
                <w:szCs w:val="20"/>
              </w:rPr>
            </w:pPr>
            <w:r w:rsidRPr="009D45E5">
              <w:rPr>
                <w:b/>
                <w:bCs/>
                <w:color w:val="000000"/>
                <w:sz w:val="20"/>
                <w:szCs w:val="20"/>
              </w:rPr>
              <w:t>Diferencia</w:t>
            </w:r>
          </w:p>
        </w:tc>
        <w:tc>
          <w:tcPr>
            <w:tcW w:w="1200" w:type="dxa"/>
            <w:tcBorders>
              <w:top w:val="single" w:sz="4" w:space="0" w:color="auto"/>
              <w:left w:val="single" w:sz="4" w:space="0" w:color="auto"/>
              <w:bottom w:val="double" w:sz="6" w:space="0" w:color="auto"/>
              <w:right w:val="nil"/>
            </w:tcBorders>
            <w:shd w:val="clear" w:color="auto" w:fill="auto"/>
            <w:noWrap/>
            <w:vAlign w:val="center"/>
            <w:hideMark/>
          </w:tcPr>
          <w:p w14:paraId="14A05BB2" w14:textId="77777777" w:rsidR="005F38A6" w:rsidRPr="009D45E5" w:rsidRDefault="005F38A6" w:rsidP="006A7377">
            <w:pPr>
              <w:jc w:val="center"/>
              <w:rPr>
                <w:b/>
                <w:bCs/>
                <w:color w:val="000000"/>
                <w:sz w:val="20"/>
                <w:szCs w:val="20"/>
              </w:rPr>
            </w:pPr>
            <w:r w:rsidRPr="009D45E5">
              <w:rPr>
                <w:b/>
                <w:bCs/>
                <w:color w:val="000000"/>
                <w:sz w:val="20"/>
                <w:szCs w:val="20"/>
              </w:rPr>
              <w:t>2023</w:t>
            </w:r>
          </w:p>
        </w:tc>
        <w:tc>
          <w:tcPr>
            <w:tcW w:w="1174" w:type="dxa"/>
            <w:tcBorders>
              <w:top w:val="single" w:sz="4" w:space="0" w:color="auto"/>
              <w:left w:val="nil"/>
              <w:bottom w:val="double" w:sz="6" w:space="0" w:color="auto"/>
              <w:right w:val="nil"/>
            </w:tcBorders>
            <w:shd w:val="clear" w:color="auto" w:fill="auto"/>
            <w:vAlign w:val="center"/>
            <w:hideMark/>
          </w:tcPr>
          <w:p w14:paraId="66EA8192" w14:textId="77777777" w:rsidR="005F38A6" w:rsidRPr="009D45E5" w:rsidRDefault="005F38A6" w:rsidP="006A7377">
            <w:pPr>
              <w:jc w:val="center"/>
              <w:rPr>
                <w:b/>
                <w:bCs/>
                <w:color w:val="000000"/>
                <w:sz w:val="20"/>
                <w:szCs w:val="20"/>
              </w:rPr>
            </w:pPr>
            <w:r w:rsidRPr="009D45E5">
              <w:rPr>
                <w:b/>
                <w:bCs/>
                <w:color w:val="000000"/>
                <w:sz w:val="20"/>
                <w:szCs w:val="20"/>
              </w:rPr>
              <w:t>2024 presupuesto</w:t>
            </w:r>
          </w:p>
        </w:tc>
        <w:tc>
          <w:tcPr>
            <w:tcW w:w="840" w:type="dxa"/>
            <w:tcBorders>
              <w:top w:val="single" w:sz="4" w:space="0" w:color="auto"/>
              <w:left w:val="nil"/>
              <w:bottom w:val="double" w:sz="6" w:space="0" w:color="auto"/>
              <w:right w:val="nil"/>
            </w:tcBorders>
            <w:shd w:val="clear" w:color="auto" w:fill="auto"/>
            <w:vAlign w:val="center"/>
            <w:hideMark/>
          </w:tcPr>
          <w:p w14:paraId="4D79A9EF" w14:textId="77777777" w:rsidR="005F38A6" w:rsidRPr="009D45E5" w:rsidRDefault="005F38A6" w:rsidP="006A7377">
            <w:pPr>
              <w:jc w:val="center"/>
              <w:rPr>
                <w:b/>
                <w:bCs/>
                <w:color w:val="000000"/>
                <w:sz w:val="20"/>
                <w:szCs w:val="20"/>
              </w:rPr>
            </w:pPr>
            <w:r w:rsidRPr="009D45E5">
              <w:rPr>
                <w:b/>
                <w:bCs/>
                <w:color w:val="000000"/>
                <w:sz w:val="20"/>
                <w:szCs w:val="20"/>
              </w:rPr>
              <w:t xml:space="preserve">2024 </w:t>
            </w:r>
            <w:r w:rsidRPr="009D45E5">
              <w:rPr>
                <w:b/>
                <w:bCs/>
                <w:color w:val="000000"/>
                <w:sz w:val="20"/>
                <w:szCs w:val="20"/>
              </w:rPr>
              <w:br/>
              <w:t>choque</w:t>
            </w:r>
          </w:p>
        </w:tc>
        <w:tc>
          <w:tcPr>
            <w:tcW w:w="985" w:type="dxa"/>
            <w:tcBorders>
              <w:top w:val="single" w:sz="4" w:space="0" w:color="auto"/>
              <w:left w:val="nil"/>
              <w:bottom w:val="double" w:sz="6" w:space="0" w:color="auto"/>
              <w:right w:val="nil"/>
            </w:tcBorders>
            <w:shd w:val="clear" w:color="auto" w:fill="auto"/>
            <w:vAlign w:val="center"/>
            <w:hideMark/>
          </w:tcPr>
          <w:p w14:paraId="4F79253E" w14:textId="0086405A" w:rsidR="005F38A6" w:rsidRPr="009D45E5" w:rsidRDefault="005F38A6" w:rsidP="006A7377">
            <w:pPr>
              <w:jc w:val="center"/>
              <w:rPr>
                <w:b/>
                <w:bCs/>
                <w:color w:val="000000"/>
                <w:sz w:val="20"/>
                <w:szCs w:val="20"/>
              </w:rPr>
            </w:pPr>
            <w:r w:rsidRPr="009D45E5">
              <w:rPr>
                <w:b/>
                <w:bCs/>
                <w:color w:val="000000"/>
                <w:sz w:val="20"/>
                <w:szCs w:val="20"/>
              </w:rPr>
              <w:t xml:space="preserve">Variación </w:t>
            </w:r>
            <w:r w:rsidRPr="009D45E5">
              <w:rPr>
                <w:b/>
                <w:bCs/>
                <w:color w:val="000000"/>
                <w:sz w:val="20"/>
                <w:szCs w:val="20"/>
              </w:rPr>
              <w:br/>
              <w:t>(</w:t>
            </w:r>
            <w:r w:rsidR="009D45E5" w:rsidRPr="009D45E5">
              <w:rPr>
                <w:b/>
                <w:bCs/>
                <w:color w:val="000000"/>
                <w:sz w:val="20"/>
                <w:szCs w:val="20"/>
              </w:rPr>
              <w:t>Choque-Pres</w:t>
            </w:r>
            <w:r w:rsidRPr="009D45E5">
              <w:rPr>
                <w:b/>
                <w:bCs/>
                <w:color w:val="000000"/>
                <w:sz w:val="20"/>
                <w:szCs w:val="20"/>
              </w:rPr>
              <w:t>)</w:t>
            </w:r>
          </w:p>
        </w:tc>
        <w:tc>
          <w:tcPr>
            <w:tcW w:w="985" w:type="dxa"/>
            <w:tcBorders>
              <w:top w:val="single" w:sz="4" w:space="0" w:color="auto"/>
              <w:left w:val="nil"/>
              <w:bottom w:val="double" w:sz="6" w:space="0" w:color="auto"/>
              <w:right w:val="nil"/>
            </w:tcBorders>
            <w:shd w:val="clear" w:color="auto" w:fill="auto"/>
            <w:vAlign w:val="center"/>
            <w:hideMark/>
          </w:tcPr>
          <w:p w14:paraId="7596992E" w14:textId="77777777" w:rsidR="005F38A6" w:rsidRPr="009D45E5" w:rsidRDefault="005F38A6" w:rsidP="006A7377">
            <w:pPr>
              <w:jc w:val="center"/>
              <w:rPr>
                <w:b/>
                <w:bCs/>
                <w:color w:val="000000"/>
                <w:sz w:val="20"/>
                <w:szCs w:val="20"/>
              </w:rPr>
            </w:pPr>
            <w:r w:rsidRPr="009D45E5">
              <w:rPr>
                <w:b/>
                <w:bCs/>
                <w:color w:val="000000"/>
                <w:sz w:val="20"/>
                <w:szCs w:val="20"/>
              </w:rPr>
              <w:t xml:space="preserve">Variación </w:t>
            </w:r>
            <w:r w:rsidRPr="009D45E5">
              <w:rPr>
                <w:b/>
                <w:bCs/>
                <w:color w:val="000000"/>
                <w:sz w:val="20"/>
                <w:szCs w:val="20"/>
              </w:rPr>
              <w:br/>
              <w:t>(% del PIB)</w:t>
            </w:r>
          </w:p>
        </w:tc>
      </w:tr>
      <w:tr w:rsidR="00E411A4" w:rsidRPr="009D45E5" w14:paraId="75B0B3C1" w14:textId="77777777" w:rsidTr="00C27D9D">
        <w:trPr>
          <w:trHeight w:val="315"/>
          <w:jc w:val="center"/>
        </w:trPr>
        <w:tc>
          <w:tcPr>
            <w:tcW w:w="3211" w:type="dxa"/>
            <w:tcBorders>
              <w:top w:val="nil"/>
              <w:left w:val="nil"/>
              <w:bottom w:val="nil"/>
              <w:right w:val="nil"/>
            </w:tcBorders>
            <w:shd w:val="clear" w:color="auto" w:fill="auto"/>
            <w:noWrap/>
            <w:vAlign w:val="bottom"/>
            <w:hideMark/>
          </w:tcPr>
          <w:p w14:paraId="0EBF9465" w14:textId="77777777" w:rsidR="00E411A4" w:rsidRPr="009D45E5" w:rsidRDefault="00E411A4" w:rsidP="00E411A4">
            <w:pPr>
              <w:rPr>
                <w:color w:val="000000"/>
                <w:sz w:val="20"/>
                <w:szCs w:val="20"/>
              </w:rPr>
            </w:pPr>
            <w:r w:rsidRPr="009D45E5">
              <w:rPr>
                <w:color w:val="000000"/>
                <w:sz w:val="20"/>
                <w:szCs w:val="20"/>
              </w:rPr>
              <w:t>Intereses (millones de Q.)</w:t>
            </w:r>
          </w:p>
        </w:tc>
        <w:tc>
          <w:tcPr>
            <w:tcW w:w="1200" w:type="dxa"/>
            <w:tcBorders>
              <w:top w:val="nil"/>
              <w:left w:val="single" w:sz="4" w:space="0" w:color="auto"/>
              <w:bottom w:val="nil"/>
              <w:right w:val="nil"/>
            </w:tcBorders>
            <w:shd w:val="clear" w:color="auto" w:fill="auto"/>
            <w:noWrap/>
            <w:hideMark/>
          </w:tcPr>
          <w:p w14:paraId="66ACA8A0" w14:textId="5057D7ED" w:rsidR="00E411A4" w:rsidRPr="009D45E5" w:rsidRDefault="00E411A4" w:rsidP="00E411A4">
            <w:pPr>
              <w:jc w:val="center"/>
              <w:rPr>
                <w:color w:val="000000"/>
                <w:sz w:val="20"/>
                <w:szCs w:val="20"/>
              </w:rPr>
            </w:pPr>
            <w:r w:rsidRPr="009D45E5">
              <w:rPr>
                <w:sz w:val="20"/>
                <w:szCs w:val="20"/>
              </w:rPr>
              <w:t xml:space="preserve">13,010.7 </w:t>
            </w:r>
          </w:p>
        </w:tc>
        <w:tc>
          <w:tcPr>
            <w:tcW w:w="1174" w:type="dxa"/>
            <w:tcBorders>
              <w:top w:val="nil"/>
              <w:left w:val="nil"/>
              <w:bottom w:val="nil"/>
              <w:right w:val="nil"/>
            </w:tcBorders>
            <w:shd w:val="clear" w:color="auto" w:fill="auto"/>
            <w:noWrap/>
            <w:hideMark/>
          </w:tcPr>
          <w:p w14:paraId="08CDFC56" w14:textId="01857DE4" w:rsidR="00E411A4" w:rsidRPr="009D45E5" w:rsidRDefault="00E411A4" w:rsidP="00E411A4">
            <w:pPr>
              <w:jc w:val="center"/>
              <w:rPr>
                <w:color w:val="000000"/>
                <w:sz w:val="20"/>
                <w:szCs w:val="20"/>
              </w:rPr>
            </w:pPr>
            <w:r w:rsidRPr="009D45E5">
              <w:rPr>
                <w:sz w:val="20"/>
                <w:szCs w:val="20"/>
              </w:rPr>
              <w:t xml:space="preserve">13,858.8 </w:t>
            </w:r>
          </w:p>
        </w:tc>
        <w:tc>
          <w:tcPr>
            <w:tcW w:w="840" w:type="dxa"/>
            <w:tcBorders>
              <w:top w:val="nil"/>
              <w:left w:val="nil"/>
              <w:bottom w:val="nil"/>
              <w:right w:val="nil"/>
            </w:tcBorders>
            <w:shd w:val="clear" w:color="auto" w:fill="auto"/>
            <w:noWrap/>
            <w:hideMark/>
          </w:tcPr>
          <w:p w14:paraId="61562C88" w14:textId="6F654CF3" w:rsidR="00E411A4" w:rsidRPr="009D45E5" w:rsidRDefault="00E411A4" w:rsidP="00E411A4">
            <w:pPr>
              <w:jc w:val="center"/>
              <w:rPr>
                <w:color w:val="000000"/>
                <w:sz w:val="20"/>
                <w:szCs w:val="20"/>
              </w:rPr>
            </w:pPr>
            <w:r w:rsidRPr="009D45E5">
              <w:rPr>
                <w:sz w:val="20"/>
                <w:szCs w:val="20"/>
              </w:rPr>
              <w:t xml:space="preserve">14,366.4 </w:t>
            </w:r>
          </w:p>
        </w:tc>
        <w:tc>
          <w:tcPr>
            <w:tcW w:w="985" w:type="dxa"/>
            <w:tcBorders>
              <w:top w:val="nil"/>
              <w:left w:val="nil"/>
              <w:bottom w:val="nil"/>
              <w:right w:val="nil"/>
            </w:tcBorders>
            <w:shd w:val="clear" w:color="auto" w:fill="auto"/>
            <w:noWrap/>
            <w:hideMark/>
          </w:tcPr>
          <w:p w14:paraId="41F74D93" w14:textId="395F6036" w:rsidR="00E411A4" w:rsidRPr="009D45E5" w:rsidRDefault="00E411A4" w:rsidP="00E411A4">
            <w:pPr>
              <w:jc w:val="center"/>
              <w:rPr>
                <w:color w:val="000000"/>
                <w:sz w:val="20"/>
                <w:szCs w:val="20"/>
              </w:rPr>
            </w:pPr>
            <w:r w:rsidRPr="009D45E5">
              <w:rPr>
                <w:sz w:val="20"/>
                <w:szCs w:val="20"/>
              </w:rPr>
              <w:t xml:space="preserve">507.7 </w:t>
            </w:r>
          </w:p>
        </w:tc>
        <w:tc>
          <w:tcPr>
            <w:tcW w:w="985" w:type="dxa"/>
            <w:tcBorders>
              <w:top w:val="nil"/>
              <w:left w:val="nil"/>
              <w:bottom w:val="nil"/>
              <w:right w:val="nil"/>
            </w:tcBorders>
            <w:shd w:val="clear" w:color="auto" w:fill="auto"/>
            <w:noWrap/>
            <w:hideMark/>
          </w:tcPr>
          <w:p w14:paraId="4767D705" w14:textId="38C41D2D" w:rsidR="00E411A4" w:rsidRPr="009D45E5" w:rsidRDefault="00E411A4" w:rsidP="00E411A4">
            <w:pPr>
              <w:jc w:val="center"/>
              <w:rPr>
                <w:color w:val="000000"/>
                <w:sz w:val="20"/>
                <w:szCs w:val="20"/>
              </w:rPr>
            </w:pPr>
            <w:r w:rsidRPr="009D45E5">
              <w:rPr>
                <w:sz w:val="20"/>
                <w:szCs w:val="20"/>
              </w:rPr>
              <w:t>0.1%</w:t>
            </w:r>
          </w:p>
        </w:tc>
      </w:tr>
      <w:tr w:rsidR="00E411A4" w:rsidRPr="009D45E5" w14:paraId="513F41EC" w14:textId="77777777" w:rsidTr="00C27D9D">
        <w:trPr>
          <w:trHeight w:val="300"/>
          <w:jc w:val="center"/>
        </w:trPr>
        <w:tc>
          <w:tcPr>
            <w:tcW w:w="3211" w:type="dxa"/>
            <w:tcBorders>
              <w:top w:val="nil"/>
              <w:left w:val="nil"/>
              <w:bottom w:val="single" w:sz="4" w:space="0" w:color="auto"/>
              <w:right w:val="nil"/>
            </w:tcBorders>
            <w:shd w:val="clear" w:color="auto" w:fill="auto"/>
            <w:noWrap/>
            <w:vAlign w:val="bottom"/>
            <w:hideMark/>
          </w:tcPr>
          <w:p w14:paraId="16ECE442" w14:textId="77777777" w:rsidR="00E411A4" w:rsidRPr="009D45E5" w:rsidRDefault="00E411A4" w:rsidP="00E411A4">
            <w:pPr>
              <w:ind w:firstLineChars="100" w:firstLine="200"/>
              <w:rPr>
                <w:color w:val="000000"/>
                <w:sz w:val="20"/>
                <w:szCs w:val="20"/>
              </w:rPr>
            </w:pPr>
            <w:r w:rsidRPr="009D45E5">
              <w:rPr>
                <w:color w:val="000000"/>
                <w:sz w:val="20"/>
                <w:szCs w:val="20"/>
              </w:rPr>
              <w:t>Moneda extranjera (millones de Q.)</w:t>
            </w:r>
          </w:p>
        </w:tc>
        <w:tc>
          <w:tcPr>
            <w:tcW w:w="1200" w:type="dxa"/>
            <w:tcBorders>
              <w:top w:val="nil"/>
              <w:left w:val="single" w:sz="4" w:space="0" w:color="auto"/>
              <w:bottom w:val="single" w:sz="4" w:space="0" w:color="auto"/>
              <w:right w:val="nil"/>
            </w:tcBorders>
            <w:shd w:val="clear" w:color="auto" w:fill="auto"/>
            <w:noWrap/>
            <w:hideMark/>
          </w:tcPr>
          <w:p w14:paraId="18FD763F" w14:textId="2C399AD1" w:rsidR="00E411A4" w:rsidRPr="009D45E5" w:rsidRDefault="00E411A4" w:rsidP="00E411A4">
            <w:pPr>
              <w:jc w:val="center"/>
              <w:rPr>
                <w:color w:val="000000"/>
                <w:sz w:val="20"/>
                <w:szCs w:val="20"/>
              </w:rPr>
            </w:pPr>
            <w:r w:rsidRPr="009D45E5">
              <w:rPr>
                <w:sz w:val="20"/>
                <w:szCs w:val="20"/>
              </w:rPr>
              <w:t xml:space="preserve">4,762.3 </w:t>
            </w:r>
          </w:p>
        </w:tc>
        <w:tc>
          <w:tcPr>
            <w:tcW w:w="1174" w:type="dxa"/>
            <w:tcBorders>
              <w:top w:val="nil"/>
              <w:left w:val="nil"/>
              <w:bottom w:val="single" w:sz="4" w:space="0" w:color="auto"/>
              <w:right w:val="nil"/>
            </w:tcBorders>
            <w:shd w:val="clear" w:color="auto" w:fill="auto"/>
            <w:noWrap/>
            <w:hideMark/>
          </w:tcPr>
          <w:p w14:paraId="4EAE0030" w14:textId="2C4D735B" w:rsidR="00E411A4" w:rsidRPr="009D45E5" w:rsidRDefault="00E411A4" w:rsidP="00E411A4">
            <w:pPr>
              <w:jc w:val="center"/>
              <w:rPr>
                <w:color w:val="000000"/>
                <w:sz w:val="20"/>
                <w:szCs w:val="20"/>
              </w:rPr>
            </w:pPr>
            <w:r w:rsidRPr="009D45E5">
              <w:rPr>
                <w:sz w:val="20"/>
                <w:szCs w:val="20"/>
              </w:rPr>
              <w:t xml:space="preserve">5,076.8 </w:t>
            </w:r>
          </w:p>
        </w:tc>
        <w:tc>
          <w:tcPr>
            <w:tcW w:w="840" w:type="dxa"/>
            <w:tcBorders>
              <w:top w:val="nil"/>
              <w:left w:val="nil"/>
              <w:bottom w:val="single" w:sz="4" w:space="0" w:color="auto"/>
              <w:right w:val="nil"/>
            </w:tcBorders>
            <w:shd w:val="clear" w:color="auto" w:fill="auto"/>
            <w:noWrap/>
            <w:hideMark/>
          </w:tcPr>
          <w:p w14:paraId="044A1F36" w14:textId="210A387C" w:rsidR="00E411A4" w:rsidRPr="009D45E5" w:rsidRDefault="00E411A4" w:rsidP="00E411A4">
            <w:pPr>
              <w:jc w:val="center"/>
              <w:rPr>
                <w:color w:val="000000"/>
                <w:sz w:val="20"/>
                <w:szCs w:val="20"/>
              </w:rPr>
            </w:pPr>
            <w:r w:rsidRPr="009D45E5">
              <w:rPr>
                <w:sz w:val="20"/>
                <w:szCs w:val="20"/>
              </w:rPr>
              <w:t xml:space="preserve">5,584.4 </w:t>
            </w:r>
          </w:p>
        </w:tc>
        <w:tc>
          <w:tcPr>
            <w:tcW w:w="985" w:type="dxa"/>
            <w:tcBorders>
              <w:top w:val="nil"/>
              <w:left w:val="nil"/>
              <w:bottom w:val="single" w:sz="4" w:space="0" w:color="auto"/>
              <w:right w:val="nil"/>
            </w:tcBorders>
            <w:shd w:val="clear" w:color="auto" w:fill="auto"/>
            <w:noWrap/>
            <w:hideMark/>
          </w:tcPr>
          <w:p w14:paraId="2A9C1211" w14:textId="1AFAD535" w:rsidR="00E411A4" w:rsidRPr="009D45E5" w:rsidRDefault="00E411A4" w:rsidP="00E411A4">
            <w:pPr>
              <w:jc w:val="center"/>
              <w:rPr>
                <w:color w:val="000000"/>
                <w:sz w:val="20"/>
                <w:szCs w:val="20"/>
              </w:rPr>
            </w:pPr>
            <w:r w:rsidRPr="009D45E5">
              <w:rPr>
                <w:sz w:val="20"/>
                <w:szCs w:val="20"/>
              </w:rPr>
              <w:t xml:space="preserve">507.7 </w:t>
            </w:r>
          </w:p>
        </w:tc>
        <w:tc>
          <w:tcPr>
            <w:tcW w:w="985" w:type="dxa"/>
            <w:tcBorders>
              <w:top w:val="nil"/>
              <w:left w:val="nil"/>
              <w:bottom w:val="single" w:sz="4" w:space="0" w:color="auto"/>
              <w:right w:val="nil"/>
            </w:tcBorders>
            <w:shd w:val="clear" w:color="auto" w:fill="auto"/>
            <w:noWrap/>
            <w:hideMark/>
          </w:tcPr>
          <w:p w14:paraId="406DD989" w14:textId="56A0223C" w:rsidR="00E411A4" w:rsidRPr="009D45E5" w:rsidRDefault="00E411A4" w:rsidP="00E411A4">
            <w:pPr>
              <w:jc w:val="center"/>
              <w:rPr>
                <w:color w:val="000000"/>
                <w:sz w:val="20"/>
                <w:szCs w:val="20"/>
              </w:rPr>
            </w:pPr>
            <w:r w:rsidRPr="009D45E5">
              <w:rPr>
                <w:sz w:val="20"/>
                <w:szCs w:val="20"/>
              </w:rPr>
              <w:t>0.1%</w:t>
            </w:r>
          </w:p>
        </w:tc>
      </w:tr>
    </w:tbl>
    <w:p w14:paraId="02D0DCD2" w14:textId="77777777" w:rsidR="005F38A6" w:rsidRPr="000438E8" w:rsidRDefault="005F38A6" w:rsidP="005F38A6">
      <w:pPr>
        <w:rPr>
          <w:sz w:val="16"/>
          <w:szCs w:val="16"/>
        </w:rPr>
      </w:pPr>
      <w:r w:rsidRPr="009D45E5">
        <w:rPr>
          <w:sz w:val="16"/>
          <w:szCs w:val="16"/>
        </w:rPr>
        <w:t xml:space="preserve">   Fuente: Ministerio de Finanzas</w:t>
      </w:r>
    </w:p>
    <w:p w14:paraId="21B40EDA" w14:textId="77777777" w:rsidR="005F38A6" w:rsidRPr="00F94ECE" w:rsidRDefault="005F38A6" w:rsidP="005F38A6"/>
    <w:p w14:paraId="13AA7B45" w14:textId="4BB58FC2" w:rsidR="005F38A6" w:rsidRPr="00987058" w:rsidRDefault="005F07F9" w:rsidP="005F07F9">
      <w:pPr>
        <w:pStyle w:val="Ttulo2"/>
        <w:numPr>
          <w:ilvl w:val="3"/>
          <w:numId w:val="35"/>
        </w:numPr>
        <w:tabs>
          <w:tab w:val="left" w:pos="1134"/>
        </w:tabs>
        <w:ind w:hanging="294"/>
        <w:rPr>
          <w:bCs/>
        </w:rPr>
      </w:pPr>
      <w:r>
        <w:rPr>
          <w:bCs/>
        </w:rPr>
        <w:t xml:space="preserve"> </w:t>
      </w:r>
      <w:bookmarkStart w:id="107" w:name="_Toc144114369"/>
      <w:r w:rsidR="005F38A6" w:rsidRPr="00FA4202">
        <w:rPr>
          <w:bCs/>
        </w:rPr>
        <w:t>Impacto en el saldo de la deuda pública</w:t>
      </w:r>
      <w:bookmarkEnd w:id="107"/>
    </w:p>
    <w:p w14:paraId="0E47C7C8" w14:textId="77777777" w:rsidR="005F38A6" w:rsidRPr="004A0269" w:rsidRDefault="005F38A6" w:rsidP="005F38A6">
      <w:pPr>
        <w:ind w:left="851"/>
        <w:jc w:val="both"/>
        <w:rPr>
          <w:b/>
          <w:bCs/>
        </w:rPr>
      </w:pPr>
    </w:p>
    <w:p w14:paraId="72C80298" w14:textId="7E275AEE" w:rsidR="005F38A6" w:rsidRDefault="005F38A6" w:rsidP="005F38A6">
      <w:pPr>
        <w:jc w:val="both"/>
      </w:pPr>
      <w:r>
        <w:t xml:space="preserve">Por su parte, esta depreciación (Q8.57) con respecto al escenario base (Q7.79) de 2024, llevaría a la deuda pública a representar el </w:t>
      </w:r>
      <w:r w:rsidR="000E7D33">
        <w:t>27.9</w:t>
      </w:r>
      <w:r>
        <w:t>% a 29.</w:t>
      </w:r>
      <w:r w:rsidR="000E7D33">
        <w:t>0</w:t>
      </w:r>
      <w:r>
        <w:t>% en dicho año. Asimismo, el saldo de la deuda extranjera con respecto el total aumenta de 41.6% a 43.9%, deteriorando los indicadores del perfil de deuda.</w:t>
      </w:r>
    </w:p>
    <w:p w14:paraId="0ABCF9EB" w14:textId="77777777" w:rsidR="005F38A6" w:rsidRDefault="005F38A6" w:rsidP="005F38A6">
      <w:pPr>
        <w:jc w:val="both"/>
      </w:pPr>
    </w:p>
    <w:p w14:paraId="0ECC6E3D" w14:textId="0752E866" w:rsidR="005F38A6" w:rsidRPr="000438E8" w:rsidRDefault="000438E8" w:rsidP="000438E8">
      <w:pPr>
        <w:pStyle w:val="Descripcin"/>
        <w:keepNext/>
      </w:pPr>
      <w:bookmarkStart w:id="108" w:name="_Toc143593520"/>
      <w:r w:rsidRPr="000438E8">
        <w:rPr>
          <w:color w:val="auto"/>
        </w:rPr>
        <w:t xml:space="preserve">Tabla </w:t>
      </w:r>
      <w:r w:rsidRPr="000438E8">
        <w:rPr>
          <w:color w:val="auto"/>
        </w:rPr>
        <w:fldChar w:fldCharType="begin"/>
      </w:r>
      <w:r w:rsidRPr="000438E8">
        <w:rPr>
          <w:color w:val="auto"/>
        </w:rPr>
        <w:instrText xml:space="preserve"> SEQ Tabla \* ARABIC </w:instrText>
      </w:r>
      <w:r w:rsidRPr="000438E8">
        <w:rPr>
          <w:color w:val="auto"/>
        </w:rPr>
        <w:fldChar w:fldCharType="separate"/>
      </w:r>
      <w:r w:rsidR="00A62AFA">
        <w:rPr>
          <w:noProof/>
          <w:color w:val="auto"/>
        </w:rPr>
        <w:t>18</w:t>
      </w:r>
      <w:r w:rsidRPr="000438E8">
        <w:rPr>
          <w:color w:val="auto"/>
        </w:rPr>
        <w:fldChar w:fldCharType="end"/>
      </w:r>
      <w:r w:rsidRPr="000438E8">
        <w:rPr>
          <w:color w:val="auto"/>
        </w:rPr>
        <w:t xml:space="preserve">.  </w:t>
      </w:r>
      <w:r w:rsidR="005F38A6" w:rsidRPr="000438E8">
        <w:rPr>
          <w:bCs/>
          <w:color w:val="auto"/>
        </w:rPr>
        <w:t>Impacto en la deuda pública y el pago de interese ante una depreciación del 10.0%</w:t>
      </w:r>
      <w:bookmarkEnd w:id="108"/>
      <w:r w:rsidR="005F38A6">
        <w:rPr>
          <w:bCs/>
        </w:rPr>
        <w:t xml:space="preserve"> </w:t>
      </w:r>
    </w:p>
    <w:tbl>
      <w:tblPr>
        <w:tblW w:w="9214" w:type="dxa"/>
        <w:jc w:val="center"/>
        <w:tblCellMar>
          <w:left w:w="70" w:type="dxa"/>
          <w:right w:w="70" w:type="dxa"/>
        </w:tblCellMar>
        <w:tblLook w:val="04A0" w:firstRow="1" w:lastRow="0" w:firstColumn="1" w:lastColumn="0" w:noHBand="0" w:noVBand="1"/>
      </w:tblPr>
      <w:tblGrid>
        <w:gridCol w:w="3279"/>
        <w:gridCol w:w="974"/>
        <w:gridCol w:w="1276"/>
        <w:gridCol w:w="992"/>
        <w:gridCol w:w="1417"/>
        <w:gridCol w:w="1276"/>
      </w:tblGrid>
      <w:tr w:rsidR="005F38A6" w:rsidRPr="00BA6451" w14:paraId="09D01C56" w14:textId="77777777" w:rsidTr="006A7377">
        <w:trPr>
          <w:trHeight w:val="409"/>
          <w:jc w:val="center"/>
        </w:trPr>
        <w:tc>
          <w:tcPr>
            <w:tcW w:w="3279" w:type="dxa"/>
            <w:tcBorders>
              <w:top w:val="single" w:sz="4" w:space="0" w:color="auto"/>
              <w:left w:val="nil"/>
              <w:bottom w:val="double" w:sz="6" w:space="0" w:color="auto"/>
              <w:right w:val="nil"/>
            </w:tcBorders>
            <w:shd w:val="clear" w:color="auto" w:fill="auto"/>
            <w:noWrap/>
            <w:vAlign w:val="center"/>
            <w:hideMark/>
          </w:tcPr>
          <w:p w14:paraId="53ADC0AC" w14:textId="77777777" w:rsidR="005F38A6" w:rsidRPr="00BA6451" w:rsidRDefault="005F38A6" w:rsidP="006A7377">
            <w:pPr>
              <w:jc w:val="center"/>
              <w:rPr>
                <w:b/>
                <w:bCs/>
                <w:color w:val="000000"/>
                <w:sz w:val="20"/>
                <w:szCs w:val="20"/>
              </w:rPr>
            </w:pPr>
            <w:r w:rsidRPr="00BA6451">
              <w:rPr>
                <w:b/>
                <w:bCs/>
                <w:color w:val="000000"/>
                <w:sz w:val="20"/>
                <w:szCs w:val="20"/>
              </w:rPr>
              <w:t>Diferencia</w:t>
            </w:r>
          </w:p>
        </w:tc>
        <w:tc>
          <w:tcPr>
            <w:tcW w:w="974" w:type="dxa"/>
            <w:tcBorders>
              <w:top w:val="single" w:sz="4" w:space="0" w:color="auto"/>
              <w:left w:val="single" w:sz="4" w:space="0" w:color="auto"/>
              <w:bottom w:val="double" w:sz="6" w:space="0" w:color="auto"/>
              <w:right w:val="nil"/>
            </w:tcBorders>
            <w:shd w:val="clear" w:color="auto" w:fill="auto"/>
            <w:noWrap/>
            <w:vAlign w:val="center"/>
            <w:hideMark/>
          </w:tcPr>
          <w:p w14:paraId="4BC56E42" w14:textId="77777777" w:rsidR="005F38A6" w:rsidRPr="00BA6451" w:rsidRDefault="005F38A6" w:rsidP="006A7377">
            <w:pPr>
              <w:jc w:val="center"/>
              <w:rPr>
                <w:b/>
                <w:bCs/>
                <w:color w:val="000000"/>
                <w:sz w:val="20"/>
                <w:szCs w:val="20"/>
              </w:rPr>
            </w:pPr>
            <w:r w:rsidRPr="00BA6451">
              <w:rPr>
                <w:b/>
                <w:bCs/>
                <w:color w:val="000000"/>
                <w:sz w:val="20"/>
                <w:szCs w:val="20"/>
              </w:rPr>
              <w:t>2023</w:t>
            </w:r>
          </w:p>
        </w:tc>
        <w:tc>
          <w:tcPr>
            <w:tcW w:w="1276" w:type="dxa"/>
            <w:tcBorders>
              <w:top w:val="single" w:sz="4" w:space="0" w:color="auto"/>
              <w:left w:val="nil"/>
              <w:bottom w:val="double" w:sz="6" w:space="0" w:color="auto"/>
              <w:right w:val="nil"/>
            </w:tcBorders>
            <w:shd w:val="clear" w:color="auto" w:fill="auto"/>
            <w:vAlign w:val="center"/>
            <w:hideMark/>
          </w:tcPr>
          <w:p w14:paraId="7023C9C4" w14:textId="77777777" w:rsidR="005F38A6" w:rsidRPr="00BA6451" w:rsidRDefault="005F38A6" w:rsidP="006A7377">
            <w:pPr>
              <w:jc w:val="center"/>
              <w:rPr>
                <w:b/>
                <w:bCs/>
                <w:color w:val="000000"/>
                <w:sz w:val="20"/>
                <w:szCs w:val="20"/>
              </w:rPr>
            </w:pPr>
            <w:r w:rsidRPr="00BA6451">
              <w:rPr>
                <w:b/>
                <w:bCs/>
                <w:color w:val="000000"/>
                <w:sz w:val="20"/>
                <w:szCs w:val="20"/>
              </w:rPr>
              <w:t>2024 presupuesto</w:t>
            </w:r>
          </w:p>
        </w:tc>
        <w:tc>
          <w:tcPr>
            <w:tcW w:w="992" w:type="dxa"/>
            <w:tcBorders>
              <w:top w:val="single" w:sz="4" w:space="0" w:color="auto"/>
              <w:left w:val="nil"/>
              <w:bottom w:val="double" w:sz="6" w:space="0" w:color="auto"/>
              <w:right w:val="nil"/>
            </w:tcBorders>
            <w:shd w:val="clear" w:color="auto" w:fill="auto"/>
            <w:vAlign w:val="center"/>
            <w:hideMark/>
          </w:tcPr>
          <w:p w14:paraId="280064B5" w14:textId="77777777" w:rsidR="005F38A6" w:rsidRPr="00BA6451" w:rsidRDefault="005F38A6" w:rsidP="006A7377">
            <w:pPr>
              <w:jc w:val="center"/>
              <w:rPr>
                <w:b/>
                <w:bCs/>
                <w:color w:val="000000"/>
                <w:sz w:val="20"/>
                <w:szCs w:val="20"/>
              </w:rPr>
            </w:pPr>
            <w:r w:rsidRPr="00BA6451">
              <w:rPr>
                <w:b/>
                <w:bCs/>
                <w:color w:val="000000"/>
                <w:sz w:val="20"/>
                <w:szCs w:val="20"/>
              </w:rPr>
              <w:t xml:space="preserve">2024 </w:t>
            </w:r>
            <w:r w:rsidRPr="00BA6451">
              <w:rPr>
                <w:b/>
                <w:bCs/>
                <w:color w:val="000000"/>
                <w:sz w:val="20"/>
                <w:szCs w:val="20"/>
              </w:rPr>
              <w:br/>
              <w:t>choque</w:t>
            </w:r>
          </w:p>
        </w:tc>
        <w:tc>
          <w:tcPr>
            <w:tcW w:w="1417" w:type="dxa"/>
            <w:tcBorders>
              <w:top w:val="single" w:sz="4" w:space="0" w:color="auto"/>
              <w:left w:val="nil"/>
              <w:bottom w:val="double" w:sz="6" w:space="0" w:color="auto"/>
              <w:right w:val="nil"/>
            </w:tcBorders>
            <w:shd w:val="clear" w:color="auto" w:fill="auto"/>
            <w:vAlign w:val="center"/>
            <w:hideMark/>
          </w:tcPr>
          <w:p w14:paraId="32243B03" w14:textId="74AB09E0" w:rsidR="005F38A6" w:rsidRPr="00BA6451" w:rsidRDefault="005F38A6" w:rsidP="006A7377">
            <w:pPr>
              <w:jc w:val="center"/>
              <w:rPr>
                <w:b/>
                <w:bCs/>
                <w:color w:val="000000"/>
                <w:sz w:val="20"/>
                <w:szCs w:val="20"/>
              </w:rPr>
            </w:pPr>
            <w:r w:rsidRPr="00BA6451">
              <w:rPr>
                <w:b/>
                <w:bCs/>
                <w:color w:val="000000"/>
                <w:sz w:val="20"/>
                <w:szCs w:val="20"/>
              </w:rPr>
              <w:t xml:space="preserve">Variación </w:t>
            </w:r>
            <w:r w:rsidRPr="00BA6451">
              <w:rPr>
                <w:b/>
                <w:bCs/>
                <w:color w:val="000000"/>
                <w:sz w:val="20"/>
                <w:szCs w:val="20"/>
              </w:rPr>
              <w:br/>
              <w:t>(</w:t>
            </w:r>
            <w:r w:rsidR="009D45E5">
              <w:rPr>
                <w:b/>
                <w:bCs/>
                <w:color w:val="000000"/>
                <w:sz w:val="20"/>
                <w:szCs w:val="20"/>
              </w:rPr>
              <w:t>choque</w:t>
            </w:r>
            <w:r w:rsidRPr="00BA6451">
              <w:rPr>
                <w:b/>
                <w:bCs/>
                <w:color w:val="000000"/>
                <w:sz w:val="20"/>
                <w:szCs w:val="20"/>
              </w:rPr>
              <w:t xml:space="preserve">- </w:t>
            </w:r>
            <w:r w:rsidR="009D45E5">
              <w:rPr>
                <w:b/>
                <w:bCs/>
                <w:color w:val="000000"/>
                <w:sz w:val="20"/>
                <w:szCs w:val="20"/>
              </w:rPr>
              <w:t>pres</w:t>
            </w:r>
            <w:r w:rsidRPr="00BA6451">
              <w:rPr>
                <w:b/>
                <w:bCs/>
                <w:color w:val="000000"/>
                <w:sz w:val="20"/>
                <w:szCs w:val="20"/>
              </w:rPr>
              <w:t>)</w:t>
            </w:r>
          </w:p>
        </w:tc>
        <w:tc>
          <w:tcPr>
            <w:tcW w:w="1276" w:type="dxa"/>
            <w:tcBorders>
              <w:top w:val="single" w:sz="4" w:space="0" w:color="auto"/>
              <w:left w:val="nil"/>
              <w:bottom w:val="double" w:sz="6" w:space="0" w:color="auto"/>
              <w:right w:val="nil"/>
            </w:tcBorders>
            <w:shd w:val="clear" w:color="auto" w:fill="auto"/>
            <w:vAlign w:val="center"/>
            <w:hideMark/>
          </w:tcPr>
          <w:p w14:paraId="32F8B1F7" w14:textId="77777777" w:rsidR="005F38A6" w:rsidRPr="00BA6451" w:rsidRDefault="005F38A6" w:rsidP="006A7377">
            <w:pPr>
              <w:jc w:val="center"/>
              <w:rPr>
                <w:b/>
                <w:bCs/>
                <w:color w:val="000000"/>
                <w:sz w:val="20"/>
                <w:szCs w:val="20"/>
              </w:rPr>
            </w:pPr>
            <w:r w:rsidRPr="00BA6451">
              <w:rPr>
                <w:b/>
                <w:bCs/>
                <w:color w:val="000000"/>
                <w:sz w:val="20"/>
                <w:szCs w:val="20"/>
              </w:rPr>
              <w:t xml:space="preserve">Variación </w:t>
            </w:r>
            <w:r w:rsidRPr="00BA6451">
              <w:rPr>
                <w:b/>
                <w:bCs/>
                <w:color w:val="000000"/>
                <w:sz w:val="20"/>
                <w:szCs w:val="20"/>
              </w:rPr>
              <w:br/>
              <w:t>(% del PIB)</w:t>
            </w:r>
          </w:p>
        </w:tc>
      </w:tr>
      <w:tr w:rsidR="00E411A4" w:rsidRPr="00BA6451" w14:paraId="611D0266" w14:textId="77777777" w:rsidTr="00C3014C">
        <w:trPr>
          <w:trHeight w:val="245"/>
          <w:jc w:val="center"/>
        </w:trPr>
        <w:tc>
          <w:tcPr>
            <w:tcW w:w="3279" w:type="dxa"/>
            <w:tcBorders>
              <w:top w:val="nil"/>
              <w:left w:val="nil"/>
              <w:bottom w:val="nil"/>
              <w:right w:val="nil"/>
            </w:tcBorders>
            <w:shd w:val="clear" w:color="auto" w:fill="auto"/>
            <w:noWrap/>
            <w:vAlign w:val="bottom"/>
            <w:hideMark/>
          </w:tcPr>
          <w:p w14:paraId="0FDBCD49" w14:textId="77777777" w:rsidR="00E411A4" w:rsidRPr="00BA6451" w:rsidRDefault="00E411A4" w:rsidP="00E411A4">
            <w:pPr>
              <w:rPr>
                <w:color w:val="000000"/>
                <w:sz w:val="20"/>
                <w:szCs w:val="20"/>
              </w:rPr>
            </w:pPr>
            <w:r w:rsidRPr="00BA6451">
              <w:rPr>
                <w:color w:val="000000"/>
                <w:sz w:val="20"/>
                <w:szCs w:val="20"/>
              </w:rPr>
              <w:t>Deuda (% PIB)</w:t>
            </w:r>
          </w:p>
        </w:tc>
        <w:tc>
          <w:tcPr>
            <w:tcW w:w="974" w:type="dxa"/>
            <w:tcBorders>
              <w:top w:val="nil"/>
              <w:left w:val="single" w:sz="4" w:space="0" w:color="auto"/>
              <w:bottom w:val="nil"/>
              <w:right w:val="nil"/>
            </w:tcBorders>
            <w:shd w:val="clear" w:color="auto" w:fill="auto"/>
            <w:noWrap/>
            <w:hideMark/>
          </w:tcPr>
          <w:p w14:paraId="7E5F2C47" w14:textId="1DEACB1F" w:rsidR="00E411A4" w:rsidRPr="00E411A4" w:rsidRDefault="00E411A4" w:rsidP="00E411A4">
            <w:pPr>
              <w:jc w:val="center"/>
              <w:rPr>
                <w:color w:val="000000"/>
                <w:sz w:val="20"/>
                <w:szCs w:val="20"/>
              </w:rPr>
            </w:pPr>
            <w:r w:rsidRPr="00E411A4">
              <w:rPr>
                <w:sz w:val="20"/>
                <w:szCs w:val="20"/>
              </w:rPr>
              <w:t>28.4%</w:t>
            </w:r>
          </w:p>
        </w:tc>
        <w:tc>
          <w:tcPr>
            <w:tcW w:w="1276" w:type="dxa"/>
            <w:tcBorders>
              <w:top w:val="nil"/>
              <w:left w:val="nil"/>
              <w:bottom w:val="nil"/>
              <w:right w:val="nil"/>
            </w:tcBorders>
            <w:shd w:val="clear" w:color="auto" w:fill="auto"/>
            <w:noWrap/>
            <w:hideMark/>
          </w:tcPr>
          <w:p w14:paraId="243299EE" w14:textId="4FDAE705" w:rsidR="00E411A4" w:rsidRPr="00E411A4" w:rsidRDefault="00E411A4" w:rsidP="00E411A4">
            <w:pPr>
              <w:jc w:val="center"/>
              <w:rPr>
                <w:color w:val="000000"/>
                <w:sz w:val="20"/>
                <w:szCs w:val="20"/>
              </w:rPr>
            </w:pPr>
            <w:r w:rsidRPr="00E411A4">
              <w:rPr>
                <w:sz w:val="20"/>
                <w:szCs w:val="20"/>
              </w:rPr>
              <w:t>27.9%</w:t>
            </w:r>
          </w:p>
        </w:tc>
        <w:tc>
          <w:tcPr>
            <w:tcW w:w="992" w:type="dxa"/>
            <w:tcBorders>
              <w:top w:val="nil"/>
              <w:left w:val="nil"/>
              <w:bottom w:val="nil"/>
              <w:right w:val="nil"/>
            </w:tcBorders>
            <w:shd w:val="clear" w:color="auto" w:fill="auto"/>
            <w:noWrap/>
            <w:hideMark/>
          </w:tcPr>
          <w:p w14:paraId="4447F5EF" w14:textId="1B06406A" w:rsidR="00E411A4" w:rsidRPr="00E411A4" w:rsidRDefault="00E411A4" w:rsidP="00E411A4">
            <w:pPr>
              <w:jc w:val="center"/>
              <w:rPr>
                <w:color w:val="000000"/>
                <w:sz w:val="20"/>
                <w:szCs w:val="20"/>
              </w:rPr>
            </w:pPr>
            <w:r w:rsidRPr="00E411A4">
              <w:rPr>
                <w:sz w:val="20"/>
                <w:szCs w:val="20"/>
              </w:rPr>
              <w:t>29.0%</w:t>
            </w:r>
          </w:p>
        </w:tc>
        <w:tc>
          <w:tcPr>
            <w:tcW w:w="1417" w:type="dxa"/>
            <w:tcBorders>
              <w:top w:val="nil"/>
              <w:left w:val="nil"/>
              <w:bottom w:val="nil"/>
              <w:right w:val="nil"/>
            </w:tcBorders>
            <w:shd w:val="clear" w:color="auto" w:fill="auto"/>
            <w:noWrap/>
            <w:hideMark/>
          </w:tcPr>
          <w:p w14:paraId="17B2ADB0" w14:textId="60A6CF3C" w:rsidR="00E411A4" w:rsidRPr="00E411A4" w:rsidRDefault="00E411A4" w:rsidP="00E411A4">
            <w:pPr>
              <w:jc w:val="center"/>
              <w:rPr>
                <w:color w:val="000000"/>
                <w:sz w:val="20"/>
                <w:szCs w:val="20"/>
              </w:rPr>
            </w:pPr>
            <w:r w:rsidRPr="00E411A4">
              <w:rPr>
                <w:sz w:val="20"/>
                <w:szCs w:val="20"/>
              </w:rPr>
              <w:t>1.2%</w:t>
            </w:r>
          </w:p>
        </w:tc>
        <w:tc>
          <w:tcPr>
            <w:tcW w:w="1276" w:type="dxa"/>
            <w:tcBorders>
              <w:top w:val="nil"/>
              <w:left w:val="nil"/>
              <w:bottom w:val="nil"/>
              <w:right w:val="nil"/>
            </w:tcBorders>
            <w:shd w:val="clear" w:color="auto" w:fill="auto"/>
            <w:noWrap/>
            <w:hideMark/>
          </w:tcPr>
          <w:p w14:paraId="3CBE06F0" w14:textId="2EB37074" w:rsidR="00E411A4" w:rsidRPr="00E411A4" w:rsidRDefault="00E411A4" w:rsidP="00E411A4">
            <w:pPr>
              <w:jc w:val="center"/>
              <w:rPr>
                <w:color w:val="000000"/>
                <w:sz w:val="20"/>
                <w:szCs w:val="20"/>
              </w:rPr>
            </w:pPr>
            <w:r w:rsidRPr="00E411A4">
              <w:rPr>
                <w:sz w:val="20"/>
                <w:szCs w:val="20"/>
              </w:rPr>
              <w:t>-</w:t>
            </w:r>
          </w:p>
        </w:tc>
      </w:tr>
      <w:tr w:rsidR="00E411A4" w:rsidRPr="00BA6451" w14:paraId="1845A786" w14:textId="77777777" w:rsidTr="00C3014C">
        <w:trPr>
          <w:trHeight w:val="234"/>
          <w:jc w:val="center"/>
        </w:trPr>
        <w:tc>
          <w:tcPr>
            <w:tcW w:w="3279" w:type="dxa"/>
            <w:tcBorders>
              <w:top w:val="nil"/>
              <w:left w:val="nil"/>
              <w:bottom w:val="nil"/>
              <w:right w:val="nil"/>
            </w:tcBorders>
            <w:shd w:val="clear" w:color="auto" w:fill="auto"/>
            <w:noWrap/>
            <w:vAlign w:val="bottom"/>
            <w:hideMark/>
          </w:tcPr>
          <w:p w14:paraId="30F1DB65" w14:textId="77777777" w:rsidR="00E411A4" w:rsidRPr="00BA6451" w:rsidRDefault="00E411A4" w:rsidP="00E411A4">
            <w:pPr>
              <w:rPr>
                <w:color w:val="000000"/>
                <w:sz w:val="20"/>
                <w:szCs w:val="20"/>
              </w:rPr>
            </w:pPr>
            <w:r w:rsidRPr="00BA6451">
              <w:rPr>
                <w:color w:val="000000"/>
                <w:sz w:val="20"/>
                <w:szCs w:val="20"/>
              </w:rPr>
              <w:t>Moneda nacional (% del total)</w:t>
            </w:r>
          </w:p>
        </w:tc>
        <w:tc>
          <w:tcPr>
            <w:tcW w:w="974" w:type="dxa"/>
            <w:tcBorders>
              <w:top w:val="nil"/>
              <w:left w:val="single" w:sz="4" w:space="0" w:color="auto"/>
              <w:bottom w:val="nil"/>
              <w:right w:val="nil"/>
            </w:tcBorders>
            <w:shd w:val="clear" w:color="auto" w:fill="auto"/>
            <w:noWrap/>
            <w:hideMark/>
          </w:tcPr>
          <w:p w14:paraId="497A9173" w14:textId="268E4D57" w:rsidR="00E411A4" w:rsidRPr="00E411A4" w:rsidRDefault="00E411A4" w:rsidP="00E411A4">
            <w:pPr>
              <w:jc w:val="center"/>
              <w:rPr>
                <w:color w:val="000000"/>
                <w:sz w:val="20"/>
                <w:szCs w:val="20"/>
              </w:rPr>
            </w:pPr>
            <w:r w:rsidRPr="00E411A4">
              <w:rPr>
                <w:sz w:val="20"/>
                <w:szCs w:val="20"/>
              </w:rPr>
              <w:t>56.0%</w:t>
            </w:r>
          </w:p>
        </w:tc>
        <w:tc>
          <w:tcPr>
            <w:tcW w:w="1276" w:type="dxa"/>
            <w:tcBorders>
              <w:top w:val="nil"/>
              <w:left w:val="nil"/>
              <w:bottom w:val="nil"/>
              <w:right w:val="nil"/>
            </w:tcBorders>
            <w:shd w:val="clear" w:color="auto" w:fill="auto"/>
            <w:noWrap/>
            <w:hideMark/>
          </w:tcPr>
          <w:p w14:paraId="7E2AC7DC" w14:textId="10413051" w:rsidR="00E411A4" w:rsidRPr="00E411A4" w:rsidRDefault="00E411A4" w:rsidP="00E411A4">
            <w:pPr>
              <w:jc w:val="center"/>
              <w:rPr>
                <w:color w:val="000000"/>
                <w:sz w:val="20"/>
                <w:szCs w:val="20"/>
              </w:rPr>
            </w:pPr>
            <w:r w:rsidRPr="00E411A4">
              <w:rPr>
                <w:sz w:val="20"/>
                <w:szCs w:val="20"/>
              </w:rPr>
              <w:t>58.4%</w:t>
            </w:r>
          </w:p>
        </w:tc>
        <w:tc>
          <w:tcPr>
            <w:tcW w:w="992" w:type="dxa"/>
            <w:tcBorders>
              <w:top w:val="nil"/>
              <w:left w:val="nil"/>
              <w:bottom w:val="nil"/>
              <w:right w:val="nil"/>
            </w:tcBorders>
            <w:shd w:val="clear" w:color="auto" w:fill="auto"/>
            <w:noWrap/>
            <w:hideMark/>
          </w:tcPr>
          <w:p w14:paraId="4A423004" w14:textId="581ECC00" w:rsidR="00E411A4" w:rsidRPr="00E411A4" w:rsidRDefault="00E411A4" w:rsidP="00E411A4">
            <w:pPr>
              <w:jc w:val="center"/>
              <w:rPr>
                <w:color w:val="000000"/>
                <w:sz w:val="20"/>
                <w:szCs w:val="20"/>
              </w:rPr>
            </w:pPr>
            <w:r w:rsidRPr="00E411A4">
              <w:rPr>
                <w:sz w:val="20"/>
                <w:szCs w:val="20"/>
              </w:rPr>
              <w:t>56.1%</w:t>
            </w:r>
          </w:p>
        </w:tc>
        <w:tc>
          <w:tcPr>
            <w:tcW w:w="1417" w:type="dxa"/>
            <w:tcBorders>
              <w:top w:val="nil"/>
              <w:left w:val="nil"/>
              <w:bottom w:val="nil"/>
              <w:right w:val="nil"/>
            </w:tcBorders>
            <w:shd w:val="clear" w:color="auto" w:fill="auto"/>
            <w:noWrap/>
            <w:hideMark/>
          </w:tcPr>
          <w:p w14:paraId="6838F546" w14:textId="7A690A2F" w:rsidR="00E411A4" w:rsidRPr="00E411A4" w:rsidRDefault="009D45E5" w:rsidP="00E411A4">
            <w:pPr>
              <w:jc w:val="center"/>
              <w:rPr>
                <w:color w:val="000000"/>
                <w:sz w:val="20"/>
                <w:szCs w:val="20"/>
              </w:rPr>
            </w:pPr>
            <w:r>
              <w:rPr>
                <w:sz w:val="20"/>
                <w:szCs w:val="20"/>
              </w:rPr>
              <w:t>-</w:t>
            </w:r>
            <w:r w:rsidR="00E411A4" w:rsidRPr="00E411A4">
              <w:rPr>
                <w:sz w:val="20"/>
                <w:szCs w:val="20"/>
              </w:rPr>
              <w:t>2.3%</w:t>
            </w:r>
          </w:p>
        </w:tc>
        <w:tc>
          <w:tcPr>
            <w:tcW w:w="1276" w:type="dxa"/>
            <w:tcBorders>
              <w:top w:val="nil"/>
              <w:left w:val="nil"/>
              <w:bottom w:val="nil"/>
              <w:right w:val="nil"/>
            </w:tcBorders>
            <w:shd w:val="clear" w:color="auto" w:fill="auto"/>
            <w:noWrap/>
            <w:hideMark/>
          </w:tcPr>
          <w:p w14:paraId="6C2666E1" w14:textId="5CDFC836" w:rsidR="00E411A4" w:rsidRPr="00E411A4" w:rsidRDefault="00E411A4" w:rsidP="00E411A4">
            <w:pPr>
              <w:jc w:val="center"/>
              <w:rPr>
                <w:color w:val="000000"/>
                <w:sz w:val="20"/>
                <w:szCs w:val="20"/>
              </w:rPr>
            </w:pPr>
            <w:r w:rsidRPr="00E411A4">
              <w:rPr>
                <w:sz w:val="20"/>
                <w:szCs w:val="20"/>
              </w:rPr>
              <w:t>-</w:t>
            </w:r>
          </w:p>
        </w:tc>
      </w:tr>
      <w:tr w:rsidR="00E411A4" w:rsidRPr="00BA6451" w14:paraId="3E041E55" w14:textId="77777777" w:rsidTr="009D45E5">
        <w:trPr>
          <w:trHeight w:val="355"/>
          <w:jc w:val="center"/>
        </w:trPr>
        <w:tc>
          <w:tcPr>
            <w:tcW w:w="3279" w:type="dxa"/>
            <w:tcBorders>
              <w:top w:val="nil"/>
              <w:left w:val="nil"/>
              <w:bottom w:val="nil"/>
              <w:right w:val="nil"/>
            </w:tcBorders>
            <w:shd w:val="clear" w:color="auto" w:fill="auto"/>
            <w:noWrap/>
            <w:vAlign w:val="bottom"/>
            <w:hideMark/>
          </w:tcPr>
          <w:p w14:paraId="433874CE" w14:textId="77777777" w:rsidR="00E411A4" w:rsidRPr="00BA6451" w:rsidRDefault="00E411A4" w:rsidP="00E411A4">
            <w:pPr>
              <w:rPr>
                <w:color w:val="000000"/>
                <w:sz w:val="20"/>
                <w:szCs w:val="20"/>
              </w:rPr>
            </w:pPr>
            <w:r w:rsidRPr="00BA6451">
              <w:rPr>
                <w:color w:val="000000"/>
                <w:sz w:val="20"/>
                <w:szCs w:val="20"/>
              </w:rPr>
              <w:t>Moneda Extrajera (% del total)</w:t>
            </w:r>
          </w:p>
        </w:tc>
        <w:tc>
          <w:tcPr>
            <w:tcW w:w="974" w:type="dxa"/>
            <w:tcBorders>
              <w:top w:val="nil"/>
              <w:left w:val="single" w:sz="4" w:space="0" w:color="auto"/>
              <w:bottom w:val="nil"/>
              <w:right w:val="nil"/>
            </w:tcBorders>
            <w:shd w:val="clear" w:color="auto" w:fill="auto"/>
            <w:noWrap/>
            <w:hideMark/>
          </w:tcPr>
          <w:p w14:paraId="67E5D45B" w14:textId="67E48EC9" w:rsidR="00E411A4" w:rsidRPr="00E411A4" w:rsidRDefault="00E411A4" w:rsidP="00E411A4">
            <w:pPr>
              <w:jc w:val="center"/>
              <w:rPr>
                <w:color w:val="000000"/>
                <w:sz w:val="20"/>
                <w:szCs w:val="20"/>
              </w:rPr>
            </w:pPr>
            <w:r w:rsidRPr="00E411A4">
              <w:rPr>
                <w:sz w:val="20"/>
                <w:szCs w:val="20"/>
              </w:rPr>
              <w:t>44.0%</w:t>
            </w:r>
          </w:p>
        </w:tc>
        <w:tc>
          <w:tcPr>
            <w:tcW w:w="1276" w:type="dxa"/>
            <w:tcBorders>
              <w:top w:val="nil"/>
              <w:left w:val="nil"/>
              <w:bottom w:val="nil"/>
              <w:right w:val="nil"/>
            </w:tcBorders>
            <w:shd w:val="clear" w:color="auto" w:fill="auto"/>
            <w:noWrap/>
            <w:hideMark/>
          </w:tcPr>
          <w:p w14:paraId="771098DF" w14:textId="1FB7937F" w:rsidR="00E411A4" w:rsidRPr="00E411A4" w:rsidRDefault="00E411A4" w:rsidP="00E411A4">
            <w:pPr>
              <w:jc w:val="center"/>
              <w:rPr>
                <w:color w:val="000000"/>
                <w:sz w:val="20"/>
                <w:szCs w:val="20"/>
              </w:rPr>
            </w:pPr>
            <w:r w:rsidRPr="00E411A4">
              <w:rPr>
                <w:sz w:val="20"/>
                <w:szCs w:val="20"/>
              </w:rPr>
              <w:t>41.6%</w:t>
            </w:r>
          </w:p>
        </w:tc>
        <w:tc>
          <w:tcPr>
            <w:tcW w:w="992" w:type="dxa"/>
            <w:tcBorders>
              <w:top w:val="nil"/>
              <w:left w:val="nil"/>
              <w:bottom w:val="nil"/>
              <w:right w:val="nil"/>
            </w:tcBorders>
            <w:shd w:val="clear" w:color="auto" w:fill="auto"/>
            <w:noWrap/>
            <w:hideMark/>
          </w:tcPr>
          <w:p w14:paraId="52C59FD7" w14:textId="4924BB0A" w:rsidR="00E411A4" w:rsidRPr="00E411A4" w:rsidRDefault="00E411A4" w:rsidP="00E411A4">
            <w:pPr>
              <w:jc w:val="center"/>
              <w:rPr>
                <w:color w:val="000000"/>
                <w:sz w:val="20"/>
                <w:szCs w:val="20"/>
              </w:rPr>
            </w:pPr>
            <w:r w:rsidRPr="00E411A4">
              <w:rPr>
                <w:sz w:val="20"/>
                <w:szCs w:val="20"/>
              </w:rPr>
              <w:t>43.9%</w:t>
            </w:r>
          </w:p>
        </w:tc>
        <w:tc>
          <w:tcPr>
            <w:tcW w:w="1417" w:type="dxa"/>
            <w:tcBorders>
              <w:top w:val="nil"/>
              <w:left w:val="nil"/>
              <w:bottom w:val="nil"/>
              <w:right w:val="nil"/>
            </w:tcBorders>
            <w:shd w:val="clear" w:color="auto" w:fill="auto"/>
            <w:noWrap/>
            <w:hideMark/>
          </w:tcPr>
          <w:p w14:paraId="0291ECA0" w14:textId="596E7303" w:rsidR="00E411A4" w:rsidRPr="00E411A4" w:rsidRDefault="00E411A4" w:rsidP="00E411A4">
            <w:pPr>
              <w:jc w:val="center"/>
              <w:rPr>
                <w:color w:val="000000"/>
                <w:sz w:val="20"/>
                <w:szCs w:val="20"/>
              </w:rPr>
            </w:pPr>
            <w:r w:rsidRPr="00E411A4">
              <w:rPr>
                <w:sz w:val="20"/>
                <w:szCs w:val="20"/>
              </w:rPr>
              <w:t>2.3%</w:t>
            </w:r>
          </w:p>
        </w:tc>
        <w:tc>
          <w:tcPr>
            <w:tcW w:w="1276" w:type="dxa"/>
            <w:tcBorders>
              <w:top w:val="nil"/>
              <w:left w:val="nil"/>
              <w:bottom w:val="nil"/>
              <w:right w:val="nil"/>
            </w:tcBorders>
            <w:shd w:val="clear" w:color="auto" w:fill="auto"/>
            <w:noWrap/>
            <w:hideMark/>
          </w:tcPr>
          <w:p w14:paraId="332F70B8" w14:textId="09B1203C" w:rsidR="00E411A4" w:rsidRPr="00E411A4" w:rsidRDefault="00E411A4" w:rsidP="00E411A4">
            <w:pPr>
              <w:jc w:val="center"/>
              <w:rPr>
                <w:color w:val="000000"/>
                <w:sz w:val="20"/>
                <w:szCs w:val="20"/>
              </w:rPr>
            </w:pPr>
            <w:r w:rsidRPr="00E411A4">
              <w:rPr>
                <w:sz w:val="20"/>
                <w:szCs w:val="20"/>
              </w:rPr>
              <w:t>-</w:t>
            </w:r>
          </w:p>
        </w:tc>
      </w:tr>
      <w:tr w:rsidR="00E411A4" w:rsidRPr="00BA6451" w14:paraId="20DBD47D" w14:textId="77777777" w:rsidTr="00C3014C">
        <w:trPr>
          <w:trHeight w:val="234"/>
          <w:jc w:val="center"/>
        </w:trPr>
        <w:tc>
          <w:tcPr>
            <w:tcW w:w="3279" w:type="dxa"/>
            <w:tcBorders>
              <w:top w:val="nil"/>
              <w:left w:val="nil"/>
              <w:bottom w:val="nil"/>
              <w:right w:val="nil"/>
            </w:tcBorders>
            <w:shd w:val="clear" w:color="auto" w:fill="auto"/>
            <w:noWrap/>
            <w:vAlign w:val="bottom"/>
            <w:hideMark/>
          </w:tcPr>
          <w:p w14:paraId="3F0C8B67" w14:textId="77777777" w:rsidR="00E411A4" w:rsidRPr="00BA6451" w:rsidRDefault="00E411A4" w:rsidP="00E411A4">
            <w:pPr>
              <w:rPr>
                <w:color w:val="000000"/>
                <w:sz w:val="20"/>
                <w:szCs w:val="20"/>
              </w:rPr>
            </w:pPr>
            <w:r w:rsidRPr="00BA6451">
              <w:rPr>
                <w:color w:val="000000"/>
                <w:sz w:val="20"/>
                <w:szCs w:val="20"/>
              </w:rPr>
              <w:t>Saldo de deuda (millones de Q.)</w:t>
            </w:r>
          </w:p>
        </w:tc>
        <w:tc>
          <w:tcPr>
            <w:tcW w:w="974" w:type="dxa"/>
            <w:tcBorders>
              <w:top w:val="nil"/>
              <w:left w:val="single" w:sz="4" w:space="0" w:color="auto"/>
              <w:bottom w:val="nil"/>
              <w:right w:val="nil"/>
            </w:tcBorders>
            <w:shd w:val="clear" w:color="auto" w:fill="auto"/>
            <w:noWrap/>
            <w:hideMark/>
          </w:tcPr>
          <w:p w14:paraId="5F4CD72B" w14:textId="6BA01436" w:rsidR="00E411A4" w:rsidRPr="00E411A4" w:rsidRDefault="00E411A4" w:rsidP="00E411A4">
            <w:pPr>
              <w:jc w:val="center"/>
              <w:rPr>
                <w:color w:val="000000"/>
                <w:sz w:val="20"/>
                <w:szCs w:val="20"/>
              </w:rPr>
            </w:pPr>
            <w:r w:rsidRPr="00E411A4">
              <w:rPr>
                <w:sz w:val="20"/>
                <w:szCs w:val="20"/>
              </w:rPr>
              <w:t xml:space="preserve">226,369.2 </w:t>
            </w:r>
          </w:p>
        </w:tc>
        <w:tc>
          <w:tcPr>
            <w:tcW w:w="1276" w:type="dxa"/>
            <w:tcBorders>
              <w:top w:val="nil"/>
              <w:left w:val="nil"/>
              <w:bottom w:val="nil"/>
              <w:right w:val="nil"/>
            </w:tcBorders>
            <w:shd w:val="clear" w:color="auto" w:fill="auto"/>
            <w:noWrap/>
            <w:hideMark/>
          </w:tcPr>
          <w:p w14:paraId="21E763EA" w14:textId="2B777E49" w:rsidR="00E411A4" w:rsidRPr="00E411A4" w:rsidRDefault="00E411A4" w:rsidP="00E411A4">
            <w:pPr>
              <w:jc w:val="center"/>
              <w:rPr>
                <w:color w:val="000000"/>
                <w:sz w:val="20"/>
                <w:szCs w:val="20"/>
              </w:rPr>
            </w:pPr>
            <w:r w:rsidRPr="00E411A4">
              <w:rPr>
                <w:sz w:val="20"/>
                <w:szCs w:val="20"/>
              </w:rPr>
              <w:t xml:space="preserve">235,006.2 </w:t>
            </w:r>
          </w:p>
        </w:tc>
        <w:tc>
          <w:tcPr>
            <w:tcW w:w="992" w:type="dxa"/>
            <w:tcBorders>
              <w:top w:val="nil"/>
              <w:left w:val="nil"/>
              <w:bottom w:val="nil"/>
              <w:right w:val="nil"/>
            </w:tcBorders>
            <w:shd w:val="clear" w:color="auto" w:fill="auto"/>
            <w:noWrap/>
            <w:hideMark/>
          </w:tcPr>
          <w:p w14:paraId="44F0D2F0" w14:textId="50742611" w:rsidR="00E411A4" w:rsidRPr="00E411A4" w:rsidRDefault="00E411A4" w:rsidP="00E411A4">
            <w:pPr>
              <w:jc w:val="center"/>
              <w:rPr>
                <w:color w:val="000000"/>
                <w:sz w:val="20"/>
                <w:szCs w:val="20"/>
              </w:rPr>
            </w:pPr>
            <w:r w:rsidRPr="00E411A4">
              <w:rPr>
                <w:sz w:val="20"/>
                <w:szCs w:val="20"/>
              </w:rPr>
              <w:t xml:space="preserve">244,774.4 </w:t>
            </w:r>
          </w:p>
        </w:tc>
        <w:tc>
          <w:tcPr>
            <w:tcW w:w="1417" w:type="dxa"/>
            <w:tcBorders>
              <w:top w:val="nil"/>
              <w:left w:val="nil"/>
              <w:bottom w:val="nil"/>
              <w:right w:val="nil"/>
            </w:tcBorders>
            <w:shd w:val="clear" w:color="auto" w:fill="auto"/>
            <w:noWrap/>
            <w:hideMark/>
          </w:tcPr>
          <w:p w14:paraId="65D90D3D" w14:textId="7D3F150D" w:rsidR="00E411A4" w:rsidRPr="00E411A4" w:rsidRDefault="00E411A4" w:rsidP="00E411A4">
            <w:pPr>
              <w:jc w:val="center"/>
              <w:rPr>
                <w:color w:val="000000"/>
                <w:sz w:val="20"/>
                <w:szCs w:val="20"/>
              </w:rPr>
            </w:pPr>
            <w:r w:rsidRPr="009D45E5">
              <w:rPr>
                <w:sz w:val="20"/>
                <w:szCs w:val="20"/>
              </w:rPr>
              <w:t>9,768.2</w:t>
            </w:r>
            <w:r w:rsidRPr="00E411A4">
              <w:rPr>
                <w:sz w:val="20"/>
                <w:szCs w:val="20"/>
              </w:rPr>
              <w:t xml:space="preserve"> </w:t>
            </w:r>
          </w:p>
        </w:tc>
        <w:tc>
          <w:tcPr>
            <w:tcW w:w="1276" w:type="dxa"/>
            <w:tcBorders>
              <w:top w:val="nil"/>
              <w:left w:val="nil"/>
              <w:bottom w:val="nil"/>
              <w:right w:val="nil"/>
            </w:tcBorders>
            <w:shd w:val="clear" w:color="auto" w:fill="auto"/>
            <w:noWrap/>
            <w:hideMark/>
          </w:tcPr>
          <w:p w14:paraId="52DDC503" w14:textId="584E3E4C" w:rsidR="00E411A4" w:rsidRPr="00E411A4" w:rsidRDefault="00E411A4" w:rsidP="00E411A4">
            <w:pPr>
              <w:jc w:val="center"/>
              <w:rPr>
                <w:color w:val="000000"/>
                <w:sz w:val="20"/>
                <w:szCs w:val="20"/>
              </w:rPr>
            </w:pPr>
            <w:r w:rsidRPr="00E411A4">
              <w:rPr>
                <w:sz w:val="20"/>
                <w:szCs w:val="20"/>
              </w:rPr>
              <w:t>1.2%</w:t>
            </w:r>
          </w:p>
        </w:tc>
      </w:tr>
      <w:tr w:rsidR="00E411A4" w:rsidRPr="00BA6451" w14:paraId="08BEB79F" w14:textId="77777777" w:rsidTr="00C3014C">
        <w:trPr>
          <w:trHeight w:val="234"/>
          <w:jc w:val="center"/>
        </w:trPr>
        <w:tc>
          <w:tcPr>
            <w:tcW w:w="3279" w:type="dxa"/>
            <w:tcBorders>
              <w:top w:val="nil"/>
              <w:left w:val="nil"/>
              <w:bottom w:val="single" w:sz="4" w:space="0" w:color="auto"/>
              <w:right w:val="nil"/>
            </w:tcBorders>
            <w:shd w:val="clear" w:color="auto" w:fill="auto"/>
            <w:noWrap/>
            <w:vAlign w:val="bottom"/>
            <w:hideMark/>
          </w:tcPr>
          <w:p w14:paraId="2C73956E" w14:textId="77777777" w:rsidR="00E411A4" w:rsidRPr="00BA6451" w:rsidRDefault="00E411A4" w:rsidP="00E411A4">
            <w:pPr>
              <w:ind w:firstLineChars="100" w:firstLine="200"/>
              <w:rPr>
                <w:color w:val="000000"/>
                <w:sz w:val="20"/>
                <w:szCs w:val="20"/>
              </w:rPr>
            </w:pPr>
            <w:r w:rsidRPr="00BA6451">
              <w:rPr>
                <w:color w:val="000000"/>
                <w:sz w:val="20"/>
                <w:szCs w:val="20"/>
              </w:rPr>
              <w:t>Moneda extranjera (millones de Q.)</w:t>
            </w:r>
          </w:p>
        </w:tc>
        <w:tc>
          <w:tcPr>
            <w:tcW w:w="974" w:type="dxa"/>
            <w:tcBorders>
              <w:top w:val="nil"/>
              <w:left w:val="single" w:sz="4" w:space="0" w:color="auto"/>
              <w:bottom w:val="single" w:sz="4" w:space="0" w:color="auto"/>
              <w:right w:val="nil"/>
            </w:tcBorders>
            <w:shd w:val="clear" w:color="auto" w:fill="auto"/>
            <w:noWrap/>
            <w:hideMark/>
          </w:tcPr>
          <w:p w14:paraId="69386484" w14:textId="0526CDEA" w:rsidR="00E411A4" w:rsidRPr="00E411A4" w:rsidRDefault="00E411A4" w:rsidP="00E411A4">
            <w:pPr>
              <w:jc w:val="center"/>
              <w:rPr>
                <w:color w:val="000000"/>
                <w:sz w:val="20"/>
                <w:szCs w:val="20"/>
              </w:rPr>
            </w:pPr>
            <w:r w:rsidRPr="00E411A4">
              <w:rPr>
                <w:sz w:val="20"/>
                <w:szCs w:val="20"/>
              </w:rPr>
              <w:t xml:space="preserve">99,631.8 </w:t>
            </w:r>
          </w:p>
        </w:tc>
        <w:tc>
          <w:tcPr>
            <w:tcW w:w="1276" w:type="dxa"/>
            <w:tcBorders>
              <w:top w:val="nil"/>
              <w:left w:val="nil"/>
              <w:bottom w:val="single" w:sz="4" w:space="0" w:color="auto"/>
              <w:right w:val="nil"/>
            </w:tcBorders>
            <w:shd w:val="clear" w:color="auto" w:fill="auto"/>
            <w:noWrap/>
            <w:hideMark/>
          </w:tcPr>
          <w:p w14:paraId="337507B3" w14:textId="3390102E" w:rsidR="00E411A4" w:rsidRPr="00E411A4" w:rsidRDefault="00E411A4" w:rsidP="00E411A4">
            <w:pPr>
              <w:jc w:val="center"/>
              <w:rPr>
                <w:color w:val="000000"/>
                <w:sz w:val="20"/>
                <w:szCs w:val="20"/>
              </w:rPr>
            </w:pPr>
            <w:r w:rsidRPr="00E411A4">
              <w:rPr>
                <w:sz w:val="20"/>
                <w:szCs w:val="20"/>
              </w:rPr>
              <w:t xml:space="preserve">97,681.6 </w:t>
            </w:r>
          </w:p>
        </w:tc>
        <w:tc>
          <w:tcPr>
            <w:tcW w:w="992" w:type="dxa"/>
            <w:tcBorders>
              <w:top w:val="nil"/>
              <w:left w:val="nil"/>
              <w:bottom w:val="single" w:sz="4" w:space="0" w:color="auto"/>
              <w:right w:val="nil"/>
            </w:tcBorders>
            <w:shd w:val="clear" w:color="auto" w:fill="auto"/>
            <w:noWrap/>
            <w:hideMark/>
          </w:tcPr>
          <w:p w14:paraId="2BB53F83" w14:textId="2726AC21" w:rsidR="00E411A4" w:rsidRPr="00E411A4" w:rsidRDefault="00E411A4" w:rsidP="00E411A4">
            <w:pPr>
              <w:jc w:val="center"/>
              <w:rPr>
                <w:color w:val="000000"/>
                <w:sz w:val="20"/>
                <w:szCs w:val="20"/>
              </w:rPr>
            </w:pPr>
            <w:r w:rsidRPr="00E411A4">
              <w:rPr>
                <w:sz w:val="20"/>
                <w:szCs w:val="20"/>
              </w:rPr>
              <w:t xml:space="preserve">107,449.8 </w:t>
            </w:r>
          </w:p>
        </w:tc>
        <w:tc>
          <w:tcPr>
            <w:tcW w:w="1417" w:type="dxa"/>
            <w:tcBorders>
              <w:top w:val="nil"/>
              <w:left w:val="nil"/>
              <w:bottom w:val="single" w:sz="4" w:space="0" w:color="auto"/>
              <w:right w:val="nil"/>
            </w:tcBorders>
            <w:shd w:val="clear" w:color="auto" w:fill="auto"/>
            <w:noWrap/>
            <w:hideMark/>
          </w:tcPr>
          <w:p w14:paraId="63524421" w14:textId="78178131" w:rsidR="00E411A4" w:rsidRPr="00E411A4" w:rsidRDefault="00E411A4" w:rsidP="00E411A4">
            <w:pPr>
              <w:jc w:val="center"/>
              <w:rPr>
                <w:color w:val="000000"/>
                <w:sz w:val="20"/>
                <w:szCs w:val="20"/>
              </w:rPr>
            </w:pPr>
            <w:r w:rsidRPr="00E411A4">
              <w:rPr>
                <w:sz w:val="20"/>
                <w:szCs w:val="20"/>
              </w:rPr>
              <w:t xml:space="preserve">9,768.2 </w:t>
            </w:r>
          </w:p>
        </w:tc>
        <w:tc>
          <w:tcPr>
            <w:tcW w:w="1276" w:type="dxa"/>
            <w:tcBorders>
              <w:top w:val="nil"/>
              <w:left w:val="nil"/>
              <w:bottom w:val="single" w:sz="4" w:space="0" w:color="auto"/>
              <w:right w:val="nil"/>
            </w:tcBorders>
            <w:shd w:val="clear" w:color="auto" w:fill="auto"/>
            <w:noWrap/>
            <w:hideMark/>
          </w:tcPr>
          <w:p w14:paraId="660C8106" w14:textId="4CB8D608" w:rsidR="00E411A4" w:rsidRPr="00E411A4" w:rsidRDefault="00E411A4" w:rsidP="00E411A4">
            <w:pPr>
              <w:jc w:val="center"/>
              <w:rPr>
                <w:color w:val="000000"/>
                <w:sz w:val="20"/>
                <w:szCs w:val="20"/>
              </w:rPr>
            </w:pPr>
            <w:r w:rsidRPr="00E411A4">
              <w:rPr>
                <w:sz w:val="20"/>
                <w:szCs w:val="20"/>
              </w:rPr>
              <w:t>1.2%</w:t>
            </w:r>
          </w:p>
        </w:tc>
      </w:tr>
    </w:tbl>
    <w:p w14:paraId="17970C95" w14:textId="77777777" w:rsidR="005F38A6" w:rsidRPr="000438E8" w:rsidRDefault="005F38A6" w:rsidP="005F38A6">
      <w:pPr>
        <w:rPr>
          <w:sz w:val="16"/>
          <w:szCs w:val="16"/>
        </w:rPr>
      </w:pPr>
      <w:r w:rsidRPr="000438E8">
        <w:rPr>
          <w:sz w:val="16"/>
          <w:szCs w:val="16"/>
        </w:rPr>
        <w:t>Fuente: Ministerio de Finanzas</w:t>
      </w:r>
    </w:p>
    <w:p w14:paraId="18CA5DFD" w14:textId="77777777" w:rsidR="005F38A6" w:rsidRDefault="005F38A6" w:rsidP="005F38A6">
      <w:pPr>
        <w:jc w:val="both"/>
      </w:pPr>
    </w:p>
    <w:p w14:paraId="26846CAF" w14:textId="46F23FFF" w:rsidR="005F38A6" w:rsidRDefault="005F38A6" w:rsidP="005F38A6">
      <w:pPr>
        <w:jc w:val="both"/>
      </w:pPr>
      <w:r w:rsidRPr="00751BC0">
        <w:t xml:space="preserve">El impacto fiscal neto de una depreciación </w:t>
      </w:r>
      <w:r>
        <w:t>del 10.0% es</w:t>
      </w:r>
      <w:r w:rsidRPr="00751BC0">
        <w:t xml:space="preserve"> positivo</w:t>
      </w:r>
      <w:r>
        <w:t xml:space="preserve"> en los flujos por Q1,</w:t>
      </w:r>
      <w:r w:rsidR="000E7D33">
        <w:t>344.4</w:t>
      </w:r>
      <w:r w:rsidRPr="00751BC0">
        <w:t xml:space="preserve">, dado que la recaudación aumenta en una mayor proporción que los gastos por intereses y el gasto importado. En este ejercicio se estima que dicho impacto representa aproximadamente el 0.3% del PIB de 2024. </w:t>
      </w:r>
      <w:r>
        <w:t>Sin embargo, los saldos de la deuda pública se verían afectados por el aumento de la deuda en moneda extranjera.</w:t>
      </w:r>
    </w:p>
    <w:p w14:paraId="414A2AC6" w14:textId="3E232AB6" w:rsidR="005F38A6" w:rsidRDefault="005F38A6" w:rsidP="005F38A6">
      <w:pPr>
        <w:jc w:val="both"/>
        <w:rPr>
          <w:sz w:val="10"/>
          <w:szCs w:val="10"/>
        </w:rPr>
      </w:pPr>
    </w:p>
    <w:p w14:paraId="662A4ACD" w14:textId="77777777" w:rsidR="00167F1B" w:rsidRPr="00BE7A29" w:rsidRDefault="00167F1B" w:rsidP="005F38A6">
      <w:pPr>
        <w:jc w:val="both"/>
        <w:rPr>
          <w:sz w:val="10"/>
          <w:szCs w:val="10"/>
        </w:rPr>
      </w:pPr>
    </w:p>
    <w:p w14:paraId="5557C66B" w14:textId="4329C09C" w:rsidR="005F38A6" w:rsidRPr="000438E8" w:rsidRDefault="000438E8" w:rsidP="000438E8">
      <w:pPr>
        <w:pStyle w:val="Descripcin"/>
        <w:keepNext/>
      </w:pPr>
      <w:bookmarkStart w:id="109" w:name="_Toc143593521"/>
      <w:r w:rsidRPr="000438E8">
        <w:rPr>
          <w:color w:val="auto"/>
        </w:rPr>
        <w:lastRenderedPageBreak/>
        <w:t xml:space="preserve">Tabla </w:t>
      </w:r>
      <w:r w:rsidRPr="000438E8">
        <w:rPr>
          <w:color w:val="auto"/>
        </w:rPr>
        <w:fldChar w:fldCharType="begin"/>
      </w:r>
      <w:r w:rsidRPr="000438E8">
        <w:rPr>
          <w:color w:val="auto"/>
        </w:rPr>
        <w:instrText xml:space="preserve"> SEQ Tabla \* ARABIC </w:instrText>
      </w:r>
      <w:r w:rsidRPr="000438E8">
        <w:rPr>
          <w:color w:val="auto"/>
        </w:rPr>
        <w:fldChar w:fldCharType="separate"/>
      </w:r>
      <w:r w:rsidR="00A62AFA">
        <w:rPr>
          <w:noProof/>
          <w:color w:val="auto"/>
        </w:rPr>
        <w:t>19</w:t>
      </w:r>
      <w:r w:rsidRPr="000438E8">
        <w:rPr>
          <w:color w:val="auto"/>
        </w:rPr>
        <w:fldChar w:fldCharType="end"/>
      </w:r>
      <w:r w:rsidRPr="000438E8">
        <w:rPr>
          <w:color w:val="auto"/>
        </w:rPr>
        <w:t xml:space="preserve">.  </w:t>
      </w:r>
      <w:r w:rsidR="005F38A6" w:rsidRPr="000438E8">
        <w:rPr>
          <w:bCs/>
          <w:color w:val="auto"/>
        </w:rPr>
        <w:t>Impacto neto de una depreciación del 10.0% en la política fiscal</w:t>
      </w:r>
      <w:bookmarkEnd w:id="109"/>
    </w:p>
    <w:tbl>
      <w:tblPr>
        <w:tblW w:w="6749" w:type="dxa"/>
        <w:jc w:val="center"/>
        <w:tblCellMar>
          <w:left w:w="70" w:type="dxa"/>
          <w:right w:w="70" w:type="dxa"/>
        </w:tblCellMar>
        <w:tblLook w:val="04A0" w:firstRow="1" w:lastRow="0" w:firstColumn="1" w:lastColumn="0" w:noHBand="0" w:noVBand="1"/>
      </w:tblPr>
      <w:tblGrid>
        <w:gridCol w:w="3975"/>
        <w:gridCol w:w="1554"/>
        <w:gridCol w:w="1220"/>
      </w:tblGrid>
      <w:tr w:rsidR="005F38A6" w:rsidRPr="00BE7A29" w14:paraId="719917B3" w14:textId="77777777" w:rsidTr="009D45E5">
        <w:trPr>
          <w:trHeight w:val="231"/>
          <w:jc w:val="center"/>
        </w:trPr>
        <w:tc>
          <w:tcPr>
            <w:tcW w:w="3975" w:type="dxa"/>
            <w:tcBorders>
              <w:top w:val="single" w:sz="4" w:space="0" w:color="auto"/>
              <w:left w:val="nil"/>
              <w:bottom w:val="double" w:sz="6" w:space="0" w:color="auto"/>
              <w:right w:val="nil"/>
            </w:tcBorders>
            <w:shd w:val="clear" w:color="auto" w:fill="auto"/>
            <w:noWrap/>
            <w:vAlign w:val="bottom"/>
            <w:hideMark/>
          </w:tcPr>
          <w:p w14:paraId="4A446584" w14:textId="77777777" w:rsidR="005F38A6" w:rsidRPr="00BE7A29" w:rsidRDefault="005F38A6" w:rsidP="006A7377">
            <w:pPr>
              <w:rPr>
                <w:b/>
                <w:bCs/>
                <w:color w:val="000000"/>
                <w:sz w:val="20"/>
                <w:szCs w:val="20"/>
              </w:rPr>
            </w:pPr>
            <w:bookmarkStart w:id="110" w:name="_Hlk141961040"/>
            <w:r w:rsidRPr="00BE7A29">
              <w:rPr>
                <w:b/>
                <w:bCs/>
                <w:color w:val="000000"/>
                <w:sz w:val="20"/>
                <w:szCs w:val="20"/>
              </w:rPr>
              <w:t> </w:t>
            </w:r>
          </w:p>
        </w:tc>
        <w:tc>
          <w:tcPr>
            <w:tcW w:w="1554" w:type="dxa"/>
            <w:tcBorders>
              <w:top w:val="single" w:sz="4" w:space="0" w:color="auto"/>
              <w:left w:val="single" w:sz="4" w:space="0" w:color="auto"/>
              <w:bottom w:val="double" w:sz="6" w:space="0" w:color="auto"/>
              <w:right w:val="nil"/>
            </w:tcBorders>
            <w:shd w:val="clear" w:color="auto" w:fill="auto"/>
            <w:noWrap/>
            <w:vAlign w:val="bottom"/>
            <w:hideMark/>
          </w:tcPr>
          <w:p w14:paraId="3CF766CC" w14:textId="77777777" w:rsidR="005F38A6" w:rsidRDefault="005F38A6" w:rsidP="006A7377">
            <w:pPr>
              <w:jc w:val="center"/>
              <w:rPr>
                <w:b/>
                <w:bCs/>
                <w:color w:val="000000"/>
                <w:sz w:val="20"/>
                <w:szCs w:val="20"/>
              </w:rPr>
            </w:pPr>
            <w:r w:rsidRPr="00BE7A29">
              <w:rPr>
                <w:b/>
                <w:bCs/>
                <w:color w:val="000000"/>
                <w:sz w:val="20"/>
                <w:szCs w:val="20"/>
              </w:rPr>
              <w:t>Impacto</w:t>
            </w:r>
          </w:p>
          <w:p w14:paraId="7A2F84E2" w14:textId="0FF7E02C" w:rsidR="005F38A6" w:rsidRPr="00BE7A29" w:rsidRDefault="005F38A6" w:rsidP="006A7377">
            <w:pPr>
              <w:jc w:val="center"/>
              <w:rPr>
                <w:b/>
                <w:bCs/>
                <w:color w:val="000000"/>
                <w:sz w:val="20"/>
                <w:szCs w:val="20"/>
              </w:rPr>
            </w:pPr>
            <w:r w:rsidRPr="00BA6451">
              <w:rPr>
                <w:b/>
                <w:bCs/>
                <w:color w:val="000000"/>
                <w:sz w:val="20"/>
                <w:szCs w:val="20"/>
              </w:rPr>
              <w:t>(</w:t>
            </w:r>
            <w:r w:rsidR="009D45E5">
              <w:rPr>
                <w:b/>
                <w:bCs/>
                <w:color w:val="000000"/>
                <w:sz w:val="20"/>
                <w:szCs w:val="20"/>
              </w:rPr>
              <w:t>Choque</w:t>
            </w:r>
            <w:r w:rsidRPr="00BA6451">
              <w:rPr>
                <w:b/>
                <w:bCs/>
                <w:color w:val="000000"/>
                <w:sz w:val="20"/>
                <w:szCs w:val="20"/>
              </w:rPr>
              <w:t xml:space="preserve">- </w:t>
            </w:r>
            <w:r w:rsidR="009D45E5">
              <w:rPr>
                <w:b/>
                <w:bCs/>
                <w:color w:val="000000"/>
                <w:sz w:val="20"/>
                <w:szCs w:val="20"/>
              </w:rPr>
              <w:t>pres</w:t>
            </w:r>
            <w:r w:rsidRPr="00BA6451">
              <w:rPr>
                <w:b/>
                <w:bCs/>
                <w:color w:val="000000"/>
                <w:sz w:val="20"/>
                <w:szCs w:val="20"/>
              </w:rPr>
              <w:t>)</w:t>
            </w:r>
          </w:p>
        </w:tc>
        <w:tc>
          <w:tcPr>
            <w:tcW w:w="1220" w:type="dxa"/>
            <w:tcBorders>
              <w:top w:val="single" w:sz="4" w:space="0" w:color="auto"/>
              <w:left w:val="nil"/>
              <w:bottom w:val="double" w:sz="6" w:space="0" w:color="auto"/>
              <w:right w:val="nil"/>
            </w:tcBorders>
            <w:shd w:val="clear" w:color="auto" w:fill="auto"/>
            <w:noWrap/>
            <w:vAlign w:val="bottom"/>
            <w:hideMark/>
          </w:tcPr>
          <w:p w14:paraId="0C09DE12" w14:textId="77777777" w:rsidR="005F38A6" w:rsidRPr="00BE7A29" w:rsidRDefault="005F38A6" w:rsidP="006A7377">
            <w:pPr>
              <w:jc w:val="center"/>
              <w:rPr>
                <w:b/>
                <w:bCs/>
                <w:color w:val="000000"/>
                <w:sz w:val="20"/>
                <w:szCs w:val="20"/>
              </w:rPr>
            </w:pPr>
            <w:r w:rsidRPr="00BE7A29">
              <w:rPr>
                <w:b/>
                <w:bCs/>
                <w:color w:val="000000"/>
                <w:sz w:val="20"/>
                <w:szCs w:val="20"/>
              </w:rPr>
              <w:t>% del PIB</w:t>
            </w:r>
          </w:p>
        </w:tc>
      </w:tr>
      <w:tr w:rsidR="005F38A6" w:rsidRPr="00BE7A29" w14:paraId="3B2CCB4F" w14:textId="77777777" w:rsidTr="009D45E5">
        <w:trPr>
          <w:trHeight w:val="231"/>
          <w:jc w:val="center"/>
        </w:trPr>
        <w:tc>
          <w:tcPr>
            <w:tcW w:w="3975" w:type="dxa"/>
            <w:tcBorders>
              <w:top w:val="nil"/>
              <w:left w:val="nil"/>
              <w:bottom w:val="nil"/>
              <w:right w:val="nil"/>
            </w:tcBorders>
            <w:shd w:val="clear" w:color="000000" w:fill="EDEDED"/>
            <w:noWrap/>
            <w:vAlign w:val="bottom"/>
            <w:hideMark/>
          </w:tcPr>
          <w:p w14:paraId="192F32F4" w14:textId="77777777" w:rsidR="005F38A6" w:rsidRPr="00BE7A29" w:rsidRDefault="005F38A6" w:rsidP="006A7377">
            <w:pPr>
              <w:rPr>
                <w:b/>
                <w:bCs/>
                <w:color w:val="000000"/>
                <w:sz w:val="20"/>
                <w:szCs w:val="20"/>
              </w:rPr>
            </w:pPr>
            <w:r w:rsidRPr="00BE7A29">
              <w:rPr>
                <w:b/>
                <w:bCs/>
                <w:color w:val="000000"/>
                <w:sz w:val="20"/>
                <w:szCs w:val="20"/>
              </w:rPr>
              <w:t>Impacto en los ingresos y gastos</w:t>
            </w:r>
          </w:p>
        </w:tc>
        <w:tc>
          <w:tcPr>
            <w:tcW w:w="1554" w:type="dxa"/>
            <w:tcBorders>
              <w:top w:val="nil"/>
              <w:left w:val="single" w:sz="4" w:space="0" w:color="auto"/>
              <w:bottom w:val="nil"/>
              <w:right w:val="nil"/>
            </w:tcBorders>
            <w:shd w:val="clear" w:color="000000" w:fill="EDEDED"/>
            <w:noWrap/>
            <w:vAlign w:val="bottom"/>
            <w:hideMark/>
          </w:tcPr>
          <w:p w14:paraId="42C2771C" w14:textId="77777777" w:rsidR="005F38A6" w:rsidRPr="00BE7A29" w:rsidRDefault="005F38A6" w:rsidP="006A7377">
            <w:pPr>
              <w:jc w:val="center"/>
              <w:rPr>
                <w:b/>
                <w:bCs/>
                <w:color w:val="000000"/>
                <w:sz w:val="20"/>
                <w:szCs w:val="20"/>
              </w:rPr>
            </w:pPr>
            <w:r w:rsidRPr="00BE7A29">
              <w:rPr>
                <w:b/>
                <w:bCs/>
                <w:color w:val="000000"/>
                <w:sz w:val="20"/>
                <w:szCs w:val="20"/>
              </w:rPr>
              <w:t> </w:t>
            </w:r>
          </w:p>
        </w:tc>
        <w:tc>
          <w:tcPr>
            <w:tcW w:w="1220" w:type="dxa"/>
            <w:tcBorders>
              <w:top w:val="nil"/>
              <w:left w:val="nil"/>
              <w:bottom w:val="nil"/>
              <w:right w:val="nil"/>
            </w:tcBorders>
            <w:shd w:val="clear" w:color="000000" w:fill="EDEDED"/>
            <w:noWrap/>
            <w:vAlign w:val="bottom"/>
            <w:hideMark/>
          </w:tcPr>
          <w:p w14:paraId="3960370D" w14:textId="77777777" w:rsidR="005F38A6" w:rsidRPr="00BE7A29" w:rsidRDefault="005F38A6" w:rsidP="006A7377">
            <w:pPr>
              <w:jc w:val="center"/>
              <w:rPr>
                <w:b/>
                <w:bCs/>
                <w:color w:val="000000"/>
                <w:sz w:val="20"/>
                <w:szCs w:val="20"/>
              </w:rPr>
            </w:pPr>
            <w:r w:rsidRPr="00BE7A29">
              <w:rPr>
                <w:b/>
                <w:bCs/>
                <w:color w:val="000000"/>
                <w:sz w:val="20"/>
                <w:szCs w:val="20"/>
              </w:rPr>
              <w:t> </w:t>
            </w:r>
          </w:p>
        </w:tc>
      </w:tr>
      <w:tr w:rsidR="00E411A4" w:rsidRPr="00BE7A29" w14:paraId="79983BB5" w14:textId="77777777" w:rsidTr="009D45E5">
        <w:trPr>
          <w:trHeight w:val="220"/>
          <w:jc w:val="center"/>
        </w:trPr>
        <w:tc>
          <w:tcPr>
            <w:tcW w:w="3975" w:type="dxa"/>
            <w:tcBorders>
              <w:top w:val="nil"/>
              <w:left w:val="nil"/>
              <w:bottom w:val="nil"/>
              <w:right w:val="nil"/>
            </w:tcBorders>
            <w:shd w:val="clear" w:color="auto" w:fill="auto"/>
            <w:noWrap/>
            <w:vAlign w:val="bottom"/>
            <w:hideMark/>
          </w:tcPr>
          <w:p w14:paraId="40806A85" w14:textId="77777777" w:rsidR="00E411A4" w:rsidRPr="00BE7A29" w:rsidRDefault="00E411A4" w:rsidP="00E411A4">
            <w:pPr>
              <w:rPr>
                <w:color w:val="000000"/>
                <w:sz w:val="20"/>
                <w:szCs w:val="20"/>
              </w:rPr>
            </w:pPr>
            <w:r w:rsidRPr="00BE7A29">
              <w:rPr>
                <w:color w:val="000000"/>
                <w:sz w:val="20"/>
                <w:szCs w:val="20"/>
              </w:rPr>
              <w:t>(-) Recaudación (IVA importaciones)</w:t>
            </w:r>
          </w:p>
        </w:tc>
        <w:tc>
          <w:tcPr>
            <w:tcW w:w="1554" w:type="dxa"/>
            <w:tcBorders>
              <w:top w:val="nil"/>
              <w:left w:val="single" w:sz="4" w:space="0" w:color="auto"/>
              <w:bottom w:val="nil"/>
              <w:right w:val="nil"/>
            </w:tcBorders>
            <w:shd w:val="clear" w:color="auto" w:fill="auto"/>
            <w:noWrap/>
            <w:hideMark/>
          </w:tcPr>
          <w:p w14:paraId="19833B79" w14:textId="365A6496" w:rsidR="00E411A4" w:rsidRPr="00E411A4" w:rsidRDefault="00E411A4" w:rsidP="00E411A4">
            <w:pPr>
              <w:jc w:val="center"/>
              <w:rPr>
                <w:color w:val="000000"/>
                <w:sz w:val="20"/>
                <w:szCs w:val="20"/>
              </w:rPr>
            </w:pPr>
            <w:r w:rsidRPr="00E411A4">
              <w:rPr>
                <w:sz w:val="20"/>
                <w:szCs w:val="20"/>
              </w:rPr>
              <w:t>-2,725.8</w:t>
            </w:r>
          </w:p>
        </w:tc>
        <w:tc>
          <w:tcPr>
            <w:tcW w:w="1220" w:type="dxa"/>
            <w:tcBorders>
              <w:top w:val="nil"/>
              <w:left w:val="nil"/>
              <w:bottom w:val="nil"/>
              <w:right w:val="nil"/>
            </w:tcBorders>
            <w:shd w:val="clear" w:color="auto" w:fill="auto"/>
            <w:noWrap/>
            <w:hideMark/>
          </w:tcPr>
          <w:p w14:paraId="5A8D4B8D" w14:textId="38CF2697" w:rsidR="00E411A4" w:rsidRPr="00E411A4" w:rsidRDefault="00E411A4" w:rsidP="00E411A4">
            <w:pPr>
              <w:jc w:val="center"/>
              <w:rPr>
                <w:color w:val="000000"/>
                <w:sz w:val="20"/>
                <w:szCs w:val="20"/>
              </w:rPr>
            </w:pPr>
            <w:r w:rsidRPr="00E411A4">
              <w:rPr>
                <w:sz w:val="20"/>
                <w:szCs w:val="20"/>
              </w:rPr>
              <w:t>-0.3%</w:t>
            </w:r>
          </w:p>
        </w:tc>
      </w:tr>
      <w:tr w:rsidR="00E411A4" w:rsidRPr="00BE7A29" w14:paraId="00CAA7E2" w14:textId="77777777" w:rsidTr="009D45E5">
        <w:trPr>
          <w:trHeight w:val="220"/>
          <w:jc w:val="center"/>
        </w:trPr>
        <w:tc>
          <w:tcPr>
            <w:tcW w:w="3975" w:type="dxa"/>
            <w:tcBorders>
              <w:top w:val="nil"/>
              <w:left w:val="nil"/>
              <w:bottom w:val="nil"/>
              <w:right w:val="nil"/>
            </w:tcBorders>
            <w:shd w:val="clear" w:color="auto" w:fill="auto"/>
            <w:noWrap/>
            <w:vAlign w:val="bottom"/>
            <w:hideMark/>
          </w:tcPr>
          <w:p w14:paraId="603786A3" w14:textId="77777777" w:rsidR="00E411A4" w:rsidRPr="00BE7A29" w:rsidRDefault="00E411A4" w:rsidP="00E411A4">
            <w:pPr>
              <w:rPr>
                <w:color w:val="000000"/>
                <w:sz w:val="20"/>
                <w:szCs w:val="20"/>
              </w:rPr>
            </w:pPr>
            <w:r w:rsidRPr="00BE7A29">
              <w:rPr>
                <w:color w:val="000000"/>
                <w:sz w:val="20"/>
                <w:szCs w:val="20"/>
              </w:rPr>
              <w:t>(+) Intereses (Deuda)</w:t>
            </w:r>
          </w:p>
        </w:tc>
        <w:tc>
          <w:tcPr>
            <w:tcW w:w="1554" w:type="dxa"/>
            <w:tcBorders>
              <w:top w:val="nil"/>
              <w:left w:val="single" w:sz="4" w:space="0" w:color="auto"/>
              <w:bottom w:val="nil"/>
              <w:right w:val="nil"/>
            </w:tcBorders>
            <w:shd w:val="clear" w:color="auto" w:fill="auto"/>
            <w:noWrap/>
            <w:hideMark/>
          </w:tcPr>
          <w:p w14:paraId="4D350D08" w14:textId="1AE0141F" w:rsidR="00E411A4" w:rsidRPr="00E411A4" w:rsidRDefault="00E411A4" w:rsidP="00E411A4">
            <w:pPr>
              <w:jc w:val="center"/>
              <w:rPr>
                <w:color w:val="000000"/>
                <w:sz w:val="20"/>
                <w:szCs w:val="20"/>
              </w:rPr>
            </w:pPr>
            <w:r w:rsidRPr="00E411A4">
              <w:rPr>
                <w:sz w:val="20"/>
                <w:szCs w:val="20"/>
              </w:rPr>
              <w:t>-507.7</w:t>
            </w:r>
          </w:p>
        </w:tc>
        <w:tc>
          <w:tcPr>
            <w:tcW w:w="1220" w:type="dxa"/>
            <w:tcBorders>
              <w:top w:val="nil"/>
              <w:left w:val="nil"/>
              <w:bottom w:val="nil"/>
              <w:right w:val="nil"/>
            </w:tcBorders>
            <w:shd w:val="clear" w:color="auto" w:fill="auto"/>
            <w:noWrap/>
            <w:hideMark/>
          </w:tcPr>
          <w:p w14:paraId="0741C261" w14:textId="7850CF4B" w:rsidR="00E411A4" w:rsidRPr="00E411A4" w:rsidRDefault="00E411A4" w:rsidP="00E411A4">
            <w:pPr>
              <w:jc w:val="center"/>
              <w:rPr>
                <w:color w:val="000000"/>
                <w:sz w:val="20"/>
                <w:szCs w:val="20"/>
              </w:rPr>
            </w:pPr>
            <w:r w:rsidRPr="00E411A4">
              <w:rPr>
                <w:sz w:val="20"/>
                <w:szCs w:val="20"/>
              </w:rPr>
              <w:t>-0.1%</w:t>
            </w:r>
          </w:p>
        </w:tc>
      </w:tr>
      <w:tr w:rsidR="00E411A4" w:rsidRPr="00BE7A29" w14:paraId="110E13FF" w14:textId="77777777" w:rsidTr="009D45E5">
        <w:trPr>
          <w:trHeight w:val="220"/>
          <w:jc w:val="center"/>
        </w:trPr>
        <w:tc>
          <w:tcPr>
            <w:tcW w:w="3975" w:type="dxa"/>
            <w:tcBorders>
              <w:top w:val="nil"/>
              <w:left w:val="nil"/>
              <w:bottom w:val="nil"/>
              <w:right w:val="nil"/>
            </w:tcBorders>
            <w:shd w:val="clear" w:color="auto" w:fill="auto"/>
            <w:noWrap/>
            <w:vAlign w:val="bottom"/>
            <w:hideMark/>
          </w:tcPr>
          <w:p w14:paraId="799735C1" w14:textId="77777777" w:rsidR="00E411A4" w:rsidRPr="00BE7A29" w:rsidRDefault="00E411A4" w:rsidP="00E411A4">
            <w:pPr>
              <w:rPr>
                <w:color w:val="000000"/>
                <w:sz w:val="20"/>
                <w:szCs w:val="20"/>
              </w:rPr>
            </w:pPr>
            <w:r w:rsidRPr="00BE7A29">
              <w:rPr>
                <w:color w:val="000000"/>
                <w:sz w:val="20"/>
                <w:szCs w:val="20"/>
              </w:rPr>
              <w:t>(+) Gasto importado</w:t>
            </w:r>
          </w:p>
        </w:tc>
        <w:tc>
          <w:tcPr>
            <w:tcW w:w="1554" w:type="dxa"/>
            <w:tcBorders>
              <w:top w:val="nil"/>
              <w:left w:val="single" w:sz="4" w:space="0" w:color="auto"/>
              <w:bottom w:val="nil"/>
              <w:right w:val="nil"/>
            </w:tcBorders>
            <w:shd w:val="clear" w:color="auto" w:fill="auto"/>
            <w:noWrap/>
            <w:hideMark/>
          </w:tcPr>
          <w:p w14:paraId="38F63735" w14:textId="1DFD74FE" w:rsidR="00E411A4" w:rsidRPr="00E411A4" w:rsidRDefault="00E411A4" w:rsidP="00E411A4">
            <w:pPr>
              <w:jc w:val="center"/>
              <w:rPr>
                <w:color w:val="000000"/>
                <w:sz w:val="20"/>
                <w:szCs w:val="20"/>
              </w:rPr>
            </w:pPr>
            <w:r w:rsidRPr="00E411A4">
              <w:rPr>
                <w:sz w:val="20"/>
                <w:szCs w:val="20"/>
              </w:rPr>
              <w:t>-873.7</w:t>
            </w:r>
          </w:p>
        </w:tc>
        <w:tc>
          <w:tcPr>
            <w:tcW w:w="1220" w:type="dxa"/>
            <w:tcBorders>
              <w:top w:val="nil"/>
              <w:left w:val="nil"/>
              <w:bottom w:val="nil"/>
              <w:right w:val="nil"/>
            </w:tcBorders>
            <w:shd w:val="clear" w:color="auto" w:fill="auto"/>
            <w:noWrap/>
            <w:hideMark/>
          </w:tcPr>
          <w:p w14:paraId="58B0C8A4" w14:textId="3CA65D1F" w:rsidR="00E411A4" w:rsidRPr="00E411A4" w:rsidRDefault="00E411A4" w:rsidP="00E411A4">
            <w:pPr>
              <w:jc w:val="center"/>
              <w:rPr>
                <w:color w:val="000000"/>
                <w:sz w:val="20"/>
                <w:szCs w:val="20"/>
              </w:rPr>
            </w:pPr>
            <w:r w:rsidRPr="00E411A4">
              <w:rPr>
                <w:sz w:val="20"/>
                <w:szCs w:val="20"/>
              </w:rPr>
              <w:t>-0.1%</w:t>
            </w:r>
          </w:p>
        </w:tc>
      </w:tr>
      <w:tr w:rsidR="00E411A4" w:rsidRPr="00BE7A29" w14:paraId="2461DC0C" w14:textId="77777777" w:rsidTr="009D45E5">
        <w:trPr>
          <w:trHeight w:val="220"/>
          <w:jc w:val="center"/>
        </w:trPr>
        <w:tc>
          <w:tcPr>
            <w:tcW w:w="3975" w:type="dxa"/>
            <w:tcBorders>
              <w:top w:val="nil"/>
              <w:left w:val="nil"/>
              <w:bottom w:val="nil"/>
              <w:right w:val="nil"/>
            </w:tcBorders>
            <w:shd w:val="clear" w:color="auto" w:fill="auto"/>
            <w:noWrap/>
            <w:vAlign w:val="bottom"/>
            <w:hideMark/>
          </w:tcPr>
          <w:p w14:paraId="6421DE00" w14:textId="77777777" w:rsidR="00E411A4" w:rsidRPr="00BE7A29" w:rsidRDefault="00E411A4" w:rsidP="00E411A4">
            <w:pPr>
              <w:rPr>
                <w:b/>
                <w:bCs/>
                <w:color w:val="000000"/>
                <w:sz w:val="20"/>
                <w:szCs w:val="20"/>
              </w:rPr>
            </w:pPr>
            <w:r w:rsidRPr="00BE7A29">
              <w:rPr>
                <w:b/>
                <w:bCs/>
                <w:color w:val="000000"/>
                <w:sz w:val="20"/>
                <w:szCs w:val="20"/>
              </w:rPr>
              <w:t>Total</w:t>
            </w:r>
          </w:p>
        </w:tc>
        <w:tc>
          <w:tcPr>
            <w:tcW w:w="1554" w:type="dxa"/>
            <w:tcBorders>
              <w:top w:val="nil"/>
              <w:left w:val="single" w:sz="4" w:space="0" w:color="auto"/>
              <w:bottom w:val="nil"/>
              <w:right w:val="nil"/>
            </w:tcBorders>
            <w:shd w:val="clear" w:color="auto" w:fill="auto"/>
            <w:noWrap/>
            <w:hideMark/>
          </w:tcPr>
          <w:p w14:paraId="024E80F8" w14:textId="5B299AAA" w:rsidR="00E411A4" w:rsidRPr="00E411A4" w:rsidRDefault="00E411A4" w:rsidP="00E411A4">
            <w:pPr>
              <w:jc w:val="center"/>
              <w:rPr>
                <w:b/>
                <w:bCs/>
                <w:color w:val="000000"/>
                <w:sz w:val="20"/>
                <w:szCs w:val="20"/>
              </w:rPr>
            </w:pPr>
            <w:r w:rsidRPr="00E411A4">
              <w:rPr>
                <w:sz w:val="20"/>
                <w:szCs w:val="20"/>
              </w:rPr>
              <w:t>1,344.4</w:t>
            </w:r>
          </w:p>
        </w:tc>
        <w:tc>
          <w:tcPr>
            <w:tcW w:w="1220" w:type="dxa"/>
            <w:tcBorders>
              <w:top w:val="nil"/>
              <w:left w:val="nil"/>
              <w:bottom w:val="nil"/>
              <w:right w:val="nil"/>
            </w:tcBorders>
            <w:shd w:val="clear" w:color="auto" w:fill="auto"/>
            <w:noWrap/>
            <w:hideMark/>
          </w:tcPr>
          <w:p w14:paraId="18B64AD7" w14:textId="57FD38EB" w:rsidR="00E411A4" w:rsidRPr="00E411A4" w:rsidRDefault="00E411A4" w:rsidP="00E411A4">
            <w:pPr>
              <w:jc w:val="center"/>
              <w:rPr>
                <w:b/>
                <w:bCs/>
                <w:color w:val="000000"/>
                <w:sz w:val="20"/>
                <w:szCs w:val="20"/>
              </w:rPr>
            </w:pPr>
            <w:r w:rsidRPr="00E411A4">
              <w:rPr>
                <w:sz w:val="20"/>
                <w:szCs w:val="20"/>
              </w:rPr>
              <w:t>0.2%</w:t>
            </w:r>
          </w:p>
        </w:tc>
      </w:tr>
      <w:tr w:rsidR="00E411A4" w:rsidRPr="00BE7A29" w14:paraId="16CAA4D0" w14:textId="77777777" w:rsidTr="009D45E5">
        <w:trPr>
          <w:trHeight w:val="220"/>
          <w:jc w:val="center"/>
        </w:trPr>
        <w:tc>
          <w:tcPr>
            <w:tcW w:w="3975" w:type="dxa"/>
            <w:tcBorders>
              <w:top w:val="nil"/>
              <w:left w:val="nil"/>
              <w:bottom w:val="nil"/>
              <w:right w:val="nil"/>
            </w:tcBorders>
            <w:shd w:val="clear" w:color="000000" w:fill="EDEDED"/>
            <w:noWrap/>
            <w:vAlign w:val="bottom"/>
            <w:hideMark/>
          </w:tcPr>
          <w:p w14:paraId="59437CD8" w14:textId="77777777" w:rsidR="00E411A4" w:rsidRPr="00BE7A29" w:rsidRDefault="00E411A4" w:rsidP="00E411A4">
            <w:pPr>
              <w:rPr>
                <w:b/>
                <w:bCs/>
                <w:color w:val="000000"/>
                <w:sz w:val="20"/>
                <w:szCs w:val="20"/>
              </w:rPr>
            </w:pPr>
            <w:r w:rsidRPr="00BE7A29">
              <w:rPr>
                <w:b/>
                <w:bCs/>
                <w:color w:val="000000"/>
                <w:sz w:val="20"/>
                <w:szCs w:val="20"/>
              </w:rPr>
              <w:t>Impacto en la deuda (-)</w:t>
            </w:r>
          </w:p>
        </w:tc>
        <w:tc>
          <w:tcPr>
            <w:tcW w:w="1554" w:type="dxa"/>
            <w:tcBorders>
              <w:top w:val="nil"/>
              <w:left w:val="single" w:sz="4" w:space="0" w:color="auto"/>
              <w:bottom w:val="nil"/>
              <w:right w:val="nil"/>
            </w:tcBorders>
            <w:shd w:val="clear" w:color="000000" w:fill="EDEDED"/>
            <w:noWrap/>
            <w:hideMark/>
          </w:tcPr>
          <w:p w14:paraId="0D19450F" w14:textId="287D7054" w:rsidR="00E411A4" w:rsidRPr="00E411A4" w:rsidRDefault="00E411A4" w:rsidP="00E411A4">
            <w:pPr>
              <w:jc w:val="center"/>
              <w:rPr>
                <w:b/>
                <w:bCs/>
                <w:color w:val="000000"/>
                <w:sz w:val="20"/>
                <w:szCs w:val="20"/>
              </w:rPr>
            </w:pPr>
          </w:p>
        </w:tc>
        <w:tc>
          <w:tcPr>
            <w:tcW w:w="1220" w:type="dxa"/>
            <w:tcBorders>
              <w:top w:val="nil"/>
              <w:left w:val="nil"/>
              <w:bottom w:val="nil"/>
              <w:right w:val="nil"/>
            </w:tcBorders>
            <w:shd w:val="clear" w:color="000000" w:fill="EDEDED"/>
            <w:noWrap/>
            <w:hideMark/>
          </w:tcPr>
          <w:p w14:paraId="1D7B1B15" w14:textId="6F4B2200" w:rsidR="00E411A4" w:rsidRPr="00E411A4" w:rsidRDefault="00E411A4" w:rsidP="00E411A4">
            <w:pPr>
              <w:jc w:val="center"/>
              <w:rPr>
                <w:b/>
                <w:bCs/>
                <w:color w:val="000000"/>
                <w:sz w:val="20"/>
                <w:szCs w:val="20"/>
              </w:rPr>
            </w:pPr>
          </w:p>
        </w:tc>
      </w:tr>
      <w:tr w:rsidR="00E411A4" w:rsidRPr="00BE7A29" w14:paraId="3AA84560" w14:textId="77777777" w:rsidTr="009D45E5">
        <w:trPr>
          <w:trHeight w:val="220"/>
          <w:jc w:val="center"/>
        </w:trPr>
        <w:tc>
          <w:tcPr>
            <w:tcW w:w="3975" w:type="dxa"/>
            <w:tcBorders>
              <w:top w:val="nil"/>
              <w:left w:val="nil"/>
              <w:bottom w:val="nil"/>
              <w:right w:val="nil"/>
            </w:tcBorders>
            <w:shd w:val="clear" w:color="auto" w:fill="auto"/>
            <w:noWrap/>
            <w:vAlign w:val="bottom"/>
            <w:hideMark/>
          </w:tcPr>
          <w:p w14:paraId="77216B2B" w14:textId="77777777" w:rsidR="00E411A4" w:rsidRPr="00BE7A29" w:rsidRDefault="00E411A4" w:rsidP="00E411A4">
            <w:pPr>
              <w:rPr>
                <w:color w:val="000000"/>
                <w:sz w:val="20"/>
                <w:szCs w:val="20"/>
              </w:rPr>
            </w:pPr>
            <w:r w:rsidRPr="00BE7A29">
              <w:rPr>
                <w:color w:val="000000"/>
                <w:sz w:val="20"/>
                <w:szCs w:val="20"/>
              </w:rPr>
              <w:t>(+) Deuda (% PIB)</w:t>
            </w:r>
          </w:p>
        </w:tc>
        <w:tc>
          <w:tcPr>
            <w:tcW w:w="1554" w:type="dxa"/>
            <w:tcBorders>
              <w:top w:val="nil"/>
              <w:left w:val="single" w:sz="4" w:space="0" w:color="auto"/>
              <w:bottom w:val="nil"/>
              <w:right w:val="nil"/>
            </w:tcBorders>
            <w:shd w:val="clear" w:color="auto" w:fill="auto"/>
            <w:noWrap/>
            <w:hideMark/>
          </w:tcPr>
          <w:p w14:paraId="581945E2" w14:textId="13A63CEC" w:rsidR="00E411A4" w:rsidRPr="00E411A4" w:rsidRDefault="00E411A4" w:rsidP="00E411A4">
            <w:pPr>
              <w:jc w:val="center"/>
              <w:rPr>
                <w:color w:val="000000"/>
                <w:sz w:val="20"/>
                <w:szCs w:val="20"/>
              </w:rPr>
            </w:pPr>
            <w:r w:rsidRPr="00E411A4">
              <w:rPr>
                <w:sz w:val="20"/>
                <w:szCs w:val="20"/>
              </w:rPr>
              <w:t>9,768.2</w:t>
            </w:r>
          </w:p>
        </w:tc>
        <w:tc>
          <w:tcPr>
            <w:tcW w:w="1220" w:type="dxa"/>
            <w:tcBorders>
              <w:top w:val="nil"/>
              <w:left w:val="nil"/>
              <w:bottom w:val="nil"/>
              <w:right w:val="nil"/>
            </w:tcBorders>
            <w:shd w:val="clear" w:color="auto" w:fill="auto"/>
            <w:noWrap/>
            <w:hideMark/>
          </w:tcPr>
          <w:p w14:paraId="5C9AD347" w14:textId="0960D81D" w:rsidR="00E411A4" w:rsidRPr="00E411A4" w:rsidRDefault="00E411A4" w:rsidP="00E411A4">
            <w:pPr>
              <w:jc w:val="center"/>
              <w:rPr>
                <w:color w:val="000000"/>
                <w:sz w:val="20"/>
                <w:szCs w:val="20"/>
              </w:rPr>
            </w:pPr>
            <w:r w:rsidRPr="00E411A4">
              <w:rPr>
                <w:sz w:val="20"/>
                <w:szCs w:val="20"/>
              </w:rPr>
              <w:t>1.2%</w:t>
            </w:r>
          </w:p>
        </w:tc>
      </w:tr>
      <w:tr w:rsidR="00E411A4" w:rsidRPr="00BE7A29" w14:paraId="10270936" w14:textId="77777777" w:rsidTr="009D45E5">
        <w:trPr>
          <w:trHeight w:val="220"/>
          <w:jc w:val="center"/>
        </w:trPr>
        <w:tc>
          <w:tcPr>
            <w:tcW w:w="3975" w:type="dxa"/>
            <w:tcBorders>
              <w:top w:val="nil"/>
              <w:left w:val="nil"/>
              <w:bottom w:val="single" w:sz="4" w:space="0" w:color="auto"/>
              <w:right w:val="nil"/>
            </w:tcBorders>
            <w:shd w:val="clear" w:color="auto" w:fill="auto"/>
            <w:noWrap/>
            <w:vAlign w:val="bottom"/>
            <w:hideMark/>
          </w:tcPr>
          <w:p w14:paraId="647A5402" w14:textId="77777777" w:rsidR="00E411A4" w:rsidRPr="00BE7A29" w:rsidRDefault="00E411A4" w:rsidP="00E411A4">
            <w:pPr>
              <w:rPr>
                <w:color w:val="000000"/>
                <w:sz w:val="20"/>
                <w:szCs w:val="20"/>
              </w:rPr>
            </w:pPr>
            <w:r w:rsidRPr="00BE7A29">
              <w:rPr>
                <w:color w:val="000000"/>
                <w:sz w:val="20"/>
                <w:szCs w:val="20"/>
              </w:rPr>
              <w:t>(+) Moneda Extrajera (% del total)</w:t>
            </w:r>
          </w:p>
        </w:tc>
        <w:tc>
          <w:tcPr>
            <w:tcW w:w="1554" w:type="dxa"/>
            <w:tcBorders>
              <w:top w:val="nil"/>
              <w:left w:val="single" w:sz="4" w:space="0" w:color="auto"/>
              <w:bottom w:val="single" w:sz="4" w:space="0" w:color="auto"/>
              <w:right w:val="nil"/>
            </w:tcBorders>
            <w:shd w:val="clear" w:color="auto" w:fill="auto"/>
            <w:noWrap/>
            <w:hideMark/>
          </w:tcPr>
          <w:p w14:paraId="43F5AC4A" w14:textId="7B858466" w:rsidR="00E411A4" w:rsidRPr="00E411A4" w:rsidRDefault="00E411A4" w:rsidP="00E411A4">
            <w:pPr>
              <w:jc w:val="center"/>
              <w:rPr>
                <w:color w:val="000000"/>
                <w:sz w:val="20"/>
                <w:szCs w:val="20"/>
              </w:rPr>
            </w:pPr>
            <w:r w:rsidRPr="00E411A4">
              <w:rPr>
                <w:sz w:val="20"/>
                <w:szCs w:val="20"/>
              </w:rPr>
              <w:t>9,768.2</w:t>
            </w:r>
          </w:p>
        </w:tc>
        <w:tc>
          <w:tcPr>
            <w:tcW w:w="1220" w:type="dxa"/>
            <w:tcBorders>
              <w:top w:val="nil"/>
              <w:left w:val="nil"/>
              <w:bottom w:val="single" w:sz="4" w:space="0" w:color="auto"/>
              <w:right w:val="nil"/>
            </w:tcBorders>
            <w:shd w:val="clear" w:color="auto" w:fill="auto"/>
            <w:noWrap/>
            <w:hideMark/>
          </w:tcPr>
          <w:p w14:paraId="42DF6B60" w14:textId="2F81F57C" w:rsidR="00E411A4" w:rsidRPr="00E411A4" w:rsidRDefault="00E411A4" w:rsidP="00E411A4">
            <w:pPr>
              <w:jc w:val="center"/>
              <w:rPr>
                <w:color w:val="000000"/>
                <w:sz w:val="20"/>
                <w:szCs w:val="20"/>
              </w:rPr>
            </w:pPr>
            <w:r w:rsidRPr="00E411A4">
              <w:rPr>
                <w:sz w:val="20"/>
                <w:szCs w:val="20"/>
              </w:rPr>
              <w:t>1.2%</w:t>
            </w:r>
          </w:p>
        </w:tc>
      </w:tr>
    </w:tbl>
    <w:bookmarkEnd w:id="110"/>
    <w:p w14:paraId="44990D19" w14:textId="77777777" w:rsidR="005F38A6" w:rsidRPr="000438E8" w:rsidRDefault="005F38A6" w:rsidP="005F38A6">
      <w:pPr>
        <w:rPr>
          <w:sz w:val="16"/>
          <w:szCs w:val="16"/>
        </w:rPr>
      </w:pPr>
      <w:r w:rsidRPr="000438E8">
        <w:rPr>
          <w:sz w:val="16"/>
          <w:szCs w:val="16"/>
        </w:rPr>
        <w:t xml:space="preserve">                      Fuente: Ministerio de Finanzas</w:t>
      </w:r>
    </w:p>
    <w:p w14:paraId="3E983F90" w14:textId="77777777" w:rsidR="005F38A6" w:rsidRDefault="005F38A6" w:rsidP="005F38A6">
      <w:pPr>
        <w:jc w:val="both"/>
      </w:pPr>
    </w:p>
    <w:p w14:paraId="71CB5C17" w14:textId="77777777" w:rsidR="005F38A6" w:rsidRDefault="005F38A6" w:rsidP="005F38A6">
      <w:pPr>
        <w:jc w:val="both"/>
      </w:pPr>
      <w:r w:rsidRPr="00751BC0">
        <w:t>Es importante, indicar que altas apreciaciones o depreciaciones podrían incidir en la inflación y disminuir el ingreso real de los hogares, por lo que la demanda real podría disminuir, este impacto no fue considerado en estos análisis.</w:t>
      </w:r>
    </w:p>
    <w:p w14:paraId="2198C3F6" w14:textId="77777777" w:rsidR="005F38A6" w:rsidRDefault="005F38A6" w:rsidP="005F38A6">
      <w:pPr>
        <w:jc w:val="both"/>
      </w:pPr>
    </w:p>
    <w:p w14:paraId="7CA27387" w14:textId="77777777" w:rsidR="005F38A6" w:rsidRPr="00987058" w:rsidRDefault="005F38A6" w:rsidP="005F07F9">
      <w:pPr>
        <w:pStyle w:val="Ttulo2"/>
        <w:numPr>
          <w:ilvl w:val="1"/>
          <w:numId w:val="35"/>
        </w:numPr>
        <w:ind w:left="567" w:hanging="425"/>
        <w:rPr>
          <w:bCs/>
        </w:rPr>
      </w:pPr>
      <w:bookmarkStart w:id="111" w:name="_Toc144114370"/>
      <w:r w:rsidRPr="00987058">
        <w:rPr>
          <w:bCs/>
        </w:rPr>
        <w:t>Riesgos asociados a la tasa de interés</w:t>
      </w:r>
      <w:bookmarkEnd w:id="111"/>
    </w:p>
    <w:p w14:paraId="7F3706F6" w14:textId="77777777" w:rsidR="005F38A6" w:rsidRPr="00E9078C" w:rsidRDefault="005F38A6" w:rsidP="005F38A6">
      <w:pPr>
        <w:rPr>
          <w:b/>
          <w:bCs/>
          <w:sz w:val="28"/>
          <w:szCs w:val="28"/>
        </w:rPr>
      </w:pPr>
    </w:p>
    <w:p w14:paraId="7D13148F" w14:textId="77777777" w:rsidR="005F38A6" w:rsidRDefault="005F38A6" w:rsidP="005F38A6">
      <w:pPr>
        <w:jc w:val="both"/>
        <w:rPr>
          <w:color w:val="000000" w:themeColor="text1"/>
        </w:rPr>
      </w:pPr>
      <w:r w:rsidRPr="007D4C2D">
        <w:rPr>
          <w:color w:val="000000" w:themeColor="text1"/>
        </w:rPr>
        <w:t>La tasa de interés del mercado sirve a los inversionistas como referencia de las tasas que están dispuestas a aceptar de los bonos que se colocaran en el mercado local o internacional.</w:t>
      </w:r>
      <w:r>
        <w:rPr>
          <w:color w:val="000000" w:themeColor="text1"/>
        </w:rPr>
        <w:t xml:space="preserve"> Por lo que, el endurecimiento de la política monetaria tiene una gran incidencia en el costo de financiamiento de los gobiernos, aumentando el pago de los intereses y a su vez las necesidades de financiamiento que aumentarán los déficits y los saldos de deuda pública.</w:t>
      </w:r>
    </w:p>
    <w:p w14:paraId="6008A244" w14:textId="77777777" w:rsidR="005F38A6" w:rsidRDefault="005F38A6" w:rsidP="005F38A6">
      <w:pPr>
        <w:jc w:val="both"/>
        <w:rPr>
          <w:color w:val="000000" w:themeColor="text1"/>
        </w:rPr>
      </w:pPr>
    </w:p>
    <w:p w14:paraId="4645EF55" w14:textId="77777777" w:rsidR="005F38A6" w:rsidRDefault="005F38A6" w:rsidP="005F38A6">
      <w:pPr>
        <w:jc w:val="both"/>
        <w:rPr>
          <w:color w:val="000000" w:themeColor="text1"/>
        </w:rPr>
      </w:pPr>
      <w:r>
        <w:rPr>
          <w:color w:val="000000" w:themeColor="text1"/>
        </w:rPr>
        <w:t xml:space="preserve">En un esquema explícito de inflación la autoridad monetaria busca influir en la inflación utilizando la tasa de interés de política, lo cual tiene un efecto sobre la tasa de interés del mercado, las cuales influyen sobre la oferta y demanda agregada, y conjuntamente con las expectativas de los agentes económicos afectan los precios. No obstante, existen choques no controlados por la autoridad que influyen sobre las tasas de interés, los precios y el mecanismo de transmisión. </w:t>
      </w:r>
    </w:p>
    <w:p w14:paraId="03FB678D" w14:textId="77777777" w:rsidR="005F38A6" w:rsidRDefault="005F38A6" w:rsidP="005F38A6">
      <w:pPr>
        <w:jc w:val="both"/>
        <w:rPr>
          <w:color w:val="000000" w:themeColor="text1"/>
        </w:rPr>
      </w:pPr>
    </w:p>
    <w:p w14:paraId="5EC02D44" w14:textId="129AFDC8" w:rsidR="005F38A6" w:rsidRPr="000438E8" w:rsidRDefault="000438E8" w:rsidP="000438E8">
      <w:pPr>
        <w:pStyle w:val="Descripcin"/>
        <w:keepNext/>
      </w:pPr>
      <w:bookmarkStart w:id="112" w:name="_Toc143593522"/>
      <w:r w:rsidRPr="000438E8">
        <w:rPr>
          <w:color w:val="auto"/>
        </w:rPr>
        <w:t xml:space="preserve">Tabla </w:t>
      </w:r>
      <w:r w:rsidRPr="000438E8">
        <w:rPr>
          <w:color w:val="auto"/>
        </w:rPr>
        <w:fldChar w:fldCharType="begin"/>
      </w:r>
      <w:r w:rsidRPr="000438E8">
        <w:rPr>
          <w:color w:val="auto"/>
        </w:rPr>
        <w:instrText xml:space="preserve"> SEQ Tabla \* ARABIC </w:instrText>
      </w:r>
      <w:r w:rsidRPr="000438E8">
        <w:rPr>
          <w:color w:val="auto"/>
        </w:rPr>
        <w:fldChar w:fldCharType="separate"/>
      </w:r>
      <w:r w:rsidR="00A62AFA">
        <w:rPr>
          <w:noProof/>
          <w:color w:val="auto"/>
        </w:rPr>
        <w:t>20</w:t>
      </w:r>
      <w:r w:rsidRPr="000438E8">
        <w:rPr>
          <w:color w:val="auto"/>
        </w:rPr>
        <w:fldChar w:fldCharType="end"/>
      </w:r>
      <w:r w:rsidRPr="000438E8">
        <w:rPr>
          <w:color w:val="auto"/>
        </w:rPr>
        <w:t xml:space="preserve">.  </w:t>
      </w:r>
      <w:r w:rsidR="005F38A6" w:rsidRPr="000438E8">
        <w:rPr>
          <w:bCs/>
          <w:color w:val="auto"/>
        </w:rPr>
        <w:t>Mecanismos de transmisión de la política monetaria</w:t>
      </w:r>
      <w:bookmarkEnd w:id="112"/>
    </w:p>
    <w:p w14:paraId="0D956784" w14:textId="77777777" w:rsidR="005F38A6" w:rsidRPr="007D4C2D" w:rsidRDefault="005F38A6" w:rsidP="005F38A6">
      <w:pPr>
        <w:jc w:val="center"/>
        <w:rPr>
          <w:color w:val="000000" w:themeColor="text1"/>
        </w:rPr>
      </w:pPr>
      <w:r w:rsidRPr="005A48DD">
        <w:rPr>
          <w:noProof/>
        </w:rPr>
        <w:drawing>
          <wp:inline distT="0" distB="0" distL="0" distR="0" wp14:anchorId="04B2AE34" wp14:editId="359DB312">
            <wp:extent cx="4456288" cy="1932167"/>
            <wp:effectExtent l="0" t="0" r="190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49307" cy="1972498"/>
                    </a:xfrm>
                    <a:prstGeom prst="rect">
                      <a:avLst/>
                    </a:prstGeom>
                    <a:noFill/>
                    <a:ln>
                      <a:noFill/>
                    </a:ln>
                  </pic:spPr>
                </pic:pic>
              </a:graphicData>
            </a:graphic>
          </wp:inline>
        </w:drawing>
      </w:r>
    </w:p>
    <w:p w14:paraId="37B0F651" w14:textId="77777777" w:rsidR="005F38A6" w:rsidRPr="009B141C" w:rsidRDefault="005F38A6" w:rsidP="005F38A6">
      <w:pPr>
        <w:rPr>
          <w:color w:val="000000" w:themeColor="text1"/>
          <w:sz w:val="20"/>
          <w:szCs w:val="20"/>
        </w:rPr>
      </w:pPr>
      <w:r>
        <w:rPr>
          <w:color w:val="000000" w:themeColor="text1"/>
          <w:sz w:val="20"/>
          <w:szCs w:val="20"/>
        </w:rPr>
        <w:t xml:space="preserve">                                   </w:t>
      </w:r>
      <w:r w:rsidRPr="000438E8">
        <w:rPr>
          <w:color w:val="000000" w:themeColor="text1"/>
          <w:sz w:val="16"/>
          <w:szCs w:val="16"/>
        </w:rPr>
        <w:t>Fuente: Ministerio de Finanzas</w:t>
      </w:r>
    </w:p>
    <w:p w14:paraId="1AE64038" w14:textId="77777777" w:rsidR="005F38A6" w:rsidRDefault="005F38A6" w:rsidP="005F38A6">
      <w:pPr>
        <w:jc w:val="both"/>
        <w:rPr>
          <w:color w:val="000000" w:themeColor="text1"/>
        </w:rPr>
      </w:pPr>
    </w:p>
    <w:p w14:paraId="0E3A6011" w14:textId="77777777" w:rsidR="005F38A6" w:rsidRDefault="005F38A6" w:rsidP="005F38A6">
      <w:pPr>
        <w:jc w:val="both"/>
        <w:rPr>
          <w:color w:val="000000" w:themeColor="text1"/>
        </w:rPr>
      </w:pPr>
      <w:r>
        <w:rPr>
          <w:color w:val="000000" w:themeColor="text1"/>
        </w:rPr>
        <w:t xml:space="preserve">Para el análisis de esta sección cabe destacar el impacto que tiene la economía global y el precio de las materias primas sobre la inflación, y como esto ha llevado a los bancos centrales de todo el mundo a aumentar las tasas de interés en los últimos años. Asimismo, indicar que, </w:t>
      </w:r>
      <w:r>
        <w:rPr>
          <w:color w:val="000000" w:themeColor="text1"/>
        </w:rPr>
        <w:lastRenderedPageBreak/>
        <w:t xml:space="preserve">la política fiscal también tiene un rol en los equilibrios de mercado de la tasa de interés, dado que las emisiones de bonos aumentan la demanda e inciden a su vez sobre las tasas de mercado. </w:t>
      </w:r>
    </w:p>
    <w:p w14:paraId="708416BB" w14:textId="77777777" w:rsidR="005F38A6" w:rsidRDefault="005F38A6" w:rsidP="005F38A6">
      <w:pPr>
        <w:jc w:val="both"/>
        <w:rPr>
          <w:color w:val="000000" w:themeColor="text1"/>
        </w:rPr>
      </w:pPr>
    </w:p>
    <w:p w14:paraId="16690ABC" w14:textId="77777777" w:rsidR="005F38A6" w:rsidRDefault="005F38A6" w:rsidP="005F38A6">
      <w:pPr>
        <w:rPr>
          <w:color w:val="000000" w:themeColor="text1"/>
        </w:rPr>
      </w:pPr>
      <w:r w:rsidRPr="00E27181">
        <w:rPr>
          <w:color w:val="000000" w:themeColor="text1"/>
        </w:rPr>
        <w:t>Por lo que en este apartado se procede</w:t>
      </w:r>
      <w:r>
        <w:rPr>
          <w:color w:val="000000" w:themeColor="text1"/>
        </w:rPr>
        <w:t>rá analizar un escenario de riesgos para el año 2024, suponiendo que los choques no controlados por la autoridad monetaria, siguen afectando la inflación y esto los lleva a aumentar, particularmente la tasa de política de Estados Unidos y la nacional 200 puntos básicos, y como esto afectaría las tasas de interés de los préstamos y de las colocaciones de bonos en el mercado nacional e internacional.</w:t>
      </w:r>
    </w:p>
    <w:p w14:paraId="5D8AA3E6" w14:textId="77777777" w:rsidR="00333DE4" w:rsidRDefault="00333DE4" w:rsidP="005F38A6"/>
    <w:p w14:paraId="5830548B" w14:textId="77777777" w:rsidR="005F38A6" w:rsidRPr="00987058" w:rsidRDefault="005F38A6" w:rsidP="005F07F9">
      <w:pPr>
        <w:pStyle w:val="Ttulo2"/>
        <w:numPr>
          <w:ilvl w:val="2"/>
          <w:numId w:val="35"/>
        </w:numPr>
        <w:tabs>
          <w:tab w:val="left" w:pos="851"/>
        </w:tabs>
        <w:ind w:left="567" w:hanging="283"/>
        <w:rPr>
          <w:bCs/>
        </w:rPr>
      </w:pPr>
      <w:bookmarkStart w:id="113" w:name="_Toc144114371"/>
      <w:r w:rsidRPr="00E9078C">
        <w:rPr>
          <w:bCs/>
        </w:rPr>
        <w:t>Estimación de los riesgos fiscales de la tasa de interés</w:t>
      </w:r>
      <w:bookmarkEnd w:id="113"/>
    </w:p>
    <w:p w14:paraId="51283029" w14:textId="77777777" w:rsidR="005F38A6" w:rsidRPr="00BA7BF8" w:rsidRDefault="005F38A6" w:rsidP="005F38A6">
      <w:pPr>
        <w:jc w:val="both"/>
        <w:rPr>
          <w:b/>
          <w:bCs/>
        </w:rPr>
      </w:pPr>
    </w:p>
    <w:p w14:paraId="0DCC82AB" w14:textId="77777777" w:rsidR="005F38A6" w:rsidRDefault="005F38A6" w:rsidP="005F38A6">
      <w:pPr>
        <w:jc w:val="both"/>
      </w:pPr>
      <w:r w:rsidRPr="006E4509">
        <w:t xml:space="preserve">Para estimar el impacto de un aumento de la tasa de interés de la tasa de interés de política monetaria de Estados Unidos y la nacional, se procedió a calcular las elasticidades de dichas tasas y las tasas de las nuevas colocaciones de bonos en quetzales y las tasas del mercado secundario de los eurobonos, para lo cual se utilizaron modelos vectoriales de corrección de error. </w:t>
      </w:r>
    </w:p>
    <w:p w14:paraId="79BD9191" w14:textId="77777777" w:rsidR="005F38A6" w:rsidRPr="006E4509" w:rsidRDefault="005F38A6" w:rsidP="005F38A6">
      <w:pPr>
        <w:jc w:val="both"/>
      </w:pPr>
    </w:p>
    <w:p w14:paraId="78865165" w14:textId="77777777" w:rsidR="005F38A6" w:rsidRDefault="005F38A6" w:rsidP="005F38A6">
      <w:pPr>
        <w:jc w:val="both"/>
      </w:pPr>
      <w:r w:rsidRPr="006E4509">
        <w:t>De estos ejercicios se estima que la elasticidad de la tasa de interés de política monetaria hacia las tasas de los bonos en quetzales es de 0.34 en el primer año. En el caso de los eurobonos se observó que estos tienen una correlación alta con los bonos del tesoro de 10 años de Estados Unidos, y se estimó que elasticidad que es cercana a 1.0, y se consideró que el traspaso de la tasa de política de la Reserva Federal hacia los bonos del tesoro de largo plazo no es completo. Por parte de los préstamos, se consideró la estrecha relación que tiene la tasa de política de Estados Unidos y la tasa SOFR a 6 meses</w:t>
      </w:r>
      <w:r>
        <w:t>, y que los otros márgenes considerados por los organismos internacionales permanecen constantes</w:t>
      </w:r>
      <w:r w:rsidRPr="006E4509">
        <w:t>.</w:t>
      </w:r>
    </w:p>
    <w:p w14:paraId="53ED9B48" w14:textId="77777777" w:rsidR="005F38A6" w:rsidRPr="006E4509" w:rsidRDefault="005F38A6" w:rsidP="005F38A6">
      <w:pPr>
        <w:jc w:val="both"/>
      </w:pPr>
    </w:p>
    <w:tbl>
      <w:tblPr>
        <w:tblW w:w="0" w:type="auto"/>
        <w:jc w:val="center"/>
        <w:tblLook w:val="04A0" w:firstRow="1" w:lastRow="0" w:firstColumn="1" w:lastColumn="0" w:noHBand="0" w:noVBand="1"/>
      </w:tblPr>
      <w:tblGrid>
        <w:gridCol w:w="2944"/>
        <w:gridCol w:w="2947"/>
        <w:gridCol w:w="2947"/>
      </w:tblGrid>
      <w:tr w:rsidR="005F38A6" w14:paraId="6D4357EC" w14:textId="77777777" w:rsidTr="006A7377">
        <w:trPr>
          <w:trHeight w:val="279"/>
          <w:jc w:val="center"/>
        </w:trPr>
        <w:tc>
          <w:tcPr>
            <w:tcW w:w="8838" w:type="dxa"/>
            <w:gridSpan w:val="3"/>
          </w:tcPr>
          <w:p w14:paraId="111A0F99" w14:textId="4EBC14BD" w:rsidR="005E0AEB" w:rsidRPr="005E0AEB" w:rsidRDefault="005E0AEB" w:rsidP="005E0AEB">
            <w:pPr>
              <w:keepNext/>
              <w:rPr>
                <w:b/>
                <w:bCs/>
              </w:rPr>
            </w:pPr>
            <w:bookmarkStart w:id="114" w:name="_Toc143593577"/>
            <w:r w:rsidRPr="005E0AEB">
              <w:rPr>
                <w:b/>
                <w:bCs/>
              </w:rPr>
              <w:t xml:space="preserve">Gráfico </w:t>
            </w:r>
            <w:r w:rsidRPr="005E0AEB">
              <w:rPr>
                <w:b/>
                <w:bCs/>
              </w:rPr>
              <w:fldChar w:fldCharType="begin"/>
            </w:r>
            <w:r w:rsidRPr="005E0AEB">
              <w:rPr>
                <w:b/>
                <w:bCs/>
              </w:rPr>
              <w:instrText xml:space="preserve"> SEQ Gráfico \* ARABIC </w:instrText>
            </w:r>
            <w:r w:rsidRPr="005E0AEB">
              <w:rPr>
                <w:b/>
                <w:bCs/>
              </w:rPr>
              <w:fldChar w:fldCharType="separate"/>
            </w:r>
            <w:r w:rsidR="00A62AFA">
              <w:rPr>
                <w:b/>
                <w:bCs/>
                <w:noProof/>
              </w:rPr>
              <w:t>19</w:t>
            </w:r>
            <w:r w:rsidRPr="005E0AEB">
              <w:rPr>
                <w:b/>
                <w:bCs/>
              </w:rPr>
              <w:fldChar w:fldCharType="end"/>
            </w:r>
            <w:r w:rsidRPr="005E0AEB">
              <w:rPr>
                <w:b/>
                <w:bCs/>
              </w:rPr>
              <w:t xml:space="preserve">. </w:t>
            </w:r>
            <w:r w:rsidRPr="005E0AEB">
              <w:rPr>
                <w:b/>
                <w:bCs/>
                <w:sz w:val="20"/>
                <w:szCs w:val="20"/>
              </w:rPr>
              <w:t>Tasas de interés de política monetaria, de bonos y SOFR</w:t>
            </w:r>
            <w:bookmarkEnd w:id="114"/>
          </w:p>
          <w:p w14:paraId="5D6B0247" w14:textId="7E8D386B" w:rsidR="005F38A6" w:rsidRPr="006E4509" w:rsidRDefault="005F38A6" w:rsidP="006A7377">
            <w:pPr>
              <w:rPr>
                <w:bCs/>
                <w:sz w:val="20"/>
                <w:szCs w:val="20"/>
              </w:rPr>
            </w:pPr>
          </w:p>
        </w:tc>
      </w:tr>
      <w:tr w:rsidR="005F38A6" w14:paraId="6BE7E9E2" w14:textId="77777777" w:rsidTr="006A7377">
        <w:trPr>
          <w:trHeight w:val="279"/>
          <w:jc w:val="center"/>
        </w:trPr>
        <w:tc>
          <w:tcPr>
            <w:tcW w:w="2944" w:type="dxa"/>
          </w:tcPr>
          <w:p w14:paraId="4B90FBC9" w14:textId="77777777" w:rsidR="005F38A6" w:rsidRPr="00386E25" w:rsidRDefault="005F38A6" w:rsidP="006A7377">
            <w:pPr>
              <w:rPr>
                <w:bCs/>
                <w:sz w:val="20"/>
                <w:szCs w:val="20"/>
              </w:rPr>
            </w:pPr>
            <w:r w:rsidRPr="00386E25">
              <w:rPr>
                <w:bCs/>
                <w:sz w:val="20"/>
                <w:szCs w:val="20"/>
              </w:rPr>
              <w:t>Tasa líder y tasa de colocación de bonos a 15 años</w:t>
            </w:r>
          </w:p>
        </w:tc>
        <w:tc>
          <w:tcPr>
            <w:tcW w:w="2947" w:type="dxa"/>
          </w:tcPr>
          <w:p w14:paraId="14181C06" w14:textId="77777777" w:rsidR="005F38A6" w:rsidRPr="006E4509" w:rsidRDefault="005F38A6" w:rsidP="006A7377">
            <w:pPr>
              <w:rPr>
                <w:bCs/>
                <w:sz w:val="20"/>
                <w:szCs w:val="20"/>
              </w:rPr>
            </w:pPr>
            <w:r w:rsidRPr="006E4509">
              <w:rPr>
                <w:bCs/>
                <w:sz w:val="20"/>
                <w:szCs w:val="20"/>
              </w:rPr>
              <w:t>Tasa de Eurobonos y Bonos del Gobierno de EE.UU</w:t>
            </w:r>
            <w:r>
              <w:rPr>
                <w:bCs/>
                <w:sz w:val="20"/>
                <w:szCs w:val="20"/>
              </w:rPr>
              <w:t>.</w:t>
            </w:r>
          </w:p>
        </w:tc>
        <w:tc>
          <w:tcPr>
            <w:tcW w:w="2947" w:type="dxa"/>
          </w:tcPr>
          <w:p w14:paraId="7BF7C906" w14:textId="77777777" w:rsidR="005F38A6" w:rsidRPr="006E4509" w:rsidRDefault="005F38A6" w:rsidP="006A7377">
            <w:pPr>
              <w:rPr>
                <w:bCs/>
                <w:sz w:val="20"/>
                <w:szCs w:val="20"/>
              </w:rPr>
            </w:pPr>
            <w:r w:rsidRPr="006E4509">
              <w:rPr>
                <w:bCs/>
                <w:sz w:val="20"/>
                <w:szCs w:val="20"/>
              </w:rPr>
              <w:t>Tasa de la Reserva Federal, de Bonos de USA a 3 meses y SOFR a 6 meses</w:t>
            </w:r>
          </w:p>
        </w:tc>
      </w:tr>
      <w:tr w:rsidR="005F38A6" w14:paraId="42A1CE6B" w14:textId="77777777" w:rsidTr="006A7377">
        <w:tblPrEx>
          <w:tblCellMar>
            <w:left w:w="70" w:type="dxa"/>
            <w:right w:w="70" w:type="dxa"/>
          </w:tblCellMar>
        </w:tblPrEx>
        <w:trPr>
          <w:trHeight w:val="2885"/>
          <w:jc w:val="center"/>
        </w:trPr>
        <w:tc>
          <w:tcPr>
            <w:tcW w:w="2944" w:type="dxa"/>
          </w:tcPr>
          <w:p w14:paraId="3B0462EF" w14:textId="77777777" w:rsidR="005F38A6" w:rsidRDefault="005F38A6" w:rsidP="006A7377">
            <w:pPr>
              <w:jc w:val="both"/>
              <w:rPr>
                <w:bCs/>
                <w:i/>
                <w:iCs/>
              </w:rPr>
            </w:pPr>
            <w:r>
              <w:rPr>
                <w:noProof/>
              </w:rPr>
              <w:drawing>
                <wp:inline distT="0" distB="0" distL="0" distR="0" wp14:anchorId="6AF57551" wp14:editId="2BE97E37">
                  <wp:extent cx="1797069" cy="2160000"/>
                  <wp:effectExtent l="0" t="0" r="0" b="635"/>
                  <wp:docPr id="17" name="Gráfico 17">
                    <a:extLst xmlns:a="http://schemas.openxmlformats.org/drawingml/2006/main">
                      <a:ext uri="{FF2B5EF4-FFF2-40B4-BE49-F238E27FC236}">
                        <a16:creationId xmlns:a16="http://schemas.microsoft.com/office/drawing/2014/main" id="{9F805E27-535B-4E1F-BE88-4DC2C2A7C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2947" w:type="dxa"/>
          </w:tcPr>
          <w:p w14:paraId="325450F4" w14:textId="77777777" w:rsidR="005F38A6" w:rsidRDefault="005F38A6" w:rsidP="006A7377">
            <w:pPr>
              <w:jc w:val="both"/>
              <w:rPr>
                <w:bCs/>
                <w:i/>
                <w:iCs/>
              </w:rPr>
            </w:pPr>
            <w:r>
              <w:rPr>
                <w:noProof/>
              </w:rPr>
              <w:drawing>
                <wp:inline distT="0" distB="0" distL="0" distR="0" wp14:anchorId="2787B4CB" wp14:editId="64159B08">
                  <wp:extent cx="1800000" cy="2160000"/>
                  <wp:effectExtent l="0" t="0" r="0" b="0"/>
                  <wp:docPr id="69" name="Gráfico 69">
                    <a:extLst xmlns:a="http://schemas.openxmlformats.org/drawingml/2006/main">
                      <a:ext uri="{FF2B5EF4-FFF2-40B4-BE49-F238E27FC236}">
                        <a16:creationId xmlns:a16="http://schemas.microsoft.com/office/drawing/2014/main" id="{289920C6-F5D5-4D0D-906F-A49626313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947" w:type="dxa"/>
          </w:tcPr>
          <w:p w14:paraId="67B26A38" w14:textId="77777777" w:rsidR="005F38A6" w:rsidRDefault="005F38A6" w:rsidP="006A7377">
            <w:pPr>
              <w:jc w:val="both"/>
              <w:rPr>
                <w:bCs/>
                <w:i/>
                <w:iCs/>
              </w:rPr>
            </w:pPr>
            <w:r w:rsidRPr="00CC2A40">
              <w:rPr>
                <w:bCs/>
                <w:i/>
                <w:iCs/>
                <w:noProof/>
              </w:rPr>
              <w:drawing>
                <wp:inline distT="0" distB="0" distL="0" distR="0" wp14:anchorId="6AA0DBA3" wp14:editId="550567F3">
                  <wp:extent cx="1800000" cy="2160000"/>
                  <wp:effectExtent l="0" t="0" r="0" b="0"/>
                  <wp:docPr id="67" name="Gráfico 67">
                    <a:extLst xmlns:a="http://schemas.openxmlformats.org/drawingml/2006/main">
                      <a:ext uri="{FF2B5EF4-FFF2-40B4-BE49-F238E27FC236}">
                        <a16:creationId xmlns:a16="http://schemas.microsoft.com/office/drawing/2014/main" id="{1EE86C37-22C2-40F6-B360-9CEE1D5E7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5F38A6" w:rsidRPr="005E0AEB" w14:paraId="380ABC01" w14:textId="77777777" w:rsidTr="006A7377">
        <w:trPr>
          <w:trHeight w:val="279"/>
          <w:jc w:val="center"/>
        </w:trPr>
        <w:tc>
          <w:tcPr>
            <w:tcW w:w="8838" w:type="dxa"/>
            <w:gridSpan w:val="3"/>
          </w:tcPr>
          <w:p w14:paraId="5478C42C" w14:textId="77777777" w:rsidR="005F38A6" w:rsidRPr="005E0AEB" w:rsidRDefault="005F38A6" w:rsidP="006A7377">
            <w:pPr>
              <w:jc w:val="both"/>
              <w:rPr>
                <w:sz w:val="16"/>
                <w:szCs w:val="16"/>
              </w:rPr>
            </w:pPr>
            <w:r w:rsidRPr="005E0AEB">
              <w:rPr>
                <w:sz w:val="16"/>
                <w:szCs w:val="16"/>
              </w:rPr>
              <w:t>Fuente: FED, Banco de Guatemala y Ministerio de Finanzas</w:t>
            </w:r>
          </w:p>
        </w:tc>
      </w:tr>
    </w:tbl>
    <w:p w14:paraId="0EDB3B0C" w14:textId="77777777" w:rsidR="005F38A6" w:rsidRPr="005E0AEB" w:rsidRDefault="005F38A6" w:rsidP="005F38A6">
      <w:pPr>
        <w:jc w:val="both"/>
        <w:rPr>
          <w:sz w:val="20"/>
          <w:szCs w:val="20"/>
        </w:rPr>
      </w:pPr>
    </w:p>
    <w:p w14:paraId="0B74F62E" w14:textId="77777777" w:rsidR="005F38A6" w:rsidRDefault="005F38A6" w:rsidP="005F38A6">
      <w:pPr>
        <w:jc w:val="both"/>
      </w:pPr>
      <w:r>
        <w:lastRenderedPageBreak/>
        <w:t>En el escenario base se considera que las políticas monetarias de Estados Unidos y la nacional, pasaran gradualmente de ser restrictivas a neutras, conforme la inflación ceda. De este escenario se prevé que la tasa de colocaciones de los bonos en quetzales se encuentre en promedio en 7.7% en 2024, después que se mantenga% en 2025 y se encuentre en 6.9% para 2028. Para la tasa de Eurobonos se espera que se encuentren alrededor de 6.6% en 2024 y disminuyan a 5.5% en 2028. Por parte de los préstamos se espera que aumente a 5.0% en 2024 y se encuentre en 4.3% en el mediano plazo.</w:t>
      </w:r>
    </w:p>
    <w:p w14:paraId="21150CBE" w14:textId="77777777" w:rsidR="005F38A6" w:rsidRDefault="005F38A6" w:rsidP="005F38A6">
      <w:pPr>
        <w:jc w:val="both"/>
      </w:pPr>
    </w:p>
    <w:p w14:paraId="3F969A2F" w14:textId="77777777" w:rsidR="005F38A6" w:rsidRDefault="005F38A6" w:rsidP="005F38A6">
      <w:pPr>
        <w:jc w:val="both"/>
      </w:pPr>
      <w:r>
        <w:t>Dado un escenario en el cual las tasas de interés aumentan 200 puntos básicos con respecto al escenario base en 2024 y al final del periodo de análisis se encuentra 100 puntos básicos por encima, se prevé que la tasa de bonos en quetzales este en 8.4% para 2024, y disminuya a 7.2% en 2028. Los Eurobonos en este escenario aumentarían su tasa con respecto el escenario base a 7.6% en 2024 y para 2028 se encontraría en 7.2%. Por su parte, para la tasa de préstamos aumentaría a 6.3% en 2024 y para 2028 se encontraría alrededor de 5.3%.</w:t>
      </w:r>
    </w:p>
    <w:p w14:paraId="3BA7F6F6" w14:textId="77777777" w:rsidR="00E1202F" w:rsidRDefault="00E1202F" w:rsidP="005F38A6">
      <w:pPr>
        <w:jc w:val="both"/>
        <w:rPr>
          <w:i/>
          <w:iCs/>
        </w:rPr>
      </w:pPr>
    </w:p>
    <w:tbl>
      <w:tblPr>
        <w:tblW w:w="0" w:type="auto"/>
        <w:tblLook w:val="04A0" w:firstRow="1" w:lastRow="0" w:firstColumn="1" w:lastColumn="0" w:noHBand="0" w:noVBand="1"/>
      </w:tblPr>
      <w:tblGrid>
        <w:gridCol w:w="2948"/>
        <w:gridCol w:w="2945"/>
        <w:gridCol w:w="2945"/>
      </w:tblGrid>
      <w:tr w:rsidR="005F38A6" w14:paraId="3A9BD5F4" w14:textId="77777777" w:rsidTr="006A7377">
        <w:tc>
          <w:tcPr>
            <w:tcW w:w="8828" w:type="dxa"/>
            <w:gridSpan w:val="3"/>
          </w:tcPr>
          <w:p w14:paraId="6635D791" w14:textId="21A045DC" w:rsidR="005F38A6" w:rsidRPr="00F1111B" w:rsidRDefault="005E0AEB" w:rsidP="005E0AEB">
            <w:pPr>
              <w:pStyle w:val="Descripcin"/>
              <w:jc w:val="left"/>
              <w:rPr>
                <w:bCs/>
              </w:rPr>
            </w:pPr>
            <w:bookmarkStart w:id="115" w:name="_Toc143593578"/>
            <w:r w:rsidRPr="005E0AEB">
              <w:rPr>
                <w:color w:val="auto"/>
              </w:rPr>
              <w:t xml:space="preserve">Gráfico </w:t>
            </w:r>
            <w:r w:rsidRPr="005E0AEB">
              <w:rPr>
                <w:color w:val="auto"/>
              </w:rPr>
              <w:fldChar w:fldCharType="begin"/>
            </w:r>
            <w:r w:rsidRPr="005E0AEB">
              <w:rPr>
                <w:color w:val="auto"/>
              </w:rPr>
              <w:instrText xml:space="preserve"> SEQ Gráfico \* ARABIC </w:instrText>
            </w:r>
            <w:r w:rsidRPr="005E0AEB">
              <w:rPr>
                <w:color w:val="auto"/>
              </w:rPr>
              <w:fldChar w:fldCharType="separate"/>
            </w:r>
            <w:r w:rsidR="00A62AFA">
              <w:rPr>
                <w:noProof/>
                <w:color w:val="auto"/>
              </w:rPr>
              <w:t>20</w:t>
            </w:r>
            <w:r w:rsidRPr="005E0AEB">
              <w:rPr>
                <w:color w:val="auto"/>
              </w:rPr>
              <w:fldChar w:fldCharType="end"/>
            </w:r>
            <w:r w:rsidRPr="005E0AEB">
              <w:rPr>
                <w:color w:val="auto"/>
              </w:rPr>
              <w:t xml:space="preserve">.  </w:t>
            </w:r>
            <w:r w:rsidRPr="005E0AEB">
              <w:rPr>
                <w:bCs/>
                <w:color w:val="auto"/>
              </w:rPr>
              <w:t>Impacto en las tasas de colocación ante un aumento de las tasas de política con respecto al escenario base</w:t>
            </w:r>
            <w:bookmarkEnd w:id="115"/>
          </w:p>
        </w:tc>
      </w:tr>
      <w:tr w:rsidR="005F38A6" w14:paraId="77DC49C1" w14:textId="77777777" w:rsidTr="006A7377">
        <w:tc>
          <w:tcPr>
            <w:tcW w:w="2911" w:type="dxa"/>
          </w:tcPr>
          <w:p w14:paraId="076BCA49" w14:textId="77777777" w:rsidR="005F38A6" w:rsidRPr="005E0AEB" w:rsidRDefault="005F38A6" w:rsidP="005E0AEB">
            <w:pPr>
              <w:jc w:val="center"/>
              <w:rPr>
                <w:bCs/>
                <w:sz w:val="22"/>
                <w:szCs w:val="22"/>
              </w:rPr>
            </w:pPr>
            <w:r w:rsidRPr="005E0AEB">
              <w:rPr>
                <w:bCs/>
                <w:sz w:val="22"/>
                <w:szCs w:val="22"/>
              </w:rPr>
              <w:t>Bonos en quetzales</w:t>
            </w:r>
          </w:p>
        </w:tc>
        <w:tc>
          <w:tcPr>
            <w:tcW w:w="2908" w:type="dxa"/>
          </w:tcPr>
          <w:p w14:paraId="4D3C016D" w14:textId="77777777" w:rsidR="005F38A6" w:rsidRPr="005E0AEB" w:rsidRDefault="005F38A6" w:rsidP="005E0AEB">
            <w:pPr>
              <w:jc w:val="center"/>
              <w:rPr>
                <w:bCs/>
                <w:sz w:val="22"/>
                <w:szCs w:val="22"/>
              </w:rPr>
            </w:pPr>
            <w:r w:rsidRPr="005E0AEB">
              <w:rPr>
                <w:bCs/>
                <w:sz w:val="22"/>
                <w:szCs w:val="22"/>
              </w:rPr>
              <w:t>Eurobonos (USD$)</w:t>
            </w:r>
          </w:p>
        </w:tc>
        <w:tc>
          <w:tcPr>
            <w:tcW w:w="3009" w:type="dxa"/>
          </w:tcPr>
          <w:p w14:paraId="120F8133" w14:textId="77777777" w:rsidR="005F38A6" w:rsidRPr="005E0AEB" w:rsidRDefault="005F38A6" w:rsidP="005E0AEB">
            <w:pPr>
              <w:jc w:val="center"/>
              <w:rPr>
                <w:bCs/>
                <w:sz w:val="22"/>
                <w:szCs w:val="22"/>
              </w:rPr>
            </w:pPr>
            <w:r w:rsidRPr="005E0AEB">
              <w:rPr>
                <w:bCs/>
                <w:sz w:val="22"/>
                <w:szCs w:val="22"/>
              </w:rPr>
              <w:t>Préstamos (USD$)</w:t>
            </w:r>
          </w:p>
        </w:tc>
      </w:tr>
      <w:tr w:rsidR="005F38A6" w14:paraId="675E6E9D" w14:textId="77777777" w:rsidTr="006A7377">
        <w:tblPrEx>
          <w:tblCellMar>
            <w:left w:w="70" w:type="dxa"/>
            <w:right w:w="70" w:type="dxa"/>
          </w:tblCellMar>
        </w:tblPrEx>
        <w:tc>
          <w:tcPr>
            <w:tcW w:w="2911" w:type="dxa"/>
          </w:tcPr>
          <w:p w14:paraId="59067536" w14:textId="77777777" w:rsidR="005F38A6" w:rsidRPr="00F1111B" w:rsidRDefault="005F38A6" w:rsidP="006A7377">
            <w:pPr>
              <w:jc w:val="both"/>
              <w:rPr>
                <w:bCs/>
              </w:rPr>
            </w:pPr>
            <w:r>
              <w:rPr>
                <w:noProof/>
              </w:rPr>
              <w:drawing>
                <wp:inline distT="0" distB="0" distL="0" distR="0" wp14:anchorId="63155B1B" wp14:editId="4C6DAE91">
                  <wp:extent cx="1799590" cy="1449860"/>
                  <wp:effectExtent l="0" t="0" r="0" b="0"/>
                  <wp:docPr id="49" name="Gráfico 49">
                    <a:extLst xmlns:a="http://schemas.openxmlformats.org/drawingml/2006/main">
                      <a:ext uri="{FF2B5EF4-FFF2-40B4-BE49-F238E27FC236}">
                        <a16:creationId xmlns:a16="http://schemas.microsoft.com/office/drawing/2014/main" id="{FD3C3CF2-6DBF-40C6-84BC-5C92D5066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2908" w:type="dxa"/>
          </w:tcPr>
          <w:p w14:paraId="67CB7B72" w14:textId="77777777" w:rsidR="005F38A6" w:rsidRPr="00F1111B" w:rsidRDefault="005F38A6" w:rsidP="006A7377">
            <w:pPr>
              <w:jc w:val="both"/>
              <w:rPr>
                <w:bCs/>
              </w:rPr>
            </w:pPr>
            <w:r>
              <w:rPr>
                <w:noProof/>
              </w:rPr>
              <w:drawing>
                <wp:inline distT="0" distB="0" distL="0" distR="0" wp14:anchorId="679EF173" wp14:editId="31CD0F92">
                  <wp:extent cx="1799590" cy="1449705"/>
                  <wp:effectExtent l="0" t="0" r="0" b="0"/>
                  <wp:docPr id="50" name="Gráfico 50">
                    <a:extLst xmlns:a="http://schemas.openxmlformats.org/drawingml/2006/main">
                      <a:ext uri="{FF2B5EF4-FFF2-40B4-BE49-F238E27FC236}">
                        <a16:creationId xmlns:a16="http://schemas.microsoft.com/office/drawing/2014/main" id="{7B5962BC-2385-4EA6-87CE-E6C79D426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3009" w:type="dxa"/>
          </w:tcPr>
          <w:p w14:paraId="044BB4A9" w14:textId="77777777" w:rsidR="005F38A6" w:rsidRPr="00F25DC3" w:rsidRDefault="005F38A6" w:rsidP="006A7377">
            <w:r>
              <w:rPr>
                <w:noProof/>
              </w:rPr>
              <w:drawing>
                <wp:inline distT="0" distB="0" distL="0" distR="0" wp14:anchorId="7038A9F0" wp14:editId="1E25F8F8">
                  <wp:extent cx="1799590" cy="1449705"/>
                  <wp:effectExtent l="0" t="0" r="0" b="0"/>
                  <wp:docPr id="21" name="Gráfico 21">
                    <a:extLst xmlns:a="http://schemas.openxmlformats.org/drawingml/2006/main">
                      <a:ext uri="{FF2B5EF4-FFF2-40B4-BE49-F238E27FC236}">
                        <a16:creationId xmlns:a16="http://schemas.microsoft.com/office/drawing/2014/main" id="{2974E03D-13FB-48EF-B4CA-106E3AEE2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5F38A6" w14:paraId="00335836" w14:textId="77777777" w:rsidTr="006A7377">
        <w:tc>
          <w:tcPr>
            <w:tcW w:w="2911" w:type="dxa"/>
          </w:tcPr>
          <w:p w14:paraId="2CC67838" w14:textId="77777777" w:rsidR="005F38A6" w:rsidRPr="00F1111B" w:rsidRDefault="005F38A6" w:rsidP="006A7377">
            <w:pPr>
              <w:jc w:val="both"/>
              <w:rPr>
                <w:sz w:val="18"/>
                <w:szCs w:val="18"/>
              </w:rPr>
            </w:pPr>
            <w:r>
              <w:rPr>
                <w:noProof/>
              </w:rPr>
              <w:drawing>
                <wp:inline distT="0" distB="0" distL="0" distR="0" wp14:anchorId="457B808F" wp14:editId="2DFFD19B">
                  <wp:extent cx="1748333" cy="316862"/>
                  <wp:effectExtent l="0" t="0" r="444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83844" cy="323298"/>
                          </a:xfrm>
                          <a:prstGeom prst="rect">
                            <a:avLst/>
                          </a:prstGeom>
                        </pic:spPr>
                      </pic:pic>
                    </a:graphicData>
                  </a:graphic>
                </wp:inline>
              </w:drawing>
            </w:r>
          </w:p>
        </w:tc>
        <w:tc>
          <w:tcPr>
            <w:tcW w:w="2908" w:type="dxa"/>
          </w:tcPr>
          <w:p w14:paraId="54FEC77F" w14:textId="77777777" w:rsidR="005F38A6" w:rsidRPr="00F1111B" w:rsidRDefault="005F38A6" w:rsidP="006A7377">
            <w:pPr>
              <w:rPr>
                <w:sz w:val="18"/>
                <w:szCs w:val="18"/>
              </w:rPr>
            </w:pPr>
            <w:r>
              <w:rPr>
                <w:noProof/>
              </w:rPr>
              <w:drawing>
                <wp:inline distT="0" distB="0" distL="0" distR="0" wp14:anchorId="4A18F11D" wp14:editId="39E6BC27">
                  <wp:extent cx="1727157" cy="327660"/>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82944" cy="338243"/>
                          </a:xfrm>
                          <a:prstGeom prst="rect">
                            <a:avLst/>
                          </a:prstGeom>
                        </pic:spPr>
                      </pic:pic>
                    </a:graphicData>
                  </a:graphic>
                </wp:inline>
              </w:drawing>
            </w:r>
          </w:p>
        </w:tc>
        <w:tc>
          <w:tcPr>
            <w:tcW w:w="3009" w:type="dxa"/>
          </w:tcPr>
          <w:p w14:paraId="4D383418" w14:textId="77777777" w:rsidR="005F38A6" w:rsidRPr="00F1111B" w:rsidRDefault="005F38A6" w:rsidP="006A7377">
            <w:pPr>
              <w:jc w:val="both"/>
              <w:rPr>
                <w:sz w:val="18"/>
                <w:szCs w:val="18"/>
              </w:rPr>
            </w:pPr>
            <w:r>
              <w:rPr>
                <w:noProof/>
              </w:rPr>
              <w:drawing>
                <wp:inline distT="0" distB="0" distL="0" distR="0" wp14:anchorId="63CCFD1B" wp14:editId="4A16E5F3">
                  <wp:extent cx="1697126" cy="32869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61859" cy="341229"/>
                          </a:xfrm>
                          <a:prstGeom prst="rect">
                            <a:avLst/>
                          </a:prstGeom>
                        </pic:spPr>
                      </pic:pic>
                    </a:graphicData>
                  </a:graphic>
                </wp:inline>
              </w:drawing>
            </w:r>
          </w:p>
        </w:tc>
      </w:tr>
      <w:tr w:rsidR="005F38A6" w14:paraId="3EC92FBF" w14:textId="77777777" w:rsidTr="006A7377">
        <w:tc>
          <w:tcPr>
            <w:tcW w:w="8828" w:type="dxa"/>
            <w:gridSpan w:val="3"/>
          </w:tcPr>
          <w:p w14:paraId="4CCBBAC7" w14:textId="77777777" w:rsidR="005F38A6" w:rsidRPr="005E0AEB" w:rsidRDefault="005F38A6" w:rsidP="006A7377">
            <w:pPr>
              <w:jc w:val="both"/>
              <w:rPr>
                <w:sz w:val="16"/>
                <w:szCs w:val="16"/>
              </w:rPr>
            </w:pPr>
            <w:r w:rsidRPr="005E0AEB">
              <w:rPr>
                <w:sz w:val="16"/>
                <w:szCs w:val="16"/>
              </w:rPr>
              <w:t xml:space="preserve">Fuente: Ministerio de Finanzas </w:t>
            </w:r>
          </w:p>
        </w:tc>
      </w:tr>
    </w:tbl>
    <w:p w14:paraId="4739973D" w14:textId="77777777" w:rsidR="005F38A6" w:rsidRDefault="005F38A6" w:rsidP="005F38A6"/>
    <w:p w14:paraId="076BEBBC" w14:textId="5B66BAC2" w:rsidR="005F38A6" w:rsidRPr="00E9078C" w:rsidRDefault="005F38A6" w:rsidP="005F38A6">
      <w:pPr>
        <w:jc w:val="both"/>
      </w:pPr>
      <w:r w:rsidRPr="009F3D09">
        <w:t>El aumento de las tasas de interés del nuevo endeudamiento también tiene un impacto en el mediano plazo por el aumento de los déficits, con los escenarios antes descrito se estima que el aumento del pago de intereses correspondientes al nuevo endeudamiento contemplado en las estimaciones de mediano plazo aumentaría en el 2024 por Q</w:t>
      </w:r>
      <w:r w:rsidR="005A11CF">
        <w:t>84.5</w:t>
      </w:r>
      <w:r w:rsidRPr="009F3D09">
        <w:t xml:space="preserve"> millones, y conforme se realicen las otras colocaciones en el tiempo se espera un impacto de Q</w:t>
      </w:r>
      <w:r w:rsidR="005A11CF">
        <w:t>470.5</w:t>
      </w:r>
      <w:r w:rsidRPr="009F3D09">
        <w:t xml:space="preserve"> millones para el año 2028 representando el 0.</w:t>
      </w:r>
      <w:r w:rsidR="005A11CF">
        <w:t>04</w:t>
      </w:r>
      <w:r w:rsidRPr="009F3D09">
        <w:t>% del PIB para dicho año.</w:t>
      </w:r>
    </w:p>
    <w:p w14:paraId="523F4657" w14:textId="77777777" w:rsidR="005F38A6" w:rsidRDefault="005F38A6" w:rsidP="005F38A6">
      <w:pPr>
        <w:jc w:val="both"/>
      </w:pPr>
    </w:p>
    <w:p w14:paraId="607A568A" w14:textId="2BEB4888" w:rsidR="005F38A6" w:rsidRPr="005E0AEB" w:rsidRDefault="005E0AEB" w:rsidP="005E0AEB">
      <w:pPr>
        <w:pStyle w:val="Descripcin"/>
        <w:keepNext/>
      </w:pPr>
      <w:bookmarkStart w:id="116" w:name="_Toc143593523"/>
      <w:r w:rsidRPr="005E0AEB">
        <w:rPr>
          <w:color w:val="auto"/>
        </w:rPr>
        <w:t xml:space="preserve">Tabla </w:t>
      </w:r>
      <w:r w:rsidRPr="005E0AEB">
        <w:rPr>
          <w:color w:val="auto"/>
        </w:rPr>
        <w:fldChar w:fldCharType="begin"/>
      </w:r>
      <w:r w:rsidRPr="005E0AEB">
        <w:rPr>
          <w:color w:val="auto"/>
        </w:rPr>
        <w:instrText xml:space="preserve"> SEQ Tabla \* ARABIC </w:instrText>
      </w:r>
      <w:r w:rsidRPr="005E0AEB">
        <w:rPr>
          <w:color w:val="auto"/>
        </w:rPr>
        <w:fldChar w:fldCharType="separate"/>
      </w:r>
      <w:r w:rsidR="00A62AFA">
        <w:rPr>
          <w:noProof/>
          <w:color w:val="auto"/>
        </w:rPr>
        <w:t>21</w:t>
      </w:r>
      <w:r w:rsidRPr="005E0AEB">
        <w:rPr>
          <w:color w:val="auto"/>
        </w:rPr>
        <w:fldChar w:fldCharType="end"/>
      </w:r>
      <w:r w:rsidRPr="005E0AEB">
        <w:rPr>
          <w:color w:val="auto"/>
        </w:rPr>
        <w:t xml:space="preserve">.  </w:t>
      </w:r>
      <w:r w:rsidR="005F38A6" w:rsidRPr="005E0AEB">
        <w:rPr>
          <w:bCs/>
          <w:color w:val="auto"/>
        </w:rPr>
        <w:t>Impacto en millones en el pago de intereses del nuevo endeudamiento ante un aumento de las tasas de interés</w:t>
      </w:r>
      <w:bookmarkEnd w:id="116"/>
      <w:r w:rsidR="005F38A6">
        <w:rPr>
          <w:bCs/>
        </w:rPr>
        <w:t xml:space="preserve"> </w:t>
      </w:r>
    </w:p>
    <w:tbl>
      <w:tblPr>
        <w:tblW w:w="8500" w:type="dxa"/>
        <w:tblCellMar>
          <w:left w:w="70" w:type="dxa"/>
          <w:right w:w="70" w:type="dxa"/>
        </w:tblCellMar>
        <w:tblLook w:val="04A0" w:firstRow="1" w:lastRow="0" w:firstColumn="1" w:lastColumn="0" w:noHBand="0" w:noVBand="1"/>
      </w:tblPr>
      <w:tblGrid>
        <w:gridCol w:w="1720"/>
        <w:gridCol w:w="1356"/>
        <w:gridCol w:w="1356"/>
        <w:gridCol w:w="1356"/>
        <w:gridCol w:w="1356"/>
        <w:gridCol w:w="1356"/>
      </w:tblGrid>
      <w:tr w:rsidR="005F38A6" w:rsidRPr="002E0A73" w14:paraId="6E4AB844" w14:textId="77777777" w:rsidTr="006A7377">
        <w:trPr>
          <w:trHeight w:val="199"/>
        </w:trPr>
        <w:tc>
          <w:tcPr>
            <w:tcW w:w="1720" w:type="dxa"/>
            <w:tcBorders>
              <w:top w:val="single" w:sz="4" w:space="0" w:color="auto"/>
              <w:left w:val="nil"/>
              <w:bottom w:val="double" w:sz="6" w:space="0" w:color="auto"/>
              <w:right w:val="nil"/>
            </w:tcBorders>
            <w:shd w:val="clear" w:color="auto" w:fill="auto"/>
            <w:noWrap/>
            <w:vAlign w:val="bottom"/>
            <w:hideMark/>
          </w:tcPr>
          <w:p w14:paraId="5056CB4B" w14:textId="77777777" w:rsidR="005F38A6" w:rsidRPr="002E0A73" w:rsidRDefault="005F38A6" w:rsidP="006A7377">
            <w:pPr>
              <w:rPr>
                <w:b/>
                <w:bCs/>
                <w:color w:val="000000"/>
                <w:sz w:val="20"/>
                <w:szCs w:val="20"/>
              </w:rPr>
            </w:pPr>
            <w:r w:rsidRPr="002E0A73">
              <w:rPr>
                <w:b/>
                <w:bCs/>
                <w:color w:val="000000"/>
                <w:sz w:val="20"/>
                <w:szCs w:val="20"/>
              </w:rPr>
              <w:t> </w:t>
            </w:r>
          </w:p>
        </w:tc>
        <w:tc>
          <w:tcPr>
            <w:tcW w:w="1356" w:type="dxa"/>
            <w:tcBorders>
              <w:top w:val="single" w:sz="4" w:space="0" w:color="auto"/>
              <w:left w:val="single" w:sz="4" w:space="0" w:color="auto"/>
              <w:bottom w:val="double" w:sz="6" w:space="0" w:color="auto"/>
              <w:right w:val="nil"/>
            </w:tcBorders>
            <w:shd w:val="clear" w:color="auto" w:fill="auto"/>
            <w:noWrap/>
            <w:vAlign w:val="bottom"/>
            <w:hideMark/>
          </w:tcPr>
          <w:p w14:paraId="2CC1C9F3" w14:textId="77777777" w:rsidR="005F38A6" w:rsidRPr="002E0A73" w:rsidRDefault="005F38A6" w:rsidP="006A7377">
            <w:pPr>
              <w:jc w:val="center"/>
              <w:rPr>
                <w:b/>
                <w:bCs/>
                <w:color w:val="000000"/>
                <w:sz w:val="20"/>
                <w:szCs w:val="20"/>
              </w:rPr>
            </w:pPr>
            <w:r w:rsidRPr="002E0A73">
              <w:rPr>
                <w:b/>
                <w:bCs/>
                <w:color w:val="000000"/>
                <w:sz w:val="20"/>
                <w:szCs w:val="20"/>
              </w:rPr>
              <w:t>2024</w:t>
            </w:r>
          </w:p>
        </w:tc>
        <w:tc>
          <w:tcPr>
            <w:tcW w:w="1356" w:type="dxa"/>
            <w:tcBorders>
              <w:top w:val="single" w:sz="4" w:space="0" w:color="auto"/>
              <w:left w:val="nil"/>
              <w:bottom w:val="double" w:sz="6" w:space="0" w:color="auto"/>
              <w:right w:val="nil"/>
            </w:tcBorders>
            <w:shd w:val="clear" w:color="auto" w:fill="auto"/>
            <w:noWrap/>
            <w:vAlign w:val="bottom"/>
            <w:hideMark/>
          </w:tcPr>
          <w:p w14:paraId="216D309E" w14:textId="77777777" w:rsidR="005F38A6" w:rsidRPr="002E0A73" w:rsidRDefault="005F38A6" w:rsidP="006A7377">
            <w:pPr>
              <w:jc w:val="center"/>
              <w:rPr>
                <w:b/>
                <w:bCs/>
                <w:color w:val="000000"/>
                <w:sz w:val="20"/>
                <w:szCs w:val="20"/>
              </w:rPr>
            </w:pPr>
            <w:r w:rsidRPr="002E0A73">
              <w:rPr>
                <w:b/>
                <w:bCs/>
                <w:color w:val="000000"/>
                <w:sz w:val="20"/>
                <w:szCs w:val="20"/>
              </w:rPr>
              <w:t>2025</w:t>
            </w:r>
          </w:p>
        </w:tc>
        <w:tc>
          <w:tcPr>
            <w:tcW w:w="1356" w:type="dxa"/>
            <w:tcBorders>
              <w:top w:val="single" w:sz="4" w:space="0" w:color="auto"/>
              <w:left w:val="nil"/>
              <w:bottom w:val="double" w:sz="6" w:space="0" w:color="auto"/>
              <w:right w:val="nil"/>
            </w:tcBorders>
            <w:shd w:val="clear" w:color="auto" w:fill="auto"/>
            <w:noWrap/>
            <w:vAlign w:val="bottom"/>
            <w:hideMark/>
          </w:tcPr>
          <w:p w14:paraId="74EEDFDB" w14:textId="77777777" w:rsidR="005F38A6" w:rsidRPr="002E0A73" w:rsidRDefault="005F38A6" w:rsidP="006A7377">
            <w:pPr>
              <w:jc w:val="center"/>
              <w:rPr>
                <w:b/>
                <w:bCs/>
                <w:color w:val="000000"/>
                <w:sz w:val="20"/>
                <w:szCs w:val="20"/>
              </w:rPr>
            </w:pPr>
            <w:r w:rsidRPr="002E0A73">
              <w:rPr>
                <w:b/>
                <w:bCs/>
                <w:color w:val="000000"/>
                <w:sz w:val="20"/>
                <w:szCs w:val="20"/>
              </w:rPr>
              <w:t>2026</w:t>
            </w:r>
          </w:p>
        </w:tc>
        <w:tc>
          <w:tcPr>
            <w:tcW w:w="1356" w:type="dxa"/>
            <w:tcBorders>
              <w:top w:val="single" w:sz="4" w:space="0" w:color="auto"/>
              <w:left w:val="nil"/>
              <w:bottom w:val="double" w:sz="6" w:space="0" w:color="auto"/>
              <w:right w:val="nil"/>
            </w:tcBorders>
            <w:shd w:val="clear" w:color="auto" w:fill="auto"/>
            <w:noWrap/>
            <w:vAlign w:val="bottom"/>
            <w:hideMark/>
          </w:tcPr>
          <w:p w14:paraId="0B0ED92F" w14:textId="77777777" w:rsidR="005F38A6" w:rsidRPr="002E0A73" w:rsidRDefault="005F38A6" w:rsidP="006A7377">
            <w:pPr>
              <w:jc w:val="center"/>
              <w:rPr>
                <w:b/>
                <w:bCs/>
                <w:color w:val="000000"/>
                <w:sz w:val="20"/>
                <w:szCs w:val="20"/>
              </w:rPr>
            </w:pPr>
            <w:r w:rsidRPr="002E0A73">
              <w:rPr>
                <w:b/>
                <w:bCs/>
                <w:color w:val="000000"/>
                <w:sz w:val="20"/>
                <w:szCs w:val="20"/>
              </w:rPr>
              <w:t>2027</w:t>
            </w:r>
          </w:p>
        </w:tc>
        <w:tc>
          <w:tcPr>
            <w:tcW w:w="1356" w:type="dxa"/>
            <w:tcBorders>
              <w:top w:val="single" w:sz="4" w:space="0" w:color="auto"/>
              <w:left w:val="nil"/>
              <w:bottom w:val="double" w:sz="6" w:space="0" w:color="auto"/>
              <w:right w:val="nil"/>
            </w:tcBorders>
            <w:shd w:val="clear" w:color="auto" w:fill="auto"/>
            <w:noWrap/>
            <w:vAlign w:val="bottom"/>
            <w:hideMark/>
          </w:tcPr>
          <w:p w14:paraId="53AEA708" w14:textId="77777777" w:rsidR="005F38A6" w:rsidRPr="002E0A73" w:rsidRDefault="005F38A6" w:rsidP="006A7377">
            <w:pPr>
              <w:jc w:val="center"/>
              <w:rPr>
                <w:b/>
                <w:bCs/>
                <w:color w:val="000000"/>
                <w:sz w:val="20"/>
                <w:szCs w:val="20"/>
              </w:rPr>
            </w:pPr>
            <w:r w:rsidRPr="002E0A73">
              <w:rPr>
                <w:b/>
                <w:bCs/>
                <w:color w:val="000000"/>
                <w:sz w:val="20"/>
                <w:szCs w:val="20"/>
              </w:rPr>
              <w:t>2028</w:t>
            </w:r>
          </w:p>
        </w:tc>
      </w:tr>
      <w:tr w:rsidR="005D3402" w:rsidRPr="002E0A73" w14:paraId="41192E71" w14:textId="77777777" w:rsidTr="008C4384">
        <w:trPr>
          <w:trHeight w:val="199"/>
        </w:trPr>
        <w:tc>
          <w:tcPr>
            <w:tcW w:w="1720" w:type="dxa"/>
            <w:tcBorders>
              <w:top w:val="nil"/>
              <w:left w:val="nil"/>
              <w:bottom w:val="nil"/>
              <w:right w:val="nil"/>
            </w:tcBorders>
            <w:shd w:val="clear" w:color="auto" w:fill="auto"/>
            <w:noWrap/>
            <w:vAlign w:val="bottom"/>
            <w:hideMark/>
          </w:tcPr>
          <w:p w14:paraId="438C0B27" w14:textId="77777777" w:rsidR="005D3402" w:rsidRPr="002E0A73" w:rsidRDefault="005D3402" w:rsidP="005D3402">
            <w:pPr>
              <w:rPr>
                <w:color w:val="000000"/>
                <w:sz w:val="20"/>
                <w:szCs w:val="20"/>
              </w:rPr>
            </w:pPr>
            <w:r w:rsidRPr="002E0A73">
              <w:rPr>
                <w:color w:val="000000"/>
                <w:sz w:val="20"/>
                <w:szCs w:val="20"/>
              </w:rPr>
              <w:t>Colocaciones</w:t>
            </w:r>
          </w:p>
        </w:tc>
        <w:tc>
          <w:tcPr>
            <w:tcW w:w="1356" w:type="dxa"/>
            <w:tcBorders>
              <w:top w:val="nil"/>
              <w:left w:val="single" w:sz="4" w:space="0" w:color="auto"/>
              <w:bottom w:val="nil"/>
              <w:right w:val="nil"/>
            </w:tcBorders>
            <w:shd w:val="clear" w:color="auto" w:fill="auto"/>
            <w:noWrap/>
            <w:hideMark/>
          </w:tcPr>
          <w:p w14:paraId="6E94BA25" w14:textId="180276BD" w:rsidR="005D3402" w:rsidRPr="005D3402" w:rsidRDefault="005D3402" w:rsidP="005D3402">
            <w:pPr>
              <w:jc w:val="center"/>
              <w:rPr>
                <w:color w:val="000000"/>
                <w:sz w:val="20"/>
                <w:szCs w:val="20"/>
              </w:rPr>
            </w:pPr>
            <w:r w:rsidRPr="005D3402">
              <w:rPr>
                <w:sz w:val="20"/>
                <w:szCs w:val="20"/>
              </w:rPr>
              <w:t xml:space="preserve"> 53.7 </w:t>
            </w:r>
          </w:p>
        </w:tc>
        <w:tc>
          <w:tcPr>
            <w:tcW w:w="1356" w:type="dxa"/>
            <w:tcBorders>
              <w:top w:val="nil"/>
              <w:left w:val="nil"/>
              <w:bottom w:val="nil"/>
              <w:right w:val="nil"/>
            </w:tcBorders>
            <w:shd w:val="clear" w:color="auto" w:fill="auto"/>
            <w:noWrap/>
            <w:hideMark/>
          </w:tcPr>
          <w:p w14:paraId="5AB61B9F" w14:textId="4684F1E5" w:rsidR="005D3402" w:rsidRPr="005D3402" w:rsidRDefault="005D3402" w:rsidP="005D3402">
            <w:pPr>
              <w:jc w:val="center"/>
              <w:rPr>
                <w:color w:val="000000"/>
                <w:sz w:val="20"/>
                <w:szCs w:val="20"/>
              </w:rPr>
            </w:pPr>
            <w:r w:rsidRPr="005D3402">
              <w:rPr>
                <w:sz w:val="20"/>
                <w:szCs w:val="20"/>
              </w:rPr>
              <w:t xml:space="preserve"> 159.6 </w:t>
            </w:r>
          </w:p>
        </w:tc>
        <w:tc>
          <w:tcPr>
            <w:tcW w:w="1356" w:type="dxa"/>
            <w:tcBorders>
              <w:top w:val="nil"/>
              <w:left w:val="nil"/>
              <w:bottom w:val="nil"/>
              <w:right w:val="nil"/>
            </w:tcBorders>
            <w:shd w:val="clear" w:color="auto" w:fill="auto"/>
            <w:noWrap/>
            <w:hideMark/>
          </w:tcPr>
          <w:p w14:paraId="174E781C" w14:textId="4CBBD547" w:rsidR="005D3402" w:rsidRPr="005D3402" w:rsidRDefault="005D3402" w:rsidP="005D3402">
            <w:pPr>
              <w:jc w:val="center"/>
              <w:rPr>
                <w:color w:val="000000"/>
                <w:sz w:val="20"/>
                <w:szCs w:val="20"/>
              </w:rPr>
            </w:pPr>
            <w:r w:rsidRPr="005D3402">
              <w:rPr>
                <w:sz w:val="20"/>
                <w:szCs w:val="20"/>
              </w:rPr>
              <w:t xml:space="preserve"> 249.5 </w:t>
            </w:r>
          </w:p>
        </w:tc>
        <w:tc>
          <w:tcPr>
            <w:tcW w:w="1356" w:type="dxa"/>
            <w:tcBorders>
              <w:top w:val="nil"/>
              <w:left w:val="nil"/>
              <w:bottom w:val="nil"/>
              <w:right w:val="nil"/>
            </w:tcBorders>
            <w:shd w:val="clear" w:color="auto" w:fill="auto"/>
            <w:noWrap/>
            <w:hideMark/>
          </w:tcPr>
          <w:p w14:paraId="38627961" w14:textId="48E21CE6" w:rsidR="005D3402" w:rsidRPr="005D3402" w:rsidRDefault="005D3402" w:rsidP="005D3402">
            <w:pPr>
              <w:jc w:val="center"/>
              <w:rPr>
                <w:color w:val="000000"/>
                <w:sz w:val="20"/>
                <w:szCs w:val="20"/>
              </w:rPr>
            </w:pPr>
            <w:r w:rsidRPr="005D3402">
              <w:rPr>
                <w:sz w:val="20"/>
                <w:szCs w:val="20"/>
              </w:rPr>
              <w:t xml:space="preserve"> 309.5 </w:t>
            </w:r>
          </w:p>
        </w:tc>
        <w:tc>
          <w:tcPr>
            <w:tcW w:w="1356" w:type="dxa"/>
            <w:tcBorders>
              <w:top w:val="nil"/>
              <w:left w:val="nil"/>
              <w:bottom w:val="nil"/>
              <w:right w:val="nil"/>
            </w:tcBorders>
            <w:shd w:val="clear" w:color="auto" w:fill="auto"/>
            <w:noWrap/>
            <w:hideMark/>
          </w:tcPr>
          <w:p w14:paraId="34D74259" w14:textId="0DDC997D" w:rsidR="005D3402" w:rsidRPr="005D3402" w:rsidRDefault="005D3402" w:rsidP="005D3402">
            <w:pPr>
              <w:jc w:val="center"/>
              <w:rPr>
                <w:color w:val="000000"/>
                <w:sz w:val="20"/>
                <w:szCs w:val="20"/>
              </w:rPr>
            </w:pPr>
            <w:r w:rsidRPr="005D3402">
              <w:rPr>
                <w:sz w:val="20"/>
                <w:szCs w:val="20"/>
              </w:rPr>
              <w:t xml:space="preserve"> 337.3 </w:t>
            </w:r>
          </w:p>
        </w:tc>
      </w:tr>
      <w:tr w:rsidR="005D3402" w:rsidRPr="002E0A73" w14:paraId="5AC3665E" w14:textId="77777777" w:rsidTr="008C4384">
        <w:trPr>
          <w:trHeight w:val="189"/>
        </w:trPr>
        <w:tc>
          <w:tcPr>
            <w:tcW w:w="1720" w:type="dxa"/>
            <w:tcBorders>
              <w:top w:val="nil"/>
              <w:left w:val="nil"/>
              <w:bottom w:val="nil"/>
              <w:right w:val="nil"/>
            </w:tcBorders>
            <w:shd w:val="clear" w:color="auto" w:fill="auto"/>
            <w:noWrap/>
            <w:vAlign w:val="bottom"/>
            <w:hideMark/>
          </w:tcPr>
          <w:p w14:paraId="7E178448" w14:textId="77777777" w:rsidR="005D3402" w:rsidRPr="002E0A73" w:rsidRDefault="005D3402" w:rsidP="005D3402">
            <w:pPr>
              <w:rPr>
                <w:color w:val="000000"/>
                <w:sz w:val="20"/>
                <w:szCs w:val="20"/>
              </w:rPr>
            </w:pPr>
            <w:r w:rsidRPr="002E0A73">
              <w:rPr>
                <w:color w:val="000000"/>
                <w:sz w:val="20"/>
                <w:szCs w:val="20"/>
              </w:rPr>
              <w:t>Prestamos</w:t>
            </w:r>
          </w:p>
        </w:tc>
        <w:tc>
          <w:tcPr>
            <w:tcW w:w="1356" w:type="dxa"/>
            <w:tcBorders>
              <w:top w:val="nil"/>
              <w:left w:val="single" w:sz="4" w:space="0" w:color="auto"/>
              <w:bottom w:val="nil"/>
              <w:right w:val="nil"/>
            </w:tcBorders>
            <w:shd w:val="clear" w:color="auto" w:fill="auto"/>
            <w:noWrap/>
            <w:hideMark/>
          </w:tcPr>
          <w:p w14:paraId="673AB930" w14:textId="04BDFCA9" w:rsidR="005D3402" w:rsidRPr="005D3402" w:rsidRDefault="005D3402" w:rsidP="005D3402">
            <w:pPr>
              <w:jc w:val="center"/>
              <w:rPr>
                <w:color w:val="000000"/>
                <w:sz w:val="20"/>
                <w:szCs w:val="20"/>
              </w:rPr>
            </w:pPr>
            <w:r w:rsidRPr="005D3402">
              <w:rPr>
                <w:sz w:val="20"/>
                <w:szCs w:val="20"/>
              </w:rPr>
              <w:t xml:space="preserve"> 30.8 </w:t>
            </w:r>
          </w:p>
        </w:tc>
        <w:tc>
          <w:tcPr>
            <w:tcW w:w="1356" w:type="dxa"/>
            <w:tcBorders>
              <w:top w:val="nil"/>
              <w:left w:val="nil"/>
              <w:bottom w:val="nil"/>
              <w:right w:val="nil"/>
            </w:tcBorders>
            <w:shd w:val="clear" w:color="auto" w:fill="auto"/>
            <w:noWrap/>
            <w:hideMark/>
          </w:tcPr>
          <w:p w14:paraId="52DF4A2B" w14:textId="1C670EB4" w:rsidR="005D3402" w:rsidRPr="005D3402" w:rsidRDefault="005D3402" w:rsidP="005D3402">
            <w:pPr>
              <w:jc w:val="center"/>
              <w:rPr>
                <w:color w:val="000000"/>
                <w:sz w:val="20"/>
                <w:szCs w:val="20"/>
              </w:rPr>
            </w:pPr>
            <w:r w:rsidRPr="005D3402">
              <w:rPr>
                <w:sz w:val="20"/>
                <w:szCs w:val="20"/>
              </w:rPr>
              <w:t xml:space="preserve"> 78.9 </w:t>
            </w:r>
          </w:p>
        </w:tc>
        <w:tc>
          <w:tcPr>
            <w:tcW w:w="1356" w:type="dxa"/>
            <w:tcBorders>
              <w:top w:val="nil"/>
              <w:left w:val="nil"/>
              <w:bottom w:val="nil"/>
              <w:right w:val="nil"/>
            </w:tcBorders>
            <w:shd w:val="clear" w:color="auto" w:fill="auto"/>
            <w:noWrap/>
            <w:hideMark/>
          </w:tcPr>
          <w:p w14:paraId="5B2D2464" w14:textId="3419E563" w:rsidR="005D3402" w:rsidRPr="005D3402" w:rsidRDefault="005D3402" w:rsidP="005D3402">
            <w:pPr>
              <w:jc w:val="center"/>
              <w:rPr>
                <w:color w:val="000000"/>
                <w:sz w:val="20"/>
                <w:szCs w:val="20"/>
              </w:rPr>
            </w:pPr>
            <w:r w:rsidRPr="005D3402">
              <w:rPr>
                <w:sz w:val="20"/>
                <w:szCs w:val="20"/>
              </w:rPr>
              <w:t xml:space="preserve"> 105.4 </w:t>
            </w:r>
          </w:p>
        </w:tc>
        <w:tc>
          <w:tcPr>
            <w:tcW w:w="1356" w:type="dxa"/>
            <w:tcBorders>
              <w:top w:val="nil"/>
              <w:left w:val="nil"/>
              <w:bottom w:val="nil"/>
              <w:right w:val="nil"/>
            </w:tcBorders>
            <w:shd w:val="clear" w:color="auto" w:fill="auto"/>
            <w:noWrap/>
            <w:hideMark/>
          </w:tcPr>
          <w:p w14:paraId="6DDA092F" w14:textId="6DB77D41" w:rsidR="005D3402" w:rsidRPr="005D3402" w:rsidRDefault="005D3402" w:rsidP="005D3402">
            <w:pPr>
              <w:jc w:val="center"/>
              <w:rPr>
                <w:color w:val="000000"/>
                <w:sz w:val="20"/>
                <w:szCs w:val="20"/>
              </w:rPr>
            </w:pPr>
            <w:r w:rsidRPr="005D3402">
              <w:rPr>
                <w:sz w:val="20"/>
                <w:szCs w:val="20"/>
              </w:rPr>
              <w:t xml:space="preserve"> 122.2 </w:t>
            </w:r>
          </w:p>
        </w:tc>
        <w:tc>
          <w:tcPr>
            <w:tcW w:w="1356" w:type="dxa"/>
            <w:tcBorders>
              <w:top w:val="nil"/>
              <w:left w:val="nil"/>
              <w:bottom w:val="nil"/>
              <w:right w:val="nil"/>
            </w:tcBorders>
            <w:shd w:val="clear" w:color="auto" w:fill="auto"/>
            <w:noWrap/>
            <w:hideMark/>
          </w:tcPr>
          <w:p w14:paraId="609F4FC0" w14:textId="2CFD298B" w:rsidR="005D3402" w:rsidRPr="005D3402" w:rsidRDefault="005D3402" w:rsidP="005D3402">
            <w:pPr>
              <w:jc w:val="center"/>
              <w:rPr>
                <w:color w:val="000000"/>
                <w:sz w:val="20"/>
                <w:szCs w:val="20"/>
              </w:rPr>
            </w:pPr>
            <w:r w:rsidRPr="005D3402">
              <w:rPr>
                <w:sz w:val="20"/>
                <w:szCs w:val="20"/>
              </w:rPr>
              <w:t xml:space="preserve"> 133.2 </w:t>
            </w:r>
          </w:p>
        </w:tc>
      </w:tr>
      <w:tr w:rsidR="005D3402" w:rsidRPr="002E0A73" w14:paraId="7522A04E" w14:textId="77777777" w:rsidTr="008C4384">
        <w:trPr>
          <w:trHeight w:val="189"/>
        </w:trPr>
        <w:tc>
          <w:tcPr>
            <w:tcW w:w="1720" w:type="dxa"/>
            <w:tcBorders>
              <w:top w:val="nil"/>
              <w:left w:val="nil"/>
              <w:bottom w:val="nil"/>
              <w:right w:val="nil"/>
            </w:tcBorders>
            <w:shd w:val="clear" w:color="auto" w:fill="auto"/>
            <w:noWrap/>
            <w:vAlign w:val="bottom"/>
            <w:hideMark/>
          </w:tcPr>
          <w:p w14:paraId="153B1A63" w14:textId="77777777" w:rsidR="005D3402" w:rsidRPr="002E0A73" w:rsidRDefault="005D3402" w:rsidP="005D3402">
            <w:pPr>
              <w:rPr>
                <w:color w:val="000000"/>
                <w:sz w:val="20"/>
                <w:szCs w:val="20"/>
              </w:rPr>
            </w:pPr>
            <w:r w:rsidRPr="002E0A73">
              <w:rPr>
                <w:color w:val="000000"/>
                <w:sz w:val="20"/>
                <w:szCs w:val="20"/>
              </w:rPr>
              <w:t>Total</w:t>
            </w:r>
          </w:p>
        </w:tc>
        <w:tc>
          <w:tcPr>
            <w:tcW w:w="1356" w:type="dxa"/>
            <w:tcBorders>
              <w:top w:val="nil"/>
              <w:left w:val="single" w:sz="4" w:space="0" w:color="auto"/>
              <w:bottom w:val="nil"/>
              <w:right w:val="nil"/>
            </w:tcBorders>
            <w:shd w:val="clear" w:color="auto" w:fill="auto"/>
            <w:noWrap/>
            <w:hideMark/>
          </w:tcPr>
          <w:p w14:paraId="17701392" w14:textId="44C457FA" w:rsidR="005D3402" w:rsidRPr="005D3402" w:rsidRDefault="005D3402" w:rsidP="005D3402">
            <w:pPr>
              <w:jc w:val="center"/>
              <w:rPr>
                <w:color w:val="000000"/>
                <w:sz w:val="20"/>
                <w:szCs w:val="20"/>
              </w:rPr>
            </w:pPr>
            <w:r w:rsidRPr="005D3402">
              <w:rPr>
                <w:sz w:val="20"/>
                <w:szCs w:val="20"/>
              </w:rPr>
              <w:t xml:space="preserve"> 84.5 </w:t>
            </w:r>
          </w:p>
        </w:tc>
        <w:tc>
          <w:tcPr>
            <w:tcW w:w="1356" w:type="dxa"/>
            <w:tcBorders>
              <w:top w:val="nil"/>
              <w:left w:val="nil"/>
              <w:bottom w:val="nil"/>
              <w:right w:val="nil"/>
            </w:tcBorders>
            <w:shd w:val="clear" w:color="auto" w:fill="auto"/>
            <w:noWrap/>
            <w:hideMark/>
          </w:tcPr>
          <w:p w14:paraId="41AB8614" w14:textId="51685047" w:rsidR="005D3402" w:rsidRPr="005D3402" w:rsidRDefault="005D3402" w:rsidP="005D3402">
            <w:pPr>
              <w:jc w:val="center"/>
              <w:rPr>
                <w:color w:val="000000"/>
                <w:sz w:val="20"/>
                <w:szCs w:val="20"/>
              </w:rPr>
            </w:pPr>
            <w:r w:rsidRPr="005D3402">
              <w:rPr>
                <w:sz w:val="20"/>
                <w:szCs w:val="20"/>
              </w:rPr>
              <w:t xml:space="preserve"> 238.5 </w:t>
            </w:r>
          </w:p>
        </w:tc>
        <w:tc>
          <w:tcPr>
            <w:tcW w:w="1356" w:type="dxa"/>
            <w:tcBorders>
              <w:top w:val="nil"/>
              <w:left w:val="nil"/>
              <w:bottom w:val="nil"/>
              <w:right w:val="nil"/>
            </w:tcBorders>
            <w:shd w:val="clear" w:color="auto" w:fill="auto"/>
            <w:noWrap/>
            <w:hideMark/>
          </w:tcPr>
          <w:p w14:paraId="6C439663" w14:textId="105FCCED" w:rsidR="005D3402" w:rsidRPr="005D3402" w:rsidRDefault="005D3402" w:rsidP="005D3402">
            <w:pPr>
              <w:jc w:val="center"/>
              <w:rPr>
                <w:color w:val="000000"/>
                <w:sz w:val="20"/>
                <w:szCs w:val="20"/>
              </w:rPr>
            </w:pPr>
            <w:r w:rsidRPr="005D3402">
              <w:rPr>
                <w:sz w:val="20"/>
                <w:szCs w:val="20"/>
              </w:rPr>
              <w:t xml:space="preserve"> 354.9 </w:t>
            </w:r>
          </w:p>
        </w:tc>
        <w:tc>
          <w:tcPr>
            <w:tcW w:w="1356" w:type="dxa"/>
            <w:tcBorders>
              <w:top w:val="nil"/>
              <w:left w:val="nil"/>
              <w:bottom w:val="nil"/>
              <w:right w:val="nil"/>
            </w:tcBorders>
            <w:shd w:val="clear" w:color="auto" w:fill="auto"/>
            <w:noWrap/>
            <w:hideMark/>
          </w:tcPr>
          <w:p w14:paraId="77ED4E18" w14:textId="70053925" w:rsidR="005D3402" w:rsidRPr="005D3402" w:rsidRDefault="005D3402" w:rsidP="005D3402">
            <w:pPr>
              <w:jc w:val="center"/>
              <w:rPr>
                <w:color w:val="000000"/>
                <w:sz w:val="20"/>
                <w:szCs w:val="20"/>
              </w:rPr>
            </w:pPr>
            <w:r w:rsidRPr="005D3402">
              <w:rPr>
                <w:sz w:val="20"/>
                <w:szCs w:val="20"/>
              </w:rPr>
              <w:t xml:space="preserve"> 431.7 </w:t>
            </w:r>
          </w:p>
        </w:tc>
        <w:tc>
          <w:tcPr>
            <w:tcW w:w="1356" w:type="dxa"/>
            <w:tcBorders>
              <w:top w:val="nil"/>
              <w:left w:val="nil"/>
              <w:bottom w:val="nil"/>
              <w:right w:val="nil"/>
            </w:tcBorders>
            <w:shd w:val="clear" w:color="auto" w:fill="auto"/>
            <w:noWrap/>
            <w:hideMark/>
          </w:tcPr>
          <w:p w14:paraId="65D9F1EB" w14:textId="05B602A8" w:rsidR="005D3402" w:rsidRPr="005D3402" w:rsidRDefault="005D3402" w:rsidP="005D3402">
            <w:pPr>
              <w:jc w:val="center"/>
              <w:rPr>
                <w:color w:val="000000"/>
                <w:sz w:val="20"/>
                <w:szCs w:val="20"/>
              </w:rPr>
            </w:pPr>
            <w:r w:rsidRPr="005D3402">
              <w:rPr>
                <w:sz w:val="20"/>
                <w:szCs w:val="20"/>
              </w:rPr>
              <w:t xml:space="preserve"> 470.5 </w:t>
            </w:r>
          </w:p>
        </w:tc>
      </w:tr>
      <w:tr w:rsidR="005D3402" w:rsidRPr="002E0A73" w14:paraId="1A63AB63" w14:textId="77777777" w:rsidTr="008C4384">
        <w:trPr>
          <w:trHeight w:val="189"/>
        </w:trPr>
        <w:tc>
          <w:tcPr>
            <w:tcW w:w="1720" w:type="dxa"/>
            <w:tcBorders>
              <w:top w:val="nil"/>
              <w:left w:val="nil"/>
              <w:bottom w:val="single" w:sz="4" w:space="0" w:color="auto"/>
              <w:right w:val="nil"/>
            </w:tcBorders>
            <w:shd w:val="clear" w:color="000000" w:fill="F2F2F2"/>
            <w:noWrap/>
            <w:vAlign w:val="bottom"/>
            <w:hideMark/>
          </w:tcPr>
          <w:p w14:paraId="4C6CCBAB" w14:textId="77777777" w:rsidR="005D3402" w:rsidRPr="002E0A73" w:rsidRDefault="005D3402" w:rsidP="005D3402">
            <w:pPr>
              <w:rPr>
                <w:b/>
                <w:bCs/>
                <w:color w:val="000000"/>
                <w:sz w:val="20"/>
                <w:szCs w:val="20"/>
              </w:rPr>
            </w:pPr>
            <w:r w:rsidRPr="002E0A73">
              <w:rPr>
                <w:b/>
                <w:bCs/>
                <w:color w:val="000000"/>
                <w:sz w:val="20"/>
                <w:szCs w:val="20"/>
              </w:rPr>
              <w:t>% del PIB</w:t>
            </w:r>
          </w:p>
        </w:tc>
        <w:tc>
          <w:tcPr>
            <w:tcW w:w="1356" w:type="dxa"/>
            <w:tcBorders>
              <w:top w:val="nil"/>
              <w:left w:val="single" w:sz="4" w:space="0" w:color="auto"/>
              <w:bottom w:val="single" w:sz="4" w:space="0" w:color="auto"/>
              <w:right w:val="nil"/>
            </w:tcBorders>
            <w:shd w:val="clear" w:color="000000" w:fill="F2F2F2"/>
            <w:noWrap/>
            <w:hideMark/>
          </w:tcPr>
          <w:p w14:paraId="04CE385D" w14:textId="729DC6B6" w:rsidR="005D3402" w:rsidRPr="005D3402" w:rsidRDefault="005D3402" w:rsidP="005D3402">
            <w:pPr>
              <w:jc w:val="center"/>
              <w:rPr>
                <w:b/>
                <w:bCs/>
                <w:color w:val="000000"/>
                <w:sz w:val="20"/>
                <w:szCs w:val="20"/>
              </w:rPr>
            </w:pPr>
            <w:r w:rsidRPr="005D3402">
              <w:rPr>
                <w:sz w:val="20"/>
                <w:szCs w:val="20"/>
              </w:rPr>
              <w:t>0.01%</w:t>
            </w:r>
          </w:p>
        </w:tc>
        <w:tc>
          <w:tcPr>
            <w:tcW w:w="1356" w:type="dxa"/>
            <w:tcBorders>
              <w:top w:val="nil"/>
              <w:left w:val="nil"/>
              <w:bottom w:val="single" w:sz="4" w:space="0" w:color="auto"/>
              <w:right w:val="nil"/>
            </w:tcBorders>
            <w:shd w:val="clear" w:color="000000" w:fill="F2F2F2"/>
            <w:noWrap/>
            <w:hideMark/>
          </w:tcPr>
          <w:p w14:paraId="76550812" w14:textId="259A660F" w:rsidR="005D3402" w:rsidRPr="005D3402" w:rsidRDefault="005D3402" w:rsidP="005D3402">
            <w:pPr>
              <w:jc w:val="center"/>
              <w:rPr>
                <w:b/>
                <w:bCs/>
                <w:color w:val="000000"/>
                <w:sz w:val="20"/>
                <w:szCs w:val="20"/>
              </w:rPr>
            </w:pPr>
            <w:r w:rsidRPr="005D3402">
              <w:rPr>
                <w:sz w:val="20"/>
                <w:szCs w:val="20"/>
              </w:rPr>
              <w:t>0.03%</w:t>
            </w:r>
          </w:p>
        </w:tc>
        <w:tc>
          <w:tcPr>
            <w:tcW w:w="1356" w:type="dxa"/>
            <w:tcBorders>
              <w:top w:val="nil"/>
              <w:left w:val="nil"/>
              <w:bottom w:val="single" w:sz="4" w:space="0" w:color="auto"/>
              <w:right w:val="nil"/>
            </w:tcBorders>
            <w:shd w:val="clear" w:color="000000" w:fill="F2F2F2"/>
            <w:noWrap/>
            <w:hideMark/>
          </w:tcPr>
          <w:p w14:paraId="372394E6" w14:textId="47C156DC" w:rsidR="005D3402" w:rsidRPr="005D3402" w:rsidRDefault="005D3402" w:rsidP="005D3402">
            <w:pPr>
              <w:jc w:val="center"/>
              <w:rPr>
                <w:b/>
                <w:bCs/>
                <w:color w:val="000000"/>
                <w:sz w:val="20"/>
                <w:szCs w:val="20"/>
              </w:rPr>
            </w:pPr>
            <w:r w:rsidRPr="005D3402">
              <w:rPr>
                <w:sz w:val="20"/>
                <w:szCs w:val="20"/>
              </w:rPr>
              <w:t>0.04%</w:t>
            </w:r>
          </w:p>
        </w:tc>
        <w:tc>
          <w:tcPr>
            <w:tcW w:w="1356" w:type="dxa"/>
            <w:tcBorders>
              <w:top w:val="nil"/>
              <w:left w:val="nil"/>
              <w:bottom w:val="single" w:sz="4" w:space="0" w:color="auto"/>
              <w:right w:val="nil"/>
            </w:tcBorders>
            <w:shd w:val="clear" w:color="000000" w:fill="F2F2F2"/>
            <w:noWrap/>
            <w:hideMark/>
          </w:tcPr>
          <w:p w14:paraId="6B1406DB" w14:textId="06EE48B2" w:rsidR="005D3402" w:rsidRPr="005D3402" w:rsidRDefault="005D3402" w:rsidP="005D3402">
            <w:pPr>
              <w:jc w:val="center"/>
              <w:rPr>
                <w:b/>
                <w:bCs/>
                <w:color w:val="000000"/>
                <w:sz w:val="20"/>
                <w:szCs w:val="20"/>
              </w:rPr>
            </w:pPr>
            <w:r w:rsidRPr="005D3402">
              <w:rPr>
                <w:sz w:val="20"/>
                <w:szCs w:val="20"/>
              </w:rPr>
              <w:t>0.04%</w:t>
            </w:r>
          </w:p>
        </w:tc>
        <w:tc>
          <w:tcPr>
            <w:tcW w:w="1356" w:type="dxa"/>
            <w:tcBorders>
              <w:top w:val="nil"/>
              <w:left w:val="nil"/>
              <w:bottom w:val="single" w:sz="4" w:space="0" w:color="auto"/>
              <w:right w:val="nil"/>
            </w:tcBorders>
            <w:shd w:val="clear" w:color="000000" w:fill="F2F2F2"/>
            <w:noWrap/>
            <w:hideMark/>
          </w:tcPr>
          <w:p w14:paraId="7A57EE73" w14:textId="631B530D" w:rsidR="005D3402" w:rsidRPr="005D3402" w:rsidRDefault="005D3402" w:rsidP="005D3402">
            <w:pPr>
              <w:jc w:val="center"/>
              <w:rPr>
                <w:b/>
                <w:bCs/>
                <w:color w:val="000000"/>
                <w:sz w:val="20"/>
                <w:szCs w:val="20"/>
              </w:rPr>
            </w:pPr>
            <w:r w:rsidRPr="005D3402">
              <w:rPr>
                <w:sz w:val="20"/>
                <w:szCs w:val="20"/>
              </w:rPr>
              <w:t>0.04%</w:t>
            </w:r>
          </w:p>
        </w:tc>
      </w:tr>
    </w:tbl>
    <w:p w14:paraId="71951370" w14:textId="353CCEE3" w:rsidR="005F38A6" w:rsidRPr="005E0AEB" w:rsidRDefault="005F38A6" w:rsidP="005F38A6">
      <w:pPr>
        <w:jc w:val="both"/>
        <w:rPr>
          <w:sz w:val="16"/>
          <w:szCs w:val="16"/>
        </w:rPr>
      </w:pPr>
      <w:r w:rsidRPr="005E0AEB">
        <w:rPr>
          <w:sz w:val="16"/>
          <w:szCs w:val="16"/>
        </w:rPr>
        <w:t>Fuente: Ministerio de Finanzas</w:t>
      </w:r>
    </w:p>
    <w:p w14:paraId="28B87F54" w14:textId="77777777" w:rsidR="00294776" w:rsidRDefault="00294776" w:rsidP="005F38A6">
      <w:pPr>
        <w:jc w:val="both"/>
      </w:pPr>
    </w:p>
    <w:p w14:paraId="7F17A5B2" w14:textId="4156599C" w:rsidR="005F38A6" w:rsidRDefault="005F38A6" w:rsidP="005F38A6">
      <w:pPr>
        <w:jc w:val="both"/>
      </w:pPr>
      <w:r w:rsidRPr="00E9078C">
        <w:lastRenderedPageBreak/>
        <w:t xml:space="preserve">Además, los aumentos de las tasas afectan los intereses que se pagan por la deuda contratada con anterioridad, no obstante, en el caso de la deuda del país esta proporción representa únicamente el 16.5% del total. </w:t>
      </w:r>
    </w:p>
    <w:p w14:paraId="51817AC8" w14:textId="77777777" w:rsidR="005F38A6" w:rsidRDefault="005F38A6" w:rsidP="005F38A6">
      <w:pPr>
        <w:jc w:val="both"/>
      </w:pPr>
    </w:p>
    <w:p w14:paraId="6F501CB3" w14:textId="77777777" w:rsidR="005F38A6" w:rsidRPr="00987058" w:rsidRDefault="005F38A6" w:rsidP="005F07F9">
      <w:pPr>
        <w:pStyle w:val="Ttulo2"/>
        <w:numPr>
          <w:ilvl w:val="2"/>
          <w:numId w:val="35"/>
        </w:numPr>
        <w:tabs>
          <w:tab w:val="left" w:pos="851"/>
        </w:tabs>
        <w:ind w:left="567" w:hanging="283"/>
        <w:rPr>
          <w:bCs/>
        </w:rPr>
      </w:pPr>
      <w:bookmarkStart w:id="117" w:name="_Toc114495238"/>
      <w:bookmarkStart w:id="118" w:name="_Toc144114372"/>
      <w:r w:rsidRPr="00987058">
        <w:rPr>
          <w:bCs/>
        </w:rPr>
        <w:t>Riegos asociados a las variaciones en los precios internacionales del petróleo</w:t>
      </w:r>
      <w:bookmarkEnd w:id="117"/>
      <w:bookmarkEnd w:id="118"/>
    </w:p>
    <w:p w14:paraId="6F69FB42" w14:textId="77777777" w:rsidR="005F38A6" w:rsidRPr="00B83FCC" w:rsidRDefault="005F38A6" w:rsidP="005F38A6">
      <w:pPr>
        <w:jc w:val="both"/>
        <w:rPr>
          <w:b/>
          <w:bCs/>
          <w:sz w:val="28"/>
          <w:szCs w:val="28"/>
        </w:rPr>
      </w:pPr>
    </w:p>
    <w:p w14:paraId="220968A9" w14:textId="1A4B35B5" w:rsidR="005F38A6" w:rsidRDefault="005F38A6" w:rsidP="005F38A6">
      <w:pPr>
        <w:jc w:val="both"/>
      </w:pPr>
      <w:r w:rsidRPr="00B83FCC">
        <w:t xml:space="preserve">El </w:t>
      </w:r>
      <w:r>
        <w:t>petróleo crudo y sus derivados son</w:t>
      </w:r>
      <w:r w:rsidRPr="00B83FCC">
        <w:t xml:space="preserve"> una fuerza fundamental en la economía mundial y los cambios en su precio tienen efectos significativos en el crecimiento económico y en el bienestar de los hogares. Los choques en los precios se transmiten a la economía por varios canales, en el caso del sector privado un aumento positivo en el precio del crudo aumentará los </w:t>
      </w:r>
      <w:r>
        <w:t>costos de los</w:t>
      </w:r>
      <w:r w:rsidRPr="00B83FCC">
        <w:t xml:space="preserve"> derivados que son utilizados por los hogares y las firmas, teniendo un particular efecto en l</w:t>
      </w:r>
      <w:r>
        <w:t xml:space="preserve">a disminución del ingreso real </w:t>
      </w:r>
      <w:r w:rsidRPr="00B83FCC">
        <w:t xml:space="preserve">de los hogares más vulnerables. Asimismo, estos impactos </w:t>
      </w:r>
      <w:r>
        <w:t>pueden deteriorar indicadores macroeconómicos, fiscales y sociales dependiendo de las</w:t>
      </w:r>
      <w:r w:rsidRPr="00B83FCC">
        <w:t xml:space="preserve"> características estructurales</w:t>
      </w:r>
      <w:r>
        <w:t xml:space="preserve"> de cada país.</w:t>
      </w:r>
      <w:r w:rsidR="00885487">
        <w:t xml:space="preserve">  </w:t>
      </w:r>
      <w:r w:rsidRPr="00B83FCC">
        <w:t xml:space="preserve">La usual volatilidad </w:t>
      </w:r>
      <w:r>
        <w:t>en el mercado del petróleo crudo</w:t>
      </w:r>
      <w:r w:rsidRPr="00B83FCC">
        <w:t xml:space="preserve"> dificulta a los países importadores realizar presupuestos robustos, esto debido a la incertidumbre en los ingresos, </w:t>
      </w:r>
      <w:r>
        <w:t xml:space="preserve">además por el </w:t>
      </w:r>
      <w:r w:rsidRPr="00B83FCC">
        <w:t>gasto</w:t>
      </w:r>
      <w:r>
        <w:t xml:space="preserve"> </w:t>
      </w:r>
      <w:r w:rsidRPr="00B83FCC">
        <w:t xml:space="preserve">en subsidios para proteger a las firmas y los hogares, particularmente en países en desarrollo. No obstante, estos subsidios exponen a los gobiernos en riesgos fiscales, </w:t>
      </w:r>
      <w:r>
        <w:t>aumentan los</w:t>
      </w:r>
      <w:r w:rsidRPr="00B83FCC">
        <w:t xml:space="preserve"> costos ambientales, crean desincentivos para el uso eficiente de la energía y se desplazan los recursos para la educación, salud y otras inversiones </w:t>
      </w:r>
      <w:r>
        <w:t>que sirven para</w:t>
      </w:r>
      <w:r w:rsidRPr="00B83FCC">
        <w:t xml:space="preserve"> el desarrollo de los países</w:t>
      </w:r>
      <w:r>
        <w:t xml:space="preserve">. </w:t>
      </w:r>
    </w:p>
    <w:p w14:paraId="5E00DE9B" w14:textId="77777777" w:rsidR="005F38A6" w:rsidRDefault="005F38A6" w:rsidP="005F38A6">
      <w:pPr>
        <w:jc w:val="both"/>
      </w:pPr>
    </w:p>
    <w:p w14:paraId="6268B786" w14:textId="77777777" w:rsidR="005F38A6" w:rsidRDefault="005F38A6" w:rsidP="005F38A6">
      <w:pPr>
        <w:jc w:val="both"/>
      </w:pPr>
      <w:r>
        <w:t>En 2022 el aumento de los precios del petróleo aunado con el aumento de las materias primas de agricultura por el conflicto de Rusia y Ucrania, llevó a los países a utilizar distintos mecanismos para mitigar el aumento de precios y sus efectos negativos en la economía, por lo que el gobierno hizo uso de subsidios en algunos meses para las gasolinas y diésel generando un impacto en el gasto público de Q2,339.6 millones, por el equivalente a 0.32% del PIB.</w:t>
      </w:r>
    </w:p>
    <w:p w14:paraId="66557A00" w14:textId="77777777" w:rsidR="005F38A6" w:rsidRDefault="005F38A6" w:rsidP="005F38A6">
      <w:pPr>
        <w:jc w:val="both"/>
      </w:pPr>
    </w:p>
    <w:p w14:paraId="78364889" w14:textId="77777777" w:rsidR="005F38A6" w:rsidRDefault="005F38A6" w:rsidP="005F38A6">
      <w:pPr>
        <w:jc w:val="both"/>
      </w:pPr>
      <w:r>
        <w:t>Lo anterior resalta la importancia de analizar l</w:t>
      </w:r>
      <w:r w:rsidRPr="00B83FCC">
        <w:t xml:space="preserve">os posibles riesgos fiscales originados por los cambios en los precios del petróleo. Para esto se realizará un énfasis especial en los posibles impactos </w:t>
      </w:r>
      <w:r>
        <w:t>fiscales de escenarios de alza o disminución de precios en el año 2024.</w:t>
      </w:r>
    </w:p>
    <w:p w14:paraId="5589973F" w14:textId="77777777" w:rsidR="005F38A6" w:rsidRPr="00BA7BF8" w:rsidRDefault="005F38A6" w:rsidP="005F38A6">
      <w:pPr>
        <w:jc w:val="both"/>
        <w:rPr>
          <w:b/>
          <w:bCs/>
        </w:rPr>
      </w:pPr>
      <w:bookmarkStart w:id="119" w:name="_Toc110522920"/>
      <w:bookmarkStart w:id="120" w:name="_Toc114066619"/>
      <w:bookmarkStart w:id="121" w:name="_Toc114473941"/>
      <w:bookmarkStart w:id="122" w:name="_Toc114475988"/>
      <w:bookmarkStart w:id="123" w:name="_Toc114476095"/>
      <w:bookmarkStart w:id="124" w:name="_Toc114476180"/>
      <w:bookmarkStart w:id="125" w:name="_Toc114476247"/>
      <w:bookmarkStart w:id="126" w:name="_Toc114476321"/>
      <w:bookmarkStart w:id="127" w:name="_Toc114476387"/>
      <w:bookmarkStart w:id="128" w:name="_Toc114492473"/>
      <w:bookmarkStart w:id="129" w:name="_Toc114492674"/>
      <w:bookmarkStart w:id="130" w:name="_Toc114493784"/>
      <w:bookmarkStart w:id="131" w:name="_Toc114495239"/>
      <w:bookmarkStart w:id="132" w:name="_Toc110522921"/>
      <w:bookmarkStart w:id="133" w:name="_Toc114066620"/>
      <w:bookmarkStart w:id="134" w:name="_Toc114473942"/>
      <w:bookmarkStart w:id="135" w:name="_Toc114475989"/>
      <w:bookmarkStart w:id="136" w:name="_Toc114476096"/>
      <w:bookmarkStart w:id="137" w:name="_Toc114476181"/>
      <w:bookmarkStart w:id="138" w:name="_Toc114476248"/>
      <w:bookmarkStart w:id="139" w:name="_Toc114476322"/>
      <w:bookmarkStart w:id="140" w:name="_Toc114476388"/>
      <w:bookmarkStart w:id="141" w:name="_Toc114492474"/>
      <w:bookmarkStart w:id="142" w:name="_Toc114492675"/>
      <w:bookmarkStart w:id="143" w:name="_Toc114493785"/>
      <w:bookmarkStart w:id="144" w:name="_Toc114495240"/>
      <w:bookmarkStart w:id="145" w:name="_Toc110522922"/>
      <w:bookmarkStart w:id="146" w:name="_Toc114066621"/>
      <w:bookmarkStart w:id="147" w:name="_Toc114473943"/>
      <w:bookmarkStart w:id="148" w:name="_Toc114475990"/>
      <w:bookmarkStart w:id="149" w:name="_Toc114476097"/>
      <w:bookmarkStart w:id="150" w:name="_Toc114476182"/>
      <w:bookmarkStart w:id="151" w:name="_Toc114476249"/>
      <w:bookmarkStart w:id="152" w:name="_Toc114476323"/>
      <w:bookmarkStart w:id="153" w:name="_Toc114476389"/>
      <w:bookmarkStart w:id="154" w:name="_Toc114492475"/>
      <w:bookmarkStart w:id="155" w:name="_Toc114492676"/>
      <w:bookmarkStart w:id="156" w:name="_Toc114493786"/>
      <w:bookmarkStart w:id="157" w:name="_Toc114495241"/>
      <w:bookmarkStart w:id="158" w:name="_Toc110522923"/>
      <w:bookmarkStart w:id="159" w:name="_Toc114066622"/>
      <w:bookmarkStart w:id="160" w:name="_Toc114473944"/>
      <w:bookmarkStart w:id="161" w:name="_Toc114475991"/>
      <w:bookmarkStart w:id="162" w:name="_Toc114476098"/>
      <w:bookmarkStart w:id="163" w:name="_Toc114476183"/>
      <w:bookmarkStart w:id="164" w:name="_Toc114476250"/>
      <w:bookmarkStart w:id="165" w:name="_Toc114476324"/>
      <w:bookmarkStart w:id="166" w:name="_Toc114476390"/>
      <w:bookmarkStart w:id="167" w:name="_Toc114492476"/>
      <w:bookmarkStart w:id="168" w:name="_Toc114492677"/>
      <w:bookmarkStart w:id="169" w:name="_Toc114493787"/>
      <w:bookmarkStart w:id="170" w:name="_Toc11449524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1A7C1FE2" w14:textId="77777777" w:rsidR="005F38A6" w:rsidRPr="00FD30BC" w:rsidRDefault="005F38A6" w:rsidP="005F07F9">
      <w:pPr>
        <w:pStyle w:val="Ttulo2"/>
        <w:numPr>
          <w:ilvl w:val="2"/>
          <w:numId w:val="35"/>
        </w:numPr>
        <w:tabs>
          <w:tab w:val="left" w:pos="851"/>
        </w:tabs>
        <w:ind w:left="567" w:hanging="283"/>
        <w:rPr>
          <w:bCs/>
        </w:rPr>
      </w:pPr>
      <w:bookmarkStart w:id="171" w:name="_Toc114495243"/>
      <w:bookmarkStart w:id="172" w:name="_Toc144114373"/>
      <w:r w:rsidRPr="00BA7BF8">
        <w:rPr>
          <w:bCs/>
        </w:rPr>
        <w:t>Impacto en las finanzas públicas por alza en los precios del petróleo</w:t>
      </w:r>
      <w:bookmarkEnd w:id="171"/>
      <w:bookmarkEnd w:id="172"/>
      <w:r w:rsidRPr="00BA7BF8">
        <w:rPr>
          <w:bCs/>
        </w:rPr>
        <w:t xml:space="preserve"> </w:t>
      </w:r>
    </w:p>
    <w:p w14:paraId="26DFEC55" w14:textId="77777777" w:rsidR="005F38A6" w:rsidRDefault="005F38A6" w:rsidP="005F38A6">
      <w:pPr>
        <w:jc w:val="both"/>
      </w:pPr>
    </w:p>
    <w:p w14:paraId="777A3A70" w14:textId="77777777" w:rsidR="005F38A6" w:rsidRDefault="005F38A6" w:rsidP="005F38A6">
      <w:pPr>
        <w:jc w:val="both"/>
      </w:pPr>
      <w:r>
        <w:t xml:space="preserve">El primer impacto que se observa en las finanzas públicas por el alza del precio del petróleo es a través de un aumento significativo en los ingresos fiscales, específicamente de origen tributario en el Impuesto al Valor Agregado -IVA-. Esto debido que al aumento de precios del petróleo se transmite a sus derivados y por lo tanto ocasiona un incremento de la base imponible. </w:t>
      </w:r>
    </w:p>
    <w:p w14:paraId="2720D86B" w14:textId="77777777" w:rsidR="005F38A6" w:rsidRDefault="005F38A6" w:rsidP="005F38A6">
      <w:pPr>
        <w:jc w:val="both"/>
      </w:pPr>
    </w:p>
    <w:p w14:paraId="321B52EB" w14:textId="77777777" w:rsidR="005F38A6" w:rsidRDefault="005F38A6" w:rsidP="005F38A6">
      <w:pPr>
        <w:jc w:val="both"/>
      </w:pPr>
      <w:r>
        <w:t xml:space="preserve">Tomando como escenario base el precio de petróleo de USD$83.0 el barril que sirvió de base para las proyecciones fiscales del 2024 y que la elasticidad del precio de petróleo y el precio de los combustibles importados es unitaria se prevé que en un escenario en el que WTI aumente a USD$120.0 durante los primeros cuatro meses del 2024 el efecto positivo de la recaudación del IVA importaciones será de Q538.5. </w:t>
      </w:r>
    </w:p>
    <w:p w14:paraId="5D48D73D" w14:textId="77777777" w:rsidR="005F38A6" w:rsidRDefault="005F38A6" w:rsidP="005F38A6">
      <w:pPr>
        <w:jc w:val="both"/>
      </w:pPr>
    </w:p>
    <w:p w14:paraId="4E761F25" w14:textId="7AFFBBEE" w:rsidR="005F38A6" w:rsidRDefault="005F38A6" w:rsidP="005F38A6">
      <w:pPr>
        <w:jc w:val="both"/>
      </w:pPr>
      <w:r>
        <w:lastRenderedPageBreak/>
        <w:t>Sin embargo, si bien el impacto es positivo por el lado fiscal, por el aumento de los ingresos, dependiendo de la magnitud del alza en los pre</w:t>
      </w:r>
      <w:r w:rsidRPr="00995699">
        <w:t>cios de los combustibles, podría requerir la intervención del gobierno para mitigar el efecto de este fenómeno sobre la economía nacional, principalmente relacionada con la inflación, lo cual podría generar un alto costo fiscal, como se ejemplifica a continuación</w:t>
      </w:r>
      <w:r>
        <w:t>.</w:t>
      </w:r>
    </w:p>
    <w:p w14:paraId="24959C12" w14:textId="77777777" w:rsidR="005F38A6" w:rsidRDefault="005F38A6" w:rsidP="005F38A6">
      <w:pPr>
        <w:jc w:val="both"/>
      </w:pPr>
    </w:p>
    <w:p w14:paraId="1A9118E9" w14:textId="77777777" w:rsidR="005F38A6" w:rsidRDefault="005F38A6" w:rsidP="005F38A6">
      <w:pPr>
        <w:jc w:val="both"/>
        <w:rPr>
          <w:rFonts w:eastAsiaTheme="minorEastAsia"/>
        </w:rPr>
      </w:pPr>
      <w:r>
        <w:t xml:space="preserve">De esa cuenta, se elaboró un modelo para determinar el impacto que pueda tener sobre la demanda de combustibles y sobre las finanzas públicas en particular, la adopción de un subsidio para las empresas distribuidoras de este producto. Dicho modelo considera en la estimación a través de econometría, de la relación que existe entre el precio promedio </w:t>
      </w:r>
      <w:r>
        <w:rPr>
          <w:rFonts w:eastAsiaTheme="minorEastAsia"/>
        </w:rPr>
        <w:t>de</w:t>
      </w:r>
      <w:r>
        <w:t xml:space="preserve"> los combustibles</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jt</m:t>
            </m:r>
          </m:sub>
        </m:sSub>
        <m:r>
          <w:rPr>
            <w:rFonts w:ascii="Cambria Math" w:hAnsi="Cambria Math"/>
          </w:rPr>
          <m:t>)</m:t>
        </m:r>
      </m:oMath>
      <w:r>
        <w:rPr>
          <w:rFonts w:eastAsiaTheme="minorEastAsia"/>
        </w:rPr>
        <w:t xml:space="preserve"> </w:t>
      </w:r>
      <m:oMath>
        <m:r>
          <w:rPr>
            <w:rFonts w:ascii="Cambria Math" w:eastAsiaTheme="minorEastAsia" w:hAnsi="Cambria Math"/>
          </w:rPr>
          <m:t>j∈{promedio de super y regular,diesel}</m:t>
        </m:r>
      </m:oMath>
      <w:r>
        <w:rPr>
          <w:rFonts w:eastAsiaTheme="minorEastAsia"/>
        </w:rPr>
        <w:t xml:space="preserve"> y el precio promedio del crudo WTI </w:t>
      </w:r>
      <m:oMath>
        <m:sSub>
          <m:sSubPr>
            <m:ctrlPr>
              <w:rPr>
                <w:rFonts w:ascii="Cambria Math" w:hAnsi="Cambria Math"/>
                <w:i/>
              </w:rPr>
            </m:ctrlPr>
          </m:sSubPr>
          <m:e>
            <m:r>
              <w:rPr>
                <w:rFonts w:ascii="Cambria Math" w:hAnsi="Cambria Math"/>
              </w:rPr>
              <m:t>(wti</m:t>
            </m:r>
          </m:e>
          <m:sub>
            <m:r>
              <w:rPr>
                <w:rFonts w:ascii="Cambria Math" w:hAnsi="Cambria Math"/>
              </w:rPr>
              <m:t>t</m:t>
            </m:r>
          </m:sub>
        </m:sSub>
        <m:r>
          <w:rPr>
            <w:rFonts w:ascii="Cambria Math" w:hAnsi="Cambria Math"/>
          </w:rPr>
          <m:t>)</m:t>
        </m:r>
      </m:oMath>
      <w:r>
        <w:rPr>
          <w:rFonts w:eastAsiaTheme="minorEastAsia"/>
        </w:rPr>
        <w:t xml:space="preserve">. </w:t>
      </w:r>
    </w:p>
    <w:p w14:paraId="4B75693A" w14:textId="77777777" w:rsidR="005F38A6" w:rsidRPr="009701B8" w:rsidRDefault="005F38A6" w:rsidP="005F38A6">
      <w:pPr>
        <w:jc w:val="both"/>
        <w:rPr>
          <w:sz w:val="20"/>
        </w:rPr>
      </w:pPr>
    </w:p>
    <w:p w14:paraId="69CE8855" w14:textId="52581919" w:rsidR="005F38A6" w:rsidRPr="00885487" w:rsidRDefault="005F38A6" w:rsidP="005F38A6">
      <w:pPr>
        <w:jc w:val="both"/>
        <w:rPr>
          <w:rFonts w:eastAsiaTheme="minorEastAsia"/>
          <w:sz w:val="22"/>
          <w:szCs w:val="22"/>
        </w:rPr>
      </w:pPr>
      <m:oMathPara>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jt</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jt-1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dwti</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 β</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wti</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jt</m:t>
              </m:r>
            </m:sub>
          </m:sSub>
        </m:oMath>
      </m:oMathPara>
    </w:p>
    <w:p w14:paraId="18C7C4B4" w14:textId="77777777" w:rsidR="00885487" w:rsidRPr="00885487" w:rsidRDefault="00885487" w:rsidP="005F38A6">
      <w:pPr>
        <w:jc w:val="both"/>
        <w:rPr>
          <w:rFonts w:eastAsiaTheme="minorEastAsia"/>
          <w:sz w:val="22"/>
          <w:szCs w:val="22"/>
        </w:rPr>
      </w:pPr>
    </w:p>
    <w:p w14:paraId="465C9E1A" w14:textId="0415D142" w:rsidR="005F38A6" w:rsidRDefault="005F38A6" w:rsidP="005F38A6">
      <w:pPr>
        <w:jc w:val="both"/>
        <w:rPr>
          <w:rFonts w:eastAsiaTheme="minorEastAsia"/>
          <w:sz w:val="22"/>
          <w:szCs w:val="22"/>
        </w:rPr>
      </w:pPr>
      <w:r w:rsidRPr="00312F4D">
        <w:t xml:space="preserve">En donde </w:t>
      </w:r>
      <m:oMath>
        <m:sSub>
          <m:sSubPr>
            <m:ctrlPr>
              <w:rPr>
                <w:rFonts w:ascii="Cambria Math" w:hAnsi="Cambria Math"/>
                <w:i/>
              </w:rPr>
            </m:ctrlPr>
          </m:sSubPr>
          <m:e>
            <m:r>
              <w:rPr>
                <w:rFonts w:ascii="Cambria Math" w:hAnsi="Cambria Math"/>
              </w:rPr>
              <m:t>α</m:t>
            </m:r>
          </m:e>
          <m:sub>
            <m:r>
              <w:rPr>
                <w:rFonts w:ascii="Cambria Math" w:hAnsi="Cambria Math"/>
              </w:rPr>
              <m:t>c</m:t>
            </m:r>
          </m:sub>
        </m:sSub>
      </m:oMath>
      <w:r w:rsidRPr="00312F4D">
        <w:rPr>
          <w:rFonts w:eastAsiaTheme="minorEastAsia"/>
        </w:rPr>
        <w:t xml:space="preserve"> es la velocidad de la corrección del error de la relación de cointegración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jt-1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dwti</m:t>
                </m:r>
              </m:e>
              <m:sub>
                <m:r>
                  <w:rPr>
                    <w:rFonts w:ascii="Cambria Math" w:hAnsi="Cambria Math"/>
                    <w:sz w:val="20"/>
                    <w:szCs w:val="20"/>
                  </w:rPr>
                  <m:t>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2</m:t>
                </m:r>
              </m:sub>
            </m:sSub>
            <m:r>
              <w:rPr>
                <w:rFonts w:ascii="Cambria Math" w:hAnsi="Cambria Math"/>
                <w:sz w:val="20"/>
                <w:szCs w:val="20"/>
              </w:rPr>
              <m:t>T</m:t>
            </m:r>
          </m:e>
        </m:d>
      </m:oMath>
      <w:r w:rsidRPr="00312F4D">
        <w:rPr>
          <w:rFonts w:eastAsiaTheme="minorEastAsia"/>
        </w:rPr>
        <w:t xml:space="preserve">, </w:t>
      </w:r>
      <m:oMath>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0</m:t>
            </m:r>
          </m:sub>
        </m:sSub>
      </m:oMath>
      <w:r w:rsidRPr="00312F4D">
        <w:rPr>
          <w:rFonts w:eastAsiaTheme="minorEastAsia"/>
        </w:rPr>
        <w:t xml:space="preserve">y </w:t>
      </w:r>
      <m:oMath>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0</m:t>
            </m:r>
          </m:sub>
        </m:sSub>
      </m:oMath>
      <w:r w:rsidRPr="00312F4D">
        <w:rPr>
          <w:rFonts w:eastAsiaTheme="minorEastAsia"/>
          <w:sz w:val="22"/>
          <w:szCs w:val="22"/>
        </w:rPr>
        <w:t xml:space="preserve"> </w:t>
      </w:r>
      <w:r w:rsidRPr="00312F4D">
        <w:rPr>
          <w:rFonts w:eastAsiaTheme="minorEastAsia"/>
        </w:rPr>
        <w:t xml:space="preserve">son constantes,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m:t>
            </m:r>
          </m:sub>
        </m:sSub>
      </m:oMath>
      <w:r>
        <w:rPr>
          <w:rFonts w:eastAsiaTheme="minorEastAsia"/>
          <w:sz w:val="22"/>
          <w:szCs w:val="22"/>
        </w:rPr>
        <w:t xml:space="preserve"> </w:t>
      </w:r>
      <w:r w:rsidRPr="00312F4D">
        <w:rPr>
          <w:rFonts w:eastAsiaTheme="minorEastAsia"/>
        </w:rPr>
        <w:t xml:space="preserve">es una tendencia lineal </w:t>
      </w:r>
      <w:r>
        <w:rPr>
          <w:rFonts w:eastAsiaTheme="minorEastAsia"/>
        </w:rPr>
        <w:t xml:space="preserve">y </w:t>
      </w:r>
      <m:oMath>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t</m:t>
            </m:r>
          </m:sub>
        </m:sSub>
      </m:oMath>
      <w:r>
        <w:rPr>
          <w:rFonts w:eastAsiaTheme="minorEastAsia"/>
          <w:sz w:val="22"/>
          <w:szCs w:val="22"/>
        </w:rPr>
        <w:t xml:space="preserve"> es un término de error aleatorio.</w:t>
      </w:r>
    </w:p>
    <w:p w14:paraId="5409783D" w14:textId="77777777" w:rsidR="00752A7C" w:rsidRDefault="00752A7C" w:rsidP="005F38A6">
      <w:pPr>
        <w:jc w:val="both"/>
      </w:pPr>
    </w:p>
    <w:p w14:paraId="6A2A18D8" w14:textId="5AC085DE" w:rsidR="005F38A6" w:rsidRPr="002B0B2B" w:rsidRDefault="005E0AEB" w:rsidP="005E0AEB">
      <w:pPr>
        <w:pStyle w:val="Descripcin"/>
        <w:keepNext/>
      </w:pPr>
      <w:bookmarkStart w:id="173" w:name="_Toc114493926"/>
      <w:bookmarkStart w:id="174" w:name="_Toc143593524"/>
      <w:r w:rsidRPr="005E0AEB">
        <w:rPr>
          <w:color w:val="auto"/>
        </w:rPr>
        <w:t xml:space="preserve">Tabla </w:t>
      </w:r>
      <w:r w:rsidRPr="005E0AEB">
        <w:rPr>
          <w:color w:val="auto"/>
        </w:rPr>
        <w:fldChar w:fldCharType="begin"/>
      </w:r>
      <w:r w:rsidRPr="005E0AEB">
        <w:rPr>
          <w:color w:val="auto"/>
        </w:rPr>
        <w:instrText xml:space="preserve"> SEQ Tabla \* ARABIC </w:instrText>
      </w:r>
      <w:r w:rsidRPr="005E0AEB">
        <w:rPr>
          <w:color w:val="auto"/>
        </w:rPr>
        <w:fldChar w:fldCharType="separate"/>
      </w:r>
      <w:r w:rsidR="00A62AFA">
        <w:rPr>
          <w:noProof/>
          <w:color w:val="auto"/>
        </w:rPr>
        <w:t>22</w:t>
      </w:r>
      <w:r w:rsidRPr="005E0AEB">
        <w:rPr>
          <w:color w:val="auto"/>
        </w:rPr>
        <w:fldChar w:fldCharType="end"/>
      </w:r>
      <w:r w:rsidRPr="005E0AEB">
        <w:rPr>
          <w:color w:val="auto"/>
        </w:rPr>
        <w:t xml:space="preserve">.  </w:t>
      </w:r>
      <w:r w:rsidR="005F38A6" w:rsidRPr="005E0AEB">
        <w:rPr>
          <w:rFonts w:eastAsiaTheme="minorEastAsia"/>
          <w:bCs/>
          <w:color w:val="auto"/>
        </w:rPr>
        <w:t>Estimación de los coeficientes del precio de los combustibles.</w:t>
      </w:r>
      <w:bookmarkEnd w:id="173"/>
      <w:bookmarkEnd w:id="174"/>
    </w:p>
    <w:tbl>
      <w:tblPr>
        <w:tblW w:w="0" w:type="auto"/>
        <w:jc w:val="center"/>
        <w:tblLook w:val="04A0" w:firstRow="1" w:lastRow="0" w:firstColumn="1" w:lastColumn="0" w:noHBand="0" w:noVBand="1"/>
      </w:tblPr>
      <w:tblGrid>
        <w:gridCol w:w="1200"/>
        <w:gridCol w:w="924"/>
        <w:gridCol w:w="924"/>
        <w:gridCol w:w="924"/>
        <w:gridCol w:w="924"/>
        <w:gridCol w:w="924"/>
        <w:gridCol w:w="924"/>
      </w:tblGrid>
      <w:tr w:rsidR="005F38A6" w:rsidRPr="00E26F18" w14:paraId="0B8C0FCE" w14:textId="77777777" w:rsidTr="00752A7C">
        <w:trPr>
          <w:trHeight w:val="501"/>
          <w:jc w:val="center"/>
        </w:trPr>
        <w:tc>
          <w:tcPr>
            <w:tcW w:w="1200" w:type="dxa"/>
            <w:tcBorders>
              <w:top w:val="single" w:sz="4" w:space="0" w:color="auto"/>
              <w:bottom w:val="double" w:sz="4" w:space="0" w:color="auto"/>
              <w:right w:val="single" w:sz="4" w:space="0" w:color="auto"/>
            </w:tcBorders>
            <w:vAlign w:val="center"/>
          </w:tcPr>
          <w:p w14:paraId="6C0808A8" w14:textId="77777777" w:rsidR="005F38A6" w:rsidRPr="00E26F18" w:rsidRDefault="005F38A6" w:rsidP="006A7377">
            <w:pPr>
              <w:jc w:val="both"/>
              <w:rPr>
                <w:rFonts w:eastAsiaTheme="minorEastAsia"/>
                <w:bCs/>
                <w:sz w:val="20"/>
                <w:szCs w:val="20"/>
              </w:rPr>
            </w:pPr>
            <w:r w:rsidRPr="00E26F18">
              <w:rPr>
                <w:rFonts w:eastAsiaTheme="minorEastAsia"/>
                <w:bCs/>
                <w:sz w:val="20"/>
                <w:szCs w:val="20"/>
              </w:rPr>
              <w:t>Precio</w:t>
            </w:r>
          </w:p>
        </w:tc>
        <w:tc>
          <w:tcPr>
            <w:tcW w:w="924" w:type="dxa"/>
            <w:tcBorders>
              <w:top w:val="single" w:sz="4" w:space="0" w:color="auto"/>
              <w:left w:val="single" w:sz="4" w:space="0" w:color="auto"/>
              <w:bottom w:val="double" w:sz="4" w:space="0" w:color="auto"/>
            </w:tcBorders>
            <w:vAlign w:val="center"/>
          </w:tcPr>
          <w:p w14:paraId="0B410E58" w14:textId="77777777" w:rsidR="005F38A6" w:rsidRPr="00E26F18" w:rsidRDefault="00805A42" w:rsidP="006A7377">
            <w:pPr>
              <w:jc w:val="both"/>
              <w:rPr>
                <w:rFonts w:eastAsiaTheme="minorEastAsia"/>
                <w:bCs/>
                <w:sz w:val="20"/>
                <w:szCs w:val="20"/>
              </w:rPr>
            </w:pPr>
            <m:oMathPara>
              <m:oMath>
                <m:acc>
                  <m:accPr>
                    <m:ctrlPr>
                      <w:rPr>
                        <w:rFonts w:ascii="Cambria Math" w:hAnsi="Cambria Math"/>
                        <w:bCs/>
                        <w:i/>
                        <w:sz w:val="20"/>
                        <w:szCs w:val="20"/>
                      </w:rPr>
                    </m:ctrlPr>
                  </m:accPr>
                  <m:e>
                    <m:sSub>
                      <m:sSubPr>
                        <m:ctrlPr>
                          <w:rPr>
                            <w:rFonts w:ascii="Cambria Math" w:hAnsi="Cambria Math"/>
                            <w:bCs/>
                            <w:i/>
                            <w:sz w:val="20"/>
                            <w:szCs w:val="20"/>
                          </w:rPr>
                        </m:ctrlPr>
                      </m:sSubPr>
                      <m:e>
                        <m:r>
                          <m:rPr>
                            <m:sty m:val="bi"/>
                          </m:rPr>
                          <w:rPr>
                            <w:rFonts w:ascii="Cambria Math" w:hAnsi="Cambria Math"/>
                            <w:sz w:val="20"/>
                            <w:szCs w:val="20"/>
                          </w:rPr>
                          <m:t>α</m:t>
                        </m:r>
                      </m:e>
                      <m:sub>
                        <m:r>
                          <m:rPr>
                            <m:sty m:val="bi"/>
                          </m:rPr>
                          <w:rPr>
                            <w:rFonts w:ascii="Cambria Math" w:hAnsi="Cambria Math"/>
                            <w:sz w:val="20"/>
                            <w:szCs w:val="20"/>
                          </w:rPr>
                          <m:t>c</m:t>
                        </m:r>
                      </m:sub>
                    </m:sSub>
                  </m:e>
                </m:acc>
              </m:oMath>
            </m:oMathPara>
          </w:p>
        </w:tc>
        <w:tc>
          <w:tcPr>
            <w:tcW w:w="924" w:type="dxa"/>
            <w:tcBorders>
              <w:top w:val="single" w:sz="4" w:space="0" w:color="auto"/>
              <w:bottom w:val="double" w:sz="4" w:space="0" w:color="auto"/>
            </w:tcBorders>
            <w:vAlign w:val="center"/>
          </w:tcPr>
          <w:p w14:paraId="59CFFC71" w14:textId="77777777" w:rsidR="005F38A6" w:rsidRPr="00E26F18" w:rsidRDefault="00805A42" w:rsidP="006A7377">
            <w:pPr>
              <w:jc w:val="both"/>
              <w:rPr>
                <w:rFonts w:eastAsiaTheme="minorEastAsia"/>
                <w:bCs/>
                <w:sz w:val="20"/>
                <w:szCs w:val="20"/>
              </w:rPr>
            </w:pPr>
            <m:oMathPara>
              <m:oMath>
                <m:acc>
                  <m:accPr>
                    <m:ctrlPr>
                      <w:rPr>
                        <w:rFonts w:ascii="Cambria Math" w:hAnsi="Cambria Math"/>
                        <w:bCs/>
                        <w:i/>
                        <w:sz w:val="20"/>
                        <w:szCs w:val="20"/>
                      </w:rPr>
                    </m:ctrlPr>
                  </m:accPr>
                  <m:e>
                    <m:sSub>
                      <m:sSubPr>
                        <m:ctrlPr>
                          <w:rPr>
                            <w:rFonts w:ascii="Cambria Math" w:hAnsi="Cambria Math"/>
                            <w:bCs/>
                            <w:i/>
                            <w:sz w:val="20"/>
                            <w:szCs w:val="20"/>
                          </w:rPr>
                        </m:ctrlPr>
                      </m:sSubPr>
                      <m:e>
                        <m:r>
                          <m:rPr>
                            <m:sty m:val="bi"/>
                          </m:rPr>
                          <w:rPr>
                            <w:rFonts w:ascii="Cambria Math" w:hAnsi="Cambria Math"/>
                            <w:sz w:val="20"/>
                            <w:szCs w:val="20"/>
                          </w:rPr>
                          <m:t>α</m:t>
                        </m:r>
                      </m:e>
                      <m:sub>
                        <m:r>
                          <m:rPr>
                            <m:sty m:val="bi"/>
                          </m:rPr>
                          <w:rPr>
                            <w:rFonts w:ascii="Cambria Math" w:hAnsi="Cambria Math"/>
                            <w:sz w:val="20"/>
                            <w:szCs w:val="20"/>
                          </w:rPr>
                          <m:t>0</m:t>
                        </m:r>
                      </m:sub>
                    </m:sSub>
                  </m:e>
                </m:acc>
              </m:oMath>
            </m:oMathPara>
          </w:p>
        </w:tc>
        <w:tc>
          <w:tcPr>
            <w:tcW w:w="924" w:type="dxa"/>
            <w:tcBorders>
              <w:top w:val="single" w:sz="4" w:space="0" w:color="auto"/>
              <w:bottom w:val="double" w:sz="4" w:space="0" w:color="auto"/>
            </w:tcBorders>
            <w:vAlign w:val="center"/>
          </w:tcPr>
          <w:p w14:paraId="1B1456EA" w14:textId="77777777" w:rsidR="005F38A6" w:rsidRPr="00E26F18" w:rsidRDefault="00805A42" w:rsidP="006A7377">
            <w:pPr>
              <w:jc w:val="both"/>
              <w:rPr>
                <w:rFonts w:eastAsiaTheme="minorEastAsia"/>
                <w:bCs/>
                <w:sz w:val="20"/>
                <w:szCs w:val="20"/>
              </w:rPr>
            </w:pPr>
            <m:oMathPara>
              <m:oMath>
                <m:acc>
                  <m:accPr>
                    <m:ctrlPr>
                      <w:rPr>
                        <w:rFonts w:ascii="Cambria Math" w:hAnsi="Cambria Math"/>
                        <w:bCs/>
                        <w:i/>
                        <w:sz w:val="20"/>
                        <w:szCs w:val="20"/>
                      </w:rPr>
                    </m:ctrlPr>
                  </m:accPr>
                  <m:e>
                    <m:sSub>
                      <m:sSubPr>
                        <m:ctrlPr>
                          <w:rPr>
                            <w:rFonts w:ascii="Cambria Math" w:hAnsi="Cambria Math"/>
                            <w:bCs/>
                            <w:i/>
                            <w:sz w:val="20"/>
                            <w:szCs w:val="20"/>
                          </w:rPr>
                        </m:ctrlPr>
                      </m:sSubPr>
                      <m:e>
                        <m:r>
                          <m:rPr>
                            <m:sty m:val="bi"/>
                          </m:rPr>
                          <w:rPr>
                            <w:rFonts w:ascii="Cambria Math" w:hAnsi="Cambria Math"/>
                            <w:sz w:val="20"/>
                            <w:szCs w:val="20"/>
                          </w:rPr>
                          <m:t>α</m:t>
                        </m:r>
                      </m:e>
                      <m:sub>
                        <m:r>
                          <m:rPr>
                            <m:sty m:val="bi"/>
                          </m:rPr>
                          <w:rPr>
                            <w:rFonts w:ascii="Cambria Math" w:hAnsi="Cambria Math"/>
                            <w:sz w:val="20"/>
                            <w:szCs w:val="20"/>
                          </w:rPr>
                          <m:t>1</m:t>
                        </m:r>
                      </m:sub>
                    </m:sSub>
                  </m:e>
                </m:acc>
              </m:oMath>
            </m:oMathPara>
          </w:p>
        </w:tc>
        <w:tc>
          <w:tcPr>
            <w:tcW w:w="924" w:type="dxa"/>
            <w:tcBorders>
              <w:top w:val="single" w:sz="4" w:space="0" w:color="auto"/>
              <w:bottom w:val="double" w:sz="4" w:space="0" w:color="auto"/>
            </w:tcBorders>
            <w:vAlign w:val="center"/>
          </w:tcPr>
          <w:p w14:paraId="76571D01" w14:textId="77777777" w:rsidR="005F38A6" w:rsidRPr="00E26F18" w:rsidRDefault="00805A42" w:rsidP="006A7377">
            <w:pPr>
              <w:jc w:val="both"/>
              <w:rPr>
                <w:rFonts w:eastAsiaTheme="minorEastAsia"/>
                <w:bCs/>
                <w:sz w:val="20"/>
                <w:szCs w:val="20"/>
              </w:rPr>
            </w:pPr>
            <m:oMathPara>
              <m:oMath>
                <m:acc>
                  <m:accPr>
                    <m:ctrlPr>
                      <w:rPr>
                        <w:rFonts w:ascii="Cambria Math" w:hAnsi="Cambria Math"/>
                        <w:bCs/>
                        <w:i/>
                        <w:sz w:val="20"/>
                        <w:szCs w:val="20"/>
                      </w:rPr>
                    </m:ctrlPr>
                  </m:accPr>
                  <m:e>
                    <m:sSub>
                      <m:sSubPr>
                        <m:ctrlPr>
                          <w:rPr>
                            <w:rFonts w:ascii="Cambria Math" w:hAnsi="Cambria Math"/>
                            <w:bCs/>
                            <w:i/>
                            <w:sz w:val="20"/>
                            <w:szCs w:val="20"/>
                          </w:rPr>
                        </m:ctrlPr>
                      </m:sSubPr>
                      <m:e>
                        <m:r>
                          <m:rPr>
                            <m:sty m:val="bi"/>
                          </m:rPr>
                          <w:rPr>
                            <w:rFonts w:ascii="Cambria Math" w:hAnsi="Cambria Math"/>
                            <w:sz w:val="20"/>
                            <w:szCs w:val="20"/>
                          </w:rPr>
                          <m:t>α</m:t>
                        </m:r>
                      </m:e>
                      <m:sub>
                        <m:r>
                          <m:rPr>
                            <m:sty m:val="bi"/>
                          </m:rPr>
                          <w:rPr>
                            <w:rFonts w:ascii="Cambria Math" w:hAnsi="Cambria Math"/>
                            <w:sz w:val="20"/>
                            <w:szCs w:val="20"/>
                          </w:rPr>
                          <m:t>3</m:t>
                        </m:r>
                      </m:sub>
                    </m:sSub>
                  </m:e>
                </m:acc>
              </m:oMath>
            </m:oMathPara>
          </w:p>
        </w:tc>
        <w:tc>
          <w:tcPr>
            <w:tcW w:w="924" w:type="dxa"/>
            <w:tcBorders>
              <w:top w:val="single" w:sz="4" w:space="0" w:color="auto"/>
              <w:bottom w:val="double" w:sz="4" w:space="0" w:color="auto"/>
            </w:tcBorders>
            <w:vAlign w:val="center"/>
          </w:tcPr>
          <w:p w14:paraId="0700B2F1" w14:textId="77777777" w:rsidR="005F38A6" w:rsidRPr="00E26F18" w:rsidRDefault="00805A42" w:rsidP="006A7377">
            <w:pPr>
              <w:jc w:val="both"/>
              <w:rPr>
                <w:rFonts w:eastAsiaTheme="minorEastAsia"/>
                <w:bCs/>
                <w:sz w:val="20"/>
                <w:szCs w:val="20"/>
              </w:rPr>
            </w:pPr>
            <m:oMathPara>
              <m:oMath>
                <m:acc>
                  <m:accPr>
                    <m:ctrlPr>
                      <w:rPr>
                        <w:rFonts w:ascii="Cambria Math" w:hAnsi="Cambria Math"/>
                        <w:bCs/>
                        <w:i/>
                        <w:sz w:val="20"/>
                        <w:szCs w:val="20"/>
                      </w:rPr>
                    </m:ctrlPr>
                  </m:accPr>
                  <m:e>
                    <m:sSub>
                      <m:sSubPr>
                        <m:ctrlPr>
                          <w:rPr>
                            <w:rFonts w:ascii="Cambria Math" w:hAnsi="Cambria Math"/>
                            <w:bCs/>
                            <w:i/>
                            <w:sz w:val="20"/>
                            <w:szCs w:val="20"/>
                          </w:rPr>
                        </m:ctrlPr>
                      </m:sSubPr>
                      <m:e>
                        <m:r>
                          <m:rPr>
                            <m:sty m:val="bi"/>
                          </m:rPr>
                          <w:rPr>
                            <w:rFonts w:ascii="Cambria Math" w:hAnsi="Cambria Math"/>
                            <w:sz w:val="20"/>
                            <w:szCs w:val="20"/>
                          </w:rPr>
                          <m:t>β</m:t>
                        </m:r>
                      </m:e>
                      <m:sub>
                        <m:r>
                          <m:rPr>
                            <m:sty m:val="bi"/>
                          </m:rPr>
                          <w:rPr>
                            <w:rFonts w:ascii="Cambria Math" w:hAnsi="Cambria Math"/>
                            <w:sz w:val="20"/>
                            <w:szCs w:val="20"/>
                          </w:rPr>
                          <m:t>0</m:t>
                        </m:r>
                      </m:sub>
                    </m:sSub>
                  </m:e>
                </m:acc>
              </m:oMath>
            </m:oMathPara>
          </w:p>
        </w:tc>
        <w:tc>
          <w:tcPr>
            <w:tcW w:w="924" w:type="dxa"/>
            <w:tcBorders>
              <w:top w:val="single" w:sz="4" w:space="0" w:color="auto"/>
              <w:bottom w:val="double" w:sz="4" w:space="0" w:color="auto"/>
            </w:tcBorders>
            <w:vAlign w:val="center"/>
          </w:tcPr>
          <w:p w14:paraId="40DD7987" w14:textId="77777777" w:rsidR="005F38A6" w:rsidRPr="00E26F18" w:rsidRDefault="00805A42" w:rsidP="006A7377">
            <w:pPr>
              <w:jc w:val="both"/>
              <w:rPr>
                <w:rFonts w:eastAsiaTheme="minorEastAsia"/>
                <w:bCs/>
                <w:sz w:val="20"/>
                <w:szCs w:val="20"/>
              </w:rPr>
            </w:pPr>
            <m:oMathPara>
              <m:oMath>
                <m:acc>
                  <m:accPr>
                    <m:ctrlPr>
                      <w:rPr>
                        <w:rFonts w:ascii="Cambria Math" w:hAnsi="Cambria Math"/>
                        <w:bCs/>
                        <w:i/>
                        <w:sz w:val="20"/>
                        <w:szCs w:val="20"/>
                      </w:rPr>
                    </m:ctrlPr>
                  </m:accPr>
                  <m:e>
                    <m:sSub>
                      <m:sSubPr>
                        <m:ctrlPr>
                          <w:rPr>
                            <w:rFonts w:ascii="Cambria Math" w:hAnsi="Cambria Math"/>
                            <w:bCs/>
                            <w:i/>
                            <w:sz w:val="20"/>
                            <w:szCs w:val="20"/>
                          </w:rPr>
                        </m:ctrlPr>
                      </m:sSubPr>
                      <m:e>
                        <m:r>
                          <m:rPr>
                            <m:sty m:val="bi"/>
                          </m:rPr>
                          <w:rPr>
                            <w:rFonts w:ascii="Cambria Math" w:hAnsi="Cambria Math"/>
                            <w:sz w:val="20"/>
                            <w:szCs w:val="20"/>
                          </w:rPr>
                          <m:t>β</m:t>
                        </m:r>
                      </m:e>
                      <m:sub>
                        <m:r>
                          <m:rPr>
                            <m:sty m:val="bi"/>
                          </m:rPr>
                          <w:rPr>
                            <w:rFonts w:ascii="Cambria Math" w:hAnsi="Cambria Math"/>
                            <w:sz w:val="20"/>
                            <w:szCs w:val="20"/>
                          </w:rPr>
                          <m:t>1</m:t>
                        </m:r>
                      </m:sub>
                    </m:sSub>
                  </m:e>
                </m:acc>
              </m:oMath>
            </m:oMathPara>
          </w:p>
        </w:tc>
      </w:tr>
      <w:tr w:rsidR="005F38A6" w:rsidRPr="00E26F18" w14:paraId="2BB09596" w14:textId="77777777" w:rsidTr="00752A7C">
        <w:trPr>
          <w:trHeight w:val="519"/>
          <w:jc w:val="center"/>
        </w:trPr>
        <w:tc>
          <w:tcPr>
            <w:tcW w:w="1200" w:type="dxa"/>
            <w:tcBorders>
              <w:top w:val="double" w:sz="4" w:space="0" w:color="auto"/>
              <w:right w:val="single" w:sz="4" w:space="0" w:color="auto"/>
            </w:tcBorders>
            <w:vAlign w:val="center"/>
          </w:tcPr>
          <w:p w14:paraId="17470A8F" w14:textId="77777777" w:rsidR="005F38A6" w:rsidRPr="00E26F18" w:rsidRDefault="005F38A6" w:rsidP="006A7377">
            <w:pPr>
              <w:rPr>
                <w:rFonts w:eastAsiaTheme="minorEastAsia"/>
                <w:sz w:val="20"/>
                <w:szCs w:val="20"/>
              </w:rPr>
            </w:pPr>
            <m:oMathPara>
              <m:oMath>
                <m:r>
                  <m:rPr>
                    <m:sty m:val="bi"/>
                  </m:rPr>
                  <w:rPr>
                    <w:rFonts w:ascii="Cambria Math" w:hAnsi="Cambria Math"/>
                    <w:sz w:val="20"/>
                    <w:szCs w:val="20"/>
                  </w:rPr>
                  <m:t>∆</m:t>
                </m:r>
                <m:sSub>
                  <m:sSubPr>
                    <m:ctrlPr>
                      <w:rPr>
                        <w:rFonts w:ascii="Cambria Math" w:hAnsi="Cambria Math"/>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srt</m:t>
                    </m:r>
                  </m:sub>
                </m:sSub>
              </m:oMath>
            </m:oMathPara>
          </w:p>
        </w:tc>
        <w:tc>
          <w:tcPr>
            <w:tcW w:w="924" w:type="dxa"/>
            <w:tcBorders>
              <w:top w:val="double" w:sz="4" w:space="0" w:color="auto"/>
              <w:left w:val="single" w:sz="4" w:space="0" w:color="auto"/>
            </w:tcBorders>
            <w:vAlign w:val="center"/>
          </w:tcPr>
          <w:p w14:paraId="1B6CD6AF" w14:textId="77777777" w:rsidR="005F38A6" w:rsidRPr="001158BC" w:rsidRDefault="005F38A6" w:rsidP="006A7377">
            <w:pPr>
              <w:rPr>
                <w:color w:val="000000"/>
                <w:sz w:val="20"/>
                <w:szCs w:val="20"/>
              </w:rPr>
            </w:pPr>
            <w:r w:rsidRPr="001158BC">
              <w:rPr>
                <w:color w:val="000000"/>
                <w:sz w:val="20"/>
                <w:szCs w:val="20"/>
              </w:rPr>
              <w:t>-0.73</w:t>
            </w:r>
          </w:p>
        </w:tc>
        <w:tc>
          <w:tcPr>
            <w:tcW w:w="924" w:type="dxa"/>
            <w:tcBorders>
              <w:top w:val="double" w:sz="4" w:space="0" w:color="auto"/>
            </w:tcBorders>
            <w:vAlign w:val="center"/>
          </w:tcPr>
          <w:p w14:paraId="3974BD09" w14:textId="77777777" w:rsidR="005F38A6" w:rsidRPr="001158BC" w:rsidRDefault="005F38A6" w:rsidP="006A7377">
            <w:pPr>
              <w:rPr>
                <w:color w:val="000000"/>
                <w:sz w:val="20"/>
                <w:szCs w:val="20"/>
              </w:rPr>
            </w:pPr>
            <w:r w:rsidRPr="001158BC">
              <w:rPr>
                <w:color w:val="000000"/>
                <w:sz w:val="20"/>
                <w:szCs w:val="20"/>
              </w:rPr>
              <w:t>-0.33</w:t>
            </w:r>
          </w:p>
        </w:tc>
        <w:tc>
          <w:tcPr>
            <w:tcW w:w="924" w:type="dxa"/>
            <w:tcBorders>
              <w:top w:val="double" w:sz="4" w:space="0" w:color="auto"/>
            </w:tcBorders>
            <w:vAlign w:val="center"/>
          </w:tcPr>
          <w:p w14:paraId="4E84C45B" w14:textId="77777777" w:rsidR="005F38A6" w:rsidRPr="001158BC" w:rsidRDefault="005F38A6" w:rsidP="006A7377">
            <w:pPr>
              <w:rPr>
                <w:rFonts w:eastAsiaTheme="minorEastAsia"/>
                <w:sz w:val="20"/>
                <w:szCs w:val="20"/>
              </w:rPr>
            </w:pPr>
            <w:r w:rsidRPr="001158BC">
              <w:rPr>
                <w:rFonts w:eastAsiaTheme="minorEastAsia"/>
                <w:sz w:val="20"/>
                <w:szCs w:val="20"/>
              </w:rPr>
              <w:t>0.56</w:t>
            </w:r>
          </w:p>
        </w:tc>
        <w:tc>
          <w:tcPr>
            <w:tcW w:w="924" w:type="dxa"/>
            <w:tcBorders>
              <w:top w:val="double" w:sz="4" w:space="0" w:color="auto"/>
            </w:tcBorders>
            <w:vAlign w:val="center"/>
          </w:tcPr>
          <w:p w14:paraId="566DB8D7" w14:textId="77777777" w:rsidR="005F38A6" w:rsidRPr="001158BC" w:rsidRDefault="005F38A6" w:rsidP="006A7377">
            <w:pPr>
              <w:rPr>
                <w:rFonts w:eastAsiaTheme="minorEastAsia"/>
                <w:sz w:val="20"/>
                <w:szCs w:val="20"/>
              </w:rPr>
            </w:pPr>
            <w:r w:rsidRPr="001158BC">
              <w:rPr>
                <w:rFonts w:eastAsiaTheme="minorEastAsia"/>
                <w:sz w:val="20"/>
                <w:szCs w:val="20"/>
              </w:rPr>
              <w:t>0.002</w:t>
            </w:r>
          </w:p>
        </w:tc>
        <w:tc>
          <w:tcPr>
            <w:tcW w:w="924" w:type="dxa"/>
            <w:tcBorders>
              <w:top w:val="double" w:sz="4" w:space="0" w:color="auto"/>
            </w:tcBorders>
            <w:vAlign w:val="center"/>
          </w:tcPr>
          <w:p w14:paraId="4A58EB85" w14:textId="77777777" w:rsidR="005F38A6" w:rsidRPr="001158BC" w:rsidRDefault="005F38A6" w:rsidP="006A7377">
            <w:pPr>
              <w:rPr>
                <w:rFonts w:eastAsiaTheme="minorEastAsia"/>
                <w:sz w:val="20"/>
                <w:szCs w:val="20"/>
              </w:rPr>
            </w:pPr>
            <w:r w:rsidRPr="001158BC">
              <w:rPr>
                <w:rFonts w:eastAsiaTheme="minorEastAsia"/>
                <w:sz w:val="20"/>
                <w:szCs w:val="20"/>
              </w:rPr>
              <w:t>0.003</w:t>
            </w:r>
          </w:p>
        </w:tc>
        <w:tc>
          <w:tcPr>
            <w:tcW w:w="924" w:type="dxa"/>
            <w:tcBorders>
              <w:top w:val="double" w:sz="4" w:space="0" w:color="auto"/>
            </w:tcBorders>
            <w:vAlign w:val="center"/>
          </w:tcPr>
          <w:p w14:paraId="505017DF" w14:textId="77777777" w:rsidR="005F38A6" w:rsidRPr="001158BC" w:rsidRDefault="005F38A6" w:rsidP="006A7377">
            <w:pPr>
              <w:rPr>
                <w:rFonts w:eastAsiaTheme="minorEastAsia"/>
                <w:sz w:val="20"/>
                <w:szCs w:val="20"/>
              </w:rPr>
            </w:pPr>
            <w:r w:rsidRPr="001158BC">
              <w:rPr>
                <w:rFonts w:eastAsiaTheme="minorEastAsia"/>
                <w:sz w:val="20"/>
                <w:szCs w:val="20"/>
              </w:rPr>
              <w:t>0.43</w:t>
            </w:r>
          </w:p>
        </w:tc>
      </w:tr>
      <w:tr w:rsidR="005F38A6" w:rsidRPr="00E26F18" w14:paraId="5E124239" w14:textId="77777777" w:rsidTr="00752A7C">
        <w:trPr>
          <w:trHeight w:val="364"/>
          <w:jc w:val="center"/>
        </w:trPr>
        <w:tc>
          <w:tcPr>
            <w:tcW w:w="1200" w:type="dxa"/>
            <w:tcBorders>
              <w:bottom w:val="single" w:sz="4" w:space="0" w:color="auto"/>
              <w:right w:val="single" w:sz="4" w:space="0" w:color="auto"/>
            </w:tcBorders>
            <w:vAlign w:val="center"/>
          </w:tcPr>
          <w:p w14:paraId="30677196" w14:textId="77777777" w:rsidR="005F38A6" w:rsidRPr="00E26F18" w:rsidRDefault="005F38A6" w:rsidP="006A7377">
            <w:pPr>
              <w:rPr>
                <w:rFonts w:eastAsiaTheme="minorEastAsia"/>
                <w:sz w:val="20"/>
                <w:szCs w:val="20"/>
              </w:rPr>
            </w:pPr>
            <m:oMathPara>
              <m:oMath>
                <m:r>
                  <m:rPr>
                    <m:sty m:val="bi"/>
                  </m:rPr>
                  <w:rPr>
                    <w:rFonts w:ascii="Cambria Math" w:hAnsi="Cambria Math"/>
                    <w:sz w:val="20"/>
                    <w:szCs w:val="20"/>
                  </w:rPr>
                  <m:t>∆</m:t>
                </m:r>
                <m:sSub>
                  <m:sSubPr>
                    <m:ctrlPr>
                      <w:rPr>
                        <w:rFonts w:ascii="Cambria Math" w:hAnsi="Cambria Math"/>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dieselt</m:t>
                    </m:r>
                  </m:sub>
                </m:sSub>
              </m:oMath>
            </m:oMathPara>
          </w:p>
        </w:tc>
        <w:tc>
          <w:tcPr>
            <w:tcW w:w="924" w:type="dxa"/>
            <w:tcBorders>
              <w:left w:val="single" w:sz="4" w:space="0" w:color="auto"/>
              <w:bottom w:val="single" w:sz="4" w:space="0" w:color="auto"/>
            </w:tcBorders>
            <w:vAlign w:val="center"/>
          </w:tcPr>
          <w:p w14:paraId="0B7D5605" w14:textId="77777777" w:rsidR="005F38A6" w:rsidRPr="001158BC" w:rsidRDefault="005F38A6" w:rsidP="006A7377">
            <w:pPr>
              <w:rPr>
                <w:rFonts w:eastAsiaTheme="minorEastAsia"/>
                <w:sz w:val="20"/>
                <w:szCs w:val="20"/>
              </w:rPr>
            </w:pPr>
            <w:r w:rsidRPr="001158BC">
              <w:rPr>
                <w:rFonts w:eastAsiaTheme="minorEastAsia"/>
                <w:sz w:val="20"/>
                <w:szCs w:val="20"/>
              </w:rPr>
              <w:t>-0.63</w:t>
            </w:r>
          </w:p>
        </w:tc>
        <w:tc>
          <w:tcPr>
            <w:tcW w:w="924" w:type="dxa"/>
            <w:tcBorders>
              <w:bottom w:val="single" w:sz="4" w:space="0" w:color="auto"/>
            </w:tcBorders>
            <w:vAlign w:val="center"/>
          </w:tcPr>
          <w:p w14:paraId="6259BF14" w14:textId="77777777" w:rsidR="005F38A6" w:rsidRPr="001158BC" w:rsidRDefault="005F38A6" w:rsidP="006A7377">
            <w:pPr>
              <w:rPr>
                <w:rFonts w:eastAsiaTheme="minorEastAsia"/>
                <w:sz w:val="20"/>
                <w:szCs w:val="20"/>
              </w:rPr>
            </w:pPr>
            <w:r w:rsidRPr="001158BC">
              <w:rPr>
                <w:rFonts w:eastAsiaTheme="minorEastAsia"/>
                <w:sz w:val="20"/>
                <w:szCs w:val="20"/>
              </w:rPr>
              <w:t>-1.71</w:t>
            </w:r>
          </w:p>
        </w:tc>
        <w:tc>
          <w:tcPr>
            <w:tcW w:w="924" w:type="dxa"/>
            <w:tcBorders>
              <w:bottom w:val="single" w:sz="4" w:space="0" w:color="auto"/>
            </w:tcBorders>
            <w:vAlign w:val="center"/>
          </w:tcPr>
          <w:p w14:paraId="28044420" w14:textId="77777777" w:rsidR="005F38A6" w:rsidRPr="001158BC" w:rsidRDefault="005F38A6" w:rsidP="006A7377">
            <w:pPr>
              <w:rPr>
                <w:rFonts w:eastAsiaTheme="minorEastAsia"/>
                <w:sz w:val="20"/>
                <w:szCs w:val="20"/>
              </w:rPr>
            </w:pPr>
            <w:r w:rsidRPr="001158BC">
              <w:rPr>
                <w:rFonts w:eastAsiaTheme="minorEastAsia"/>
                <w:sz w:val="20"/>
                <w:szCs w:val="20"/>
              </w:rPr>
              <w:t>0.75</w:t>
            </w:r>
          </w:p>
        </w:tc>
        <w:tc>
          <w:tcPr>
            <w:tcW w:w="924" w:type="dxa"/>
            <w:tcBorders>
              <w:bottom w:val="single" w:sz="4" w:space="0" w:color="auto"/>
            </w:tcBorders>
            <w:vAlign w:val="center"/>
          </w:tcPr>
          <w:p w14:paraId="46B63BA4" w14:textId="77777777" w:rsidR="005F38A6" w:rsidRPr="001158BC" w:rsidRDefault="005F38A6" w:rsidP="006A7377">
            <w:pPr>
              <w:rPr>
                <w:rFonts w:eastAsiaTheme="minorEastAsia"/>
                <w:sz w:val="20"/>
                <w:szCs w:val="20"/>
              </w:rPr>
            </w:pPr>
            <w:r w:rsidRPr="001158BC">
              <w:rPr>
                <w:rFonts w:eastAsiaTheme="minorEastAsia"/>
                <w:sz w:val="20"/>
                <w:szCs w:val="20"/>
              </w:rPr>
              <w:t>0.003</w:t>
            </w:r>
          </w:p>
        </w:tc>
        <w:tc>
          <w:tcPr>
            <w:tcW w:w="924" w:type="dxa"/>
            <w:tcBorders>
              <w:bottom w:val="single" w:sz="4" w:space="0" w:color="auto"/>
            </w:tcBorders>
            <w:vAlign w:val="center"/>
          </w:tcPr>
          <w:p w14:paraId="581AEF5F" w14:textId="77777777" w:rsidR="005F38A6" w:rsidRPr="001158BC" w:rsidRDefault="005F38A6" w:rsidP="006A7377">
            <w:pPr>
              <w:rPr>
                <w:rFonts w:eastAsiaTheme="minorEastAsia"/>
                <w:sz w:val="20"/>
                <w:szCs w:val="20"/>
              </w:rPr>
            </w:pPr>
            <w:r w:rsidRPr="001158BC">
              <w:rPr>
                <w:rFonts w:eastAsiaTheme="minorEastAsia"/>
                <w:sz w:val="20"/>
                <w:szCs w:val="20"/>
              </w:rPr>
              <w:t>-0.001</w:t>
            </w:r>
          </w:p>
        </w:tc>
        <w:tc>
          <w:tcPr>
            <w:tcW w:w="924" w:type="dxa"/>
            <w:tcBorders>
              <w:bottom w:val="single" w:sz="4" w:space="0" w:color="auto"/>
            </w:tcBorders>
            <w:vAlign w:val="center"/>
          </w:tcPr>
          <w:p w14:paraId="1C5E05D3" w14:textId="77777777" w:rsidR="005F38A6" w:rsidRPr="001158BC" w:rsidRDefault="005F38A6" w:rsidP="006A7377">
            <w:pPr>
              <w:rPr>
                <w:rFonts w:eastAsiaTheme="minorEastAsia"/>
                <w:sz w:val="20"/>
                <w:szCs w:val="20"/>
              </w:rPr>
            </w:pPr>
            <w:r w:rsidRPr="001158BC">
              <w:rPr>
                <w:rFonts w:eastAsiaTheme="minorEastAsia"/>
                <w:sz w:val="20"/>
                <w:szCs w:val="20"/>
              </w:rPr>
              <w:t>0.46</w:t>
            </w:r>
          </w:p>
        </w:tc>
      </w:tr>
    </w:tbl>
    <w:p w14:paraId="7D8364FD" w14:textId="77777777" w:rsidR="005F38A6" w:rsidRPr="00E26F18" w:rsidRDefault="005F38A6" w:rsidP="005F38A6">
      <w:pPr>
        <w:jc w:val="both"/>
        <w:rPr>
          <w:sz w:val="20"/>
          <w:szCs w:val="20"/>
        </w:rPr>
      </w:pPr>
      <w:r w:rsidRPr="00E26F18">
        <w:rPr>
          <w:sz w:val="20"/>
          <w:szCs w:val="20"/>
        </w:rPr>
        <w:t xml:space="preserve">                                    </w:t>
      </w:r>
      <w:r w:rsidRPr="005E0AEB">
        <w:rPr>
          <w:sz w:val="16"/>
          <w:szCs w:val="16"/>
        </w:rPr>
        <w:t>Fuente: Ministerio de Finanzas Públicas</w:t>
      </w:r>
    </w:p>
    <w:p w14:paraId="30E2B765" w14:textId="77777777" w:rsidR="005F38A6" w:rsidRDefault="005F38A6" w:rsidP="005F38A6">
      <w:pPr>
        <w:jc w:val="both"/>
      </w:pPr>
    </w:p>
    <w:p w14:paraId="04A265C7" w14:textId="77777777" w:rsidR="005F38A6" w:rsidRPr="00861C02" w:rsidRDefault="005F38A6" w:rsidP="005F38A6">
      <w:pPr>
        <w:jc w:val="both"/>
        <w:rPr>
          <w:rFonts w:eastAsiaTheme="minorEastAsia"/>
        </w:rPr>
      </w:pPr>
      <w:r w:rsidRPr="00B83FCC">
        <w:t>Los resultados sugieren</w:t>
      </w:r>
      <w:r>
        <w:t>, que la elasticidad de largo plazo entre el precio del petróleo y los precios de las gasolinas es de 0.56, y la de corto plazo es de 0.43, mientras que para la elasticidad de largo plazo del precio del petróleo y el diésel es de 0.75, y la elasticidad de corto plazo es de 0.46. Las tendencias positivas en la relación de cointegración de largo plazo entre los precios del petróleo y los precios de las gasolinas y el diésel, indican que hay otros factores que inciden en el aumento de largo plazo en el precio de las gasolinas nacionales como lo pueden ser los costos de refinería, los gastos de distribución y marketing, los márgenes de ganancia, entre otros.</w:t>
      </w:r>
    </w:p>
    <w:p w14:paraId="65272CBA" w14:textId="77777777" w:rsidR="005F38A6" w:rsidRDefault="005F38A6" w:rsidP="005F38A6">
      <w:pPr>
        <w:jc w:val="both"/>
        <w:rPr>
          <w:rFonts w:eastAsiaTheme="minorEastAsia"/>
        </w:rPr>
      </w:pPr>
    </w:p>
    <w:p w14:paraId="2AEBC692" w14:textId="3FD98D27" w:rsidR="005F38A6" w:rsidRDefault="005F38A6" w:rsidP="005F38A6">
      <w:pPr>
        <w:jc w:val="both"/>
        <w:rPr>
          <w:rFonts w:eastAsiaTheme="minorEastAsia"/>
        </w:rPr>
      </w:pPr>
      <w:r>
        <w:rPr>
          <w:rFonts w:eastAsiaTheme="minorEastAsia"/>
        </w:rPr>
        <w:t>Los costos de refinería de la gasolina y diésel, que la Administración de Información de Energía de Estados Unidos define como la diferencia entre el precio del WTI y el precio de venta por mayor del combustible, aumentaron considerablemente en 2022</w:t>
      </w:r>
      <w:r w:rsidR="000D3804">
        <w:rPr>
          <w:rFonts w:eastAsiaTheme="minorEastAsia"/>
        </w:rPr>
        <w:t>, p</w:t>
      </w:r>
      <w:r>
        <w:rPr>
          <w:rFonts w:eastAsiaTheme="minorEastAsia"/>
        </w:rPr>
        <w:t>articularmente el diésel, dado que no existían suficientes refinerías para satisfacer la demanda mundial, especialmente después de que las exportaciones de Rusia disminuyeron luego que varios países dejaron de comprarlas.</w:t>
      </w:r>
    </w:p>
    <w:p w14:paraId="796CA863" w14:textId="0A569CE5" w:rsidR="005E0AEB" w:rsidRDefault="005E0AEB" w:rsidP="005F38A6">
      <w:pPr>
        <w:jc w:val="both"/>
        <w:rPr>
          <w:rFonts w:eastAsiaTheme="minorEastAsia"/>
        </w:rPr>
      </w:pPr>
    </w:p>
    <w:p w14:paraId="37CDC3C6" w14:textId="092C2AA6" w:rsidR="00752A7C" w:rsidRDefault="00752A7C" w:rsidP="005F38A6">
      <w:pPr>
        <w:jc w:val="both"/>
        <w:rPr>
          <w:rFonts w:eastAsiaTheme="minorEastAsia"/>
        </w:rPr>
      </w:pPr>
    </w:p>
    <w:p w14:paraId="7E6CDE65" w14:textId="03AE7DDA" w:rsidR="00752A7C" w:rsidRDefault="00752A7C" w:rsidP="005F38A6">
      <w:pPr>
        <w:jc w:val="both"/>
        <w:rPr>
          <w:rFonts w:eastAsiaTheme="minorEastAsia"/>
        </w:rPr>
      </w:pPr>
    </w:p>
    <w:p w14:paraId="7B21C2E9" w14:textId="4F04FBD0" w:rsidR="00752A7C" w:rsidRDefault="00752A7C" w:rsidP="005F38A6">
      <w:pPr>
        <w:jc w:val="both"/>
        <w:rPr>
          <w:rFonts w:eastAsiaTheme="minorEastAsia"/>
        </w:rPr>
      </w:pPr>
    </w:p>
    <w:p w14:paraId="0D3D30E2" w14:textId="77777777" w:rsidR="00752A7C" w:rsidRDefault="00752A7C" w:rsidP="005F38A6">
      <w:pPr>
        <w:jc w:val="both"/>
        <w:rPr>
          <w:rFonts w:eastAsiaTheme="minorEastAsia"/>
        </w:rPr>
      </w:pPr>
    </w:p>
    <w:tbl>
      <w:tblPr>
        <w:tblW w:w="0" w:type="auto"/>
        <w:tblLook w:val="04A0" w:firstRow="1" w:lastRow="0" w:firstColumn="1" w:lastColumn="0" w:noHBand="0" w:noVBand="1"/>
      </w:tblPr>
      <w:tblGrid>
        <w:gridCol w:w="8828"/>
      </w:tblGrid>
      <w:tr w:rsidR="005F38A6" w14:paraId="0F22F2EC" w14:textId="77777777" w:rsidTr="006A7377">
        <w:tc>
          <w:tcPr>
            <w:tcW w:w="8828" w:type="dxa"/>
          </w:tcPr>
          <w:p w14:paraId="3EF3D36F" w14:textId="5D3766B2" w:rsidR="005E0AEB" w:rsidRPr="005E0AEB" w:rsidRDefault="005E0AEB" w:rsidP="005E0AEB">
            <w:pPr>
              <w:pStyle w:val="Descripcin"/>
              <w:rPr>
                <w:color w:val="auto"/>
              </w:rPr>
            </w:pPr>
            <w:bookmarkStart w:id="175" w:name="_Toc143593579"/>
            <w:r w:rsidRPr="005E0AEB">
              <w:rPr>
                <w:color w:val="auto"/>
              </w:rPr>
              <w:lastRenderedPageBreak/>
              <w:t xml:space="preserve">Gráfico </w:t>
            </w:r>
            <w:r w:rsidRPr="005E0AEB">
              <w:rPr>
                <w:color w:val="auto"/>
              </w:rPr>
              <w:fldChar w:fldCharType="begin"/>
            </w:r>
            <w:r w:rsidRPr="005E0AEB">
              <w:rPr>
                <w:color w:val="auto"/>
              </w:rPr>
              <w:instrText xml:space="preserve"> SEQ Gráfico \* ARABIC </w:instrText>
            </w:r>
            <w:r w:rsidRPr="005E0AEB">
              <w:rPr>
                <w:color w:val="auto"/>
              </w:rPr>
              <w:fldChar w:fldCharType="separate"/>
            </w:r>
            <w:r w:rsidR="00A62AFA">
              <w:rPr>
                <w:noProof/>
                <w:color w:val="auto"/>
              </w:rPr>
              <w:t>21</w:t>
            </w:r>
            <w:r w:rsidRPr="005E0AEB">
              <w:rPr>
                <w:color w:val="auto"/>
              </w:rPr>
              <w:fldChar w:fldCharType="end"/>
            </w:r>
            <w:r w:rsidRPr="005E0AEB">
              <w:rPr>
                <w:color w:val="auto"/>
              </w:rPr>
              <w:t xml:space="preserve">. </w:t>
            </w:r>
            <w:r w:rsidRPr="005E0AEB">
              <w:rPr>
                <w:rFonts w:eastAsiaTheme="minorEastAsia"/>
                <w:color w:val="auto"/>
              </w:rPr>
              <w:t>Costos de refinería</w:t>
            </w:r>
            <w:bookmarkEnd w:id="175"/>
          </w:p>
          <w:p w14:paraId="11629CB8" w14:textId="77777777" w:rsidR="005F38A6" w:rsidRDefault="005F38A6" w:rsidP="004A12A1">
            <w:pPr>
              <w:jc w:val="center"/>
              <w:rPr>
                <w:rFonts w:eastAsiaTheme="minorEastAsia"/>
              </w:rPr>
            </w:pPr>
            <w:r w:rsidRPr="00E47A8E">
              <w:rPr>
                <w:rFonts w:eastAsiaTheme="minorEastAsia"/>
                <w:sz w:val="22"/>
                <w:szCs w:val="22"/>
              </w:rPr>
              <w:t>Dólares por galón</w:t>
            </w:r>
          </w:p>
        </w:tc>
      </w:tr>
      <w:tr w:rsidR="005F38A6" w14:paraId="5C8CA861" w14:textId="77777777" w:rsidTr="006A7377">
        <w:tblPrEx>
          <w:tblCellMar>
            <w:left w:w="70" w:type="dxa"/>
            <w:right w:w="70" w:type="dxa"/>
          </w:tblCellMar>
        </w:tblPrEx>
        <w:tc>
          <w:tcPr>
            <w:tcW w:w="8828" w:type="dxa"/>
          </w:tcPr>
          <w:p w14:paraId="4ACE046D" w14:textId="77777777" w:rsidR="005F38A6" w:rsidRDefault="005F38A6" w:rsidP="006A7377">
            <w:pPr>
              <w:jc w:val="both"/>
              <w:rPr>
                <w:rFonts w:eastAsiaTheme="minorEastAsia"/>
              </w:rPr>
            </w:pPr>
            <w:r>
              <w:rPr>
                <w:noProof/>
              </w:rPr>
              <w:drawing>
                <wp:inline distT="0" distB="0" distL="0" distR="0" wp14:anchorId="6B807FC1" wp14:editId="677B6478">
                  <wp:extent cx="5414838" cy="2234317"/>
                  <wp:effectExtent l="0" t="0" r="0" b="0"/>
                  <wp:docPr id="18" name="Gráfico 18">
                    <a:extLst xmlns:a="http://schemas.openxmlformats.org/drawingml/2006/main">
                      <a:ext uri="{FF2B5EF4-FFF2-40B4-BE49-F238E27FC236}">
                        <a16:creationId xmlns:a16="http://schemas.microsoft.com/office/drawing/2014/main" id="{60C9B7E7-8ADD-4222-9E5F-EB77B13B5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5F38A6" w14:paraId="63A1DC98" w14:textId="77777777" w:rsidTr="006A7377">
        <w:tc>
          <w:tcPr>
            <w:tcW w:w="8828" w:type="dxa"/>
          </w:tcPr>
          <w:p w14:paraId="1B2488D4" w14:textId="77777777" w:rsidR="005F38A6" w:rsidRPr="00E47A8E" w:rsidRDefault="005F38A6" w:rsidP="006A7377">
            <w:pPr>
              <w:jc w:val="both"/>
              <w:rPr>
                <w:rFonts w:eastAsiaTheme="minorEastAsia"/>
                <w:sz w:val="20"/>
                <w:szCs w:val="20"/>
              </w:rPr>
            </w:pPr>
            <w:r w:rsidRPr="00E47A8E">
              <w:rPr>
                <w:rFonts w:eastAsiaTheme="minorEastAsia"/>
                <w:sz w:val="20"/>
                <w:szCs w:val="20"/>
              </w:rPr>
              <w:t xml:space="preserve">       </w:t>
            </w:r>
            <w:r w:rsidRPr="005E0AEB">
              <w:rPr>
                <w:rFonts w:eastAsiaTheme="minorEastAsia"/>
                <w:sz w:val="16"/>
                <w:szCs w:val="16"/>
              </w:rPr>
              <w:t>Fuente: EIA</w:t>
            </w:r>
          </w:p>
        </w:tc>
      </w:tr>
    </w:tbl>
    <w:p w14:paraId="53989A2B" w14:textId="77777777" w:rsidR="005F38A6" w:rsidRPr="00885487" w:rsidRDefault="005F38A6" w:rsidP="005F38A6">
      <w:pPr>
        <w:jc w:val="both"/>
        <w:rPr>
          <w:rFonts w:eastAsiaTheme="minorEastAsia"/>
          <w:sz w:val="20"/>
          <w:szCs w:val="20"/>
        </w:rPr>
      </w:pPr>
    </w:p>
    <w:p w14:paraId="205F537E" w14:textId="77777777" w:rsidR="005F38A6" w:rsidRDefault="005F38A6" w:rsidP="005F38A6">
      <w:pPr>
        <w:jc w:val="both"/>
        <w:rPr>
          <w:rFonts w:eastAsiaTheme="minorEastAsia"/>
        </w:rPr>
      </w:pPr>
      <w:r>
        <w:rPr>
          <w:rFonts w:eastAsiaTheme="minorEastAsia"/>
        </w:rPr>
        <w:t>Por otro lado</w:t>
      </w:r>
      <w:r w:rsidRPr="00B83FCC">
        <w:rPr>
          <w:rFonts w:eastAsiaTheme="minorEastAsia"/>
        </w:rPr>
        <w:t xml:space="preserve">, se procedió a estimar el efecto de los precios nacionales en el consumo de combustibles, que como sugieren </w:t>
      </w:r>
      <w:r>
        <w:rPr>
          <w:rFonts w:eastAsiaTheme="minorEastAsia"/>
        </w:rPr>
        <w:t>(</w:t>
      </w:r>
      <w:proofErr w:type="spellStart"/>
      <w:r>
        <w:rPr>
          <w:rFonts w:eastAsiaTheme="minorEastAsia"/>
        </w:rPr>
        <w:t>Labanderia</w:t>
      </w:r>
      <w:proofErr w:type="spellEnd"/>
      <w:r>
        <w:rPr>
          <w:rFonts w:eastAsiaTheme="minorEastAsia"/>
        </w:rPr>
        <w:t xml:space="preserve"> et al, 2017)</w:t>
      </w:r>
      <w:r>
        <w:rPr>
          <w:rStyle w:val="Refdenotaalpie"/>
          <w:rFonts w:eastAsiaTheme="minorEastAsia"/>
        </w:rPr>
        <w:footnoteReference w:id="1"/>
      </w:r>
      <w:r>
        <w:rPr>
          <w:rFonts w:eastAsiaTheme="minorEastAsia"/>
        </w:rPr>
        <w:t xml:space="preserve"> </w:t>
      </w:r>
      <w:r w:rsidRPr="00B83FCC">
        <w:rPr>
          <w:rFonts w:eastAsiaTheme="minorEastAsia"/>
          <w:color w:val="000000" w:themeColor="text1"/>
        </w:rPr>
        <w:t xml:space="preserve">la elasticidad precio-demanda de la gasolina es negativa alrededor de 0.29. Para estimar la relación para Guatemala se utilizó </w:t>
      </w:r>
      <w:r>
        <w:rPr>
          <w:rFonts w:eastAsiaTheme="minorEastAsia"/>
          <w:color w:val="000000" w:themeColor="text1"/>
        </w:rPr>
        <w:t>el modelo</w:t>
      </w:r>
      <w:r>
        <w:rPr>
          <w:rStyle w:val="Refdenotaalpie"/>
          <w:rFonts w:eastAsiaTheme="minorEastAsia"/>
          <w:color w:val="000000" w:themeColor="text1"/>
        </w:rPr>
        <w:footnoteReference w:id="2"/>
      </w:r>
      <w:r>
        <w:rPr>
          <w:rFonts w:eastAsiaTheme="minorEastAsia"/>
          <w:color w:val="000000" w:themeColor="text1"/>
        </w:rPr>
        <w:t xml:space="preserve">, considerando </w:t>
      </w:r>
      <w:r w:rsidRPr="00B83FCC">
        <w:rPr>
          <w:rFonts w:eastAsiaTheme="minorEastAsia"/>
        </w:rPr>
        <w:t>la variación interanual del consumo del combustible</w:t>
      </w:r>
      <w:r>
        <w:rPr>
          <w:rFonts w:eastAsiaTheme="minorEastAsia"/>
        </w:rPr>
        <w:t xml:space="preserve"> (</w:t>
      </w:r>
      <m:oMath>
        <m:r>
          <w:rPr>
            <w:rFonts w:ascii="Cambria Math" w:hAnsi="Cambria Math"/>
            <w:sz w:val="22"/>
            <w:szCs w:val="22"/>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oMath>
      <w:r>
        <w:rPr>
          <w:rFonts w:eastAsiaTheme="minorEastAsia"/>
        </w:rPr>
        <w:t>, la variación interanual del ingreso real (</w:t>
      </w:r>
      <m:oMath>
        <m:sSub>
          <m:sSubPr>
            <m:ctrlPr>
              <w:rPr>
                <w:rFonts w:ascii="Cambria Math" w:hAnsi="Cambria Math"/>
                <w:i/>
              </w:rPr>
            </m:ctrlPr>
          </m:sSubPr>
          <m:e>
            <m:r>
              <w:rPr>
                <w:rFonts w:ascii="Cambria Math" w:hAnsi="Cambria Math"/>
                <w:sz w:val="22"/>
                <w:szCs w:val="22"/>
              </w:rPr>
              <m:t>∆</m:t>
            </m:r>
            <m:r>
              <w:rPr>
                <w:rFonts w:ascii="Cambria Math" w:hAnsi="Cambria Math"/>
              </w:rPr>
              <m:t>rgpib</m:t>
            </m:r>
          </m:e>
          <m:sub>
            <m:r>
              <w:rPr>
                <w:rFonts w:ascii="Cambria Math" w:hAnsi="Cambria Math"/>
              </w:rPr>
              <m:t>t</m:t>
            </m:r>
          </m:sub>
        </m:sSub>
      </m:oMath>
      <w:r>
        <w:rPr>
          <w:rFonts w:eastAsiaTheme="minorEastAsia"/>
        </w:rPr>
        <w:t xml:space="preserve">) y la variación interanual del precio real de cada combustible </w:t>
      </w:r>
      <m:oMath>
        <m:d>
          <m:dPr>
            <m:ctrlPr>
              <w:rPr>
                <w:rFonts w:ascii="Cambria Math" w:hAnsi="Cambria Math"/>
                <w:i/>
              </w:rPr>
            </m:ctrlPr>
          </m:dPr>
          <m:e>
            <m:r>
              <w:rPr>
                <w:rFonts w:ascii="Cambria Math" w:hAnsi="Cambria Math"/>
                <w:sz w:val="22"/>
                <w:szCs w:val="22"/>
              </w:rPr>
              <m:t>∆</m:t>
            </m:r>
            <m:sSub>
              <m:sSubPr>
                <m:ctrlPr>
                  <w:rPr>
                    <w:rFonts w:ascii="Cambria Math" w:hAnsi="Cambria Math"/>
                    <w:i/>
                  </w:rPr>
                </m:ctrlPr>
              </m:sSubPr>
              <m:e>
                <m:r>
                  <w:rPr>
                    <w:rFonts w:ascii="Cambria Math" w:hAnsi="Cambria Math"/>
                  </w:rPr>
                  <m:t>p</m:t>
                </m:r>
              </m:e>
              <m:sub>
                <m:r>
                  <w:rPr>
                    <w:rFonts w:ascii="Cambria Math" w:hAnsi="Cambria Math"/>
                  </w:rPr>
                  <m:t>t</m:t>
                </m:r>
              </m:sub>
            </m:sSub>
          </m:e>
        </m:d>
        <m:r>
          <w:rPr>
            <w:rFonts w:ascii="Cambria Math" w:hAnsi="Cambria Math"/>
          </w:rPr>
          <m:t xml:space="preserve">, </m:t>
        </m:r>
      </m:oMath>
      <w:r>
        <w:rPr>
          <w:rFonts w:eastAsiaTheme="minorEastAsia"/>
        </w:rPr>
        <w:t>como se muestra a continuación:</w:t>
      </w:r>
    </w:p>
    <w:p w14:paraId="0412C385" w14:textId="77777777" w:rsidR="005F38A6" w:rsidRDefault="005F38A6" w:rsidP="005F38A6">
      <w:pPr>
        <w:jc w:val="both"/>
        <w:rPr>
          <w:rFonts w:eastAsiaTheme="minorEastAsia"/>
        </w:rPr>
      </w:pPr>
    </w:p>
    <w:p w14:paraId="59F3BA84" w14:textId="5AA78B46" w:rsidR="005F38A6" w:rsidRPr="000A658D" w:rsidRDefault="005F38A6" w:rsidP="005F38A6">
      <w:pPr>
        <w:jc w:val="both"/>
        <w:rPr>
          <w:rFonts w:eastAsiaTheme="minorEastAsia"/>
          <w:sz w:val="20"/>
          <w:szCs w:val="20"/>
        </w:rPr>
      </w:pPr>
      <m:oMathPara>
        <m:oMath>
          <m:r>
            <w:rPr>
              <w:rFonts w:ascii="Cambria Math" w:hAnsi="Cambria Math"/>
              <w:sz w:val="22"/>
              <w:szCs w:val="22"/>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jt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2"/>
                  <w:szCs w:val="22"/>
                </w:rPr>
                <m:t>∆</m:t>
              </m:r>
              <m:r>
                <w:rPr>
                  <w:rFonts w:ascii="Cambria Math" w:hAnsi="Cambria Math"/>
                  <w:sz w:val="20"/>
                  <w:szCs w:val="20"/>
                </w:rPr>
                <m:t>p</m:t>
              </m:r>
            </m:e>
            <m:sub>
              <m:r>
                <w:rPr>
                  <w:rFonts w:ascii="Cambria Math" w:hAnsi="Cambria Math"/>
                  <w:sz w:val="20"/>
                  <w:szCs w:val="20"/>
                </w:rPr>
                <m:t>jt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2"/>
                  <w:szCs w:val="22"/>
                </w:rPr>
                <m:t>∆</m:t>
              </m:r>
              <m:r>
                <w:rPr>
                  <w:rFonts w:ascii="Cambria Math" w:hAnsi="Cambria Math"/>
                  <w:sz w:val="20"/>
                  <w:szCs w:val="20"/>
                </w:rPr>
                <m:t>c</m:t>
              </m:r>
            </m:e>
            <m:sub>
              <m:r>
                <w:rPr>
                  <w:rFonts w:ascii="Cambria Math" w:hAnsi="Cambria Math"/>
                  <w:sz w:val="20"/>
                  <w:szCs w:val="20"/>
                </w:rPr>
                <m:t>jt-1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2"/>
                  <w:szCs w:val="22"/>
                </w:rPr>
                <m:t>∆</m:t>
              </m:r>
              <m:r>
                <w:rPr>
                  <w:rFonts w:ascii="Cambria Math" w:hAnsi="Cambria Math"/>
                  <w:sz w:val="20"/>
                  <w:szCs w:val="20"/>
                </w:rPr>
                <m:t>c</m:t>
              </m:r>
            </m:e>
            <m:sub>
              <m:r>
                <w:rPr>
                  <w:rFonts w:ascii="Cambria Math" w:hAnsi="Cambria Math"/>
                  <w:sz w:val="20"/>
                  <w:szCs w:val="20"/>
                </w:rPr>
                <m:t>jt-2</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4</m:t>
              </m:r>
            </m:sub>
          </m:sSub>
          <m:sSub>
            <m:sSubPr>
              <m:ctrlPr>
                <w:rPr>
                  <w:rFonts w:ascii="Cambria Math" w:hAnsi="Cambria Math"/>
                  <w:i/>
                  <w:sz w:val="20"/>
                  <w:szCs w:val="20"/>
                </w:rPr>
              </m:ctrlPr>
            </m:sSubPr>
            <m:e>
              <m:r>
                <w:rPr>
                  <w:rFonts w:ascii="Cambria Math" w:hAnsi="Cambria Math"/>
                  <w:sz w:val="22"/>
                  <w:szCs w:val="22"/>
                </w:rPr>
                <m:t>∆</m:t>
              </m:r>
              <m:r>
                <w:rPr>
                  <w:rFonts w:ascii="Cambria Math" w:hAnsi="Cambria Math"/>
                  <w:sz w:val="20"/>
                  <w:szCs w:val="20"/>
                </w:rPr>
                <m:t>rgpib</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jt</m:t>
              </m:r>
            </m:sub>
          </m:sSub>
        </m:oMath>
      </m:oMathPara>
    </w:p>
    <w:p w14:paraId="477E4BE2" w14:textId="77777777" w:rsidR="00752A7C" w:rsidRDefault="00752A7C" w:rsidP="005F38A6">
      <w:pPr>
        <w:jc w:val="both"/>
        <w:rPr>
          <w:rFonts w:eastAsiaTheme="minorEastAsia"/>
          <w:color w:val="000000" w:themeColor="text1"/>
        </w:rPr>
      </w:pPr>
    </w:p>
    <w:p w14:paraId="76474C84" w14:textId="7F890B2A" w:rsidR="005F38A6" w:rsidRPr="00C81F94" w:rsidRDefault="005F38A6" w:rsidP="005F38A6">
      <w:pPr>
        <w:jc w:val="both"/>
      </w:pPr>
      <w:r w:rsidRPr="00B83FCC">
        <w:rPr>
          <w:rFonts w:eastAsiaTheme="minorEastAsia"/>
          <w:color w:val="000000" w:themeColor="text1"/>
        </w:rPr>
        <w:t>De los resultados se observa que</w:t>
      </w:r>
      <w:r>
        <w:rPr>
          <w:rFonts w:eastAsiaTheme="minorEastAsia"/>
          <w:color w:val="000000" w:themeColor="text1"/>
        </w:rPr>
        <w:t>,</w:t>
      </w:r>
      <w:r w:rsidRPr="00B83FCC">
        <w:rPr>
          <w:rFonts w:eastAsiaTheme="minorEastAsia"/>
          <w:color w:val="000000" w:themeColor="text1"/>
        </w:rPr>
        <w:t xml:space="preserve"> </w:t>
      </w:r>
      <w:r w:rsidRPr="00C81F94">
        <w:rPr>
          <w:rFonts w:eastAsiaTheme="minorEastAsia"/>
          <w:color w:val="000000" w:themeColor="text1"/>
        </w:rPr>
        <w:t xml:space="preserve">un aumento de un punto porcentual en la tasa de variación </w:t>
      </w:r>
      <w:r w:rsidR="000D3804">
        <w:rPr>
          <w:rFonts w:eastAsiaTheme="minorEastAsia"/>
          <w:color w:val="000000" w:themeColor="text1"/>
        </w:rPr>
        <w:t xml:space="preserve">del precio </w:t>
      </w:r>
      <w:r w:rsidRPr="00C81F94">
        <w:rPr>
          <w:rFonts w:eastAsiaTheme="minorEastAsia"/>
          <w:color w:val="000000" w:themeColor="text1"/>
        </w:rPr>
        <w:t xml:space="preserve">de las gasolinas genera una disminución de 0.11 puntos porcentuales en la tasa de variación de su consumo. Por otro lado, un aumento de un punto porcentual </w:t>
      </w:r>
      <w:r w:rsidR="000D3804">
        <w:rPr>
          <w:rFonts w:eastAsiaTheme="minorEastAsia"/>
          <w:color w:val="000000" w:themeColor="text1"/>
        </w:rPr>
        <w:t xml:space="preserve">en </w:t>
      </w:r>
      <w:r w:rsidRPr="00C81F94">
        <w:rPr>
          <w:rFonts w:eastAsiaTheme="minorEastAsia"/>
          <w:color w:val="000000" w:themeColor="text1"/>
        </w:rPr>
        <w:t xml:space="preserve">la tasa de variación </w:t>
      </w:r>
      <w:r w:rsidR="000D3804">
        <w:rPr>
          <w:rFonts w:eastAsiaTheme="minorEastAsia"/>
          <w:color w:val="000000" w:themeColor="text1"/>
        </w:rPr>
        <w:t>del</w:t>
      </w:r>
      <w:r w:rsidRPr="00C81F94">
        <w:rPr>
          <w:rFonts w:eastAsiaTheme="minorEastAsia"/>
          <w:color w:val="000000" w:themeColor="text1"/>
        </w:rPr>
        <w:t xml:space="preserve"> precio de la gasolina diésel ocasiona una disminución de 0.05 puntos porcentuales en la tasa de variación </w:t>
      </w:r>
      <w:r w:rsidR="000D3804">
        <w:rPr>
          <w:rFonts w:eastAsiaTheme="minorEastAsia"/>
          <w:color w:val="000000" w:themeColor="text1"/>
        </w:rPr>
        <w:t xml:space="preserve">del precio </w:t>
      </w:r>
      <w:r w:rsidRPr="00C81F94">
        <w:rPr>
          <w:rFonts w:eastAsiaTheme="minorEastAsia"/>
          <w:color w:val="000000" w:themeColor="text1"/>
        </w:rPr>
        <w:t>del diésel. Es importante indicar que en estas relaciones el parque vehicular no aportó mayor explicación por lo que no se consideró, siendo una posible razón que existan muchos vehículos que no estén en uso. Además, no se encontró una variable que explique la intensidad del manejo</w:t>
      </w:r>
      <w:r w:rsidR="000D3804">
        <w:rPr>
          <w:rFonts w:eastAsiaTheme="minorEastAsia"/>
          <w:color w:val="000000" w:themeColor="text1"/>
        </w:rPr>
        <w:t>,</w:t>
      </w:r>
      <w:r w:rsidRPr="00C81F94">
        <w:rPr>
          <w:rFonts w:eastAsiaTheme="minorEastAsia"/>
          <w:color w:val="000000" w:themeColor="text1"/>
        </w:rPr>
        <w:t xml:space="preserve"> como sugiere </w:t>
      </w:r>
      <w:r w:rsidRPr="00C81F94">
        <w:t>(</w:t>
      </w:r>
      <w:proofErr w:type="spellStart"/>
      <w:r w:rsidRPr="00C81F94">
        <w:t>Uusitalo</w:t>
      </w:r>
      <w:proofErr w:type="spellEnd"/>
      <w:r w:rsidRPr="00C81F94">
        <w:t xml:space="preserve"> &amp; </w:t>
      </w:r>
      <w:proofErr w:type="spellStart"/>
      <w:r w:rsidRPr="00C81F94">
        <w:t>Djerf</w:t>
      </w:r>
      <w:proofErr w:type="spellEnd"/>
      <w:r w:rsidRPr="00C81F94">
        <w:t>, 1983)</w:t>
      </w:r>
      <w:r w:rsidRPr="00C81F94">
        <w:rPr>
          <w:rStyle w:val="Refdenotaalpie"/>
        </w:rPr>
        <w:footnoteReference w:id="3"/>
      </w:r>
      <w:r w:rsidRPr="00C81F94">
        <w:t>.</w:t>
      </w:r>
    </w:p>
    <w:p w14:paraId="284F59BE" w14:textId="77777777" w:rsidR="005F38A6" w:rsidRPr="00C81F94" w:rsidRDefault="005F38A6" w:rsidP="005F38A6">
      <w:pPr>
        <w:jc w:val="both"/>
      </w:pPr>
    </w:p>
    <w:p w14:paraId="0732962F" w14:textId="4026B0A4" w:rsidR="005F38A6" w:rsidRPr="005E0AEB" w:rsidRDefault="005E0AEB" w:rsidP="005E0AEB">
      <w:pPr>
        <w:pStyle w:val="Descripcin"/>
        <w:keepNext/>
        <w:rPr>
          <w:color w:val="auto"/>
        </w:rPr>
      </w:pPr>
      <w:bookmarkStart w:id="176" w:name="_Toc114493927"/>
      <w:bookmarkStart w:id="177" w:name="_Toc143593525"/>
      <w:r w:rsidRPr="005E0AEB">
        <w:rPr>
          <w:color w:val="auto"/>
        </w:rPr>
        <w:t xml:space="preserve">Tabla </w:t>
      </w:r>
      <w:r w:rsidRPr="005E0AEB">
        <w:rPr>
          <w:color w:val="auto"/>
        </w:rPr>
        <w:fldChar w:fldCharType="begin"/>
      </w:r>
      <w:r w:rsidRPr="005E0AEB">
        <w:rPr>
          <w:color w:val="auto"/>
        </w:rPr>
        <w:instrText xml:space="preserve"> SEQ Tabla \* ARABIC </w:instrText>
      </w:r>
      <w:r w:rsidRPr="005E0AEB">
        <w:rPr>
          <w:color w:val="auto"/>
        </w:rPr>
        <w:fldChar w:fldCharType="separate"/>
      </w:r>
      <w:r w:rsidR="00A62AFA">
        <w:rPr>
          <w:noProof/>
          <w:color w:val="auto"/>
        </w:rPr>
        <w:t>23</w:t>
      </w:r>
      <w:r w:rsidRPr="005E0AEB">
        <w:rPr>
          <w:color w:val="auto"/>
        </w:rPr>
        <w:fldChar w:fldCharType="end"/>
      </w:r>
      <w:r w:rsidRPr="005E0AEB">
        <w:rPr>
          <w:color w:val="auto"/>
        </w:rPr>
        <w:t xml:space="preserve">.  </w:t>
      </w:r>
      <w:r w:rsidR="005F38A6" w:rsidRPr="005E0AEB">
        <w:rPr>
          <w:rFonts w:eastAsiaTheme="minorEastAsia"/>
          <w:bCs/>
          <w:color w:val="auto"/>
        </w:rPr>
        <w:t>Estimación de los coeficientes del consumo de combustibles</w:t>
      </w:r>
      <w:bookmarkEnd w:id="176"/>
      <w:bookmarkEnd w:id="177"/>
    </w:p>
    <w:p w14:paraId="3AB8397B" w14:textId="77777777" w:rsidR="005F38A6" w:rsidRPr="00D26FF2" w:rsidRDefault="005F38A6" w:rsidP="005F38A6"/>
    <w:tbl>
      <w:tblPr>
        <w:tblW w:w="0" w:type="auto"/>
        <w:jc w:val="center"/>
        <w:tblBorders>
          <w:top w:val="single" w:sz="4" w:space="0" w:color="auto"/>
          <w:bottom w:val="single" w:sz="4" w:space="0" w:color="auto"/>
        </w:tblBorders>
        <w:tblLook w:val="04A0" w:firstRow="1" w:lastRow="0" w:firstColumn="1" w:lastColumn="0" w:noHBand="0" w:noVBand="1"/>
      </w:tblPr>
      <w:tblGrid>
        <w:gridCol w:w="1142"/>
        <w:gridCol w:w="793"/>
        <w:gridCol w:w="793"/>
        <w:gridCol w:w="793"/>
        <w:gridCol w:w="793"/>
        <w:gridCol w:w="793"/>
      </w:tblGrid>
      <w:tr w:rsidR="005F38A6" w:rsidRPr="002F162A" w14:paraId="5BB9F620" w14:textId="77777777" w:rsidTr="00752A7C">
        <w:trPr>
          <w:trHeight w:val="546"/>
          <w:jc w:val="center"/>
        </w:trPr>
        <w:tc>
          <w:tcPr>
            <w:tcW w:w="1142" w:type="dxa"/>
            <w:tcBorders>
              <w:bottom w:val="double" w:sz="4" w:space="0" w:color="auto"/>
              <w:right w:val="single" w:sz="4" w:space="0" w:color="auto"/>
            </w:tcBorders>
            <w:vAlign w:val="center"/>
          </w:tcPr>
          <w:p w14:paraId="4881E432" w14:textId="77777777" w:rsidR="005F38A6" w:rsidRPr="00C81F94" w:rsidRDefault="005F38A6" w:rsidP="006A7377">
            <w:pPr>
              <w:jc w:val="both"/>
              <w:rPr>
                <w:rFonts w:eastAsiaTheme="minorEastAsia"/>
                <w:bCs/>
                <w:sz w:val="16"/>
                <w:szCs w:val="16"/>
              </w:rPr>
            </w:pPr>
            <w:r w:rsidRPr="00C81F94">
              <w:rPr>
                <w:rFonts w:eastAsiaTheme="minorEastAsia"/>
                <w:bCs/>
                <w:sz w:val="16"/>
                <w:szCs w:val="16"/>
              </w:rPr>
              <w:t>Consumo</w:t>
            </w:r>
          </w:p>
        </w:tc>
        <w:tc>
          <w:tcPr>
            <w:tcW w:w="793" w:type="dxa"/>
            <w:tcBorders>
              <w:top w:val="single" w:sz="4" w:space="0" w:color="auto"/>
              <w:left w:val="single" w:sz="4" w:space="0" w:color="auto"/>
              <w:bottom w:val="double" w:sz="4" w:space="0" w:color="auto"/>
            </w:tcBorders>
            <w:vAlign w:val="center"/>
          </w:tcPr>
          <w:p w14:paraId="3A1C3B10" w14:textId="77777777" w:rsidR="005F38A6" w:rsidRPr="00C81F94" w:rsidRDefault="00805A42" w:rsidP="006A7377">
            <w:pPr>
              <w:jc w:val="both"/>
              <w:rPr>
                <w:rFonts w:eastAsiaTheme="minorEastAsia"/>
                <w:bCs/>
                <w:sz w:val="16"/>
                <w:szCs w:val="16"/>
              </w:rPr>
            </w:pPr>
            <m:oMathPara>
              <m:oMath>
                <m:acc>
                  <m:accPr>
                    <m:ctrlPr>
                      <w:rPr>
                        <w:rFonts w:ascii="Cambria Math" w:hAnsi="Cambria Math"/>
                        <w:bCs/>
                        <w:i/>
                        <w:sz w:val="16"/>
                        <w:szCs w:val="16"/>
                      </w:rPr>
                    </m:ctrlPr>
                  </m:accPr>
                  <m:e>
                    <m:sSub>
                      <m:sSubPr>
                        <m:ctrlPr>
                          <w:rPr>
                            <w:rFonts w:ascii="Cambria Math" w:hAnsi="Cambria Math"/>
                            <w:bCs/>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0</m:t>
                        </m:r>
                      </m:sub>
                    </m:sSub>
                  </m:e>
                </m:acc>
              </m:oMath>
            </m:oMathPara>
          </w:p>
        </w:tc>
        <w:tc>
          <w:tcPr>
            <w:tcW w:w="793" w:type="dxa"/>
            <w:tcBorders>
              <w:top w:val="single" w:sz="4" w:space="0" w:color="auto"/>
              <w:bottom w:val="double" w:sz="4" w:space="0" w:color="auto"/>
              <w:right w:val="double" w:sz="4" w:space="0" w:color="auto"/>
            </w:tcBorders>
            <w:vAlign w:val="center"/>
          </w:tcPr>
          <w:p w14:paraId="6812BA0A" w14:textId="77777777" w:rsidR="005F38A6" w:rsidRPr="00C81F94" w:rsidRDefault="00805A42" w:rsidP="006A7377">
            <w:pPr>
              <w:jc w:val="both"/>
              <w:rPr>
                <w:rFonts w:eastAsiaTheme="minorEastAsia"/>
                <w:bCs/>
                <w:sz w:val="16"/>
                <w:szCs w:val="16"/>
              </w:rPr>
            </w:pPr>
            <m:oMathPara>
              <m:oMath>
                <m:acc>
                  <m:accPr>
                    <m:ctrlPr>
                      <w:rPr>
                        <w:rFonts w:ascii="Cambria Math" w:hAnsi="Cambria Math"/>
                        <w:bCs/>
                        <w:i/>
                        <w:sz w:val="16"/>
                        <w:szCs w:val="16"/>
                      </w:rPr>
                    </m:ctrlPr>
                  </m:accPr>
                  <m:e>
                    <m:sSub>
                      <m:sSubPr>
                        <m:ctrlPr>
                          <w:rPr>
                            <w:rFonts w:ascii="Cambria Math" w:hAnsi="Cambria Math"/>
                            <w:bCs/>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1</m:t>
                        </m:r>
                      </m:sub>
                    </m:sSub>
                  </m:e>
                </m:acc>
              </m:oMath>
            </m:oMathPara>
          </w:p>
        </w:tc>
        <w:tc>
          <w:tcPr>
            <w:tcW w:w="793" w:type="dxa"/>
            <w:tcBorders>
              <w:top w:val="single" w:sz="4" w:space="0" w:color="auto"/>
              <w:left w:val="double" w:sz="4" w:space="0" w:color="auto"/>
              <w:bottom w:val="double" w:sz="4" w:space="0" w:color="auto"/>
            </w:tcBorders>
            <w:vAlign w:val="center"/>
          </w:tcPr>
          <w:p w14:paraId="3177FAAF" w14:textId="77777777" w:rsidR="005F38A6" w:rsidRPr="00C81F94" w:rsidRDefault="00805A42" w:rsidP="006A7377">
            <w:pPr>
              <w:jc w:val="both"/>
              <w:rPr>
                <w:rFonts w:eastAsiaTheme="minorEastAsia"/>
                <w:bCs/>
                <w:sz w:val="16"/>
                <w:szCs w:val="16"/>
              </w:rPr>
            </w:pPr>
            <m:oMathPara>
              <m:oMath>
                <m:acc>
                  <m:accPr>
                    <m:ctrlPr>
                      <w:rPr>
                        <w:rFonts w:ascii="Cambria Math" w:hAnsi="Cambria Math"/>
                        <w:bCs/>
                        <w:i/>
                        <w:sz w:val="16"/>
                        <w:szCs w:val="16"/>
                      </w:rPr>
                    </m:ctrlPr>
                  </m:accPr>
                  <m:e>
                    <m:sSub>
                      <m:sSubPr>
                        <m:ctrlPr>
                          <w:rPr>
                            <w:rFonts w:ascii="Cambria Math" w:hAnsi="Cambria Math"/>
                            <w:bCs/>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2</m:t>
                        </m:r>
                      </m:sub>
                    </m:sSub>
                  </m:e>
                </m:acc>
              </m:oMath>
            </m:oMathPara>
          </w:p>
        </w:tc>
        <w:tc>
          <w:tcPr>
            <w:tcW w:w="793" w:type="dxa"/>
            <w:tcBorders>
              <w:top w:val="single" w:sz="4" w:space="0" w:color="auto"/>
              <w:bottom w:val="double" w:sz="4" w:space="0" w:color="auto"/>
            </w:tcBorders>
            <w:vAlign w:val="center"/>
          </w:tcPr>
          <w:p w14:paraId="62D8D860" w14:textId="77777777" w:rsidR="005F38A6" w:rsidRPr="00C81F94" w:rsidRDefault="00805A42" w:rsidP="006A7377">
            <w:pPr>
              <w:jc w:val="both"/>
              <w:rPr>
                <w:rFonts w:eastAsiaTheme="minorEastAsia"/>
                <w:bCs/>
                <w:sz w:val="16"/>
                <w:szCs w:val="16"/>
              </w:rPr>
            </w:pPr>
            <m:oMathPara>
              <m:oMath>
                <m:acc>
                  <m:accPr>
                    <m:ctrlPr>
                      <w:rPr>
                        <w:rFonts w:ascii="Cambria Math" w:hAnsi="Cambria Math"/>
                        <w:bCs/>
                        <w:i/>
                        <w:sz w:val="16"/>
                        <w:szCs w:val="16"/>
                      </w:rPr>
                    </m:ctrlPr>
                  </m:accPr>
                  <m:e>
                    <m:sSub>
                      <m:sSubPr>
                        <m:ctrlPr>
                          <w:rPr>
                            <w:rFonts w:ascii="Cambria Math" w:hAnsi="Cambria Math"/>
                            <w:bCs/>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3</m:t>
                        </m:r>
                      </m:sub>
                    </m:sSub>
                  </m:e>
                </m:acc>
              </m:oMath>
            </m:oMathPara>
          </w:p>
        </w:tc>
        <w:tc>
          <w:tcPr>
            <w:tcW w:w="793" w:type="dxa"/>
            <w:tcBorders>
              <w:top w:val="single" w:sz="4" w:space="0" w:color="auto"/>
              <w:bottom w:val="double" w:sz="4" w:space="0" w:color="auto"/>
            </w:tcBorders>
            <w:vAlign w:val="center"/>
          </w:tcPr>
          <w:p w14:paraId="33F1BBAF" w14:textId="77777777" w:rsidR="005F38A6" w:rsidRPr="002D302A" w:rsidRDefault="00805A42" w:rsidP="006A7377">
            <w:pPr>
              <w:jc w:val="both"/>
              <w:rPr>
                <w:rFonts w:eastAsiaTheme="minorEastAsia"/>
                <w:bCs/>
                <w:sz w:val="16"/>
                <w:szCs w:val="16"/>
              </w:rPr>
            </w:pPr>
            <m:oMathPara>
              <m:oMath>
                <m:acc>
                  <m:accPr>
                    <m:ctrlPr>
                      <w:rPr>
                        <w:rFonts w:ascii="Cambria Math" w:hAnsi="Cambria Math"/>
                        <w:bCs/>
                        <w:i/>
                        <w:sz w:val="16"/>
                        <w:szCs w:val="16"/>
                      </w:rPr>
                    </m:ctrlPr>
                  </m:accPr>
                  <m:e>
                    <m:sSub>
                      <m:sSubPr>
                        <m:ctrlPr>
                          <w:rPr>
                            <w:rFonts w:ascii="Cambria Math" w:hAnsi="Cambria Math"/>
                            <w:bCs/>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4</m:t>
                        </m:r>
                      </m:sub>
                    </m:sSub>
                  </m:e>
                </m:acc>
              </m:oMath>
            </m:oMathPara>
          </w:p>
        </w:tc>
      </w:tr>
      <w:tr w:rsidR="005F38A6" w:rsidRPr="002F162A" w14:paraId="5FE64EB6" w14:textId="77777777" w:rsidTr="00752A7C">
        <w:trPr>
          <w:trHeight w:val="309"/>
          <w:jc w:val="center"/>
        </w:trPr>
        <w:tc>
          <w:tcPr>
            <w:tcW w:w="1142" w:type="dxa"/>
            <w:tcBorders>
              <w:top w:val="double" w:sz="4" w:space="0" w:color="auto"/>
              <w:right w:val="single" w:sz="4" w:space="0" w:color="auto"/>
            </w:tcBorders>
            <w:vAlign w:val="center"/>
          </w:tcPr>
          <w:p w14:paraId="08240365" w14:textId="77777777" w:rsidR="005F38A6" w:rsidRPr="002D302A" w:rsidRDefault="005F38A6" w:rsidP="006A7377">
            <w:pPr>
              <w:rPr>
                <w:rFonts w:eastAsiaTheme="minorEastAsia"/>
                <w:sz w:val="16"/>
                <w:szCs w:val="16"/>
              </w:rPr>
            </w:pPr>
            <m:oMathPara>
              <m:oMath>
                <m:r>
                  <m:rPr>
                    <m:sty m:val="bi"/>
                  </m:rPr>
                  <w:rPr>
                    <w:rFonts w:ascii="Cambria Math" w:hAnsi="Cambria Math"/>
                    <w:sz w:val="16"/>
                    <w:szCs w:val="16"/>
                  </w:rPr>
                  <m:t>d</m:t>
                </m:r>
                <m:sSub>
                  <m:sSubPr>
                    <m:ctrlPr>
                      <w:rPr>
                        <w:rFonts w:ascii="Cambria Math" w:hAnsi="Cambria Math"/>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st</m:t>
                    </m:r>
                  </m:sub>
                </m:sSub>
              </m:oMath>
            </m:oMathPara>
          </w:p>
        </w:tc>
        <w:tc>
          <w:tcPr>
            <w:tcW w:w="793" w:type="dxa"/>
            <w:tcBorders>
              <w:top w:val="double" w:sz="4" w:space="0" w:color="auto"/>
              <w:left w:val="single" w:sz="4" w:space="0" w:color="auto"/>
              <w:bottom w:val="nil"/>
            </w:tcBorders>
            <w:vAlign w:val="center"/>
          </w:tcPr>
          <w:p w14:paraId="68A2DE08" w14:textId="77777777" w:rsidR="005F38A6" w:rsidRPr="002D302A" w:rsidRDefault="005F38A6" w:rsidP="006A7377">
            <w:pPr>
              <w:rPr>
                <w:rFonts w:ascii="Calibri" w:hAnsi="Calibri" w:cs="Calibri"/>
                <w:color w:val="000000"/>
                <w:sz w:val="16"/>
                <w:szCs w:val="16"/>
              </w:rPr>
            </w:pPr>
            <w:r w:rsidRPr="002D302A">
              <w:rPr>
                <w:sz w:val="16"/>
                <w:szCs w:val="16"/>
              </w:rPr>
              <w:t>-0.0</w:t>
            </w:r>
            <w:r>
              <w:rPr>
                <w:sz w:val="16"/>
                <w:szCs w:val="16"/>
              </w:rPr>
              <w:t>03</w:t>
            </w:r>
          </w:p>
        </w:tc>
        <w:tc>
          <w:tcPr>
            <w:tcW w:w="793" w:type="dxa"/>
            <w:tcBorders>
              <w:top w:val="double" w:sz="4" w:space="0" w:color="auto"/>
              <w:bottom w:val="nil"/>
            </w:tcBorders>
            <w:vAlign w:val="center"/>
          </w:tcPr>
          <w:p w14:paraId="4B2CB66B" w14:textId="77777777" w:rsidR="005F38A6" w:rsidRPr="002D302A" w:rsidRDefault="005F38A6" w:rsidP="006A7377">
            <w:pPr>
              <w:rPr>
                <w:rFonts w:ascii="Calibri" w:hAnsi="Calibri" w:cs="Calibri"/>
                <w:color w:val="000000"/>
                <w:sz w:val="16"/>
                <w:szCs w:val="16"/>
              </w:rPr>
            </w:pPr>
            <w:r w:rsidRPr="002D302A">
              <w:rPr>
                <w:sz w:val="16"/>
                <w:szCs w:val="16"/>
              </w:rPr>
              <w:t>-0.</w:t>
            </w:r>
            <w:r>
              <w:rPr>
                <w:sz w:val="16"/>
                <w:szCs w:val="16"/>
              </w:rPr>
              <w:t>11</w:t>
            </w:r>
          </w:p>
        </w:tc>
        <w:tc>
          <w:tcPr>
            <w:tcW w:w="793" w:type="dxa"/>
            <w:tcBorders>
              <w:top w:val="double" w:sz="4" w:space="0" w:color="auto"/>
              <w:bottom w:val="nil"/>
            </w:tcBorders>
            <w:vAlign w:val="center"/>
          </w:tcPr>
          <w:p w14:paraId="0D5EF4BA" w14:textId="77777777" w:rsidR="005F38A6" w:rsidRPr="002D302A" w:rsidRDefault="005F38A6" w:rsidP="006A7377">
            <w:pPr>
              <w:rPr>
                <w:rFonts w:eastAsiaTheme="minorEastAsia"/>
                <w:sz w:val="16"/>
                <w:szCs w:val="16"/>
              </w:rPr>
            </w:pPr>
            <w:r>
              <w:rPr>
                <w:sz w:val="16"/>
                <w:szCs w:val="16"/>
              </w:rPr>
              <w:t>1.12</w:t>
            </w:r>
          </w:p>
        </w:tc>
        <w:tc>
          <w:tcPr>
            <w:tcW w:w="793" w:type="dxa"/>
            <w:tcBorders>
              <w:top w:val="double" w:sz="4" w:space="0" w:color="auto"/>
              <w:bottom w:val="nil"/>
            </w:tcBorders>
            <w:vAlign w:val="center"/>
          </w:tcPr>
          <w:p w14:paraId="0EDF2C7C" w14:textId="77777777" w:rsidR="005F38A6" w:rsidRPr="002D302A" w:rsidRDefault="005F38A6" w:rsidP="006A7377">
            <w:pPr>
              <w:rPr>
                <w:rFonts w:eastAsiaTheme="minorEastAsia"/>
                <w:sz w:val="16"/>
                <w:szCs w:val="16"/>
              </w:rPr>
            </w:pPr>
            <w:r>
              <w:rPr>
                <w:sz w:val="16"/>
                <w:szCs w:val="16"/>
              </w:rPr>
              <w:t>-0.41</w:t>
            </w:r>
          </w:p>
        </w:tc>
        <w:tc>
          <w:tcPr>
            <w:tcW w:w="793" w:type="dxa"/>
            <w:tcBorders>
              <w:top w:val="double" w:sz="4" w:space="0" w:color="auto"/>
              <w:bottom w:val="nil"/>
            </w:tcBorders>
            <w:vAlign w:val="center"/>
          </w:tcPr>
          <w:p w14:paraId="22BA4B45" w14:textId="77777777" w:rsidR="005F38A6" w:rsidRPr="002D302A" w:rsidRDefault="005F38A6" w:rsidP="006A7377">
            <w:pPr>
              <w:rPr>
                <w:rFonts w:eastAsiaTheme="minorEastAsia"/>
                <w:sz w:val="16"/>
                <w:szCs w:val="16"/>
              </w:rPr>
            </w:pPr>
            <w:r w:rsidRPr="002D302A">
              <w:rPr>
                <w:sz w:val="16"/>
                <w:szCs w:val="16"/>
              </w:rPr>
              <w:t>0.</w:t>
            </w:r>
            <w:r>
              <w:rPr>
                <w:sz w:val="16"/>
                <w:szCs w:val="16"/>
              </w:rPr>
              <w:t>52</w:t>
            </w:r>
          </w:p>
        </w:tc>
      </w:tr>
      <w:tr w:rsidR="005F38A6" w:rsidRPr="002F162A" w14:paraId="0F8C06B5" w14:textId="77777777" w:rsidTr="00752A7C">
        <w:trPr>
          <w:trHeight w:val="529"/>
          <w:jc w:val="center"/>
        </w:trPr>
        <w:tc>
          <w:tcPr>
            <w:tcW w:w="1142" w:type="dxa"/>
            <w:tcBorders>
              <w:right w:val="single" w:sz="4" w:space="0" w:color="auto"/>
            </w:tcBorders>
            <w:vAlign w:val="center"/>
          </w:tcPr>
          <w:p w14:paraId="2166823F" w14:textId="77777777" w:rsidR="005F38A6" w:rsidRPr="002D302A" w:rsidRDefault="005F38A6" w:rsidP="006A7377">
            <w:pPr>
              <w:rPr>
                <w:rFonts w:eastAsiaTheme="minorEastAsia"/>
                <w:sz w:val="16"/>
                <w:szCs w:val="16"/>
              </w:rPr>
            </w:pPr>
            <m:oMathPara>
              <m:oMath>
                <m:r>
                  <m:rPr>
                    <m:sty m:val="bi"/>
                  </m:rPr>
                  <w:rPr>
                    <w:rFonts w:ascii="Cambria Math" w:hAnsi="Cambria Math"/>
                    <w:sz w:val="16"/>
                    <w:szCs w:val="16"/>
                  </w:rPr>
                  <m:t>d</m:t>
                </m:r>
                <m:sSub>
                  <m:sSubPr>
                    <m:ctrlPr>
                      <w:rPr>
                        <w:rFonts w:ascii="Cambria Math" w:hAnsi="Cambria Math"/>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dt</m:t>
                    </m:r>
                  </m:sub>
                </m:sSub>
              </m:oMath>
            </m:oMathPara>
          </w:p>
        </w:tc>
        <w:tc>
          <w:tcPr>
            <w:tcW w:w="793" w:type="dxa"/>
            <w:tcBorders>
              <w:top w:val="nil"/>
              <w:left w:val="single" w:sz="4" w:space="0" w:color="auto"/>
              <w:bottom w:val="single" w:sz="4" w:space="0" w:color="auto"/>
            </w:tcBorders>
            <w:vAlign w:val="center"/>
          </w:tcPr>
          <w:p w14:paraId="749F7477" w14:textId="77777777" w:rsidR="005F38A6" w:rsidRPr="002D302A" w:rsidRDefault="005F38A6" w:rsidP="006A7377">
            <w:pPr>
              <w:rPr>
                <w:rFonts w:eastAsiaTheme="minorEastAsia"/>
                <w:sz w:val="16"/>
                <w:szCs w:val="16"/>
              </w:rPr>
            </w:pPr>
            <w:r w:rsidRPr="002D302A">
              <w:rPr>
                <w:sz w:val="16"/>
                <w:szCs w:val="16"/>
              </w:rPr>
              <w:t>-0.0</w:t>
            </w:r>
            <w:r>
              <w:rPr>
                <w:sz w:val="16"/>
                <w:szCs w:val="16"/>
              </w:rPr>
              <w:t>0</w:t>
            </w:r>
            <w:r w:rsidRPr="002D302A">
              <w:rPr>
                <w:sz w:val="16"/>
                <w:szCs w:val="16"/>
              </w:rPr>
              <w:t>2</w:t>
            </w:r>
          </w:p>
        </w:tc>
        <w:tc>
          <w:tcPr>
            <w:tcW w:w="793" w:type="dxa"/>
            <w:tcBorders>
              <w:top w:val="nil"/>
              <w:bottom w:val="single" w:sz="4" w:space="0" w:color="auto"/>
            </w:tcBorders>
            <w:vAlign w:val="center"/>
          </w:tcPr>
          <w:p w14:paraId="2443E14F" w14:textId="77777777" w:rsidR="005F38A6" w:rsidRPr="002D302A" w:rsidRDefault="005F38A6" w:rsidP="006A7377">
            <w:pPr>
              <w:rPr>
                <w:rFonts w:eastAsiaTheme="minorEastAsia"/>
                <w:sz w:val="16"/>
                <w:szCs w:val="16"/>
              </w:rPr>
            </w:pPr>
            <w:r w:rsidRPr="002D302A">
              <w:rPr>
                <w:sz w:val="16"/>
                <w:szCs w:val="16"/>
              </w:rPr>
              <w:t>-0.</w:t>
            </w:r>
            <w:r>
              <w:rPr>
                <w:sz w:val="16"/>
                <w:szCs w:val="16"/>
              </w:rPr>
              <w:t>05</w:t>
            </w:r>
          </w:p>
        </w:tc>
        <w:tc>
          <w:tcPr>
            <w:tcW w:w="793" w:type="dxa"/>
            <w:tcBorders>
              <w:top w:val="nil"/>
              <w:bottom w:val="single" w:sz="4" w:space="0" w:color="auto"/>
            </w:tcBorders>
            <w:vAlign w:val="center"/>
          </w:tcPr>
          <w:p w14:paraId="5B2752B6" w14:textId="77777777" w:rsidR="005F38A6" w:rsidRPr="002D302A" w:rsidRDefault="005F38A6" w:rsidP="006A7377">
            <w:pPr>
              <w:rPr>
                <w:rFonts w:eastAsiaTheme="minorEastAsia"/>
                <w:sz w:val="16"/>
                <w:szCs w:val="16"/>
              </w:rPr>
            </w:pPr>
            <w:r>
              <w:rPr>
                <w:sz w:val="16"/>
                <w:szCs w:val="16"/>
              </w:rPr>
              <w:t>1.26</w:t>
            </w:r>
          </w:p>
        </w:tc>
        <w:tc>
          <w:tcPr>
            <w:tcW w:w="793" w:type="dxa"/>
            <w:tcBorders>
              <w:top w:val="nil"/>
              <w:bottom w:val="single" w:sz="4" w:space="0" w:color="auto"/>
            </w:tcBorders>
            <w:vAlign w:val="center"/>
          </w:tcPr>
          <w:p w14:paraId="0E9D071B" w14:textId="77777777" w:rsidR="005F38A6" w:rsidRPr="002D302A" w:rsidRDefault="005F38A6" w:rsidP="006A7377">
            <w:pPr>
              <w:rPr>
                <w:rFonts w:eastAsiaTheme="minorEastAsia"/>
                <w:sz w:val="16"/>
                <w:szCs w:val="16"/>
              </w:rPr>
            </w:pPr>
            <w:r>
              <w:rPr>
                <w:sz w:val="16"/>
                <w:szCs w:val="16"/>
              </w:rPr>
              <w:t>-0.59</w:t>
            </w:r>
          </w:p>
        </w:tc>
        <w:tc>
          <w:tcPr>
            <w:tcW w:w="793" w:type="dxa"/>
            <w:tcBorders>
              <w:top w:val="nil"/>
              <w:bottom w:val="single" w:sz="4" w:space="0" w:color="auto"/>
            </w:tcBorders>
            <w:vAlign w:val="center"/>
          </w:tcPr>
          <w:p w14:paraId="39265B5E" w14:textId="77777777" w:rsidR="005F38A6" w:rsidRPr="002D302A" w:rsidRDefault="005F38A6" w:rsidP="006A7377">
            <w:pPr>
              <w:rPr>
                <w:rFonts w:eastAsiaTheme="minorEastAsia"/>
                <w:sz w:val="16"/>
                <w:szCs w:val="16"/>
              </w:rPr>
            </w:pPr>
            <w:r w:rsidRPr="002D302A">
              <w:rPr>
                <w:sz w:val="16"/>
                <w:szCs w:val="16"/>
              </w:rPr>
              <w:t>0</w:t>
            </w:r>
            <w:r>
              <w:rPr>
                <w:sz w:val="16"/>
                <w:szCs w:val="16"/>
              </w:rPr>
              <w:t>.0</w:t>
            </w:r>
          </w:p>
        </w:tc>
      </w:tr>
    </w:tbl>
    <w:p w14:paraId="09EA1444" w14:textId="77777777" w:rsidR="005F38A6" w:rsidRPr="005E0AEB" w:rsidRDefault="005F38A6" w:rsidP="005F38A6">
      <w:pPr>
        <w:jc w:val="both"/>
        <w:rPr>
          <w:sz w:val="16"/>
          <w:szCs w:val="16"/>
        </w:rPr>
      </w:pPr>
      <w:r w:rsidRPr="002F162A">
        <w:rPr>
          <w:sz w:val="18"/>
          <w:szCs w:val="18"/>
        </w:rPr>
        <w:t xml:space="preserve">                        </w:t>
      </w:r>
      <w:r>
        <w:rPr>
          <w:sz w:val="18"/>
          <w:szCs w:val="18"/>
        </w:rPr>
        <w:t xml:space="preserve">        </w:t>
      </w:r>
      <w:r w:rsidRPr="002F162A">
        <w:rPr>
          <w:sz w:val="18"/>
          <w:szCs w:val="18"/>
        </w:rPr>
        <w:t xml:space="preserve">        </w:t>
      </w:r>
      <w:r>
        <w:rPr>
          <w:sz w:val="18"/>
          <w:szCs w:val="18"/>
        </w:rPr>
        <w:t xml:space="preserve">          </w:t>
      </w:r>
      <w:r w:rsidRPr="005E0AEB">
        <w:rPr>
          <w:sz w:val="16"/>
          <w:szCs w:val="16"/>
        </w:rPr>
        <w:t>Fuente: Ministerio de Finanzas Públicas</w:t>
      </w:r>
    </w:p>
    <w:p w14:paraId="5D5A236D" w14:textId="77777777" w:rsidR="005F38A6" w:rsidRDefault="005F38A6" w:rsidP="005F38A6">
      <w:pPr>
        <w:jc w:val="both"/>
      </w:pPr>
      <w:r w:rsidRPr="00B83FCC">
        <w:lastRenderedPageBreak/>
        <w:t>Con los modelos descritos anteriormente y con el escenario</w:t>
      </w:r>
      <w:r>
        <w:t xml:space="preserve"> base</w:t>
      </w:r>
      <w:r w:rsidRPr="00B83FCC">
        <w:t xml:space="preserve"> de precios de petró</w:t>
      </w:r>
      <w:r>
        <w:t>leo, se construyó un escenario en donde los precios del petróleo aumentan 4 meses a USD$120.0 del 2024, y el gobierno decide utilizar un subsidio durante 3 meses de Q2.0 para las gasolinas súper y regular y de Q5.0 para el diésel, para mitigar los efectos negativo en la economía por el alza de precios.</w:t>
      </w:r>
    </w:p>
    <w:p w14:paraId="660DED54" w14:textId="77777777" w:rsidR="005F38A6" w:rsidRPr="00B83FCC" w:rsidRDefault="005F38A6" w:rsidP="005F38A6">
      <w:pPr>
        <w:jc w:val="both"/>
      </w:pPr>
    </w:p>
    <w:p w14:paraId="3F569C76" w14:textId="73045AB9" w:rsidR="005F38A6" w:rsidRPr="005E0AEB" w:rsidRDefault="005E0AEB" w:rsidP="005E0AEB">
      <w:pPr>
        <w:pStyle w:val="Descripcin"/>
        <w:rPr>
          <w:b w:val="0"/>
          <w:bCs/>
          <w:color w:val="auto"/>
        </w:rPr>
      </w:pPr>
      <w:bookmarkStart w:id="178" w:name="_Toc143593580"/>
      <w:r w:rsidRPr="005E0AEB">
        <w:rPr>
          <w:color w:val="auto"/>
        </w:rPr>
        <w:t xml:space="preserve">Gráfico </w:t>
      </w:r>
      <w:r w:rsidRPr="005E0AEB">
        <w:rPr>
          <w:color w:val="auto"/>
        </w:rPr>
        <w:fldChar w:fldCharType="begin"/>
      </w:r>
      <w:r w:rsidRPr="005E0AEB">
        <w:rPr>
          <w:color w:val="auto"/>
        </w:rPr>
        <w:instrText xml:space="preserve"> SEQ Gráfico \* ARABIC </w:instrText>
      </w:r>
      <w:r w:rsidRPr="005E0AEB">
        <w:rPr>
          <w:color w:val="auto"/>
        </w:rPr>
        <w:fldChar w:fldCharType="separate"/>
      </w:r>
      <w:r w:rsidR="00A62AFA">
        <w:rPr>
          <w:noProof/>
          <w:color w:val="auto"/>
        </w:rPr>
        <w:t>22</w:t>
      </w:r>
      <w:r w:rsidRPr="005E0AEB">
        <w:rPr>
          <w:color w:val="auto"/>
        </w:rPr>
        <w:fldChar w:fldCharType="end"/>
      </w:r>
      <w:r w:rsidRPr="005E0AEB">
        <w:rPr>
          <w:color w:val="auto"/>
        </w:rPr>
        <w:t xml:space="preserve">. </w:t>
      </w:r>
      <w:bookmarkStart w:id="179" w:name="_Toc114493861"/>
      <w:r w:rsidRPr="005E0AEB">
        <w:rPr>
          <w:bCs/>
          <w:color w:val="auto"/>
        </w:rPr>
        <w:t>Precios proyectados del crudo y de combustibles nacionales</w:t>
      </w:r>
      <w:bookmarkEnd w:id="178"/>
      <w:bookmarkEnd w:id="179"/>
    </w:p>
    <w:tbl>
      <w:tblPr>
        <w:tblW w:w="8505" w:type="dxa"/>
        <w:tblLook w:val="04A0" w:firstRow="1" w:lastRow="0" w:firstColumn="1" w:lastColumn="0" w:noHBand="0" w:noVBand="1"/>
      </w:tblPr>
      <w:tblGrid>
        <w:gridCol w:w="4178"/>
        <w:gridCol w:w="2330"/>
        <w:gridCol w:w="2330"/>
      </w:tblGrid>
      <w:tr w:rsidR="005F38A6" w14:paraId="0E370E72" w14:textId="77777777" w:rsidTr="00752A7C">
        <w:trPr>
          <w:trHeight w:val="118"/>
        </w:trPr>
        <w:tc>
          <w:tcPr>
            <w:tcW w:w="8505" w:type="dxa"/>
            <w:gridSpan w:val="3"/>
          </w:tcPr>
          <w:p w14:paraId="78BD38C0" w14:textId="77777777" w:rsidR="005F38A6" w:rsidRPr="009701B8" w:rsidRDefault="005F38A6" w:rsidP="006A7377">
            <w:pPr>
              <w:rPr>
                <w:bCs/>
                <w:sz w:val="8"/>
              </w:rPr>
            </w:pPr>
          </w:p>
        </w:tc>
      </w:tr>
      <w:tr w:rsidR="005F38A6" w14:paraId="22549616" w14:textId="77777777" w:rsidTr="00752A7C">
        <w:trPr>
          <w:trHeight w:val="50"/>
        </w:trPr>
        <w:tc>
          <w:tcPr>
            <w:tcW w:w="8505" w:type="dxa"/>
            <w:gridSpan w:val="3"/>
          </w:tcPr>
          <w:p w14:paraId="7131E615" w14:textId="77777777" w:rsidR="005F38A6" w:rsidRPr="0015366E" w:rsidRDefault="005F38A6" w:rsidP="005E0AEB">
            <w:pPr>
              <w:jc w:val="center"/>
              <w:rPr>
                <w:bCs/>
                <w:sz w:val="18"/>
                <w:szCs w:val="18"/>
              </w:rPr>
            </w:pPr>
            <w:r>
              <w:rPr>
                <w:noProof/>
              </w:rPr>
              <w:drawing>
                <wp:inline distT="0" distB="0" distL="0" distR="0" wp14:anchorId="369863E7" wp14:editId="0F3D71FB">
                  <wp:extent cx="4484536" cy="233918"/>
                  <wp:effectExtent l="0" t="0" r="0" b="0"/>
                  <wp:docPr id="1428" name="Imagen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56932" cy="248126"/>
                          </a:xfrm>
                          <a:prstGeom prst="rect">
                            <a:avLst/>
                          </a:prstGeom>
                        </pic:spPr>
                      </pic:pic>
                    </a:graphicData>
                  </a:graphic>
                </wp:inline>
              </w:drawing>
            </w:r>
          </w:p>
        </w:tc>
      </w:tr>
      <w:tr w:rsidR="005F38A6" w14:paraId="58207581" w14:textId="77777777" w:rsidTr="00752A7C">
        <w:trPr>
          <w:trHeight w:val="105"/>
        </w:trPr>
        <w:tc>
          <w:tcPr>
            <w:tcW w:w="4347" w:type="dxa"/>
          </w:tcPr>
          <w:p w14:paraId="220E978C" w14:textId="77777777" w:rsidR="005F38A6" w:rsidRPr="00AA3855" w:rsidRDefault="005F38A6" w:rsidP="005E0AEB">
            <w:pPr>
              <w:jc w:val="center"/>
              <w:rPr>
                <w:sz w:val="18"/>
                <w:szCs w:val="18"/>
              </w:rPr>
            </w:pPr>
            <w:r w:rsidRPr="00AA3855">
              <w:rPr>
                <w:sz w:val="18"/>
                <w:szCs w:val="18"/>
              </w:rPr>
              <w:t>WTI (USD$)</w:t>
            </w:r>
          </w:p>
        </w:tc>
        <w:tc>
          <w:tcPr>
            <w:tcW w:w="2420" w:type="dxa"/>
          </w:tcPr>
          <w:p w14:paraId="24D88943" w14:textId="77777777" w:rsidR="005F38A6" w:rsidRPr="00AA3855" w:rsidRDefault="005F38A6" w:rsidP="005E0AEB">
            <w:pPr>
              <w:jc w:val="center"/>
              <w:rPr>
                <w:sz w:val="18"/>
                <w:szCs w:val="18"/>
              </w:rPr>
            </w:pPr>
            <w:r w:rsidRPr="00AA3855">
              <w:rPr>
                <w:sz w:val="18"/>
                <w:szCs w:val="18"/>
              </w:rPr>
              <w:t>Súper</w:t>
            </w:r>
            <w:r>
              <w:rPr>
                <w:sz w:val="18"/>
                <w:szCs w:val="18"/>
              </w:rPr>
              <w:t xml:space="preserve"> y regular</w:t>
            </w:r>
            <w:r w:rsidRPr="00AA3855">
              <w:rPr>
                <w:sz w:val="18"/>
                <w:szCs w:val="18"/>
              </w:rPr>
              <w:t xml:space="preserve"> (Q.)</w:t>
            </w:r>
          </w:p>
        </w:tc>
        <w:tc>
          <w:tcPr>
            <w:tcW w:w="1738" w:type="dxa"/>
          </w:tcPr>
          <w:p w14:paraId="22169A0C" w14:textId="77777777" w:rsidR="005F38A6" w:rsidRPr="00AA3855" w:rsidRDefault="005F38A6" w:rsidP="005E0AEB">
            <w:pPr>
              <w:jc w:val="center"/>
              <w:rPr>
                <w:sz w:val="18"/>
                <w:szCs w:val="18"/>
              </w:rPr>
            </w:pPr>
            <w:r w:rsidRPr="00AA3855">
              <w:rPr>
                <w:sz w:val="18"/>
                <w:szCs w:val="18"/>
              </w:rPr>
              <w:t>Diésel (Q.)</w:t>
            </w:r>
          </w:p>
        </w:tc>
      </w:tr>
      <w:tr w:rsidR="005F38A6" w14:paraId="1B2D513C" w14:textId="77777777" w:rsidTr="00752A7C">
        <w:tblPrEx>
          <w:tblCellMar>
            <w:left w:w="70" w:type="dxa"/>
            <w:right w:w="70" w:type="dxa"/>
          </w:tblCellMar>
        </w:tblPrEx>
        <w:trPr>
          <w:trHeight w:val="1191"/>
        </w:trPr>
        <w:tc>
          <w:tcPr>
            <w:tcW w:w="4347" w:type="dxa"/>
          </w:tcPr>
          <w:p w14:paraId="7048CA13" w14:textId="77777777" w:rsidR="005F38A6" w:rsidRDefault="005F38A6" w:rsidP="006A7377">
            <w:pPr>
              <w:ind w:right="301"/>
              <w:jc w:val="both"/>
            </w:pPr>
            <w:r>
              <w:rPr>
                <w:noProof/>
              </w:rPr>
              <w:drawing>
                <wp:inline distT="0" distB="0" distL="0" distR="0" wp14:anchorId="434A7496" wp14:editId="61D36391">
                  <wp:extent cx="2480310" cy="1288112"/>
                  <wp:effectExtent l="0" t="0" r="0" b="7620"/>
                  <wp:docPr id="44" name="Gráfico 44">
                    <a:extLst xmlns:a="http://schemas.openxmlformats.org/drawingml/2006/main">
                      <a:ext uri="{FF2B5EF4-FFF2-40B4-BE49-F238E27FC236}">
                        <a16:creationId xmlns:a16="http://schemas.microsoft.com/office/drawing/2014/main" id="{F1434E11-DDD5-4E66-88D3-F35242E7D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2420" w:type="dxa"/>
          </w:tcPr>
          <w:p w14:paraId="337D308A" w14:textId="77777777" w:rsidR="005F38A6" w:rsidRDefault="005F38A6" w:rsidP="006A7377">
            <w:pPr>
              <w:jc w:val="both"/>
            </w:pPr>
            <w:r>
              <w:rPr>
                <w:noProof/>
              </w:rPr>
              <w:drawing>
                <wp:inline distT="0" distB="0" distL="0" distR="0" wp14:anchorId="109F6E1D" wp14:editId="7B3DE1E0">
                  <wp:extent cx="1438910" cy="1287780"/>
                  <wp:effectExtent l="0" t="0" r="8890" b="7620"/>
                  <wp:docPr id="45" name="Gráfico 45">
                    <a:extLst xmlns:a="http://schemas.openxmlformats.org/drawingml/2006/main">
                      <a:ext uri="{FF2B5EF4-FFF2-40B4-BE49-F238E27FC236}">
                        <a16:creationId xmlns:a16="http://schemas.microsoft.com/office/drawing/2014/main" id="{C9FE07ED-7148-44A7-8D7B-20F4123EA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1738" w:type="dxa"/>
          </w:tcPr>
          <w:p w14:paraId="64BBFEDD" w14:textId="77777777" w:rsidR="005F38A6" w:rsidRDefault="005F38A6" w:rsidP="006A7377">
            <w:pPr>
              <w:jc w:val="both"/>
            </w:pPr>
            <w:r>
              <w:rPr>
                <w:noProof/>
              </w:rPr>
              <w:drawing>
                <wp:inline distT="0" distB="0" distL="0" distR="0" wp14:anchorId="499B3395" wp14:editId="4E028C7A">
                  <wp:extent cx="1438910" cy="1287780"/>
                  <wp:effectExtent l="0" t="0" r="8890" b="7620"/>
                  <wp:docPr id="46" name="Gráfico 46">
                    <a:extLst xmlns:a="http://schemas.openxmlformats.org/drawingml/2006/main">
                      <a:ext uri="{FF2B5EF4-FFF2-40B4-BE49-F238E27FC236}">
                        <a16:creationId xmlns:a16="http://schemas.microsoft.com/office/drawing/2014/main" id="{832B00A1-5E03-4ECF-AF07-6038C1DAC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5F38A6" w14:paraId="653B6E1E" w14:textId="77777777" w:rsidTr="00752A7C">
        <w:tblPrEx>
          <w:tblCellMar>
            <w:left w:w="70" w:type="dxa"/>
            <w:right w:w="70" w:type="dxa"/>
          </w:tblCellMar>
        </w:tblPrEx>
        <w:trPr>
          <w:trHeight w:val="118"/>
        </w:trPr>
        <w:tc>
          <w:tcPr>
            <w:tcW w:w="8505" w:type="dxa"/>
            <w:gridSpan w:val="3"/>
          </w:tcPr>
          <w:p w14:paraId="02CC0226" w14:textId="77777777" w:rsidR="00910096" w:rsidRDefault="00910096" w:rsidP="00885487">
            <w:pPr>
              <w:rPr>
                <w:b/>
                <w:sz w:val="22"/>
                <w:szCs w:val="22"/>
              </w:rPr>
            </w:pPr>
          </w:p>
          <w:p w14:paraId="34922252" w14:textId="61DD5328" w:rsidR="005F38A6" w:rsidRPr="004A12A1" w:rsidRDefault="005F38A6" w:rsidP="005E0AEB">
            <w:pPr>
              <w:jc w:val="center"/>
              <w:rPr>
                <w:b/>
                <w:noProof/>
                <w:sz w:val="22"/>
                <w:szCs w:val="22"/>
              </w:rPr>
            </w:pPr>
            <w:r w:rsidRPr="004A12A1">
              <w:rPr>
                <w:b/>
                <w:sz w:val="22"/>
                <w:szCs w:val="22"/>
              </w:rPr>
              <w:t>Proyección de consumo de combustibles en millones de galones</w:t>
            </w:r>
          </w:p>
        </w:tc>
      </w:tr>
      <w:tr w:rsidR="005F38A6" w14:paraId="377A9DC6" w14:textId="77777777" w:rsidTr="00752A7C">
        <w:tblPrEx>
          <w:tblCellMar>
            <w:left w:w="70" w:type="dxa"/>
            <w:right w:w="70" w:type="dxa"/>
          </w:tblCellMar>
        </w:tblPrEx>
        <w:trPr>
          <w:trHeight w:val="105"/>
        </w:trPr>
        <w:tc>
          <w:tcPr>
            <w:tcW w:w="4347" w:type="dxa"/>
          </w:tcPr>
          <w:p w14:paraId="33FC55EE" w14:textId="77777777" w:rsidR="005F38A6" w:rsidRPr="004A12A1" w:rsidRDefault="005F38A6" w:rsidP="005E0AEB">
            <w:pPr>
              <w:jc w:val="center"/>
              <w:rPr>
                <w:b/>
                <w:sz w:val="18"/>
                <w:szCs w:val="18"/>
              </w:rPr>
            </w:pPr>
            <w:r w:rsidRPr="004A12A1">
              <w:rPr>
                <w:b/>
                <w:sz w:val="18"/>
                <w:szCs w:val="18"/>
              </w:rPr>
              <w:t>Super y regular</w:t>
            </w:r>
          </w:p>
        </w:tc>
        <w:tc>
          <w:tcPr>
            <w:tcW w:w="4158" w:type="dxa"/>
            <w:gridSpan w:val="2"/>
          </w:tcPr>
          <w:p w14:paraId="72796DEA" w14:textId="77777777" w:rsidR="005F38A6" w:rsidRPr="004A12A1" w:rsidRDefault="005F38A6" w:rsidP="005E0AEB">
            <w:pPr>
              <w:jc w:val="center"/>
              <w:rPr>
                <w:b/>
                <w:sz w:val="18"/>
                <w:szCs w:val="18"/>
              </w:rPr>
            </w:pPr>
            <w:r w:rsidRPr="004A12A1">
              <w:rPr>
                <w:b/>
                <w:sz w:val="18"/>
                <w:szCs w:val="18"/>
              </w:rPr>
              <w:t>Diésel</w:t>
            </w:r>
          </w:p>
        </w:tc>
      </w:tr>
      <w:tr w:rsidR="005F38A6" w14:paraId="5DD926E3" w14:textId="77777777" w:rsidTr="00752A7C">
        <w:tblPrEx>
          <w:tblCellMar>
            <w:left w:w="70" w:type="dxa"/>
            <w:right w:w="70" w:type="dxa"/>
          </w:tblCellMar>
        </w:tblPrEx>
        <w:trPr>
          <w:trHeight w:val="1191"/>
        </w:trPr>
        <w:tc>
          <w:tcPr>
            <w:tcW w:w="4347" w:type="dxa"/>
          </w:tcPr>
          <w:p w14:paraId="760380D4" w14:textId="77777777" w:rsidR="005F38A6" w:rsidRDefault="005F38A6" w:rsidP="006A7377">
            <w:pPr>
              <w:jc w:val="both"/>
              <w:rPr>
                <w:noProof/>
              </w:rPr>
            </w:pPr>
            <w:r>
              <w:rPr>
                <w:noProof/>
              </w:rPr>
              <w:drawing>
                <wp:inline distT="0" distB="0" distL="0" distR="0" wp14:anchorId="1DCA2D04" wp14:editId="53C12F3A">
                  <wp:extent cx="2661920" cy="1288112"/>
                  <wp:effectExtent l="0" t="0" r="5080" b="7620"/>
                  <wp:docPr id="47" name="Gráfico 47">
                    <a:extLst xmlns:a="http://schemas.openxmlformats.org/drawingml/2006/main">
                      <a:ext uri="{FF2B5EF4-FFF2-40B4-BE49-F238E27FC236}">
                        <a16:creationId xmlns:a16="http://schemas.microsoft.com/office/drawing/2014/main" id="{D6979F1C-DCD3-40D2-AD55-523D2A029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158" w:type="dxa"/>
            <w:gridSpan w:val="2"/>
          </w:tcPr>
          <w:p w14:paraId="7F72454A" w14:textId="77777777" w:rsidR="005F38A6" w:rsidRDefault="005F38A6" w:rsidP="00752A7C">
            <w:pPr>
              <w:ind w:left="291"/>
              <w:jc w:val="both"/>
              <w:rPr>
                <w:noProof/>
              </w:rPr>
            </w:pPr>
            <w:r>
              <w:rPr>
                <w:noProof/>
              </w:rPr>
              <w:drawing>
                <wp:inline distT="0" distB="0" distL="0" distR="0" wp14:anchorId="24A1F1D9" wp14:editId="6C35D7E8">
                  <wp:extent cx="2665095" cy="1287780"/>
                  <wp:effectExtent l="0" t="0" r="1905" b="7620"/>
                  <wp:docPr id="40" name="Gráfico 40">
                    <a:extLst xmlns:a="http://schemas.openxmlformats.org/drawingml/2006/main">
                      <a:ext uri="{FF2B5EF4-FFF2-40B4-BE49-F238E27FC236}">
                        <a16:creationId xmlns:a16="http://schemas.microsoft.com/office/drawing/2014/main" id="{061F26AF-59C9-46E4-BC54-D916CCBBF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5F38A6" w14:paraId="49F385C4" w14:textId="77777777" w:rsidTr="00752A7C">
        <w:trPr>
          <w:trHeight w:val="105"/>
        </w:trPr>
        <w:tc>
          <w:tcPr>
            <w:tcW w:w="8505" w:type="dxa"/>
            <w:gridSpan w:val="3"/>
          </w:tcPr>
          <w:p w14:paraId="6EB5A7CE" w14:textId="77777777" w:rsidR="005F38A6" w:rsidRPr="006C257D" w:rsidRDefault="005F38A6" w:rsidP="006A7377">
            <w:pPr>
              <w:rPr>
                <w:sz w:val="16"/>
                <w:szCs w:val="18"/>
              </w:rPr>
            </w:pPr>
            <w:r w:rsidRPr="002B0B2B">
              <w:rPr>
                <w:sz w:val="16"/>
                <w:szCs w:val="18"/>
              </w:rPr>
              <w:t>Fuente: EIA, MEM y resultados de la investigación</w:t>
            </w:r>
          </w:p>
        </w:tc>
      </w:tr>
    </w:tbl>
    <w:p w14:paraId="7895E138" w14:textId="77777777" w:rsidR="00885487" w:rsidRDefault="00885487" w:rsidP="005F38A6">
      <w:pPr>
        <w:jc w:val="both"/>
      </w:pPr>
    </w:p>
    <w:p w14:paraId="54C37CB3" w14:textId="3D0B6105" w:rsidR="005F38A6" w:rsidRDefault="005F38A6" w:rsidP="005F38A6">
      <w:pPr>
        <w:jc w:val="both"/>
      </w:pPr>
      <w:r>
        <w:t>Es importante indicar que las respuestas son el valor medio del pronóstico. No obstante, la respuesta puede ser mayor por variables no observables que no se pueden modelar con facilidad, como la incertidumbre de los agentes económicos ante situaciones de crisis, una mayor respuesta de los precios de los combustibles al pasar el precio del crudo cierto lumbral, los rápidos incrementos y lentas disminuciones como lo sugiere el efecto conocido como cohete y pluma, entre otros.</w:t>
      </w:r>
    </w:p>
    <w:p w14:paraId="6A93B604" w14:textId="77777777" w:rsidR="005F38A6" w:rsidRPr="009701B8" w:rsidRDefault="005F38A6" w:rsidP="005F38A6">
      <w:pPr>
        <w:jc w:val="both"/>
        <w:rPr>
          <w:sz w:val="20"/>
        </w:rPr>
      </w:pPr>
    </w:p>
    <w:p w14:paraId="3FBAB33C" w14:textId="77777777" w:rsidR="005F38A6" w:rsidRDefault="005F38A6" w:rsidP="005F38A6">
      <w:pPr>
        <w:jc w:val="both"/>
        <w:rPr>
          <w:sz w:val="20"/>
        </w:rPr>
      </w:pPr>
      <w:r>
        <w:t xml:space="preserve">Se estimó que el monto total del subsidio es de </w:t>
      </w:r>
      <w:r w:rsidRPr="00741B57">
        <w:t>Q</w:t>
      </w:r>
      <w:r>
        <w:t xml:space="preserve">1,211.6 millones para los tres meses, del cual </w:t>
      </w:r>
      <w:r w:rsidRPr="00741B57">
        <w:t>Q</w:t>
      </w:r>
      <w:r>
        <w:t xml:space="preserve">348.0 millones es de gasolina súper y regular y </w:t>
      </w:r>
      <w:r w:rsidRPr="00741B57">
        <w:t>Q</w:t>
      </w:r>
      <w:r>
        <w:t xml:space="preserve">863.6 millones de diésel. No obstante, existe un efecto positivo en el </w:t>
      </w:r>
      <w:r w:rsidRPr="00517EC1">
        <w:t>IVA importaciones por el aumento de los precios internacionales de los combustibles (de 4 meses), que como se indicó anteriormente se estima en Q538.5 millones, por lo que el costo neto fiscal se encontraría en Q673.1 millones. Por lo que, se observa que el costo fiscal del uso de este tipo de subsidio es alto y puede deteriorar el espacio fiscal de forma acelerada si se mantiene en el tiempo.</w:t>
      </w:r>
    </w:p>
    <w:p w14:paraId="787AE155" w14:textId="68A8C914" w:rsidR="005F38A6" w:rsidRDefault="005F38A6" w:rsidP="005F38A6">
      <w:pPr>
        <w:jc w:val="both"/>
        <w:rPr>
          <w:sz w:val="20"/>
        </w:rPr>
      </w:pPr>
    </w:p>
    <w:p w14:paraId="2E36F063" w14:textId="0CB0E3EE" w:rsidR="00752A7C" w:rsidRDefault="00752A7C" w:rsidP="005F38A6">
      <w:pPr>
        <w:jc w:val="both"/>
        <w:rPr>
          <w:sz w:val="20"/>
        </w:rPr>
      </w:pPr>
    </w:p>
    <w:p w14:paraId="7924CC64" w14:textId="44152D2C" w:rsidR="00752A7C" w:rsidRDefault="00752A7C" w:rsidP="005F38A6">
      <w:pPr>
        <w:jc w:val="both"/>
        <w:rPr>
          <w:sz w:val="20"/>
        </w:rPr>
      </w:pPr>
    </w:p>
    <w:p w14:paraId="7B72CE91" w14:textId="77777777" w:rsidR="00752A7C" w:rsidRPr="009701B8" w:rsidRDefault="00752A7C" w:rsidP="005F38A6">
      <w:pPr>
        <w:jc w:val="both"/>
        <w:rPr>
          <w:sz w:val="20"/>
        </w:rPr>
      </w:pPr>
    </w:p>
    <w:p w14:paraId="1D23603C" w14:textId="1FB7C4B7" w:rsidR="005F38A6" w:rsidRDefault="005F38A6" w:rsidP="005E0AEB">
      <w:pPr>
        <w:keepNext/>
        <w:jc w:val="center"/>
        <w:rPr>
          <w:bCs/>
        </w:rPr>
      </w:pPr>
      <w:bookmarkStart w:id="180" w:name="_Toc114493928"/>
      <w:bookmarkStart w:id="181" w:name="_Toc143593526"/>
      <w:r w:rsidRPr="004A12A1">
        <w:rPr>
          <w:b/>
          <w:bCs/>
        </w:rPr>
        <w:lastRenderedPageBreak/>
        <w:t xml:space="preserve">Tabla </w:t>
      </w:r>
      <w:r w:rsidR="00374091" w:rsidRPr="004A12A1">
        <w:rPr>
          <w:b/>
          <w:bCs/>
        </w:rPr>
        <w:fldChar w:fldCharType="begin"/>
      </w:r>
      <w:r w:rsidR="00374091" w:rsidRPr="004A12A1">
        <w:rPr>
          <w:b/>
          <w:bCs/>
        </w:rPr>
        <w:instrText xml:space="preserve"> SEQ Tabla \* ARABIC </w:instrText>
      </w:r>
      <w:r w:rsidR="00374091" w:rsidRPr="004A12A1">
        <w:rPr>
          <w:b/>
          <w:bCs/>
        </w:rPr>
        <w:fldChar w:fldCharType="separate"/>
      </w:r>
      <w:r w:rsidR="00A62AFA">
        <w:rPr>
          <w:b/>
          <w:bCs/>
          <w:noProof/>
        </w:rPr>
        <w:t>24</w:t>
      </w:r>
      <w:r w:rsidR="00374091" w:rsidRPr="004A12A1">
        <w:rPr>
          <w:b/>
          <w:bCs/>
          <w:noProof/>
        </w:rPr>
        <w:fldChar w:fldCharType="end"/>
      </w:r>
      <w:r w:rsidRPr="004A12A1">
        <w:rPr>
          <w:b/>
          <w:bCs/>
        </w:rPr>
        <w:t xml:space="preserve">. Costo fiscal neto del subsidio </w:t>
      </w:r>
      <w:bookmarkEnd w:id="180"/>
      <w:r w:rsidRPr="004A12A1">
        <w:rPr>
          <w:b/>
          <w:bCs/>
        </w:rPr>
        <w:t>en tres meses del 2024</w:t>
      </w:r>
      <w:bookmarkEnd w:id="181"/>
    </w:p>
    <w:tbl>
      <w:tblPr>
        <w:tblW w:w="6981" w:type="dxa"/>
        <w:jc w:val="center"/>
        <w:tblCellMar>
          <w:left w:w="70" w:type="dxa"/>
          <w:right w:w="70" w:type="dxa"/>
        </w:tblCellMar>
        <w:tblLook w:val="04A0" w:firstRow="1" w:lastRow="0" w:firstColumn="1" w:lastColumn="0" w:noHBand="0" w:noVBand="1"/>
      </w:tblPr>
      <w:tblGrid>
        <w:gridCol w:w="4097"/>
        <w:gridCol w:w="1384"/>
        <w:gridCol w:w="1500"/>
      </w:tblGrid>
      <w:tr w:rsidR="005F38A6" w:rsidRPr="00716156" w14:paraId="0D658EB0" w14:textId="77777777" w:rsidTr="006A7377">
        <w:trPr>
          <w:trHeight w:val="250"/>
          <w:jc w:val="center"/>
        </w:trPr>
        <w:tc>
          <w:tcPr>
            <w:tcW w:w="4097" w:type="dxa"/>
            <w:tcBorders>
              <w:top w:val="single" w:sz="4" w:space="0" w:color="auto"/>
              <w:left w:val="nil"/>
              <w:bottom w:val="double" w:sz="6" w:space="0" w:color="auto"/>
              <w:right w:val="nil"/>
            </w:tcBorders>
            <w:shd w:val="clear" w:color="auto" w:fill="auto"/>
            <w:noWrap/>
            <w:vAlign w:val="bottom"/>
            <w:hideMark/>
          </w:tcPr>
          <w:p w14:paraId="712F9611" w14:textId="77777777" w:rsidR="005F38A6" w:rsidRPr="00716156" w:rsidRDefault="005F38A6" w:rsidP="006A7377">
            <w:pPr>
              <w:rPr>
                <w:rFonts w:ascii="Calibri" w:hAnsi="Calibri" w:cs="Calibri"/>
                <w:color w:val="000000"/>
                <w:sz w:val="22"/>
                <w:szCs w:val="22"/>
              </w:rPr>
            </w:pPr>
            <w:bookmarkStart w:id="182" w:name="_Hlk141963922"/>
            <w:r w:rsidRPr="00716156">
              <w:rPr>
                <w:rFonts w:ascii="Calibri" w:hAnsi="Calibri" w:cs="Calibri"/>
                <w:color w:val="000000"/>
                <w:sz w:val="22"/>
                <w:szCs w:val="22"/>
              </w:rPr>
              <w:t> </w:t>
            </w:r>
          </w:p>
        </w:tc>
        <w:tc>
          <w:tcPr>
            <w:tcW w:w="1384" w:type="dxa"/>
            <w:tcBorders>
              <w:top w:val="single" w:sz="4" w:space="0" w:color="auto"/>
              <w:left w:val="single" w:sz="4" w:space="0" w:color="auto"/>
              <w:bottom w:val="double" w:sz="6" w:space="0" w:color="auto"/>
              <w:right w:val="nil"/>
            </w:tcBorders>
            <w:shd w:val="clear" w:color="auto" w:fill="auto"/>
            <w:noWrap/>
            <w:vAlign w:val="bottom"/>
            <w:hideMark/>
          </w:tcPr>
          <w:p w14:paraId="499CF3D3" w14:textId="77777777" w:rsidR="005F38A6" w:rsidRPr="00716156" w:rsidRDefault="005F38A6" w:rsidP="006A7377">
            <w:pPr>
              <w:jc w:val="center"/>
              <w:rPr>
                <w:b/>
                <w:bCs/>
                <w:color w:val="000000"/>
                <w:sz w:val="20"/>
                <w:szCs w:val="20"/>
              </w:rPr>
            </w:pPr>
            <w:r w:rsidRPr="00716156">
              <w:rPr>
                <w:b/>
                <w:bCs/>
                <w:color w:val="000000"/>
                <w:sz w:val="20"/>
                <w:szCs w:val="20"/>
              </w:rPr>
              <w:t>Millones</w:t>
            </w:r>
          </w:p>
        </w:tc>
        <w:tc>
          <w:tcPr>
            <w:tcW w:w="1500" w:type="dxa"/>
            <w:tcBorders>
              <w:top w:val="single" w:sz="4" w:space="0" w:color="auto"/>
              <w:left w:val="nil"/>
              <w:bottom w:val="double" w:sz="6" w:space="0" w:color="auto"/>
              <w:right w:val="nil"/>
            </w:tcBorders>
            <w:shd w:val="clear" w:color="auto" w:fill="auto"/>
            <w:noWrap/>
            <w:vAlign w:val="bottom"/>
            <w:hideMark/>
          </w:tcPr>
          <w:p w14:paraId="2542C3FD" w14:textId="77777777" w:rsidR="005F38A6" w:rsidRPr="00716156" w:rsidRDefault="005F38A6" w:rsidP="006A7377">
            <w:pPr>
              <w:jc w:val="center"/>
              <w:rPr>
                <w:b/>
                <w:bCs/>
                <w:color w:val="000000"/>
                <w:sz w:val="20"/>
                <w:szCs w:val="20"/>
              </w:rPr>
            </w:pPr>
            <w:r w:rsidRPr="00716156">
              <w:rPr>
                <w:b/>
                <w:bCs/>
                <w:color w:val="000000"/>
                <w:sz w:val="20"/>
                <w:szCs w:val="20"/>
              </w:rPr>
              <w:t>% del PIB</w:t>
            </w:r>
          </w:p>
        </w:tc>
      </w:tr>
      <w:tr w:rsidR="005F38A6" w:rsidRPr="00716156" w14:paraId="7E637309" w14:textId="77777777" w:rsidTr="006A7377">
        <w:trPr>
          <w:trHeight w:val="250"/>
          <w:jc w:val="center"/>
        </w:trPr>
        <w:tc>
          <w:tcPr>
            <w:tcW w:w="4097" w:type="dxa"/>
            <w:tcBorders>
              <w:top w:val="nil"/>
              <w:left w:val="nil"/>
              <w:bottom w:val="nil"/>
              <w:right w:val="nil"/>
            </w:tcBorders>
            <w:shd w:val="clear" w:color="000000" w:fill="EDEDED"/>
            <w:noWrap/>
            <w:vAlign w:val="bottom"/>
            <w:hideMark/>
          </w:tcPr>
          <w:p w14:paraId="0C1FBE3F" w14:textId="77777777" w:rsidR="005F38A6" w:rsidRPr="00716156" w:rsidRDefault="005F38A6" w:rsidP="006A7377">
            <w:pPr>
              <w:rPr>
                <w:b/>
                <w:bCs/>
                <w:color w:val="000000"/>
                <w:sz w:val="20"/>
                <w:szCs w:val="20"/>
              </w:rPr>
            </w:pPr>
            <w:r w:rsidRPr="00716156">
              <w:rPr>
                <w:b/>
                <w:bCs/>
                <w:color w:val="000000"/>
                <w:sz w:val="20"/>
                <w:szCs w:val="20"/>
              </w:rPr>
              <w:t>Costo Neto</w:t>
            </w:r>
          </w:p>
        </w:tc>
        <w:tc>
          <w:tcPr>
            <w:tcW w:w="1384" w:type="dxa"/>
            <w:tcBorders>
              <w:top w:val="nil"/>
              <w:left w:val="single" w:sz="4" w:space="0" w:color="auto"/>
              <w:bottom w:val="nil"/>
              <w:right w:val="nil"/>
            </w:tcBorders>
            <w:shd w:val="clear" w:color="000000" w:fill="EDEDED"/>
            <w:noWrap/>
            <w:vAlign w:val="bottom"/>
            <w:hideMark/>
          </w:tcPr>
          <w:p w14:paraId="38D2353A" w14:textId="77777777" w:rsidR="005F38A6" w:rsidRPr="00716156" w:rsidRDefault="005F38A6" w:rsidP="006A7377">
            <w:pPr>
              <w:jc w:val="center"/>
              <w:rPr>
                <w:b/>
                <w:bCs/>
                <w:color w:val="000000"/>
                <w:sz w:val="20"/>
                <w:szCs w:val="20"/>
              </w:rPr>
            </w:pPr>
            <w:r w:rsidRPr="00716156">
              <w:rPr>
                <w:b/>
                <w:bCs/>
                <w:color w:val="000000"/>
                <w:sz w:val="20"/>
                <w:szCs w:val="20"/>
              </w:rPr>
              <w:t>673.1</w:t>
            </w:r>
          </w:p>
        </w:tc>
        <w:tc>
          <w:tcPr>
            <w:tcW w:w="1500" w:type="dxa"/>
            <w:tcBorders>
              <w:top w:val="nil"/>
              <w:left w:val="nil"/>
              <w:bottom w:val="nil"/>
              <w:right w:val="nil"/>
            </w:tcBorders>
            <w:shd w:val="clear" w:color="000000" w:fill="EDEDED"/>
            <w:noWrap/>
            <w:vAlign w:val="bottom"/>
            <w:hideMark/>
          </w:tcPr>
          <w:p w14:paraId="7350D0B4" w14:textId="77777777" w:rsidR="005F38A6" w:rsidRPr="00716156" w:rsidRDefault="005F38A6" w:rsidP="006A7377">
            <w:pPr>
              <w:jc w:val="center"/>
              <w:rPr>
                <w:b/>
                <w:bCs/>
                <w:color w:val="000000"/>
                <w:sz w:val="20"/>
                <w:szCs w:val="20"/>
              </w:rPr>
            </w:pPr>
            <w:r w:rsidRPr="00716156">
              <w:rPr>
                <w:b/>
                <w:bCs/>
                <w:color w:val="000000"/>
                <w:sz w:val="20"/>
                <w:szCs w:val="20"/>
              </w:rPr>
              <w:t>0.1%</w:t>
            </w:r>
          </w:p>
        </w:tc>
      </w:tr>
      <w:tr w:rsidR="005F38A6" w:rsidRPr="00716156" w14:paraId="44B59C05" w14:textId="77777777" w:rsidTr="006A7377">
        <w:trPr>
          <w:trHeight w:val="237"/>
          <w:jc w:val="center"/>
        </w:trPr>
        <w:tc>
          <w:tcPr>
            <w:tcW w:w="4097" w:type="dxa"/>
            <w:tcBorders>
              <w:top w:val="nil"/>
              <w:left w:val="nil"/>
              <w:bottom w:val="nil"/>
              <w:right w:val="nil"/>
            </w:tcBorders>
            <w:shd w:val="clear" w:color="auto" w:fill="auto"/>
            <w:noWrap/>
            <w:vAlign w:val="bottom"/>
            <w:hideMark/>
          </w:tcPr>
          <w:p w14:paraId="484124F8" w14:textId="77777777" w:rsidR="005F38A6" w:rsidRPr="00716156" w:rsidRDefault="005F38A6" w:rsidP="006A7377">
            <w:pPr>
              <w:ind w:firstLineChars="100" w:firstLine="201"/>
              <w:rPr>
                <w:b/>
                <w:bCs/>
                <w:color w:val="000000"/>
                <w:sz w:val="20"/>
                <w:szCs w:val="20"/>
              </w:rPr>
            </w:pPr>
            <w:r w:rsidRPr="00716156">
              <w:rPr>
                <w:b/>
                <w:bCs/>
                <w:color w:val="000000"/>
                <w:sz w:val="20"/>
                <w:szCs w:val="20"/>
              </w:rPr>
              <w:t>Gasto por subsidio</w:t>
            </w:r>
            <w:r>
              <w:rPr>
                <w:b/>
                <w:bCs/>
                <w:color w:val="000000"/>
                <w:sz w:val="20"/>
                <w:szCs w:val="20"/>
              </w:rPr>
              <w:t xml:space="preserve"> (3 meses)</w:t>
            </w:r>
          </w:p>
        </w:tc>
        <w:tc>
          <w:tcPr>
            <w:tcW w:w="1384" w:type="dxa"/>
            <w:tcBorders>
              <w:top w:val="nil"/>
              <w:left w:val="single" w:sz="4" w:space="0" w:color="auto"/>
              <w:bottom w:val="nil"/>
              <w:right w:val="nil"/>
            </w:tcBorders>
            <w:shd w:val="clear" w:color="auto" w:fill="auto"/>
            <w:noWrap/>
            <w:vAlign w:val="bottom"/>
            <w:hideMark/>
          </w:tcPr>
          <w:p w14:paraId="06340BF3" w14:textId="77777777" w:rsidR="005F38A6" w:rsidRPr="00716156" w:rsidRDefault="005F38A6" w:rsidP="006A7377">
            <w:pPr>
              <w:jc w:val="center"/>
              <w:rPr>
                <w:b/>
                <w:bCs/>
                <w:color w:val="000000"/>
                <w:sz w:val="20"/>
                <w:szCs w:val="20"/>
              </w:rPr>
            </w:pPr>
            <w:r w:rsidRPr="00716156">
              <w:rPr>
                <w:b/>
                <w:bCs/>
                <w:color w:val="000000"/>
                <w:sz w:val="20"/>
                <w:szCs w:val="20"/>
              </w:rPr>
              <w:t>1,211.6</w:t>
            </w:r>
          </w:p>
        </w:tc>
        <w:tc>
          <w:tcPr>
            <w:tcW w:w="1500" w:type="dxa"/>
            <w:tcBorders>
              <w:top w:val="nil"/>
              <w:left w:val="nil"/>
              <w:bottom w:val="nil"/>
              <w:right w:val="nil"/>
            </w:tcBorders>
            <w:shd w:val="clear" w:color="auto" w:fill="auto"/>
            <w:noWrap/>
            <w:vAlign w:val="bottom"/>
            <w:hideMark/>
          </w:tcPr>
          <w:p w14:paraId="15BB1231" w14:textId="77777777" w:rsidR="005F38A6" w:rsidRPr="00716156" w:rsidRDefault="005F38A6" w:rsidP="006A7377">
            <w:pPr>
              <w:jc w:val="center"/>
              <w:rPr>
                <w:b/>
                <w:bCs/>
                <w:color w:val="000000"/>
                <w:sz w:val="20"/>
                <w:szCs w:val="20"/>
              </w:rPr>
            </w:pPr>
            <w:r w:rsidRPr="00716156">
              <w:rPr>
                <w:b/>
                <w:bCs/>
                <w:color w:val="000000"/>
                <w:sz w:val="20"/>
                <w:szCs w:val="20"/>
              </w:rPr>
              <w:t>0.2%</w:t>
            </w:r>
          </w:p>
        </w:tc>
      </w:tr>
      <w:tr w:rsidR="005F38A6" w:rsidRPr="00716156" w14:paraId="108E75E0" w14:textId="77777777" w:rsidTr="006A7377">
        <w:trPr>
          <w:trHeight w:val="237"/>
          <w:jc w:val="center"/>
        </w:trPr>
        <w:tc>
          <w:tcPr>
            <w:tcW w:w="4097" w:type="dxa"/>
            <w:tcBorders>
              <w:top w:val="nil"/>
              <w:left w:val="nil"/>
              <w:bottom w:val="nil"/>
              <w:right w:val="nil"/>
            </w:tcBorders>
            <w:shd w:val="clear" w:color="auto" w:fill="auto"/>
            <w:noWrap/>
            <w:vAlign w:val="bottom"/>
            <w:hideMark/>
          </w:tcPr>
          <w:p w14:paraId="062F4AD4" w14:textId="77777777" w:rsidR="005F38A6" w:rsidRPr="00716156" w:rsidRDefault="005F38A6" w:rsidP="006A7377">
            <w:pPr>
              <w:ind w:firstLineChars="200" w:firstLine="400"/>
              <w:rPr>
                <w:color w:val="000000"/>
                <w:sz w:val="20"/>
                <w:szCs w:val="20"/>
              </w:rPr>
            </w:pPr>
            <w:r w:rsidRPr="00716156">
              <w:rPr>
                <w:color w:val="000000"/>
                <w:sz w:val="20"/>
                <w:szCs w:val="20"/>
              </w:rPr>
              <w:t>Super y regular</w:t>
            </w:r>
          </w:p>
        </w:tc>
        <w:tc>
          <w:tcPr>
            <w:tcW w:w="1384" w:type="dxa"/>
            <w:tcBorders>
              <w:top w:val="nil"/>
              <w:left w:val="single" w:sz="4" w:space="0" w:color="auto"/>
              <w:bottom w:val="nil"/>
              <w:right w:val="nil"/>
            </w:tcBorders>
            <w:shd w:val="clear" w:color="auto" w:fill="auto"/>
            <w:noWrap/>
            <w:vAlign w:val="bottom"/>
            <w:hideMark/>
          </w:tcPr>
          <w:p w14:paraId="5F5666C7" w14:textId="77777777" w:rsidR="005F38A6" w:rsidRPr="00716156" w:rsidRDefault="005F38A6" w:rsidP="006A7377">
            <w:pPr>
              <w:jc w:val="center"/>
              <w:rPr>
                <w:color w:val="000000"/>
                <w:sz w:val="20"/>
                <w:szCs w:val="20"/>
              </w:rPr>
            </w:pPr>
            <w:r w:rsidRPr="00716156">
              <w:rPr>
                <w:color w:val="000000"/>
                <w:sz w:val="20"/>
                <w:szCs w:val="20"/>
              </w:rPr>
              <w:t>348.0</w:t>
            </w:r>
          </w:p>
        </w:tc>
        <w:tc>
          <w:tcPr>
            <w:tcW w:w="1500" w:type="dxa"/>
            <w:tcBorders>
              <w:top w:val="nil"/>
              <w:left w:val="nil"/>
              <w:bottom w:val="nil"/>
              <w:right w:val="nil"/>
            </w:tcBorders>
            <w:shd w:val="clear" w:color="auto" w:fill="auto"/>
            <w:noWrap/>
            <w:vAlign w:val="bottom"/>
            <w:hideMark/>
          </w:tcPr>
          <w:p w14:paraId="10B1D03D" w14:textId="77777777" w:rsidR="005F38A6" w:rsidRPr="00716156" w:rsidRDefault="005F38A6" w:rsidP="006A7377">
            <w:pPr>
              <w:jc w:val="center"/>
              <w:rPr>
                <w:color w:val="000000"/>
                <w:sz w:val="20"/>
                <w:szCs w:val="20"/>
              </w:rPr>
            </w:pPr>
            <w:r w:rsidRPr="00716156">
              <w:rPr>
                <w:color w:val="000000"/>
                <w:sz w:val="20"/>
                <w:szCs w:val="20"/>
              </w:rPr>
              <w:t>0.0%</w:t>
            </w:r>
          </w:p>
        </w:tc>
      </w:tr>
      <w:tr w:rsidR="005F38A6" w:rsidRPr="00716156" w14:paraId="698957E1" w14:textId="77777777" w:rsidTr="006A7377">
        <w:trPr>
          <w:trHeight w:val="237"/>
          <w:jc w:val="center"/>
        </w:trPr>
        <w:tc>
          <w:tcPr>
            <w:tcW w:w="4097" w:type="dxa"/>
            <w:tcBorders>
              <w:top w:val="nil"/>
              <w:left w:val="nil"/>
              <w:bottom w:val="nil"/>
              <w:right w:val="nil"/>
            </w:tcBorders>
            <w:shd w:val="clear" w:color="auto" w:fill="auto"/>
            <w:noWrap/>
            <w:vAlign w:val="bottom"/>
            <w:hideMark/>
          </w:tcPr>
          <w:p w14:paraId="444CD151" w14:textId="77777777" w:rsidR="005F38A6" w:rsidRPr="00716156" w:rsidRDefault="005F38A6" w:rsidP="006A7377">
            <w:pPr>
              <w:ind w:firstLineChars="200" w:firstLine="400"/>
              <w:rPr>
                <w:color w:val="000000"/>
                <w:sz w:val="20"/>
                <w:szCs w:val="20"/>
              </w:rPr>
            </w:pPr>
            <w:r w:rsidRPr="00716156">
              <w:rPr>
                <w:color w:val="000000"/>
                <w:sz w:val="20"/>
                <w:szCs w:val="20"/>
              </w:rPr>
              <w:t>Diésel</w:t>
            </w:r>
          </w:p>
        </w:tc>
        <w:tc>
          <w:tcPr>
            <w:tcW w:w="1384" w:type="dxa"/>
            <w:tcBorders>
              <w:top w:val="nil"/>
              <w:left w:val="single" w:sz="4" w:space="0" w:color="auto"/>
              <w:bottom w:val="nil"/>
              <w:right w:val="nil"/>
            </w:tcBorders>
            <w:shd w:val="clear" w:color="auto" w:fill="auto"/>
            <w:noWrap/>
            <w:vAlign w:val="bottom"/>
            <w:hideMark/>
          </w:tcPr>
          <w:p w14:paraId="5206DA14" w14:textId="77777777" w:rsidR="005F38A6" w:rsidRPr="00716156" w:rsidRDefault="005F38A6" w:rsidP="006A7377">
            <w:pPr>
              <w:jc w:val="center"/>
              <w:rPr>
                <w:color w:val="000000"/>
                <w:sz w:val="20"/>
                <w:szCs w:val="20"/>
              </w:rPr>
            </w:pPr>
            <w:r w:rsidRPr="00716156">
              <w:rPr>
                <w:color w:val="000000"/>
                <w:sz w:val="20"/>
                <w:szCs w:val="20"/>
              </w:rPr>
              <w:t>863.6</w:t>
            </w:r>
          </w:p>
        </w:tc>
        <w:tc>
          <w:tcPr>
            <w:tcW w:w="1500" w:type="dxa"/>
            <w:tcBorders>
              <w:top w:val="nil"/>
              <w:left w:val="nil"/>
              <w:bottom w:val="nil"/>
              <w:right w:val="nil"/>
            </w:tcBorders>
            <w:shd w:val="clear" w:color="auto" w:fill="auto"/>
            <w:noWrap/>
            <w:vAlign w:val="bottom"/>
            <w:hideMark/>
          </w:tcPr>
          <w:p w14:paraId="6BE9204F" w14:textId="77777777" w:rsidR="005F38A6" w:rsidRPr="00716156" w:rsidRDefault="005F38A6" w:rsidP="006A7377">
            <w:pPr>
              <w:jc w:val="center"/>
              <w:rPr>
                <w:color w:val="000000"/>
                <w:sz w:val="20"/>
                <w:szCs w:val="20"/>
              </w:rPr>
            </w:pPr>
            <w:r w:rsidRPr="00716156">
              <w:rPr>
                <w:color w:val="000000"/>
                <w:sz w:val="20"/>
                <w:szCs w:val="20"/>
              </w:rPr>
              <w:t>0.1%</w:t>
            </w:r>
          </w:p>
        </w:tc>
      </w:tr>
      <w:tr w:rsidR="005F38A6" w:rsidRPr="00716156" w14:paraId="5BF557BA" w14:textId="77777777" w:rsidTr="006A7377">
        <w:trPr>
          <w:trHeight w:val="237"/>
          <w:jc w:val="center"/>
        </w:trPr>
        <w:tc>
          <w:tcPr>
            <w:tcW w:w="4097" w:type="dxa"/>
            <w:tcBorders>
              <w:top w:val="nil"/>
              <w:left w:val="nil"/>
              <w:bottom w:val="single" w:sz="4" w:space="0" w:color="auto"/>
              <w:right w:val="nil"/>
            </w:tcBorders>
            <w:shd w:val="clear" w:color="auto" w:fill="auto"/>
            <w:noWrap/>
            <w:vAlign w:val="bottom"/>
            <w:hideMark/>
          </w:tcPr>
          <w:p w14:paraId="54FD4334" w14:textId="77777777" w:rsidR="005F38A6" w:rsidRPr="00716156" w:rsidRDefault="005F38A6" w:rsidP="006A7377">
            <w:pPr>
              <w:ind w:firstLineChars="100" w:firstLine="201"/>
              <w:rPr>
                <w:b/>
                <w:bCs/>
                <w:color w:val="000000"/>
                <w:sz w:val="20"/>
                <w:szCs w:val="20"/>
              </w:rPr>
            </w:pPr>
            <w:r w:rsidRPr="00716156">
              <w:rPr>
                <w:b/>
                <w:bCs/>
                <w:color w:val="000000"/>
                <w:sz w:val="20"/>
                <w:szCs w:val="20"/>
              </w:rPr>
              <w:t>Ingresos por incremento de precio</w:t>
            </w:r>
            <w:r>
              <w:rPr>
                <w:b/>
                <w:bCs/>
                <w:color w:val="000000"/>
                <w:sz w:val="20"/>
                <w:szCs w:val="20"/>
              </w:rPr>
              <w:t xml:space="preserve"> (4 meses)</w:t>
            </w:r>
          </w:p>
        </w:tc>
        <w:tc>
          <w:tcPr>
            <w:tcW w:w="1384" w:type="dxa"/>
            <w:tcBorders>
              <w:top w:val="nil"/>
              <w:left w:val="single" w:sz="4" w:space="0" w:color="auto"/>
              <w:bottom w:val="single" w:sz="4" w:space="0" w:color="auto"/>
              <w:right w:val="nil"/>
            </w:tcBorders>
            <w:shd w:val="clear" w:color="auto" w:fill="auto"/>
            <w:noWrap/>
            <w:vAlign w:val="bottom"/>
            <w:hideMark/>
          </w:tcPr>
          <w:p w14:paraId="13081462" w14:textId="77777777" w:rsidR="005F38A6" w:rsidRPr="00716156" w:rsidRDefault="005F38A6" w:rsidP="006A7377">
            <w:pPr>
              <w:jc w:val="center"/>
              <w:rPr>
                <w:b/>
                <w:bCs/>
                <w:color w:val="000000"/>
                <w:sz w:val="20"/>
                <w:szCs w:val="20"/>
              </w:rPr>
            </w:pPr>
            <w:r w:rsidRPr="00716156">
              <w:rPr>
                <w:b/>
                <w:bCs/>
                <w:color w:val="000000"/>
                <w:sz w:val="20"/>
                <w:szCs w:val="20"/>
              </w:rPr>
              <w:t>538.5</w:t>
            </w:r>
          </w:p>
        </w:tc>
        <w:tc>
          <w:tcPr>
            <w:tcW w:w="1500" w:type="dxa"/>
            <w:tcBorders>
              <w:top w:val="nil"/>
              <w:left w:val="nil"/>
              <w:bottom w:val="single" w:sz="4" w:space="0" w:color="auto"/>
              <w:right w:val="nil"/>
            </w:tcBorders>
            <w:shd w:val="clear" w:color="auto" w:fill="auto"/>
            <w:noWrap/>
            <w:vAlign w:val="bottom"/>
            <w:hideMark/>
          </w:tcPr>
          <w:p w14:paraId="3802BC0F" w14:textId="77777777" w:rsidR="005F38A6" w:rsidRPr="00716156" w:rsidRDefault="005F38A6" w:rsidP="006A7377">
            <w:pPr>
              <w:jc w:val="center"/>
              <w:rPr>
                <w:b/>
                <w:bCs/>
                <w:color w:val="000000"/>
                <w:sz w:val="20"/>
                <w:szCs w:val="20"/>
              </w:rPr>
            </w:pPr>
            <w:r w:rsidRPr="00716156">
              <w:rPr>
                <w:b/>
                <w:bCs/>
                <w:color w:val="000000"/>
                <w:sz w:val="20"/>
                <w:szCs w:val="20"/>
              </w:rPr>
              <w:t>0.1%</w:t>
            </w:r>
          </w:p>
        </w:tc>
      </w:tr>
    </w:tbl>
    <w:bookmarkEnd w:id="182"/>
    <w:p w14:paraId="6E3350F6" w14:textId="3BAB7BFD" w:rsidR="005F38A6" w:rsidRDefault="005F38A6" w:rsidP="005F38A6">
      <w:pPr>
        <w:rPr>
          <w:sz w:val="16"/>
          <w:szCs w:val="16"/>
        </w:rPr>
      </w:pPr>
      <w:r>
        <w:t xml:space="preserve">               </w:t>
      </w:r>
      <w:r w:rsidRPr="005E0AEB">
        <w:rPr>
          <w:sz w:val="16"/>
          <w:szCs w:val="16"/>
        </w:rPr>
        <w:t>Ministerio de Finanzas</w:t>
      </w:r>
      <w:r w:rsidR="004A12A1" w:rsidRPr="005E0AEB">
        <w:rPr>
          <w:sz w:val="16"/>
          <w:szCs w:val="16"/>
        </w:rPr>
        <w:t xml:space="preserve"> Públicas</w:t>
      </w:r>
    </w:p>
    <w:p w14:paraId="3CC05D18" w14:textId="77777777" w:rsidR="001158BC" w:rsidRPr="00716156" w:rsidRDefault="001158BC" w:rsidP="005F38A6"/>
    <w:p w14:paraId="7DF48052" w14:textId="77777777" w:rsidR="005F38A6" w:rsidRPr="00987058" w:rsidRDefault="005F38A6" w:rsidP="005F07F9">
      <w:pPr>
        <w:pStyle w:val="Ttulo2"/>
        <w:numPr>
          <w:ilvl w:val="2"/>
          <w:numId w:val="35"/>
        </w:numPr>
        <w:tabs>
          <w:tab w:val="left" w:pos="851"/>
        </w:tabs>
        <w:ind w:left="567" w:hanging="283"/>
        <w:rPr>
          <w:bCs/>
        </w:rPr>
      </w:pPr>
      <w:bookmarkStart w:id="183" w:name="_Toc114495244"/>
      <w:bookmarkStart w:id="184" w:name="_Toc144114374"/>
      <w:r w:rsidRPr="00BA7BF8">
        <w:rPr>
          <w:bCs/>
        </w:rPr>
        <w:t>Impacto fiscal por una disminución en los precios del petróleo</w:t>
      </w:r>
      <w:bookmarkEnd w:id="183"/>
      <w:bookmarkEnd w:id="184"/>
      <w:r w:rsidRPr="00BA7BF8">
        <w:rPr>
          <w:bCs/>
        </w:rPr>
        <w:t xml:space="preserve"> </w:t>
      </w:r>
    </w:p>
    <w:p w14:paraId="27EBC499" w14:textId="77777777" w:rsidR="005F38A6" w:rsidRDefault="005F38A6" w:rsidP="005F38A6">
      <w:pPr>
        <w:jc w:val="both"/>
      </w:pPr>
    </w:p>
    <w:p w14:paraId="1AE1F056" w14:textId="77777777" w:rsidR="005F38A6" w:rsidRDefault="005F38A6" w:rsidP="005F38A6">
      <w:pPr>
        <w:jc w:val="both"/>
      </w:pPr>
      <w:r w:rsidRPr="00B83FCC">
        <w:t xml:space="preserve">Una </w:t>
      </w:r>
      <w:r>
        <w:t>disminución</w:t>
      </w:r>
      <w:r w:rsidRPr="00B83FCC">
        <w:t xml:space="preserve"> en los precios del petróleo puede causar una </w:t>
      </w:r>
      <w:r>
        <w:t>reducción</w:t>
      </w:r>
      <w:r w:rsidRPr="00B83FCC">
        <w:t xml:space="preserve"> en los ingresos tributarios dependiendo de su magnitud. De una forma directa la variación de los precios del crudo afecta de forma acelerada a la variación de los precios de importación CIF de sus derivados y por lo tanto la variación de la recaudación de estos productos</w:t>
      </w:r>
      <w:r>
        <w:t xml:space="preserve"> y</w:t>
      </w:r>
      <w:r w:rsidRPr="00B83FCC">
        <w:t xml:space="preserve"> de los impuestos que su base </w:t>
      </w:r>
      <w:r>
        <w:t>sea</w:t>
      </w:r>
      <w:r w:rsidRPr="00B83FCC">
        <w:t xml:space="preserve"> el precio.</w:t>
      </w:r>
      <w:r>
        <w:t xml:space="preserve"> </w:t>
      </w:r>
    </w:p>
    <w:p w14:paraId="68CDC30B" w14:textId="77777777" w:rsidR="005F38A6" w:rsidRDefault="005F38A6" w:rsidP="005F38A6">
      <w:pPr>
        <w:jc w:val="both"/>
      </w:pPr>
    </w:p>
    <w:p w14:paraId="38C078DA" w14:textId="77777777" w:rsidR="005F38A6" w:rsidRDefault="005F38A6" w:rsidP="005F38A6">
      <w:pPr>
        <w:jc w:val="both"/>
      </w:pPr>
      <w:r>
        <w:t>Asimismo, los</w:t>
      </w:r>
      <w:r w:rsidRPr="00B83FCC">
        <w:t xml:space="preserve"> precios medios </w:t>
      </w:r>
      <w:r>
        <w:t xml:space="preserve">de los combustibles </w:t>
      </w:r>
      <w:r w:rsidRPr="00B83FCC">
        <w:t xml:space="preserve">llevan una alta correlación con el precio del crudo por las razones indicadas anteriormente, al igual que el IVA importaciones y esto se debe a que los </w:t>
      </w:r>
      <w:r>
        <w:t>combustibles</w:t>
      </w:r>
      <w:r w:rsidRPr="00B83FCC">
        <w:t xml:space="preserve"> </w:t>
      </w:r>
      <w:r>
        <w:t xml:space="preserve">muestran </w:t>
      </w:r>
      <w:r w:rsidRPr="00B83FCC">
        <w:t>una proporción significativa (</w:t>
      </w:r>
      <w:r>
        <w:t>14.3</w:t>
      </w:r>
      <w:r w:rsidRPr="00B83FCC">
        <w:t>% en los últimos 5 años) del total de importaciones de territorio aduanero.</w:t>
      </w:r>
    </w:p>
    <w:p w14:paraId="227B7BEF" w14:textId="77777777" w:rsidR="00145862" w:rsidRDefault="00145862" w:rsidP="005F38A6">
      <w:pPr>
        <w:jc w:val="both"/>
      </w:pPr>
    </w:p>
    <w:p w14:paraId="12D48BF4" w14:textId="78CF6BF2" w:rsidR="005E0AEB" w:rsidRPr="005E0AEB" w:rsidRDefault="005E0AEB" w:rsidP="005E0AEB">
      <w:pPr>
        <w:pStyle w:val="Descripcin"/>
        <w:rPr>
          <w:color w:val="auto"/>
        </w:rPr>
      </w:pPr>
      <w:bookmarkStart w:id="185" w:name="_Toc143593581"/>
      <w:r w:rsidRPr="005E0AEB">
        <w:rPr>
          <w:color w:val="auto"/>
        </w:rPr>
        <w:t xml:space="preserve">Gráfico </w:t>
      </w:r>
      <w:r w:rsidRPr="005E0AEB">
        <w:rPr>
          <w:color w:val="auto"/>
        </w:rPr>
        <w:fldChar w:fldCharType="begin"/>
      </w:r>
      <w:r w:rsidRPr="005E0AEB">
        <w:rPr>
          <w:color w:val="auto"/>
        </w:rPr>
        <w:instrText xml:space="preserve"> SEQ Gráfico \* ARABIC </w:instrText>
      </w:r>
      <w:r w:rsidRPr="005E0AEB">
        <w:rPr>
          <w:color w:val="auto"/>
        </w:rPr>
        <w:fldChar w:fldCharType="separate"/>
      </w:r>
      <w:r w:rsidR="00A62AFA">
        <w:rPr>
          <w:noProof/>
          <w:color w:val="auto"/>
        </w:rPr>
        <w:t>23</w:t>
      </w:r>
      <w:r w:rsidRPr="005E0AEB">
        <w:rPr>
          <w:color w:val="auto"/>
        </w:rPr>
        <w:fldChar w:fldCharType="end"/>
      </w:r>
      <w:r w:rsidRPr="005E0AEB">
        <w:rPr>
          <w:color w:val="auto"/>
        </w:rPr>
        <w:t>.</w:t>
      </w:r>
      <w:r w:rsidRPr="005E0AEB">
        <w:rPr>
          <w:bCs/>
          <w:color w:val="auto"/>
        </w:rPr>
        <w:t xml:space="preserve"> Variación interanual del WTI</w:t>
      </w:r>
      <w:bookmarkEnd w:id="185"/>
    </w:p>
    <w:tbl>
      <w:tblPr>
        <w:tblW w:w="8789" w:type="dxa"/>
        <w:tblLook w:val="04A0" w:firstRow="1" w:lastRow="0" w:firstColumn="1" w:lastColumn="0" w:noHBand="0" w:noVBand="1"/>
      </w:tblPr>
      <w:tblGrid>
        <w:gridCol w:w="4419"/>
        <w:gridCol w:w="4419"/>
      </w:tblGrid>
      <w:tr w:rsidR="005F38A6" w14:paraId="6F493F15" w14:textId="77777777" w:rsidTr="00752A7C">
        <w:trPr>
          <w:trHeight w:val="389"/>
        </w:trPr>
        <w:tc>
          <w:tcPr>
            <w:tcW w:w="4675" w:type="dxa"/>
          </w:tcPr>
          <w:p w14:paraId="6D7E8342" w14:textId="06AE76C3" w:rsidR="005F38A6" w:rsidRPr="005E0AEB" w:rsidRDefault="005F38A6" w:rsidP="005E0AEB">
            <w:pPr>
              <w:keepNext/>
              <w:jc w:val="center"/>
              <w:rPr>
                <w:sz w:val="22"/>
                <w:szCs w:val="22"/>
              </w:rPr>
            </w:pPr>
            <w:bookmarkStart w:id="186" w:name="_Toc114493862"/>
            <w:r w:rsidRPr="005E0AEB">
              <w:rPr>
                <w:bCs/>
                <w:sz w:val="22"/>
                <w:szCs w:val="22"/>
              </w:rPr>
              <w:t>Variación interanual del WTI y el precio medio (en porcentaje)</w:t>
            </w:r>
            <w:bookmarkEnd w:id="186"/>
          </w:p>
        </w:tc>
        <w:tc>
          <w:tcPr>
            <w:tcW w:w="4114" w:type="dxa"/>
          </w:tcPr>
          <w:p w14:paraId="297E59D6" w14:textId="6E0ED195" w:rsidR="005F38A6" w:rsidRPr="005E0AEB" w:rsidRDefault="005F38A6" w:rsidP="005E0AEB">
            <w:pPr>
              <w:keepNext/>
              <w:jc w:val="center"/>
              <w:rPr>
                <w:sz w:val="22"/>
                <w:szCs w:val="22"/>
              </w:rPr>
            </w:pPr>
            <w:bookmarkStart w:id="187" w:name="_Toc114493863"/>
            <w:r w:rsidRPr="005E0AEB">
              <w:rPr>
                <w:bCs/>
                <w:sz w:val="22"/>
                <w:szCs w:val="22"/>
              </w:rPr>
              <w:t>Variación interanual del predio de WTI y el total del IVA importaciones (en porcentaje)</w:t>
            </w:r>
            <w:bookmarkEnd w:id="187"/>
          </w:p>
        </w:tc>
      </w:tr>
      <w:tr w:rsidR="005F38A6" w14:paraId="31EE6233" w14:textId="77777777" w:rsidTr="00752A7C">
        <w:tblPrEx>
          <w:tblCellMar>
            <w:left w:w="70" w:type="dxa"/>
            <w:right w:w="70" w:type="dxa"/>
          </w:tblCellMar>
        </w:tblPrEx>
        <w:trPr>
          <w:trHeight w:val="2119"/>
        </w:trPr>
        <w:tc>
          <w:tcPr>
            <w:tcW w:w="4675" w:type="dxa"/>
          </w:tcPr>
          <w:p w14:paraId="6805E863" w14:textId="77777777" w:rsidR="005F38A6" w:rsidRDefault="005F38A6" w:rsidP="006A7377">
            <w:pPr>
              <w:jc w:val="both"/>
            </w:pPr>
            <w:r>
              <w:rPr>
                <w:noProof/>
              </w:rPr>
              <w:drawing>
                <wp:inline distT="0" distB="0" distL="0" distR="0" wp14:anchorId="53C663E7" wp14:editId="2189FE81">
                  <wp:extent cx="2879725" cy="1749287"/>
                  <wp:effectExtent l="0" t="0" r="0" b="3810"/>
                  <wp:docPr id="26" name="Gráfico 26">
                    <a:extLst xmlns:a="http://schemas.openxmlformats.org/drawingml/2006/main">
                      <a:ext uri="{FF2B5EF4-FFF2-40B4-BE49-F238E27FC236}">
                        <a16:creationId xmlns:a16="http://schemas.microsoft.com/office/drawing/2014/main" id="{FFDB474F-366D-48AE-8F0A-94B61F1AA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114" w:type="dxa"/>
          </w:tcPr>
          <w:p w14:paraId="45B0FD33" w14:textId="77777777" w:rsidR="005F38A6" w:rsidRDefault="005F38A6" w:rsidP="006A7377">
            <w:pPr>
              <w:jc w:val="both"/>
            </w:pPr>
            <w:r>
              <w:rPr>
                <w:noProof/>
              </w:rPr>
              <w:drawing>
                <wp:inline distT="0" distB="0" distL="0" distR="0" wp14:anchorId="22D2CFCE" wp14:editId="16D0F55F">
                  <wp:extent cx="2879725" cy="1677725"/>
                  <wp:effectExtent l="0" t="0" r="0" b="0"/>
                  <wp:docPr id="8" name="Gráfico 8">
                    <a:extLst xmlns:a="http://schemas.openxmlformats.org/drawingml/2006/main">
                      <a:ext uri="{FF2B5EF4-FFF2-40B4-BE49-F238E27FC236}">
                        <a16:creationId xmlns:a16="http://schemas.microsoft.com/office/drawing/2014/main" id="{2A962E89-3790-4A56-B6F0-E3676C954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5F38A6" w14:paraId="70F377FA" w14:textId="77777777" w:rsidTr="00752A7C">
        <w:trPr>
          <w:trHeight w:val="72"/>
        </w:trPr>
        <w:tc>
          <w:tcPr>
            <w:tcW w:w="8789" w:type="dxa"/>
            <w:gridSpan w:val="2"/>
          </w:tcPr>
          <w:p w14:paraId="2139FBBF" w14:textId="77777777" w:rsidR="005F38A6" w:rsidRPr="002B0B2B" w:rsidRDefault="005F38A6" w:rsidP="006A7377">
            <w:pPr>
              <w:jc w:val="both"/>
              <w:rPr>
                <w:sz w:val="16"/>
                <w:szCs w:val="18"/>
              </w:rPr>
            </w:pPr>
            <w:r w:rsidRPr="002B0B2B">
              <w:rPr>
                <w:sz w:val="16"/>
                <w:szCs w:val="18"/>
              </w:rPr>
              <w:t>Fuente: EIA, BANGUAT, y MINFIN</w:t>
            </w:r>
          </w:p>
          <w:p w14:paraId="477F1272" w14:textId="68F51655" w:rsidR="005F38A6" w:rsidRPr="00885487" w:rsidRDefault="005F38A6" w:rsidP="006A7377">
            <w:pPr>
              <w:jc w:val="both"/>
              <w:rPr>
                <w:sz w:val="16"/>
                <w:szCs w:val="18"/>
              </w:rPr>
            </w:pPr>
            <w:r w:rsidRPr="002B0B2B">
              <w:rPr>
                <w:sz w:val="16"/>
                <w:szCs w:val="18"/>
              </w:rPr>
              <w:t>Nota: Los productos incluidos son el gas propano, gasolinas, diésel, kerosene, petróleo, productos minerales diversos y otros derivados del petróleo.</w:t>
            </w:r>
          </w:p>
        </w:tc>
      </w:tr>
    </w:tbl>
    <w:p w14:paraId="3A4A0872" w14:textId="77777777" w:rsidR="000D3804" w:rsidRDefault="000D3804" w:rsidP="005F38A6">
      <w:pPr>
        <w:jc w:val="both"/>
      </w:pPr>
    </w:p>
    <w:p w14:paraId="2F55B5D8" w14:textId="13CCFE72" w:rsidR="005F38A6" w:rsidRDefault="005F38A6" w:rsidP="005F38A6">
      <w:pPr>
        <w:jc w:val="both"/>
      </w:pPr>
      <w:r w:rsidRPr="00B83FCC">
        <w:t>De lo anterior</w:t>
      </w:r>
      <w:r>
        <w:t>,</w:t>
      </w:r>
      <w:r w:rsidRPr="00B83FCC">
        <w:t xml:space="preserve"> se procedió a calcular el efecto precio de lo recaudado de IVA por la importación de gasolinas y </w:t>
      </w:r>
      <w:r w:rsidRPr="000B7FE2">
        <w:t>diésel, para lo cual se separó el efecto del volumen tomando como aproximación del peso medio, dado que este es homogéneo para estos productos. Por lo que, se tomó un escenario negativo en el cual, el precio promedio del barril se sitúa en USD$60.0 en</w:t>
      </w:r>
      <w:r>
        <w:t xml:space="preserve"> promedio durante todo el </w:t>
      </w:r>
      <w:r w:rsidRPr="000B7FE2">
        <w:t>2024, con una disminución de USD$23.3 con respecto al escenario base, y se estima que el efecto precio negativo transmitido a la recaudación de IVA por las importaciones de estos productos sería un aproximado de Q1,</w:t>
      </w:r>
      <w:r>
        <w:t>04</w:t>
      </w:r>
      <w:r w:rsidR="00CC412C">
        <w:t>6</w:t>
      </w:r>
      <w:r>
        <w:t>.</w:t>
      </w:r>
      <w:r w:rsidR="00CC412C">
        <w:t>7</w:t>
      </w:r>
      <w:r w:rsidRPr="000B7FE2">
        <w:t xml:space="preserve"> millones. No obstante, existe un efecto positivo por el aumento en el consumo de los combustibles, por lo que el efecto neto es negativo por Q</w:t>
      </w:r>
      <w:r>
        <w:t>98</w:t>
      </w:r>
      <w:r w:rsidR="00CC412C">
        <w:t>4</w:t>
      </w:r>
      <w:r>
        <w:t>.</w:t>
      </w:r>
      <w:r w:rsidR="00CC412C">
        <w:t>8</w:t>
      </w:r>
      <w:r w:rsidRPr="000B7FE2">
        <w:t xml:space="preserve"> millones.</w:t>
      </w:r>
    </w:p>
    <w:p w14:paraId="062DEE4C" w14:textId="77777777" w:rsidR="005F38A6" w:rsidRDefault="005F38A6" w:rsidP="005F38A6">
      <w:pPr>
        <w:jc w:val="both"/>
      </w:pPr>
    </w:p>
    <w:p w14:paraId="6E013A41" w14:textId="56C3185E" w:rsidR="005F38A6" w:rsidRPr="005E0AEB" w:rsidRDefault="005E0AEB" w:rsidP="005E0AEB">
      <w:pPr>
        <w:pStyle w:val="Descripcin"/>
        <w:keepNext/>
        <w:rPr>
          <w:color w:val="auto"/>
        </w:rPr>
      </w:pPr>
      <w:bookmarkStart w:id="188" w:name="_Toc114493929"/>
      <w:bookmarkStart w:id="189" w:name="_Toc143593527"/>
      <w:r w:rsidRPr="005E0AEB">
        <w:rPr>
          <w:color w:val="auto"/>
        </w:rPr>
        <w:lastRenderedPageBreak/>
        <w:t xml:space="preserve">Tabla </w:t>
      </w:r>
      <w:r w:rsidRPr="005E0AEB">
        <w:rPr>
          <w:color w:val="auto"/>
        </w:rPr>
        <w:fldChar w:fldCharType="begin"/>
      </w:r>
      <w:r w:rsidRPr="005E0AEB">
        <w:rPr>
          <w:color w:val="auto"/>
        </w:rPr>
        <w:instrText xml:space="preserve"> SEQ Tabla \* ARABIC </w:instrText>
      </w:r>
      <w:r w:rsidRPr="005E0AEB">
        <w:rPr>
          <w:color w:val="auto"/>
        </w:rPr>
        <w:fldChar w:fldCharType="separate"/>
      </w:r>
      <w:r w:rsidR="00A62AFA">
        <w:rPr>
          <w:noProof/>
          <w:color w:val="auto"/>
        </w:rPr>
        <w:t>25</w:t>
      </w:r>
      <w:r w:rsidRPr="005E0AEB">
        <w:rPr>
          <w:color w:val="auto"/>
        </w:rPr>
        <w:fldChar w:fldCharType="end"/>
      </w:r>
      <w:r w:rsidRPr="005E0AEB">
        <w:rPr>
          <w:color w:val="auto"/>
        </w:rPr>
        <w:t xml:space="preserve">. </w:t>
      </w:r>
      <w:r w:rsidR="005F38A6" w:rsidRPr="005E0AEB">
        <w:rPr>
          <w:bCs/>
          <w:color w:val="auto"/>
        </w:rPr>
        <w:t xml:space="preserve">Impacto en la recaudación (en millones) por una disminución del precio del WTI en </w:t>
      </w:r>
      <w:bookmarkEnd w:id="188"/>
      <w:r w:rsidR="005F38A6" w:rsidRPr="005E0AEB">
        <w:rPr>
          <w:bCs/>
          <w:color w:val="auto"/>
        </w:rPr>
        <w:t>2024</w:t>
      </w:r>
      <w:bookmarkEnd w:id="189"/>
    </w:p>
    <w:tbl>
      <w:tblPr>
        <w:tblW w:w="6616" w:type="dxa"/>
        <w:jc w:val="center"/>
        <w:tblCellMar>
          <w:left w:w="70" w:type="dxa"/>
          <w:right w:w="70" w:type="dxa"/>
        </w:tblCellMar>
        <w:tblLook w:val="04A0" w:firstRow="1" w:lastRow="0" w:firstColumn="1" w:lastColumn="0" w:noHBand="0" w:noVBand="1"/>
      </w:tblPr>
      <w:tblGrid>
        <w:gridCol w:w="1441"/>
        <w:gridCol w:w="1222"/>
        <w:gridCol w:w="1223"/>
        <w:gridCol w:w="1507"/>
        <w:gridCol w:w="1223"/>
      </w:tblGrid>
      <w:tr w:rsidR="005F38A6" w:rsidRPr="00836D10" w14:paraId="671F4B02" w14:textId="77777777" w:rsidTr="006A7377">
        <w:trPr>
          <w:trHeight w:val="500"/>
          <w:jc w:val="center"/>
        </w:trPr>
        <w:tc>
          <w:tcPr>
            <w:tcW w:w="1441" w:type="dxa"/>
            <w:tcBorders>
              <w:top w:val="single" w:sz="4" w:space="0" w:color="auto"/>
              <w:left w:val="nil"/>
              <w:bottom w:val="double" w:sz="6" w:space="0" w:color="auto"/>
              <w:right w:val="nil"/>
            </w:tcBorders>
            <w:shd w:val="clear" w:color="auto" w:fill="auto"/>
            <w:noWrap/>
            <w:vAlign w:val="bottom"/>
            <w:hideMark/>
          </w:tcPr>
          <w:p w14:paraId="4024B631" w14:textId="77777777" w:rsidR="005F38A6" w:rsidRPr="00836D10" w:rsidRDefault="005F38A6" w:rsidP="006A7377">
            <w:pPr>
              <w:jc w:val="center"/>
              <w:rPr>
                <w:b/>
                <w:bCs/>
                <w:color w:val="000000"/>
                <w:sz w:val="20"/>
                <w:szCs w:val="20"/>
              </w:rPr>
            </w:pPr>
            <w:bookmarkStart w:id="190" w:name="_Hlk141964022"/>
            <w:r w:rsidRPr="00836D10">
              <w:rPr>
                <w:b/>
                <w:bCs/>
                <w:color w:val="000000"/>
                <w:sz w:val="20"/>
                <w:szCs w:val="20"/>
              </w:rPr>
              <w:t> </w:t>
            </w:r>
          </w:p>
        </w:tc>
        <w:tc>
          <w:tcPr>
            <w:tcW w:w="1222" w:type="dxa"/>
            <w:tcBorders>
              <w:top w:val="single" w:sz="4" w:space="0" w:color="auto"/>
              <w:left w:val="single" w:sz="4" w:space="0" w:color="auto"/>
              <w:bottom w:val="double" w:sz="6" w:space="0" w:color="auto"/>
              <w:right w:val="nil"/>
            </w:tcBorders>
            <w:shd w:val="clear" w:color="auto" w:fill="auto"/>
            <w:vAlign w:val="bottom"/>
            <w:hideMark/>
          </w:tcPr>
          <w:p w14:paraId="5B6E42E7" w14:textId="77777777" w:rsidR="005F38A6" w:rsidRPr="00836D10" w:rsidRDefault="005F38A6" w:rsidP="006A7377">
            <w:pPr>
              <w:jc w:val="center"/>
              <w:rPr>
                <w:b/>
                <w:bCs/>
                <w:color w:val="000000"/>
                <w:sz w:val="20"/>
                <w:szCs w:val="20"/>
              </w:rPr>
            </w:pPr>
            <w:r w:rsidRPr="00836D10">
              <w:rPr>
                <w:b/>
                <w:bCs/>
                <w:color w:val="000000"/>
                <w:sz w:val="20"/>
                <w:szCs w:val="20"/>
              </w:rPr>
              <w:t>Escenario base</w:t>
            </w:r>
          </w:p>
        </w:tc>
        <w:tc>
          <w:tcPr>
            <w:tcW w:w="1223" w:type="dxa"/>
            <w:tcBorders>
              <w:top w:val="single" w:sz="4" w:space="0" w:color="auto"/>
              <w:left w:val="nil"/>
              <w:bottom w:val="double" w:sz="6" w:space="0" w:color="auto"/>
              <w:right w:val="nil"/>
            </w:tcBorders>
            <w:shd w:val="clear" w:color="auto" w:fill="auto"/>
            <w:vAlign w:val="bottom"/>
            <w:hideMark/>
          </w:tcPr>
          <w:p w14:paraId="30096E3D" w14:textId="77777777" w:rsidR="005F38A6" w:rsidRPr="00836D10" w:rsidRDefault="005F38A6" w:rsidP="006A7377">
            <w:pPr>
              <w:jc w:val="center"/>
              <w:rPr>
                <w:b/>
                <w:bCs/>
                <w:color w:val="000000"/>
                <w:sz w:val="20"/>
                <w:szCs w:val="20"/>
              </w:rPr>
            </w:pPr>
            <w:r w:rsidRPr="00836D10">
              <w:rPr>
                <w:b/>
                <w:bCs/>
                <w:color w:val="000000"/>
                <w:sz w:val="20"/>
                <w:szCs w:val="20"/>
              </w:rPr>
              <w:t>Escenario con choque</w:t>
            </w:r>
          </w:p>
        </w:tc>
        <w:tc>
          <w:tcPr>
            <w:tcW w:w="1507" w:type="dxa"/>
            <w:tcBorders>
              <w:top w:val="single" w:sz="4" w:space="0" w:color="auto"/>
              <w:left w:val="nil"/>
              <w:bottom w:val="double" w:sz="6" w:space="0" w:color="auto"/>
              <w:right w:val="nil"/>
            </w:tcBorders>
            <w:shd w:val="clear" w:color="auto" w:fill="auto"/>
            <w:vAlign w:val="bottom"/>
            <w:hideMark/>
          </w:tcPr>
          <w:p w14:paraId="74D6D739" w14:textId="77777777" w:rsidR="005F38A6" w:rsidRPr="00836D10" w:rsidRDefault="005F38A6" w:rsidP="006A7377">
            <w:pPr>
              <w:jc w:val="center"/>
              <w:rPr>
                <w:b/>
                <w:bCs/>
                <w:color w:val="000000"/>
                <w:sz w:val="20"/>
                <w:szCs w:val="20"/>
              </w:rPr>
            </w:pPr>
            <w:r w:rsidRPr="00836D10">
              <w:rPr>
                <w:b/>
                <w:bCs/>
                <w:color w:val="000000"/>
                <w:sz w:val="20"/>
                <w:szCs w:val="20"/>
              </w:rPr>
              <w:t>Variación</w:t>
            </w:r>
          </w:p>
        </w:tc>
        <w:tc>
          <w:tcPr>
            <w:tcW w:w="1223" w:type="dxa"/>
            <w:tcBorders>
              <w:top w:val="single" w:sz="4" w:space="0" w:color="auto"/>
              <w:left w:val="nil"/>
              <w:bottom w:val="double" w:sz="6" w:space="0" w:color="auto"/>
              <w:right w:val="nil"/>
            </w:tcBorders>
            <w:shd w:val="clear" w:color="auto" w:fill="auto"/>
            <w:vAlign w:val="bottom"/>
            <w:hideMark/>
          </w:tcPr>
          <w:p w14:paraId="710BA755" w14:textId="77777777" w:rsidR="005F38A6" w:rsidRPr="00836D10" w:rsidRDefault="005F38A6" w:rsidP="006A7377">
            <w:pPr>
              <w:jc w:val="center"/>
              <w:rPr>
                <w:b/>
                <w:bCs/>
                <w:color w:val="000000"/>
                <w:sz w:val="20"/>
                <w:szCs w:val="20"/>
              </w:rPr>
            </w:pPr>
            <w:r w:rsidRPr="00836D10">
              <w:rPr>
                <w:b/>
                <w:bCs/>
                <w:color w:val="000000"/>
                <w:sz w:val="20"/>
                <w:szCs w:val="20"/>
              </w:rPr>
              <w:t>Variación % del PIB</w:t>
            </w:r>
          </w:p>
        </w:tc>
      </w:tr>
      <w:tr w:rsidR="00145862" w:rsidRPr="00836D10" w14:paraId="3C97B32A" w14:textId="77777777" w:rsidTr="00E10104">
        <w:trPr>
          <w:trHeight w:val="233"/>
          <w:jc w:val="center"/>
        </w:trPr>
        <w:tc>
          <w:tcPr>
            <w:tcW w:w="1441" w:type="dxa"/>
            <w:tcBorders>
              <w:top w:val="nil"/>
              <w:left w:val="nil"/>
              <w:bottom w:val="nil"/>
              <w:right w:val="nil"/>
            </w:tcBorders>
            <w:shd w:val="clear" w:color="000000" w:fill="EDEDED"/>
            <w:noWrap/>
            <w:vAlign w:val="bottom"/>
            <w:hideMark/>
          </w:tcPr>
          <w:p w14:paraId="368D718E" w14:textId="77777777" w:rsidR="00145862" w:rsidRPr="00836D10" w:rsidRDefault="00145862" w:rsidP="00145862">
            <w:pPr>
              <w:rPr>
                <w:b/>
                <w:bCs/>
                <w:color w:val="000000"/>
                <w:sz w:val="20"/>
                <w:szCs w:val="20"/>
              </w:rPr>
            </w:pPr>
            <w:r w:rsidRPr="00836D10">
              <w:rPr>
                <w:b/>
                <w:bCs/>
                <w:color w:val="000000"/>
                <w:sz w:val="20"/>
                <w:szCs w:val="20"/>
              </w:rPr>
              <w:t>Total</w:t>
            </w:r>
          </w:p>
        </w:tc>
        <w:tc>
          <w:tcPr>
            <w:tcW w:w="1222" w:type="dxa"/>
            <w:tcBorders>
              <w:top w:val="nil"/>
              <w:left w:val="single" w:sz="4" w:space="0" w:color="auto"/>
              <w:bottom w:val="nil"/>
              <w:right w:val="nil"/>
            </w:tcBorders>
            <w:shd w:val="clear" w:color="000000" w:fill="EDEDED"/>
            <w:noWrap/>
            <w:hideMark/>
          </w:tcPr>
          <w:p w14:paraId="6B4A28A7" w14:textId="548B644F" w:rsidR="00145862" w:rsidRPr="00CC412C" w:rsidRDefault="00145862" w:rsidP="00145862">
            <w:pPr>
              <w:jc w:val="center"/>
              <w:rPr>
                <w:b/>
                <w:bCs/>
                <w:color w:val="000000"/>
                <w:sz w:val="20"/>
                <w:szCs w:val="20"/>
              </w:rPr>
            </w:pPr>
            <w:r w:rsidRPr="00CC412C">
              <w:rPr>
                <w:b/>
                <w:bCs/>
                <w:sz w:val="20"/>
                <w:szCs w:val="20"/>
              </w:rPr>
              <w:t xml:space="preserve">251.4 </w:t>
            </w:r>
          </w:p>
        </w:tc>
        <w:tc>
          <w:tcPr>
            <w:tcW w:w="1223" w:type="dxa"/>
            <w:tcBorders>
              <w:top w:val="nil"/>
              <w:left w:val="nil"/>
              <w:bottom w:val="nil"/>
              <w:right w:val="nil"/>
            </w:tcBorders>
            <w:shd w:val="clear" w:color="000000" w:fill="EDEDED"/>
            <w:noWrap/>
            <w:hideMark/>
          </w:tcPr>
          <w:p w14:paraId="1706873B" w14:textId="0696E037" w:rsidR="00145862" w:rsidRPr="00CC412C" w:rsidRDefault="00145862" w:rsidP="00145862">
            <w:pPr>
              <w:jc w:val="center"/>
              <w:rPr>
                <w:b/>
                <w:bCs/>
                <w:color w:val="000000"/>
                <w:sz w:val="20"/>
                <w:szCs w:val="20"/>
              </w:rPr>
            </w:pPr>
            <w:r w:rsidRPr="00CC412C">
              <w:rPr>
                <w:b/>
                <w:bCs/>
                <w:sz w:val="20"/>
                <w:szCs w:val="20"/>
              </w:rPr>
              <w:t xml:space="preserve">-733.4 </w:t>
            </w:r>
          </w:p>
        </w:tc>
        <w:tc>
          <w:tcPr>
            <w:tcW w:w="1507" w:type="dxa"/>
            <w:tcBorders>
              <w:top w:val="nil"/>
              <w:left w:val="nil"/>
              <w:bottom w:val="nil"/>
              <w:right w:val="nil"/>
            </w:tcBorders>
            <w:shd w:val="clear" w:color="000000" w:fill="EDEDED"/>
            <w:noWrap/>
            <w:hideMark/>
          </w:tcPr>
          <w:p w14:paraId="707E9FF2" w14:textId="401EBE19" w:rsidR="00145862" w:rsidRPr="00CC412C" w:rsidRDefault="00145862" w:rsidP="00145862">
            <w:pPr>
              <w:jc w:val="center"/>
              <w:rPr>
                <w:b/>
                <w:bCs/>
                <w:color w:val="000000"/>
                <w:sz w:val="20"/>
                <w:szCs w:val="20"/>
              </w:rPr>
            </w:pPr>
            <w:r w:rsidRPr="00CC412C">
              <w:rPr>
                <w:b/>
                <w:bCs/>
                <w:sz w:val="20"/>
                <w:szCs w:val="20"/>
              </w:rPr>
              <w:t xml:space="preserve">-984.8 </w:t>
            </w:r>
          </w:p>
        </w:tc>
        <w:tc>
          <w:tcPr>
            <w:tcW w:w="1223" w:type="dxa"/>
            <w:tcBorders>
              <w:top w:val="nil"/>
              <w:left w:val="nil"/>
              <w:bottom w:val="nil"/>
              <w:right w:val="nil"/>
            </w:tcBorders>
            <w:shd w:val="clear" w:color="000000" w:fill="EDEDED"/>
            <w:noWrap/>
            <w:hideMark/>
          </w:tcPr>
          <w:p w14:paraId="44CB0BFD" w14:textId="318A086B" w:rsidR="00145862" w:rsidRPr="00CC412C" w:rsidRDefault="00145862" w:rsidP="00145862">
            <w:pPr>
              <w:jc w:val="center"/>
              <w:rPr>
                <w:b/>
                <w:bCs/>
                <w:color w:val="000000"/>
                <w:sz w:val="20"/>
                <w:szCs w:val="20"/>
              </w:rPr>
            </w:pPr>
            <w:r w:rsidRPr="00CC412C">
              <w:rPr>
                <w:b/>
                <w:bCs/>
                <w:sz w:val="20"/>
                <w:szCs w:val="20"/>
              </w:rPr>
              <w:t>-0.1%</w:t>
            </w:r>
          </w:p>
        </w:tc>
      </w:tr>
      <w:tr w:rsidR="00145862" w:rsidRPr="00836D10" w14:paraId="11C7CCD1" w14:textId="77777777" w:rsidTr="00E10104">
        <w:trPr>
          <w:trHeight w:val="222"/>
          <w:jc w:val="center"/>
        </w:trPr>
        <w:tc>
          <w:tcPr>
            <w:tcW w:w="1441" w:type="dxa"/>
            <w:tcBorders>
              <w:top w:val="nil"/>
              <w:left w:val="nil"/>
              <w:bottom w:val="nil"/>
              <w:right w:val="nil"/>
            </w:tcBorders>
            <w:shd w:val="clear" w:color="auto" w:fill="auto"/>
            <w:noWrap/>
            <w:vAlign w:val="bottom"/>
            <w:hideMark/>
          </w:tcPr>
          <w:p w14:paraId="22C12C53" w14:textId="77777777" w:rsidR="00145862" w:rsidRPr="00836D10" w:rsidRDefault="00145862" w:rsidP="00145862">
            <w:pPr>
              <w:ind w:firstLineChars="100" w:firstLine="200"/>
              <w:rPr>
                <w:color w:val="000000"/>
                <w:sz w:val="20"/>
                <w:szCs w:val="20"/>
              </w:rPr>
            </w:pPr>
            <w:r w:rsidRPr="00836D10">
              <w:rPr>
                <w:color w:val="000000"/>
                <w:sz w:val="20"/>
                <w:szCs w:val="20"/>
              </w:rPr>
              <w:t>Volumen</w:t>
            </w:r>
          </w:p>
        </w:tc>
        <w:tc>
          <w:tcPr>
            <w:tcW w:w="1222" w:type="dxa"/>
            <w:tcBorders>
              <w:top w:val="nil"/>
              <w:left w:val="single" w:sz="4" w:space="0" w:color="auto"/>
              <w:bottom w:val="nil"/>
              <w:right w:val="nil"/>
            </w:tcBorders>
            <w:shd w:val="clear" w:color="auto" w:fill="auto"/>
            <w:noWrap/>
            <w:hideMark/>
          </w:tcPr>
          <w:p w14:paraId="67CE2C5D" w14:textId="02388847" w:rsidR="00145862" w:rsidRPr="00CC412C" w:rsidRDefault="00145862" w:rsidP="00145862">
            <w:pPr>
              <w:jc w:val="center"/>
              <w:rPr>
                <w:color w:val="000000"/>
                <w:sz w:val="20"/>
                <w:szCs w:val="20"/>
              </w:rPr>
            </w:pPr>
            <w:r w:rsidRPr="00CC412C">
              <w:rPr>
                <w:sz w:val="20"/>
                <w:szCs w:val="20"/>
              </w:rPr>
              <w:t xml:space="preserve">78.9 </w:t>
            </w:r>
          </w:p>
        </w:tc>
        <w:tc>
          <w:tcPr>
            <w:tcW w:w="1223" w:type="dxa"/>
            <w:tcBorders>
              <w:top w:val="nil"/>
              <w:left w:val="nil"/>
              <w:bottom w:val="nil"/>
              <w:right w:val="nil"/>
            </w:tcBorders>
            <w:shd w:val="clear" w:color="auto" w:fill="auto"/>
            <w:noWrap/>
            <w:hideMark/>
          </w:tcPr>
          <w:p w14:paraId="6B88DF2C" w14:textId="5C634A72" w:rsidR="00145862" w:rsidRPr="00CC412C" w:rsidRDefault="00145862" w:rsidP="00145862">
            <w:pPr>
              <w:jc w:val="center"/>
              <w:rPr>
                <w:color w:val="000000"/>
                <w:sz w:val="20"/>
                <w:szCs w:val="20"/>
              </w:rPr>
            </w:pPr>
            <w:r w:rsidRPr="00CC412C">
              <w:rPr>
                <w:sz w:val="20"/>
                <w:szCs w:val="20"/>
              </w:rPr>
              <w:t xml:space="preserve">140.8 </w:t>
            </w:r>
          </w:p>
        </w:tc>
        <w:tc>
          <w:tcPr>
            <w:tcW w:w="1507" w:type="dxa"/>
            <w:tcBorders>
              <w:top w:val="nil"/>
              <w:left w:val="nil"/>
              <w:bottom w:val="nil"/>
              <w:right w:val="nil"/>
            </w:tcBorders>
            <w:shd w:val="clear" w:color="auto" w:fill="auto"/>
            <w:noWrap/>
            <w:hideMark/>
          </w:tcPr>
          <w:p w14:paraId="7CE690B1" w14:textId="76FB7A45" w:rsidR="00145862" w:rsidRPr="00CC412C" w:rsidRDefault="00145862" w:rsidP="00145862">
            <w:pPr>
              <w:jc w:val="center"/>
              <w:rPr>
                <w:color w:val="000000"/>
                <w:sz w:val="20"/>
                <w:szCs w:val="20"/>
              </w:rPr>
            </w:pPr>
            <w:r w:rsidRPr="00CC412C">
              <w:rPr>
                <w:sz w:val="20"/>
                <w:szCs w:val="20"/>
              </w:rPr>
              <w:t xml:space="preserve">61.9 </w:t>
            </w:r>
          </w:p>
        </w:tc>
        <w:tc>
          <w:tcPr>
            <w:tcW w:w="1223" w:type="dxa"/>
            <w:tcBorders>
              <w:top w:val="nil"/>
              <w:left w:val="nil"/>
              <w:bottom w:val="nil"/>
              <w:right w:val="nil"/>
            </w:tcBorders>
            <w:shd w:val="clear" w:color="auto" w:fill="auto"/>
            <w:noWrap/>
            <w:hideMark/>
          </w:tcPr>
          <w:p w14:paraId="3449E44A" w14:textId="027C7F34" w:rsidR="00145862" w:rsidRPr="00CC412C" w:rsidRDefault="00145862" w:rsidP="00145862">
            <w:pPr>
              <w:jc w:val="center"/>
              <w:rPr>
                <w:color w:val="000000"/>
                <w:sz w:val="20"/>
                <w:szCs w:val="20"/>
              </w:rPr>
            </w:pPr>
            <w:r w:rsidRPr="00CC412C">
              <w:rPr>
                <w:sz w:val="20"/>
                <w:szCs w:val="20"/>
              </w:rPr>
              <w:t>0.0%</w:t>
            </w:r>
          </w:p>
        </w:tc>
      </w:tr>
      <w:tr w:rsidR="00145862" w:rsidRPr="00836D10" w14:paraId="450C7EDD" w14:textId="77777777" w:rsidTr="00E10104">
        <w:trPr>
          <w:trHeight w:val="222"/>
          <w:jc w:val="center"/>
        </w:trPr>
        <w:tc>
          <w:tcPr>
            <w:tcW w:w="1441" w:type="dxa"/>
            <w:tcBorders>
              <w:top w:val="nil"/>
              <w:left w:val="nil"/>
              <w:bottom w:val="single" w:sz="4" w:space="0" w:color="auto"/>
              <w:right w:val="nil"/>
            </w:tcBorders>
            <w:shd w:val="clear" w:color="auto" w:fill="auto"/>
            <w:noWrap/>
            <w:vAlign w:val="bottom"/>
            <w:hideMark/>
          </w:tcPr>
          <w:p w14:paraId="390930EA" w14:textId="77777777" w:rsidR="00145862" w:rsidRPr="00836D10" w:rsidRDefault="00145862" w:rsidP="00145862">
            <w:pPr>
              <w:ind w:firstLineChars="100" w:firstLine="200"/>
              <w:rPr>
                <w:color w:val="000000"/>
                <w:sz w:val="20"/>
                <w:szCs w:val="20"/>
              </w:rPr>
            </w:pPr>
            <w:r w:rsidRPr="00836D10">
              <w:rPr>
                <w:color w:val="000000"/>
                <w:sz w:val="20"/>
                <w:szCs w:val="20"/>
              </w:rPr>
              <w:t>Precio medio</w:t>
            </w:r>
          </w:p>
        </w:tc>
        <w:tc>
          <w:tcPr>
            <w:tcW w:w="1222" w:type="dxa"/>
            <w:tcBorders>
              <w:top w:val="nil"/>
              <w:left w:val="single" w:sz="4" w:space="0" w:color="auto"/>
              <w:bottom w:val="single" w:sz="4" w:space="0" w:color="auto"/>
              <w:right w:val="nil"/>
            </w:tcBorders>
            <w:shd w:val="clear" w:color="auto" w:fill="auto"/>
            <w:noWrap/>
            <w:hideMark/>
          </w:tcPr>
          <w:p w14:paraId="30A64352" w14:textId="17D52694" w:rsidR="00145862" w:rsidRPr="00CC412C" w:rsidRDefault="00145862" w:rsidP="00145862">
            <w:pPr>
              <w:jc w:val="center"/>
              <w:rPr>
                <w:color w:val="000000"/>
                <w:sz w:val="20"/>
                <w:szCs w:val="20"/>
              </w:rPr>
            </w:pPr>
            <w:r w:rsidRPr="00CC412C">
              <w:rPr>
                <w:sz w:val="20"/>
                <w:szCs w:val="20"/>
              </w:rPr>
              <w:t xml:space="preserve">172.5 </w:t>
            </w:r>
          </w:p>
        </w:tc>
        <w:tc>
          <w:tcPr>
            <w:tcW w:w="1223" w:type="dxa"/>
            <w:tcBorders>
              <w:top w:val="nil"/>
              <w:left w:val="nil"/>
              <w:bottom w:val="single" w:sz="4" w:space="0" w:color="auto"/>
              <w:right w:val="nil"/>
            </w:tcBorders>
            <w:shd w:val="clear" w:color="auto" w:fill="auto"/>
            <w:noWrap/>
            <w:hideMark/>
          </w:tcPr>
          <w:p w14:paraId="7571711C" w14:textId="152885D0" w:rsidR="00145862" w:rsidRPr="00CC412C" w:rsidRDefault="00145862" w:rsidP="00145862">
            <w:pPr>
              <w:jc w:val="center"/>
              <w:rPr>
                <w:color w:val="000000"/>
                <w:sz w:val="20"/>
                <w:szCs w:val="20"/>
              </w:rPr>
            </w:pPr>
            <w:r w:rsidRPr="00CC412C">
              <w:rPr>
                <w:sz w:val="20"/>
                <w:szCs w:val="20"/>
              </w:rPr>
              <w:t xml:space="preserve">-874.2 </w:t>
            </w:r>
          </w:p>
        </w:tc>
        <w:tc>
          <w:tcPr>
            <w:tcW w:w="1507" w:type="dxa"/>
            <w:tcBorders>
              <w:top w:val="nil"/>
              <w:left w:val="nil"/>
              <w:bottom w:val="single" w:sz="4" w:space="0" w:color="auto"/>
              <w:right w:val="nil"/>
            </w:tcBorders>
            <w:shd w:val="clear" w:color="auto" w:fill="auto"/>
            <w:noWrap/>
            <w:hideMark/>
          </w:tcPr>
          <w:p w14:paraId="1C0D3496" w14:textId="42A058B2" w:rsidR="00145862" w:rsidRPr="00CC412C" w:rsidRDefault="00145862" w:rsidP="00145862">
            <w:pPr>
              <w:jc w:val="center"/>
              <w:rPr>
                <w:color w:val="000000"/>
                <w:sz w:val="20"/>
                <w:szCs w:val="20"/>
              </w:rPr>
            </w:pPr>
            <w:r w:rsidRPr="00CC412C">
              <w:rPr>
                <w:sz w:val="20"/>
                <w:szCs w:val="20"/>
              </w:rPr>
              <w:t xml:space="preserve">-1,046.7 </w:t>
            </w:r>
          </w:p>
        </w:tc>
        <w:tc>
          <w:tcPr>
            <w:tcW w:w="1223" w:type="dxa"/>
            <w:tcBorders>
              <w:top w:val="nil"/>
              <w:left w:val="nil"/>
              <w:bottom w:val="single" w:sz="4" w:space="0" w:color="auto"/>
              <w:right w:val="nil"/>
            </w:tcBorders>
            <w:shd w:val="clear" w:color="auto" w:fill="auto"/>
            <w:noWrap/>
            <w:hideMark/>
          </w:tcPr>
          <w:p w14:paraId="41A72A3F" w14:textId="30B85B77" w:rsidR="00145862" w:rsidRPr="00CC412C" w:rsidRDefault="00145862" w:rsidP="00145862">
            <w:pPr>
              <w:jc w:val="center"/>
              <w:rPr>
                <w:color w:val="000000"/>
                <w:sz w:val="20"/>
                <w:szCs w:val="20"/>
              </w:rPr>
            </w:pPr>
            <w:r w:rsidRPr="00CC412C">
              <w:rPr>
                <w:sz w:val="20"/>
                <w:szCs w:val="20"/>
              </w:rPr>
              <w:t>-0.1%</w:t>
            </w:r>
          </w:p>
        </w:tc>
      </w:tr>
    </w:tbl>
    <w:bookmarkEnd w:id="190"/>
    <w:p w14:paraId="0B6BC52C" w14:textId="77777777" w:rsidR="005F38A6" w:rsidRPr="002B0B2B" w:rsidRDefault="005F38A6" w:rsidP="005F38A6">
      <w:pPr>
        <w:jc w:val="both"/>
        <w:rPr>
          <w:sz w:val="16"/>
          <w:szCs w:val="20"/>
        </w:rPr>
      </w:pPr>
      <w:r w:rsidRPr="002B0B2B">
        <w:rPr>
          <w:sz w:val="16"/>
          <w:szCs w:val="20"/>
        </w:rPr>
        <w:t xml:space="preserve">                            </w:t>
      </w:r>
      <w:r>
        <w:rPr>
          <w:sz w:val="16"/>
          <w:szCs w:val="20"/>
        </w:rPr>
        <w:t xml:space="preserve"> Fuente: Ministerio de Finanzas Públicas</w:t>
      </w:r>
    </w:p>
    <w:p w14:paraId="4186C2C8" w14:textId="77777777" w:rsidR="00CC412C" w:rsidRDefault="00CC412C" w:rsidP="005F38A6">
      <w:pPr>
        <w:jc w:val="both"/>
      </w:pPr>
    </w:p>
    <w:p w14:paraId="508555B8" w14:textId="268714DF" w:rsidR="005F38A6" w:rsidRDefault="005F38A6" w:rsidP="005F38A6">
      <w:pPr>
        <w:jc w:val="both"/>
      </w:pPr>
      <w:r>
        <w:t xml:space="preserve">Por lo </w:t>
      </w:r>
      <w:r w:rsidR="000D3804">
        <w:t>tanto</w:t>
      </w:r>
      <w:r>
        <w:t>, se observa que los efectos de una disminución de precios de los derivados del petróleo pueden afectar considerablemente la recaudación tributaria únicamente por la importación de estos productos. No obstante, existen otros mecanismos por los cuales la recaudación es afectada</w:t>
      </w:r>
      <w:r w:rsidRPr="00B83FCC">
        <w:t xml:space="preserve">, </w:t>
      </w:r>
      <w:r>
        <w:t xml:space="preserve">en particular la disminución de </w:t>
      </w:r>
      <w:r w:rsidRPr="00B83FCC">
        <w:t>los costos de transporte</w:t>
      </w:r>
      <w:r>
        <w:t>, que es parte del precio CIF de los bienes importados. Asimismo, la disminución súbita de los precios del crudo regularmente es afectada por situaciones de crisis globales que causan una disminución en la demanda externa, alteran la oferta de otras materias prima y sus precios.</w:t>
      </w:r>
    </w:p>
    <w:p w14:paraId="26366549" w14:textId="77777777" w:rsidR="005F38A6" w:rsidRPr="00DE1D8D" w:rsidRDefault="005F38A6" w:rsidP="005F38A6">
      <w:pPr>
        <w:jc w:val="both"/>
        <w:rPr>
          <w:color w:val="FF0000"/>
        </w:rPr>
      </w:pPr>
    </w:p>
    <w:p w14:paraId="0FD87B83" w14:textId="77777777" w:rsidR="005F38A6" w:rsidRPr="00FD30BC" w:rsidRDefault="005F38A6" w:rsidP="005F07F9">
      <w:pPr>
        <w:pStyle w:val="Ttulo2"/>
        <w:numPr>
          <w:ilvl w:val="1"/>
          <w:numId w:val="35"/>
        </w:numPr>
        <w:ind w:left="426" w:hanging="284"/>
        <w:rPr>
          <w:bCs/>
        </w:rPr>
      </w:pPr>
      <w:bookmarkStart w:id="191" w:name="_Toc79746356"/>
      <w:bookmarkStart w:id="192" w:name="_Toc144114375"/>
      <w:r w:rsidRPr="00FD30BC">
        <w:rPr>
          <w:bCs/>
        </w:rPr>
        <w:t>Riesgos fiscales asociados al surgimiento de las variantes del COVID-19</w:t>
      </w:r>
      <w:bookmarkEnd w:id="191"/>
      <w:bookmarkEnd w:id="192"/>
    </w:p>
    <w:p w14:paraId="7F0709D5" w14:textId="77777777" w:rsidR="005F38A6" w:rsidRDefault="005F38A6" w:rsidP="005F38A6">
      <w:pPr>
        <w:ind w:left="567" w:right="49"/>
        <w:jc w:val="both"/>
        <w:rPr>
          <w:bCs/>
          <w:highlight w:val="lightGray"/>
          <w:lang w:val="es-MX"/>
        </w:rPr>
      </w:pPr>
    </w:p>
    <w:p w14:paraId="4C1127E4" w14:textId="77777777" w:rsidR="005F38A6" w:rsidRDefault="005F38A6" w:rsidP="005F38A6">
      <w:pPr>
        <w:jc w:val="both"/>
      </w:pPr>
      <w:r w:rsidRPr="00D26FF2">
        <w:t>Después de los primeros casos en el 2019 de COVID-19 en Wuhan, China, y de haberse propagado rápidamente a decenas de países en los meses posteriores, la OMS la clasificó como Pandemia en marzo de 2020, teniendo repercusiones en la economía mundial sin precedentes y de haber obligado a los gobiernos a impulsar políticas agresivas para atender las necesidades de la pandemia y reducir el impacto negativo en la economía. Desde 2021, se iniciaron los procesos de vacunación que han permitido junto a las medidas sanitarias de cada país, controlar la evolución de la pandemia y disminuir los riesgos de letalidad, sobre todo en los grupos de población más vulnerables. No obstante, el surgimiento de nuevas cepas que poseen mayor transmisibilidad ha llevado a muchas economías a retomar nuevas medidas de confinamiento que afectan la demanda externa mundial, como lo ha sido el caso de China en 2022. Por lo que en este apartado se analiza el surgimiento de una cepa en 2024 y su impacto en las variables macroeconómicas y fiscales por las medidas de contención de los gobiernos.</w:t>
      </w:r>
    </w:p>
    <w:p w14:paraId="493424E1" w14:textId="77777777" w:rsidR="005F38A6" w:rsidRDefault="005F38A6" w:rsidP="005F38A6">
      <w:pPr>
        <w:jc w:val="both"/>
      </w:pPr>
    </w:p>
    <w:p w14:paraId="081DD9FC" w14:textId="4098481F" w:rsidR="005F38A6" w:rsidRDefault="005F38A6" w:rsidP="005E0AEB">
      <w:pPr>
        <w:jc w:val="both"/>
      </w:pPr>
      <w:r w:rsidRPr="00D26FF2">
        <w:t xml:space="preserve">El avance de la vacunación en 2022 se desaceleró y a mayo de 2023 con una dosis se encontró en 50.0%, además, la última ola de contagio observada fue en diciembre de 2022 y enero de 2023. Por lo que persiste el riesgo de el surgimiento y propagación de nuevas cepas, o de nuevos virus. Para estimar los posibles escenarios macroeconómicos y su impacto fiscal por dichas cepas o virus que lleven al gobierno a implementar medidas de contención en 2024 muy similares a las observadas durante 2020, se siguió de cerca la metodología del Fondo Monetario Internacional de la Prueba de Estrés Fiscal COVID-19 (FST por sus siglas en inglés). Esta metodología consiste en determinar el rigor de las medidas de los gobiernos para contener nuevos brotes del COVID-19 y estimar el efecto adverso en la actividad económica. </w:t>
      </w:r>
    </w:p>
    <w:p w14:paraId="70455631" w14:textId="77777777" w:rsidR="00525665" w:rsidRPr="005E0AEB" w:rsidRDefault="00525665" w:rsidP="005E0AEB">
      <w:pPr>
        <w:jc w:val="both"/>
      </w:pPr>
    </w:p>
    <w:tbl>
      <w:tblPr>
        <w:tblW w:w="0" w:type="auto"/>
        <w:jc w:val="center"/>
        <w:tblLook w:val="04A0" w:firstRow="1" w:lastRow="0" w:firstColumn="1" w:lastColumn="0" w:noHBand="0" w:noVBand="1"/>
      </w:tblPr>
      <w:tblGrid>
        <w:gridCol w:w="4184"/>
        <w:gridCol w:w="4184"/>
      </w:tblGrid>
      <w:tr w:rsidR="005F38A6" w14:paraId="0984991D" w14:textId="77777777" w:rsidTr="002B4A97">
        <w:trPr>
          <w:trHeight w:val="2524"/>
          <w:jc w:val="center"/>
        </w:trPr>
        <w:tc>
          <w:tcPr>
            <w:tcW w:w="4184" w:type="dxa"/>
          </w:tcPr>
          <w:p w14:paraId="49DFEBAD" w14:textId="38EA10FF" w:rsidR="002B4A97" w:rsidRPr="002B4A97" w:rsidRDefault="002B4A97" w:rsidP="00752A7C">
            <w:pPr>
              <w:pStyle w:val="Descripcin"/>
              <w:rPr>
                <w:color w:val="auto"/>
                <w:sz w:val="22"/>
                <w:szCs w:val="22"/>
              </w:rPr>
            </w:pPr>
            <w:bookmarkStart w:id="193" w:name="_Toc143593582"/>
            <w:r w:rsidRPr="002B4A97">
              <w:rPr>
                <w:color w:val="auto"/>
                <w:sz w:val="22"/>
                <w:szCs w:val="22"/>
              </w:rPr>
              <w:lastRenderedPageBreak/>
              <w:t xml:space="preserve">Gráfico </w:t>
            </w:r>
            <w:r w:rsidRPr="002B4A97">
              <w:rPr>
                <w:color w:val="auto"/>
                <w:sz w:val="22"/>
                <w:szCs w:val="22"/>
              </w:rPr>
              <w:fldChar w:fldCharType="begin"/>
            </w:r>
            <w:r w:rsidRPr="002B4A97">
              <w:rPr>
                <w:color w:val="auto"/>
                <w:sz w:val="22"/>
                <w:szCs w:val="22"/>
              </w:rPr>
              <w:instrText xml:space="preserve"> SEQ Gráfico \* ARABIC </w:instrText>
            </w:r>
            <w:r w:rsidRPr="002B4A97">
              <w:rPr>
                <w:color w:val="auto"/>
                <w:sz w:val="22"/>
                <w:szCs w:val="22"/>
              </w:rPr>
              <w:fldChar w:fldCharType="separate"/>
            </w:r>
            <w:r w:rsidR="00A62AFA">
              <w:rPr>
                <w:noProof/>
                <w:color w:val="auto"/>
                <w:sz w:val="22"/>
                <w:szCs w:val="22"/>
              </w:rPr>
              <w:t>24</w:t>
            </w:r>
            <w:r w:rsidRPr="002B4A97">
              <w:rPr>
                <w:color w:val="auto"/>
                <w:sz w:val="22"/>
                <w:szCs w:val="22"/>
              </w:rPr>
              <w:fldChar w:fldCharType="end"/>
            </w:r>
            <w:r w:rsidRPr="002B4A97">
              <w:rPr>
                <w:color w:val="auto"/>
                <w:sz w:val="22"/>
                <w:szCs w:val="22"/>
              </w:rPr>
              <w:t xml:space="preserve">. </w:t>
            </w:r>
            <w:r w:rsidRPr="002B4A97">
              <w:rPr>
                <w:bCs/>
                <w:color w:val="auto"/>
                <w:sz w:val="22"/>
                <w:szCs w:val="22"/>
              </w:rPr>
              <w:t>Población vacunada con primera dosis como proporción del total.</w:t>
            </w:r>
            <w:bookmarkEnd w:id="193"/>
          </w:p>
          <w:p w14:paraId="7C404DD1" w14:textId="4656B87D" w:rsidR="005F38A6" w:rsidRPr="00E35991" w:rsidRDefault="002B4A97" w:rsidP="00752A7C">
            <w:pPr>
              <w:jc w:val="center"/>
              <w:rPr>
                <w:bCs/>
              </w:rPr>
            </w:pPr>
            <w:r>
              <w:rPr>
                <w:noProof/>
              </w:rPr>
              <w:drawing>
                <wp:inline distT="0" distB="0" distL="0" distR="0" wp14:anchorId="07F06ADB" wp14:editId="16D08CEE">
                  <wp:extent cx="2519680" cy="1651379"/>
                  <wp:effectExtent l="0" t="0" r="0" b="6350"/>
                  <wp:docPr id="27" name="Gráfico 27">
                    <a:extLst xmlns:a="http://schemas.openxmlformats.org/drawingml/2006/main">
                      <a:ext uri="{FF2B5EF4-FFF2-40B4-BE49-F238E27FC236}">
                        <a16:creationId xmlns:a16="http://schemas.microsoft.com/office/drawing/2014/main" id="{E6D55D45-ACB5-4B14-99A8-7C6B063ED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184" w:type="dxa"/>
          </w:tcPr>
          <w:p w14:paraId="49F650BF" w14:textId="2F087DBA" w:rsidR="005F38A6" w:rsidRPr="002B4A97" w:rsidRDefault="005F38A6" w:rsidP="00752A7C">
            <w:pPr>
              <w:jc w:val="center"/>
              <w:rPr>
                <w:b/>
              </w:rPr>
            </w:pPr>
            <w:r w:rsidRPr="002B4A97">
              <w:rPr>
                <w:b/>
                <w:sz w:val="22"/>
                <w:szCs w:val="22"/>
              </w:rPr>
              <w:t>Casos nuevos confirmados por mes de COVID-19</w:t>
            </w:r>
            <w:r w:rsidR="002B4A97">
              <w:rPr>
                <w:noProof/>
              </w:rPr>
              <w:drawing>
                <wp:inline distT="0" distB="0" distL="0" distR="0" wp14:anchorId="4404E399" wp14:editId="6B929A8A">
                  <wp:extent cx="2519680" cy="1651000"/>
                  <wp:effectExtent l="0" t="0" r="0" b="6350"/>
                  <wp:docPr id="14" name="Gráfico 14">
                    <a:extLst xmlns:a="http://schemas.openxmlformats.org/drawingml/2006/main">
                      <a:ext uri="{FF2B5EF4-FFF2-40B4-BE49-F238E27FC236}">
                        <a16:creationId xmlns:a16="http://schemas.microsoft.com/office/drawing/2014/main" id="{32F25B92-8C8F-4134-8823-FA748C5E5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5F38A6" w14:paraId="75F0FFDD" w14:textId="77777777" w:rsidTr="002B4A97">
        <w:trPr>
          <w:trHeight w:val="42"/>
          <w:jc w:val="center"/>
        </w:trPr>
        <w:tc>
          <w:tcPr>
            <w:tcW w:w="8368" w:type="dxa"/>
            <w:gridSpan w:val="2"/>
          </w:tcPr>
          <w:p w14:paraId="6A310746" w14:textId="77777777" w:rsidR="005F38A6" w:rsidRDefault="005F38A6" w:rsidP="006A7377">
            <w:r w:rsidRPr="00E35991">
              <w:rPr>
                <w:sz w:val="18"/>
                <w:szCs w:val="18"/>
              </w:rPr>
              <w:t xml:space="preserve">Fuente: </w:t>
            </w:r>
            <w:proofErr w:type="spellStart"/>
            <w:r w:rsidRPr="00E35991">
              <w:rPr>
                <w:sz w:val="18"/>
                <w:szCs w:val="18"/>
              </w:rPr>
              <w:t>Ourl</w:t>
            </w:r>
            <w:proofErr w:type="spellEnd"/>
            <w:r w:rsidRPr="00E35991">
              <w:rPr>
                <w:sz w:val="18"/>
                <w:szCs w:val="18"/>
              </w:rPr>
              <w:t xml:space="preserve"> </w:t>
            </w:r>
            <w:proofErr w:type="spellStart"/>
            <w:r w:rsidRPr="00E35991">
              <w:rPr>
                <w:sz w:val="18"/>
                <w:szCs w:val="18"/>
              </w:rPr>
              <w:t>World</w:t>
            </w:r>
            <w:proofErr w:type="spellEnd"/>
            <w:r w:rsidRPr="00E35991">
              <w:rPr>
                <w:sz w:val="18"/>
                <w:szCs w:val="18"/>
              </w:rPr>
              <w:t xml:space="preserve"> in Data</w:t>
            </w:r>
            <w:r>
              <w:rPr>
                <w:sz w:val="18"/>
                <w:szCs w:val="18"/>
              </w:rPr>
              <w:t xml:space="preserve"> y para Guatemala del</w:t>
            </w:r>
            <w:r w:rsidRPr="00E35991">
              <w:rPr>
                <w:sz w:val="18"/>
                <w:szCs w:val="18"/>
              </w:rPr>
              <w:t xml:space="preserve"> Ministerio de Salud Pública y datos poblacionales para del Instituto Nacional de Estadística de 2021</w:t>
            </w:r>
            <w:r>
              <w:rPr>
                <w:sz w:val="18"/>
                <w:szCs w:val="18"/>
              </w:rPr>
              <w:t>.</w:t>
            </w:r>
          </w:p>
        </w:tc>
      </w:tr>
    </w:tbl>
    <w:p w14:paraId="421566E4" w14:textId="77777777" w:rsidR="00105A46" w:rsidRDefault="00105A46" w:rsidP="005F38A6">
      <w:pPr>
        <w:jc w:val="both"/>
      </w:pPr>
    </w:p>
    <w:p w14:paraId="182388F0" w14:textId="7327347C" w:rsidR="005F38A6" w:rsidRPr="00D26FF2" w:rsidRDefault="005F38A6" w:rsidP="005F38A6">
      <w:pPr>
        <w:jc w:val="both"/>
      </w:pPr>
      <w:r w:rsidRPr="00D26FF2">
        <w:t>El índice de rigor de OXFORD (</w:t>
      </w:r>
      <w:proofErr w:type="spellStart"/>
      <w:r w:rsidRPr="00D26FF2">
        <w:t>stringency</w:t>
      </w:r>
      <w:proofErr w:type="spellEnd"/>
      <w:r w:rsidRPr="00D26FF2">
        <w:t xml:space="preserve"> índex) mide el nivel de rigurosidad en las medidas de respuesta para contener la propagación de la pandemia por parte de los gobiernos, mientras mayor es el índice más estrictas son las medidas. El índice se calcula en base a nueve métricas, entre las cuales se encuentran: el cierre de escuelas, el cierre de espacios de trabajo, cierre de transporte, entre otras. Estas medidas afectan la demanda interna y el hecho que los socios comerciales también tengan sus propias restricciones afectan la demanda externa lo que se traduce en una disminución en el crecimiento económico. El índice de rigor para Guatemala fue en promedio de 78.0 de marzo a diciembre del 2020 y el crecimiento económico fue de -1.8%, dicho resultado muestra que a pesar de que se tuvo un índice de rigor relativamente alto con respecto a otros países, debido a la resiliencia del país por la respuesta coordinada de las políticas sanitarias, monetarias y fiscales, además de la resiliencia de las remesas familiares en dicho año.</w:t>
      </w:r>
    </w:p>
    <w:p w14:paraId="26492EEA" w14:textId="77777777" w:rsidR="005F38A6" w:rsidRPr="00264257" w:rsidRDefault="005F38A6" w:rsidP="005F38A6">
      <w:pPr>
        <w:jc w:val="center"/>
        <w:rPr>
          <w:b/>
          <w:bCs/>
        </w:rPr>
      </w:pPr>
    </w:p>
    <w:tbl>
      <w:tblPr>
        <w:tblW w:w="0" w:type="auto"/>
        <w:jc w:val="center"/>
        <w:tblLook w:val="04A0" w:firstRow="1" w:lastRow="0" w:firstColumn="1" w:lastColumn="0" w:noHBand="0" w:noVBand="1"/>
      </w:tblPr>
      <w:tblGrid>
        <w:gridCol w:w="4675"/>
        <w:gridCol w:w="4163"/>
      </w:tblGrid>
      <w:tr w:rsidR="005F38A6" w:rsidRPr="00264257" w14:paraId="259C1BAD" w14:textId="77777777" w:rsidTr="006A7377">
        <w:trPr>
          <w:jc w:val="center"/>
        </w:trPr>
        <w:tc>
          <w:tcPr>
            <w:tcW w:w="4698" w:type="dxa"/>
          </w:tcPr>
          <w:p w14:paraId="609984AC" w14:textId="450C9853" w:rsidR="005F38A6" w:rsidRPr="002B4A97" w:rsidRDefault="002B4A97" w:rsidP="002B4A97">
            <w:pPr>
              <w:pStyle w:val="Descripcin"/>
              <w:rPr>
                <w:b w:val="0"/>
                <w:color w:val="auto"/>
              </w:rPr>
            </w:pPr>
            <w:bookmarkStart w:id="194" w:name="_Toc143593583"/>
            <w:r w:rsidRPr="002B4A97">
              <w:rPr>
                <w:color w:val="auto"/>
              </w:rPr>
              <w:t xml:space="preserve">Gráfico </w:t>
            </w:r>
            <w:r w:rsidRPr="002B4A97">
              <w:rPr>
                <w:color w:val="auto"/>
              </w:rPr>
              <w:fldChar w:fldCharType="begin"/>
            </w:r>
            <w:r w:rsidRPr="002B4A97">
              <w:rPr>
                <w:color w:val="auto"/>
              </w:rPr>
              <w:instrText xml:space="preserve"> SEQ Gráfico \* ARABIC </w:instrText>
            </w:r>
            <w:r w:rsidRPr="002B4A97">
              <w:rPr>
                <w:color w:val="auto"/>
              </w:rPr>
              <w:fldChar w:fldCharType="separate"/>
            </w:r>
            <w:r w:rsidR="00A62AFA">
              <w:rPr>
                <w:noProof/>
                <w:color w:val="auto"/>
              </w:rPr>
              <w:t>25</w:t>
            </w:r>
            <w:r w:rsidRPr="002B4A97">
              <w:rPr>
                <w:color w:val="auto"/>
              </w:rPr>
              <w:fldChar w:fldCharType="end"/>
            </w:r>
            <w:r w:rsidRPr="002B4A97">
              <w:rPr>
                <w:color w:val="auto"/>
              </w:rPr>
              <w:t>. Crecimiento económico en 2020 e índice de rigor promedio</w:t>
            </w:r>
            <w:bookmarkEnd w:id="194"/>
          </w:p>
          <w:p w14:paraId="7C83A721" w14:textId="77777777" w:rsidR="005F38A6" w:rsidRPr="004A12A1" w:rsidRDefault="005F38A6" w:rsidP="002B4A97">
            <w:pPr>
              <w:jc w:val="center"/>
              <w:rPr>
                <w:bCs/>
              </w:rPr>
            </w:pPr>
            <w:r w:rsidRPr="004A12A1">
              <w:rPr>
                <w:bCs/>
                <w:sz w:val="22"/>
                <w:szCs w:val="22"/>
              </w:rPr>
              <w:t>(marzo-diciembre)</w:t>
            </w:r>
          </w:p>
        </w:tc>
        <w:tc>
          <w:tcPr>
            <w:tcW w:w="4697" w:type="dxa"/>
          </w:tcPr>
          <w:p w14:paraId="61AF855D" w14:textId="6A6D54B6" w:rsidR="005F38A6" w:rsidRPr="004A12A1" w:rsidRDefault="002B4A97" w:rsidP="002B4A97">
            <w:pPr>
              <w:pStyle w:val="Descripcin"/>
              <w:rPr>
                <w:b w:val="0"/>
              </w:rPr>
            </w:pPr>
            <w:bookmarkStart w:id="195" w:name="_Toc143593584"/>
            <w:r w:rsidRPr="002B4A97">
              <w:rPr>
                <w:color w:val="auto"/>
              </w:rPr>
              <w:t xml:space="preserve">Gráfico </w:t>
            </w:r>
            <w:r w:rsidRPr="002B4A97">
              <w:rPr>
                <w:color w:val="auto"/>
              </w:rPr>
              <w:fldChar w:fldCharType="begin"/>
            </w:r>
            <w:r w:rsidRPr="002B4A97">
              <w:rPr>
                <w:color w:val="auto"/>
              </w:rPr>
              <w:instrText xml:space="preserve"> SEQ Gráfico \* ARABIC </w:instrText>
            </w:r>
            <w:r w:rsidRPr="002B4A97">
              <w:rPr>
                <w:color w:val="auto"/>
              </w:rPr>
              <w:fldChar w:fldCharType="separate"/>
            </w:r>
            <w:r w:rsidR="00A62AFA">
              <w:rPr>
                <w:noProof/>
                <w:color w:val="auto"/>
              </w:rPr>
              <w:t>26</w:t>
            </w:r>
            <w:r w:rsidRPr="002B4A97">
              <w:rPr>
                <w:color w:val="auto"/>
              </w:rPr>
              <w:fldChar w:fldCharType="end"/>
            </w:r>
            <w:r w:rsidRPr="002B4A97">
              <w:rPr>
                <w:color w:val="auto"/>
              </w:rPr>
              <w:t>. Índice de rigor para Guatemala</w:t>
            </w:r>
            <w:bookmarkEnd w:id="195"/>
          </w:p>
        </w:tc>
      </w:tr>
      <w:tr w:rsidR="005F38A6" w14:paraId="271323A4" w14:textId="77777777" w:rsidTr="006A7377">
        <w:tblPrEx>
          <w:tblCellMar>
            <w:left w:w="70" w:type="dxa"/>
            <w:right w:w="70" w:type="dxa"/>
          </w:tblCellMar>
        </w:tblPrEx>
        <w:trPr>
          <w:jc w:val="center"/>
        </w:trPr>
        <w:tc>
          <w:tcPr>
            <w:tcW w:w="4698" w:type="dxa"/>
          </w:tcPr>
          <w:p w14:paraId="70DE7BFC" w14:textId="77777777" w:rsidR="005F38A6" w:rsidRPr="006F6AD4" w:rsidRDefault="005F38A6" w:rsidP="006A7377">
            <w:pPr>
              <w:rPr>
                <w:lang w:val="es-MX"/>
              </w:rPr>
            </w:pPr>
            <w:r>
              <w:rPr>
                <w:noProof/>
              </w:rPr>
              <w:drawing>
                <wp:inline distT="0" distB="0" distL="0" distR="0" wp14:anchorId="31C8B0FC" wp14:editId="620FBB05">
                  <wp:extent cx="2880000" cy="1440000"/>
                  <wp:effectExtent l="0" t="0" r="0" b="8255"/>
                  <wp:docPr id="28" name="Gráfico 28">
                    <a:extLst xmlns:a="http://schemas.openxmlformats.org/drawingml/2006/main">
                      <a:ext uri="{FF2B5EF4-FFF2-40B4-BE49-F238E27FC236}">
                        <a16:creationId xmlns:a16="http://schemas.microsoft.com/office/drawing/2014/main" id="{F6AEC7A8-DAA9-4DA1-9B53-7DAFBE865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697" w:type="dxa"/>
          </w:tcPr>
          <w:p w14:paraId="22475EF8" w14:textId="77777777" w:rsidR="005F38A6" w:rsidRDefault="005F38A6" w:rsidP="006A7377">
            <w:pPr>
              <w:ind w:right="49"/>
              <w:rPr>
                <w:bCs/>
                <w:lang w:val="es-MX"/>
              </w:rPr>
            </w:pPr>
            <w:r>
              <w:rPr>
                <w:noProof/>
              </w:rPr>
              <w:drawing>
                <wp:inline distT="0" distB="0" distL="0" distR="0" wp14:anchorId="0D1BA57F" wp14:editId="46602A14">
                  <wp:extent cx="2520000" cy="1440000"/>
                  <wp:effectExtent l="0" t="0" r="0" b="8255"/>
                  <wp:docPr id="31" name="Gráfico 31">
                    <a:extLst xmlns:a="http://schemas.openxmlformats.org/drawingml/2006/main">
                      <a:ext uri="{FF2B5EF4-FFF2-40B4-BE49-F238E27FC236}">
                        <a16:creationId xmlns:a16="http://schemas.microsoft.com/office/drawing/2014/main" id="{39A5BE5C-2884-47DB-B969-6382686EC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5F38A6" w:rsidRPr="002B4A97" w14:paraId="6F0C2DB5" w14:textId="77777777" w:rsidTr="006A7377">
        <w:trPr>
          <w:jc w:val="center"/>
        </w:trPr>
        <w:tc>
          <w:tcPr>
            <w:tcW w:w="9395" w:type="dxa"/>
            <w:gridSpan w:val="2"/>
          </w:tcPr>
          <w:p w14:paraId="244B125D" w14:textId="77777777" w:rsidR="005F38A6" w:rsidRPr="002B4A97" w:rsidRDefault="005F38A6" w:rsidP="006A7377">
            <w:pPr>
              <w:ind w:right="49"/>
              <w:jc w:val="both"/>
              <w:rPr>
                <w:bCs/>
                <w:sz w:val="16"/>
                <w:szCs w:val="16"/>
                <w:lang w:val="es-MX"/>
              </w:rPr>
            </w:pPr>
            <w:r w:rsidRPr="002B4A97">
              <w:rPr>
                <w:bCs/>
                <w:sz w:val="16"/>
                <w:szCs w:val="16"/>
                <w:lang w:val="es-MX"/>
              </w:rPr>
              <w:t xml:space="preserve">Fuente: FMI para el crecimiento económico y </w:t>
            </w:r>
            <w:proofErr w:type="spellStart"/>
            <w:r w:rsidRPr="002B4A97">
              <w:rPr>
                <w:bCs/>
                <w:sz w:val="16"/>
                <w:szCs w:val="16"/>
                <w:lang w:val="es-MX"/>
              </w:rPr>
              <w:t>Ourworld</w:t>
            </w:r>
            <w:proofErr w:type="spellEnd"/>
            <w:r w:rsidRPr="002B4A97">
              <w:rPr>
                <w:bCs/>
                <w:sz w:val="16"/>
                <w:szCs w:val="16"/>
                <w:lang w:val="es-MX"/>
              </w:rPr>
              <w:t xml:space="preserve"> in Data para el índice de rigor</w:t>
            </w:r>
          </w:p>
        </w:tc>
      </w:tr>
    </w:tbl>
    <w:p w14:paraId="10702B64" w14:textId="77777777" w:rsidR="000D3804" w:rsidRDefault="000D3804" w:rsidP="005F38A6">
      <w:pPr>
        <w:jc w:val="both"/>
      </w:pPr>
    </w:p>
    <w:p w14:paraId="2D7208D3" w14:textId="2AD38A5F" w:rsidR="005F38A6" w:rsidRPr="00D26FF2" w:rsidRDefault="005F38A6" w:rsidP="005F38A6">
      <w:pPr>
        <w:jc w:val="both"/>
      </w:pPr>
      <w:r w:rsidRPr="00D26FF2">
        <w:t xml:space="preserve">Con el propósito de determinar el impacto del nivel del índice de rigor en la actividad económica para 2024, se estimó la respuesta de cada actividad económica (a través de parámetros) dado diferentes niveles en el índice de rigor con respecto al escenario base proyectado para dicho año, el cual es congruente con el escenario bajo previsto por el Banco de Guatemala. Para calcular los valores de los parámetros se tomó como base el efecto negativo en la economía originado por la pandemia en 2020 y se realizó un comparativo con </w:t>
      </w:r>
      <w:r w:rsidRPr="00D26FF2">
        <w:lastRenderedPageBreak/>
        <w:t>respecto al desempeño por actividad económica previo a la pandemia y se determinó la sensibilidad de cada uno.</w:t>
      </w:r>
    </w:p>
    <w:p w14:paraId="0AC95721" w14:textId="77777777" w:rsidR="005F38A6" w:rsidRPr="00D26FF2" w:rsidRDefault="005F38A6" w:rsidP="005F38A6">
      <w:pPr>
        <w:jc w:val="both"/>
      </w:pPr>
    </w:p>
    <w:p w14:paraId="6920439C" w14:textId="77777777" w:rsidR="005F38A6" w:rsidRDefault="005F38A6" w:rsidP="005F38A6">
      <w:pPr>
        <w:jc w:val="both"/>
      </w:pPr>
      <w:r w:rsidRPr="00D26FF2">
        <w:t>Con los elementos anteriores se realizaron dos escenarios, en el primero se simuló una situación en el cual el índice toma un valor de 60.0 tomando en cuenta que las medidas de confinamiento son mayores que las implementadas en 2022, y en la segunda el índice se estima muy similar al observado en 2020 con un valor de 80.0 ya que las medidas de confinamiento serán igualmente severas. No obstante, se prevé un menor impacto de estas medidas con respecto el 2020, debido a los avances en la vacunación y debido a la experiencia de los agentes económicos a adaptarse a los mecanismos sanitarios propuestos por el Gobierno para contener la propagación del COVID-19.</w:t>
      </w:r>
    </w:p>
    <w:p w14:paraId="15CEA179" w14:textId="77777777" w:rsidR="005F38A6" w:rsidRDefault="005F38A6" w:rsidP="005F38A6">
      <w:pPr>
        <w:jc w:val="both"/>
      </w:pPr>
    </w:p>
    <w:p w14:paraId="7E8F7992" w14:textId="77777777" w:rsidR="002B4A97" w:rsidRPr="004A12A1" w:rsidRDefault="002B4A97" w:rsidP="005F38A6">
      <w:pPr>
        <w:jc w:val="both"/>
        <w:rPr>
          <w:b/>
          <w:bCs/>
        </w:rPr>
      </w:pPr>
    </w:p>
    <w:tbl>
      <w:tblPr>
        <w:tblW w:w="0" w:type="auto"/>
        <w:jc w:val="center"/>
        <w:tblLook w:val="04A0" w:firstRow="1" w:lastRow="0" w:firstColumn="1" w:lastColumn="0" w:noHBand="0" w:noVBand="1"/>
      </w:tblPr>
      <w:tblGrid>
        <w:gridCol w:w="8838"/>
      </w:tblGrid>
      <w:tr w:rsidR="005F38A6" w:rsidRPr="004A12A1" w14:paraId="765C2658" w14:textId="77777777" w:rsidTr="002B4A97">
        <w:trPr>
          <w:trHeight w:val="154"/>
          <w:jc w:val="center"/>
        </w:trPr>
        <w:tc>
          <w:tcPr>
            <w:tcW w:w="9030" w:type="dxa"/>
            <w:shd w:val="clear" w:color="auto" w:fill="auto"/>
          </w:tcPr>
          <w:p w14:paraId="56C59E71" w14:textId="3E19B5AE" w:rsidR="005F38A6" w:rsidRPr="002B4A97" w:rsidRDefault="002B4A97" w:rsidP="002B4A97">
            <w:pPr>
              <w:pStyle w:val="Descripcin"/>
              <w:keepNext/>
              <w:rPr>
                <w:color w:val="auto"/>
              </w:rPr>
            </w:pPr>
            <w:bookmarkStart w:id="196" w:name="_Toc143593528"/>
            <w:r w:rsidRPr="002B4A97">
              <w:rPr>
                <w:color w:val="auto"/>
              </w:rPr>
              <w:t xml:space="preserve">Tabla </w:t>
            </w:r>
            <w:r w:rsidRPr="002B4A97">
              <w:rPr>
                <w:color w:val="auto"/>
              </w:rPr>
              <w:fldChar w:fldCharType="begin"/>
            </w:r>
            <w:r w:rsidRPr="002B4A97">
              <w:rPr>
                <w:color w:val="auto"/>
              </w:rPr>
              <w:instrText xml:space="preserve"> SEQ Tabla \* ARABIC </w:instrText>
            </w:r>
            <w:r w:rsidRPr="002B4A97">
              <w:rPr>
                <w:color w:val="auto"/>
              </w:rPr>
              <w:fldChar w:fldCharType="separate"/>
            </w:r>
            <w:r w:rsidR="00A62AFA">
              <w:rPr>
                <w:noProof/>
                <w:color w:val="auto"/>
              </w:rPr>
              <w:t>26</w:t>
            </w:r>
            <w:r w:rsidRPr="002B4A97">
              <w:rPr>
                <w:color w:val="auto"/>
              </w:rPr>
              <w:fldChar w:fldCharType="end"/>
            </w:r>
            <w:r w:rsidRPr="002B4A97">
              <w:rPr>
                <w:color w:val="auto"/>
              </w:rPr>
              <w:t xml:space="preserve">.  </w:t>
            </w:r>
            <w:r w:rsidR="005F38A6" w:rsidRPr="002B4A97">
              <w:rPr>
                <w:bCs/>
                <w:color w:val="auto"/>
                <w:szCs w:val="32"/>
                <w:lang w:val="es-MX"/>
              </w:rPr>
              <w:t>Respuesta de las actividades económica en base al índice de rigor en 2024</w:t>
            </w:r>
            <w:bookmarkEnd w:id="196"/>
          </w:p>
        </w:tc>
      </w:tr>
      <w:tr w:rsidR="005F38A6" w:rsidRPr="00110472" w14:paraId="27948A5B" w14:textId="77777777" w:rsidTr="002B4A97">
        <w:trPr>
          <w:trHeight w:val="2449"/>
          <w:jc w:val="center"/>
        </w:trPr>
        <w:tc>
          <w:tcPr>
            <w:tcW w:w="9030" w:type="dxa"/>
          </w:tcPr>
          <w:p w14:paraId="4838013E" w14:textId="77777777" w:rsidR="005F38A6" w:rsidRPr="00FF4E28" w:rsidRDefault="005F38A6" w:rsidP="002B4A97">
            <w:pPr>
              <w:tabs>
                <w:tab w:val="left" w:pos="1360"/>
              </w:tabs>
              <w:jc w:val="center"/>
            </w:pPr>
            <w:r w:rsidRPr="00824D01">
              <w:rPr>
                <w:noProof/>
              </w:rPr>
              <w:drawing>
                <wp:inline distT="0" distB="0" distL="0" distR="0" wp14:anchorId="7D6DEC9D" wp14:editId="75E76385">
                  <wp:extent cx="4701178" cy="2934269"/>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48429" cy="2963761"/>
                          </a:xfrm>
                          <a:prstGeom prst="rect">
                            <a:avLst/>
                          </a:prstGeom>
                          <a:noFill/>
                          <a:ln>
                            <a:noFill/>
                          </a:ln>
                        </pic:spPr>
                      </pic:pic>
                    </a:graphicData>
                  </a:graphic>
                </wp:inline>
              </w:drawing>
            </w:r>
          </w:p>
        </w:tc>
      </w:tr>
      <w:tr w:rsidR="005F38A6" w14:paraId="13546AC7" w14:textId="77777777" w:rsidTr="002B4A97">
        <w:trPr>
          <w:trHeight w:val="104"/>
          <w:jc w:val="center"/>
        </w:trPr>
        <w:tc>
          <w:tcPr>
            <w:tcW w:w="9030" w:type="dxa"/>
          </w:tcPr>
          <w:p w14:paraId="088C8EF1" w14:textId="7F2A6855" w:rsidR="005F38A6" w:rsidRPr="00FF4E28" w:rsidRDefault="005F38A6" w:rsidP="006A7377">
            <w:pPr>
              <w:ind w:right="49"/>
              <w:jc w:val="both"/>
              <w:rPr>
                <w:bCs/>
                <w:sz w:val="16"/>
                <w:lang w:val="es-MX"/>
              </w:rPr>
            </w:pPr>
            <w:r>
              <w:rPr>
                <w:bCs/>
                <w:sz w:val="16"/>
                <w:lang w:val="es-MX"/>
              </w:rPr>
              <w:t xml:space="preserve">              </w:t>
            </w:r>
            <w:r w:rsidR="002B4A97">
              <w:rPr>
                <w:bCs/>
                <w:sz w:val="16"/>
                <w:lang w:val="es-MX"/>
              </w:rPr>
              <w:t xml:space="preserve">              </w:t>
            </w:r>
            <w:r>
              <w:rPr>
                <w:bCs/>
                <w:sz w:val="16"/>
                <w:lang w:val="es-MX"/>
              </w:rPr>
              <w:t xml:space="preserve"> </w:t>
            </w:r>
            <w:r w:rsidRPr="00FF4E28">
              <w:rPr>
                <w:bCs/>
                <w:sz w:val="16"/>
                <w:lang w:val="es-MX"/>
              </w:rPr>
              <w:t xml:space="preserve">Fuente: Dirección de Análisis y Política Fiscal </w:t>
            </w:r>
          </w:p>
        </w:tc>
      </w:tr>
    </w:tbl>
    <w:p w14:paraId="289102C0" w14:textId="77777777" w:rsidR="005F38A6" w:rsidRPr="00D26FF2" w:rsidRDefault="005F38A6" w:rsidP="005F38A6">
      <w:pPr>
        <w:jc w:val="both"/>
      </w:pPr>
    </w:p>
    <w:p w14:paraId="5E234AE7" w14:textId="77777777" w:rsidR="005F38A6" w:rsidRPr="00D26FF2" w:rsidRDefault="005F38A6" w:rsidP="005F38A6">
      <w:pPr>
        <w:jc w:val="both"/>
      </w:pPr>
      <w:r w:rsidRPr="00D26FF2">
        <w:t>De esa cuenta, se puede observar que la agricultura, ganadería, silvicultura y pesca tienen un efecto positivo al aumentar las medidas de contención a nivel interno y externo porque la elasticidad con respecto al ingreso de los bienes de agricultura es baja. La actividad más afectada son las actividades de alojamiento y servicio de comida debido a las restricciones que afectan el turismo interno y externo. Asimismo, las actividades de transporte y almacenamiento son perjudicadas por las restricciones que afectan la movilidad y las actividades de servicios y el sector de la construcción, por los cambios en los patrones de consumo e inversión. Por lo que, tomando un escenario base en el cual la economía crece 2.5% en el 2024, dada las respuestas de las actividades económicas, el producto interno bruto se contrae aproximadamente 1.2% y 0.1% con un índice de rigor promedio de 60.0 y 80.0 respectivamente.</w:t>
      </w:r>
    </w:p>
    <w:p w14:paraId="0AFD60E1" w14:textId="77777777" w:rsidR="005F38A6" w:rsidRPr="00784F8A" w:rsidRDefault="005F38A6" w:rsidP="005F38A6">
      <w:pPr>
        <w:ind w:right="49"/>
        <w:jc w:val="both"/>
        <w:rPr>
          <w:bCs/>
          <w:lang w:val="es-MX"/>
        </w:rPr>
      </w:pPr>
    </w:p>
    <w:p w14:paraId="357A4CDD" w14:textId="77777777" w:rsidR="005F38A6" w:rsidRPr="00D26FF2" w:rsidRDefault="005F38A6" w:rsidP="005F38A6">
      <w:pPr>
        <w:jc w:val="both"/>
      </w:pPr>
      <w:r w:rsidRPr="00D26FF2">
        <w:t xml:space="preserve">Para medir el impacto de estos escenarios del PIB real en la recaudación tributaria, fue necesario pronosticar también las posibles trayectorias de las importaciones FOB y del </w:t>
      </w:r>
      <w:r w:rsidRPr="00D26FF2">
        <w:lastRenderedPageBreak/>
        <w:t xml:space="preserve">deflactor del PIB dado que estas tres variables explican la mayor parte de su comportamiento. Para realizar estos pronósticos se usaron modelos de cointegración y de corrección errores para estimar las relaciones de largo plazo y las elasticidades de corto plazo. Para explicar las importaciones se consideraron el índice de tipo de cambio real y la renta (PIB real) y para el deflactor del PIB se consideró el deflactor de las importaciones, el deflactor de las exportaciones y el deflactor del consumo. </w:t>
      </w:r>
    </w:p>
    <w:p w14:paraId="2FE38BCF" w14:textId="77777777" w:rsidR="005F38A6" w:rsidRPr="00D26FF2" w:rsidRDefault="005F38A6" w:rsidP="005F38A6">
      <w:pPr>
        <w:jc w:val="both"/>
      </w:pPr>
    </w:p>
    <w:p w14:paraId="47774FA7" w14:textId="1D66BB89" w:rsidR="005F38A6" w:rsidRDefault="005F38A6" w:rsidP="005F38A6">
      <w:pPr>
        <w:jc w:val="both"/>
      </w:pPr>
      <w:r w:rsidRPr="00D26FF2">
        <w:t xml:space="preserve">La simulación con un escenario de rebrote de la pandemia y un nivel de índice de rigor en promedio de 60.0 en el </w:t>
      </w:r>
      <w:r>
        <w:t>2024</w:t>
      </w:r>
      <w:r w:rsidRPr="00D26FF2">
        <w:t xml:space="preserve">, el crecimiento del PIB real disminuiría a 1.2%, el del deflactor a 2.0% y el de las importaciones FOB se ubicarían en 3.5%. Por otro lado, en el caso que las medidas sean más severas el índice de rigor en promedio sería de 80.0 en el </w:t>
      </w:r>
      <w:r>
        <w:t>2024</w:t>
      </w:r>
      <w:r w:rsidRPr="00D26FF2">
        <w:t xml:space="preserve">, en este caso el crecimiento del PIB real sería de 0.1%, el del deflactor sería de 1.5% y el de las importaciones FOB se ubicarían en 1.6%.  </w:t>
      </w:r>
    </w:p>
    <w:p w14:paraId="09352587" w14:textId="77777777" w:rsidR="00885487" w:rsidRPr="00D26FF2" w:rsidRDefault="00885487" w:rsidP="005F38A6">
      <w:pPr>
        <w:jc w:val="both"/>
      </w:pPr>
    </w:p>
    <w:tbl>
      <w:tblPr>
        <w:tblW w:w="8905" w:type="dxa"/>
        <w:jc w:val="center"/>
        <w:tblLook w:val="04A0" w:firstRow="1" w:lastRow="0" w:firstColumn="1" w:lastColumn="0" w:noHBand="0" w:noVBand="1"/>
      </w:tblPr>
      <w:tblGrid>
        <w:gridCol w:w="8905"/>
      </w:tblGrid>
      <w:tr w:rsidR="005F38A6" w14:paraId="7DFBBADC" w14:textId="77777777" w:rsidTr="002B4A97">
        <w:trPr>
          <w:trHeight w:val="101"/>
          <w:jc w:val="center"/>
        </w:trPr>
        <w:tc>
          <w:tcPr>
            <w:tcW w:w="8905" w:type="dxa"/>
          </w:tcPr>
          <w:p w14:paraId="6398277E" w14:textId="25495A5B" w:rsidR="002B4A97" w:rsidRPr="002B4A97" w:rsidRDefault="002B4A97" w:rsidP="002B4A97">
            <w:pPr>
              <w:pStyle w:val="Descripcin"/>
              <w:rPr>
                <w:color w:val="auto"/>
              </w:rPr>
            </w:pPr>
            <w:bookmarkStart w:id="197" w:name="_Toc143593585"/>
            <w:r w:rsidRPr="002B4A97">
              <w:rPr>
                <w:color w:val="auto"/>
              </w:rPr>
              <w:t xml:space="preserve">Gráfico </w:t>
            </w:r>
            <w:r w:rsidRPr="002B4A97">
              <w:rPr>
                <w:color w:val="auto"/>
              </w:rPr>
              <w:fldChar w:fldCharType="begin"/>
            </w:r>
            <w:r w:rsidRPr="002B4A97">
              <w:rPr>
                <w:color w:val="auto"/>
              </w:rPr>
              <w:instrText xml:space="preserve"> SEQ Gráfico \* ARABIC </w:instrText>
            </w:r>
            <w:r w:rsidRPr="002B4A97">
              <w:rPr>
                <w:color w:val="auto"/>
              </w:rPr>
              <w:fldChar w:fldCharType="separate"/>
            </w:r>
            <w:r w:rsidR="00A62AFA">
              <w:rPr>
                <w:noProof/>
                <w:color w:val="auto"/>
              </w:rPr>
              <w:t>27</w:t>
            </w:r>
            <w:r w:rsidRPr="002B4A97">
              <w:rPr>
                <w:color w:val="auto"/>
              </w:rPr>
              <w:fldChar w:fldCharType="end"/>
            </w:r>
            <w:r w:rsidRPr="002B4A97">
              <w:rPr>
                <w:color w:val="auto"/>
              </w:rPr>
              <w:t xml:space="preserve">. </w:t>
            </w:r>
            <w:r w:rsidRPr="002B4A97">
              <w:rPr>
                <w:bCs/>
                <w:color w:val="auto"/>
                <w:lang w:val="es-MX"/>
              </w:rPr>
              <w:t>Escenarios de las tasas de crecimiento de las variables macroeconómicas ante un rebrote de Pandemia en 2024</w:t>
            </w:r>
            <w:bookmarkEnd w:id="197"/>
          </w:p>
          <w:p w14:paraId="39A159B8" w14:textId="41E91418" w:rsidR="005F38A6" w:rsidRPr="004A12A1" w:rsidRDefault="002B4A97" w:rsidP="006A7377">
            <w:pPr>
              <w:ind w:right="49"/>
              <w:rPr>
                <w:b/>
                <w:bCs/>
                <w:lang w:val="es-MX"/>
              </w:rPr>
            </w:pPr>
            <w:r>
              <w:rPr>
                <w:noProof/>
              </w:rPr>
              <w:drawing>
                <wp:inline distT="0" distB="0" distL="0" distR="0" wp14:anchorId="25B4A7A6" wp14:editId="6904A796">
                  <wp:extent cx="5486400" cy="1473958"/>
                  <wp:effectExtent l="0" t="0" r="0" b="0"/>
                  <wp:docPr id="13" name="Gráfico 13">
                    <a:extLst xmlns:a="http://schemas.openxmlformats.org/drawingml/2006/main">
                      <a:ext uri="{FF2B5EF4-FFF2-40B4-BE49-F238E27FC236}">
                        <a16:creationId xmlns:a16="http://schemas.microsoft.com/office/drawing/2014/main" id="{FAD7857F-B50B-4730-8BC3-6171C705F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5F38A6" w14:paraId="60F2ABA6" w14:textId="77777777" w:rsidTr="002B4A97">
        <w:trPr>
          <w:trHeight w:val="33"/>
          <w:jc w:val="center"/>
        </w:trPr>
        <w:tc>
          <w:tcPr>
            <w:tcW w:w="8905" w:type="dxa"/>
          </w:tcPr>
          <w:p w14:paraId="3C8F4FBC" w14:textId="77777777" w:rsidR="005F38A6" w:rsidRPr="00820823" w:rsidRDefault="005F38A6" w:rsidP="006A7377">
            <w:pPr>
              <w:ind w:right="49"/>
              <w:jc w:val="both"/>
              <w:rPr>
                <w:bCs/>
                <w:sz w:val="20"/>
                <w:lang w:val="es-MX"/>
              </w:rPr>
            </w:pPr>
            <w:r w:rsidRPr="00306F57">
              <w:rPr>
                <w:bCs/>
                <w:sz w:val="16"/>
                <w:lang w:val="es-MX"/>
              </w:rPr>
              <w:t>Fuente: Dirección de Análisis y Política Fiscal</w:t>
            </w:r>
          </w:p>
        </w:tc>
      </w:tr>
    </w:tbl>
    <w:p w14:paraId="58AFDCAA" w14:textId="77777777" w:rsidR="005F38A6" w:rsidRDefault="005F38A6" w:rsidP="005F38A6">
      <w:pPr>
        <w:ind w:right="49"/>
        <w:jc w:val="both"/>
        <w:rPr>
          <w:bCs/>
          <w:lang w:val="es-MX"/>
        </w:rPr>
      </w:pPr>
    </w:p>
    <w:p w14:paraId="6DB14C08" w14:textId="77777777" w:rsidR="005F38A6" w:rsidRPr="00D26FF2" w:rsidRDefault="005F38A6" w:rsidP="005F38A6">
      <w:pPr>
        <w:jc w:val="both"/>
      </w:pPr>
      <w:r w:rsidRPr="00D26FF2">
        <w:t>Para pronosticar la recaudación tributaria para cada escenario se consideraron los efectos de las variables macroeconómicas antes mencionadas y además efectos adicionales en la recaudación por el confinamiento y ajustes por recaudación extraordinaria (derivados del precio internacional del petróleo, el tipo de cambio y esfuerzos adicionales de la SAT). Al obtener los escenarios de la recaudación tributaria en base al PIB nominal se calculó la carga tributaria para cada escenario.</w:t>
      </w:r>
    </w:p>
    <w:p w14:paraId="45BECCC9" w14:textId="77777777" w:rsidR="005F38A6" w:rsidRPr="00D26FF2" w:rsidRDefault="005F38A6" w:rsidP="005F38A6">
      <w:pPr>
        <w:jc w:val="both"/>
      </w:pPr>
    </w:p>
    <w:p w14:paraId="2EEA0340" w14:textId="56ED6CB4" w:rsidR="005F38A6" w:rsidRPr="00885487" w:rsidRDefault="005F38A6" w:rsidP="00885487">
      <w:pPr>
        <w:jc w:val="both"/>
      </w:pPr>
      <w:r w:rsidRPr="00D26FF2">
        <w:t xml:space="preserve">El escenario base para la carga tributaria del </w:t>
      </w:r>
      <w:r>
        <w:t>2024</w:t>
      </w:r>
      <w:r w:rsidRPr="00D26FF2">
        <w:t xml:space="preserve"> es de 11.</w:t>
      </w:r>
      <w:r>
        <w:t>5</w:t>
      </w:r>
      <w:r w:rsidRPr="00D26FF2">
        <w:t xml:space="preserve">%, en el caso de un rebrote de pandemia en el </w:t>
      </w:r>
      <w:r>
        <w:t>2024</w:t>
      </w:r>
      <w:r w:rsidRPr="00D26FF2">
        <w:t xml:space="preserve"> con un nivel de índice de rigor promedio de 60.0 la carga tributaria se encontraría en 11.0% del PIB aproximadamente. Por otro lado, si las medidas de contención son más estrictas y el índice de rigor promedio es de 80.0 la carga tributaria se ubicaría en torno al </w:t>
      </w:r>
      <w:r>
        <w:t>11.2</w:t>
      </w:r>
      <w:r w:rsidRPr="00D26FF2">
        <w:t>%. Es importante indicar que la diferencia en puntos porcentuales de la carga tributaria es afectada de forma directa por la recaudación tributaria, es decir al disminuir la recaudación disminuye el indicador, y de forma indirecta por el PIB nominal, es decir al disminuir el PIB nominal aumenta el indicador.</w:t>
      </w:r>
    </w:p>
    <w:p w14:paraId="628B70DC" w14:textId="77777777" w:rsidR="005F38A6" w:rsidRDefault="005F38A6" w:rsidP="005F38A6">
      <w:pPr>
        <w:jc w:val="both"/>
      </w:pPr>
      <w:r w:rsidRPr="00D26FF2">
        <w:t xml:space="preserve">Asimismo, se ha observado que en momentos de recesión la tasa de variación de la recaudación disminuye más que la tasa de variación del PIB nominal por distintos factores, uno de ellos puede ser el comportamiento de los contribuyentes, por preferencias de consumo </w:t>
      </w:r>
      <w:proofErr w:type="spellStart"/>
      <w:r w:rsidRPr="00D26FF2">
        <w:t>intertemporal</w:t>
      </w:r>
      <w:proofErr w:type="spellEnd"/>
      <w:r w:rsidRPr="00D26FF2">
        <w:t xml:space="preserve">, ya que la reducción en sus ingresos puede motivar a que realicen los pagos que consideren prioritarios supeditando el pago de impuestos para el futuro, el cual puede </w:t>
      </w:r>
      <w:r w:rsidRPr="00D26FF2">
        <w:lastRenderedPageBreak/>
        <w:t>incidir en el aumento de convenios de pago con la autoridad tributaria o la decisión simple de postergar el pago (incumplimiento tributario).</w:t>
      </w:r>
    </w:p>
    <w:p w14:paraId="1A75941F" w14:textId="77777777" w:rsidR="005F38A6" w:rsidRDefault="005F38A6" w:rsidP="005F38A6">
      <w:pPr>
        <w:jc w:val="both"/>
      </w:pPr>
    </w:p>
    <w:tbl>
      <w:tblPr>
        <w:tblW w:w="8397" w:type="dxa"/>
        <w:tblInd w:w="567" w:type="dxa"/>
        <w:tblLook w:val="04A0" w:firstRow="1" w:lastRow="0" w:firstColumn="1" w:lastColumn="0" w:noHBand="0" w:noVBand="1"/>
      </w:tblPr>
      <w:tblGrid>
        <w:gridCol w:w="8397"/>
      </w:tblGrid>
      <w:tr w:rsidR="005F38A6" w:rsidRPr="00D26FF2" w14:paraId="679ADE16" w14:textId="77777777" w:rsidTr="002B4A97">
        <w:trPr>
          <w:trHeight w:val="378"/>
        </w:trPr>
        <w:tc>
          <w:tcPr>
            <w:tcW w:w="8397" w:type="dxa"/>
          </w:tcPr>
          <w:p w14:paraId="05C4BD32" w14:textId="027A1424" w:rsidR="005F38A6" w:rsidRPr="004A12A1" w:rsidRDefault="002B4A97" w:rsidP="002B4A97">
            <w:pPr>
              <w:pStyle w:val="Descripcin"/>
              <w:jc w:val="left"/>
              <w:rPr>
                <w:b w:val="0"/>
                <w:bCs/>
                <w:color w:val="000000" w:themeColor="text1"/>
                <w:sz w:val="20"/>
                <w:lang w:val="es-MX"/>
              </w:rPr>
            </w:pPr>
            <w:bookmarkStart w:id="198" w:name="_Toc143593586"/>
            <w:r w:rsidRPr="002B4A97">
              <w:rPr>
                <w:color w:val="auto"/>
              </w:rPr>
              <w:t xml:space="preserve">Gráfico </w:t>
            </w:r>
            <w:r w:rsidRPr="002B4A97">
              <w:rPr>
                <w:color w:val="auto"/>
              </w:rPr>
              <w:fldChar w:fldCharType="begin"/>
            </w:r>
            <w:r w:rsidRPr="002B4A97">
              <w:rPr>
                <w:color w:val="auto"/>
              </w:rPr>
              <w:instrText xml:space="preserve"> SEQ Gráfico \* ARABIC </w:instrText>
            </w:r>
            <w:r w:rsidRPr="002B4A97">
              <w:rPr>
                <w:color w:val="auto"/>
              </w:rPr>
              <w:fldChar w:fldCharType="separate"/>
            </w:r>
            <w:r w:rsidR="00A62AFA">
              <w:rPr>
                <w:noProof/>
                <w:color w:val="auto"/>
              </w:rPr>
              <w:t>28</w:t>
            </w:r>
            <w:r w:rsidRPr="002B4A97">
              <w:rPr>
                <w:color w:val="auto"/>
              </w:rPr>
              <w:fldChar w:fldCharType="end"/>
            </w:r>
            <w:r w:rsidRPr="002B4A97">
              <w:rPr>
                <w:color w:val="auto"/>
              </w:rPr>
              <w:t xml:space="preserve">.  </w:t>
            </w:r>
            <w:r w:rsidRPr="002B4A97">
              <w:rPr>
                <w:bCs/>
                <w:color w:val="auto"/>
                <w:szCs w:val="32"/>
                <w:lang w:val="es-MX"/>
              </w:rPr>
              <w:t>Carga tributaria de 2024 para distintos valores del índice de rigor dado la propagación de nuevas cepas</w:t>
            </w:r>
            <w:bookmarkEnd w:id="198"/>
          </w:p>
        </w:tc>
      </w:tr>
      <w:tr w:rsidR="005F38A6" w:rsidRPr="00D26FF2" w14:paraId="26D8529D" w14:textId="77777777" w:rsidTr="002B4A97">
        <w:tblPrEx>
          <w:tblCellMar>
            <w:left w:w="70" w:type="dxa"/>
            <w:right w:w="70" w:type="dxa"/>
          </w:tblCellMar>
        </w:tblPrEx>
        <w:trPr>
          <w:trHeight w:val="1947"/>
        </w:trPr>
        <w:tc>
          <w:tcPr>
            <w:tcW w:w="8397" w:type="dxa"/>
          </w:tcPr>
          <w:p w14:paraId="3B46D14D" w14:textId="77777777" w:rsidR="005F38A6" w:rsidRPr="00D26FF2" w:rsidRDefault="005F38A6" w:rsidP="006A7377">
            <w:pPr>
              <w:ind w:right="49"/>
              <w:rPr>
                <w:bCs/>
                <w:lang w:val="es-MX"/>
              </w:rPr>
            </w:pPr>
            <w:r>
              <w:rPr>
                <w:noProof/>
              </w:rPr>
              <w:drawing>
                <wp:inline distT="0" distB="0" distL="0" distR="0" wp14:anchorId="3A1B5D1C" wp14:editId="60CDD8E0">
                  <wp:extent cx="5039995" cy="1344305"/>
                  <wp:effectExtent l="0" t="0" r="8255" b="8255"/>
                  <wp:docPr id="51" name="Gráfico 51">
                    <a:extLst xmlns:a="http://schemas.openxmlformats.org/drawingml/2006/main">
                      <a:ext uri="{FF2B5EF4-FFF2-40B4-BE49-F238E27FC236}">
                        <a16:creationId xmlns:a16="http://schemas.microsoft.com/office/drawing/2014/main" id="{F334D4A7-FD45-426E-9F84-B4187535A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5F38A6" w:rsidRPr="00D26FF2" w14:paraId="3B1F7D90" w14:textId="77777777" w:rsidTr="002B4A97">
        <w:trPr>
          <w:trHeight w:val="155"/>
        </w:trPr>
        <w:tc>
          <w:tcPr>
            <w:tcW w:w="8397" w:type="dxa"/>
          </w:tcPr>
          <w:p w14:paraId="53E60A21" w14:textId="77777777" w:rsidR="005F38A6" w:rsidRPr="00D26FF2" w:rsidRDefault="005F38A6" w:rsidP="006A7377">
            <w:pPr>
              <w:ind w:right="49"/>
              <w:jc w:val="both"/>
              <w:rPr>
                <w:bCs/>
                <w:sz w:val="18"/>
                <w:lang w:val="es-MX"/>
              </w:rPr>
            </w:pPr>
            <w:r w:rsidRPr="002B4A97">
              <w:rPr>
                <w:bCs/>
                <w:sz w:val="16"/>
                <w:szCs w:val="22"/>
                <w:lang w:val="es-MX"/>
              </w:rPr>
              <w:t>Fuente: Dirección de Análisis y Política Fiscal</w:t>
            </w:r>
          </w:p>
        </w:tc>
      </w:tr>
    </w:tbl>
    <w:p w14:paraId="035D8A0F" w14:textId="77777777" w:rsidR="00885487" w:rsidRDefault="00885487" w:rsidP="005F38A6">
      <w:pPr>
        <w:jc w:val="both"/>
      </w:pPr>
    </w:p>
    <w:p w14:paraId="0086295F" w14:textId="6D702C39" w:rsidR="005F38A6" w:rsidRPr="000440C1" w:rsidRDefault="005F38A6" w:rsidP="005F38A6">
      <w:pPr>
        <w:jc w:val="both"/>
      </w:pPr>
      <w:r w:rsidRPr="00D26FF2">
        <w:t>Los resultados obtenidos, muestran el grado de sensibilidad que los ingresos tributarios tienen ante cambios en las proyecciones macroeconómicas derivadas de un entorno menos favorable en términos de la evolución de la Pandemia en Guatemala y con sus principales socios comerciales, lo cual podría afectar nuevamente la situación fiscal del gobierno que tendría implicaciones en el gasto público, el resultado fiscal y en el nivel de endeudamiento.</w:t>
      </w:r>
    </w:p>
    <w:p w14:paraId="77DAA721" w14:textId="77777777" w:rsidR="005F38A6" w:rsidRPr="00395105" w:rsidRDefault="005F38A6" w:rsidP="005F38A6">
      <w:pPr>
        <w:jc w:val="both"/>
      </w:pPr>
    </w:p>
    <w:p w14:paraId="1A4A9DCB" w14:textId="77777777" w:rsidR="005F38A6" w:rsidRPr="00C36261" w:rsidRDefault="005F38A6" w:rsidP="007F19DF">
      <w:pPr>
        <w:pStyle w:val="Prrafodelista"/>
        <w:numPr>
          <w:ilvl w:val="0"/>
          <w:numId w:val="44"/>
        </w:numPr>
        <w:spacing w:line="259" w:lineRule="auto"/>
        <w:ind w:left="284" w:hanging="284"/>
        <w:jc w:val="both"/>
        <w:outlineLvl w:val="0"/>
        <w:rPr>
          <w:b/>
          <w:bCs/>
        </w:rPr>
      </w:pPr>
      <w:bookmarkStart w:id="199" w:name="_Toc114495246"/>
      <w:bookmarkStart w:id="200" w:name="_Toc144114376"/>
      <w:bookmarkStart w:id="201" w:name="_Hlk110841885"/>
      <w:r w:rsidRPr="00C36261">
        <w:rPr>
          <w:b/>
          <w:bCs/>
        </w:rPr>
        <w:t>Riesgos Fiscales de la Deuda Pública de Guatemala</w:t>
      </w:r>
      <w:bookmarkEnd w:id="199"/>
      <w:bookmarkEnd w:id="200"/>
    </w:p>
    <w:bookmarkEnd w:id="201"/>
    <w:p w14:paraId="3B943183" w14:textId="77777777" w:rsidR="005F38A6" w:rsidRPr="002846D1" w:rsidRDefault="005F38A6" w:rsidP="005F38A6">
      <w:pPr>
        <w:tabs>
          <w:tab w:val="left" w:pos="1066"/>
        </w:tabs>
        <w:ind w:right="49"/>
        <w:rPr>
          <w:color w:val="1F3864" w:themeColor="accent1" w:themeShade="80"/>
        </w:rPr>
      </w:pPr>
    </w:p>
    <w:p w14:paraId="3F3C5458" w14:textId="77777777" w:rsidR="005F38A6" w:rsidRPr="00AF0F7A" w:rsidRDefault="005F38A6" w:rsidP="005F38A6">
      <w:pPr>
        <w:ind w:right="49"/>
        <w:jc w:val="both"/>
        <w:rPr>
          <w:bCs/>
          <w:color w:val="000000" w:themeColor="text1"/>
          <w:lang w:val="es-MX"/>
        </w:rPr>
      </w:pPr>
      <w:r w:rsidRPr="00AF0F7A">
        <w:rPr>
          <w:bCs/>
          <w:color w:val="000000" w:themeColor="text1"/>
          <w:lang w:val="es-MX"/>
        </w:rPr>
        <w:t xml:space="preserve">Guatemala es un país que ha mantenido estabilidad macroeconómica, resultado de un manejo prudente de su política fiscal, lo cual se refleja en la resiliencia que ha mostrado el país ante choques exógenos como el de la crisis financiera internacional del 2009 y el más reciente provocado por la pandemia del COVID-19 en 2020.  Al comparar los indicadores de la deuda con sus pares centroamericanos se observan que Guatemala muestra mejores niveles derivado de la disciplina fiscal que se traduce en déficit fiscales moderados, con algunas excepciones en épocas de crisis, aunque los mismos se controlan rápidamente ya que los gastos que se originan son de carácter transitorio para atender la emergencia y propiciar un impulso fiscal expansionista para estimular la economía. Esto ha propiciado que la deuda pública del país sea baja y estable y se mantenga sostenible. Además, el manejo adecuado del endeudamiento ha permitido extender los plazos de colocación de deuda en el mercado interno y en años recientes, también en el mercado externo, ya que se han realizado colocaciones con plazo de 30 años, reduciendo significativamente el costo financiero de la deuda (tasa de interés). No obstante, desde 2022 la mayoría de países, por presiones inflacionarias, empezaron a llevar una política monetaria restrictiva, aumentando las tasas de interés para contrarrestar el alza de la inflación, lo que a su vez tendrá su efecto en los costos de financiamiento de la deuda pública en el </w:t>
      </w:r>
      <w:r>
        <w:rPr>
          <w:bCs/>
          <w:color w:val="000000" w:themeColor="text1"/>
          <w:lang w:val="es-MX"/>
        </w:rPr>
        <w:t>mediano plazo</w:t>
      </w:r>
      <w:r w:rsidRPr="00AF0F7A">
        <w:rPr>
          <w:bCs/>
          <w:color w:val="000000" w:themeColor="text1"/>
          <w:lang w:val="es-MX"/>
        </w:rPr>
        <w:t>.</w:t>
      </w:r>
    </w:p>
    <w:p w14:paraId="087C8113" w14:textId="77777777" w:rsidR="005F38A6" w:rsidRPr="00AF0F7A" w:rsidRDefault="005F38A6" w:rsidP="005F38A6">
      <w:pPr>
        <w:ind w:right="49"/>
        <w:jc w:val="both"/>
        <w:rPr>
          <w:bCs/>
          <w:color w:val="000000" w:themeColor="text1"/>
          <w:lang w:val="es-MX"/>
        </w:rPr>
      </w:pPr>
    </w:p>
    <w:p w14:paraId="2B7065DC" w14:textId="77777777" w:rsidR="005F38A6" w:rsidRPr="00AF0F7A" w:rsidRDefault="005F38A6" w:rsidP="005F38A6">
      <w:pPr>
        <w:ind w:right="49"/>
        <w:jc w:val="both"/>
        <w:rPr>
          <w:bCs/>
          <w:color w:val="000000" w:themeColor="text1"/>
          <w:lang w:val="es-MX"/>
        </w:rPr>
      </w:pPr>
      <w:r w:rsidRPr="00AF0F7A">
        <w:rPr>
          <w:bCs/>
          <w:color w:val="000000" w:themeColor="text1"/>
          <w:lang w:val="es-MX"/>
        </w:rPr>
        <w:t xml:space="preserve">Asimismo, la otra variable que es importante en el tema del endeudamiento es el tipo de cambio.  Guatemala ha tenido un comportamiento bastante estable, con algunos periodos leves de variaciones bruscas derivado de algunos shocks externos.   Sin embargo, estos han recuperado su estabilidad de manera rápida. Es por ello que las perturbaciones transitorias en la parte fiscal y las que se dan en otros sectores de la economía no han incidido </w:t>
      </w:r>
      <w:r w:rsidRPr="00AF0F7A">
        <w:rPr>
          <w:bCs/>
          <w:color w:val="000000" w:themeColor="text1"/>
          <w:lang w:val="es-MX"/>
        </w:rPr>
        <w:lastRenderedPageBreak/>
        <w:t>negativamente en el nivel de la deuda pública ni de manera importante en su trayectoria de corto, mediano y largo plazo.</w:t>
      </w:r>
    </w:p>
    <w:p w14:paraId="120065FE" w14:textId="77777777" w:rsidR="005F38A6" w:rsidRDefault="005F38A6" w:rsidP="005F38A6">
      <w:pPr>
        <w:spacing w:line="23" w:lineRule="atLeast"/>
        <w:ind w:right="49"/>
        <w:contextualSpacing/>
        <w:jc w:val="both"/>
        <w:rPr>
          <w:lang w:val="es-MX"/>
        </w:rPr>
      </w:pPr>
    </w:p>
    <w:p w14:paraId="0E98D38D" w14:textId="08E035E1" w:rsidR="005F38A6" w:rsidRPr="00B306EE" w:rsidRDefault="00B306EE" w:rsidP="00B306EE">
      <w:pPr>
        <w:pStyle w:val="Descripcin"/>
        <w:jc w:val="left"/>
        <w:rPr>
          <w:color w:val="auto"/>
        </w:rPr>
      </w:pPr>
      <w:r w:rsidRPr="00B306EE">
        <w:rPr>
          <w:color w:val="auto"/>
        </w:rPr>
        <w:t xml:space="preserve">Recuadro </w:t>
      </w:r>
      <w:r w:rsidRPr="00B306EE">
        <w:rPr>
          <w:color w:val="auto"/>
        </w:rPr>
        <w:fldChar w:fldCharType="begin"/>
      </w:r>
      <w:r w:rsidRPr="00B306EE">
        <w:rPr>
          <w:color w:val="auto"/>
        </w:rPr>
        <w:instrText xml:space="preserve"> SEQ Recuadro \* ARABIC </w:instrText>
      </w:r>
      <w:r w:rsidRPr="00B306EE">
        <w:rPr>
          <w:color w:val="auto"/>
        </w:rPr>
        <w:fldChar w:fldCharType="separate"/>
      </w:r>
      <w:r w:rsidR="00A62AFA">
        <w:rPr>
          <w:noProof/>
          <w:color w:val="auto"/>
        </w:rPr>
        <w:t>1</w:t>
      </w:r>
      <w:r w:rsidRPr="00B306EE">
        <w:rPr>
          <w:color w:val="auto"/>
        </w:rPr>
        <w:fldChar w:fldCharType="end"/>
      </w:r>
      <w:r w:rsidRPr="00B306EE">
        <w:rPr>
          <w:color w:val="auto"/>
        </w:rPr>
        <w:t xml:space="preserve">. </w:t>
      </w:r>
      <w:r w:rsidRPr="00B306EE">
        <w:rPr>
          <w:bCs/>
          <w:color w:val="auto"/>
        </w:rPr>
        <w:t>Guatemala un país de ingreso medio alto</w:t>
      </w:r>
    </w:p>
    <w:tbl>
      <w:tblPr>
        <w:tblpPr w:leftFromText="141" w:rightFromText="141" w:vertAnchor="text" w:horzAnchor="margin" w:tblpX="-30" w:tblpY="124"/>
        <w:tblW w:w="89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930"/>
      </w:tblGrid>
      <w:tr w:rsidR="005F38A6" w:rsidRPr="002C1FE5" w14:paraId="1035B23A" w14:textId="77777777" w:rsidTr="00885487">
        <w:tc>
          <w:tcPr>
            <w:tcW w:w="8930" w:type="dxa"/>
            <w:shd w:val="clear" w:color="auto" w:fill="DEEAF6" w:themeFill="accent5" w:themeFillTint="33"/>
          </w:tcPr>
          <w:p w14:paraId="17F87735" w14:textId="77777777" w:rsidR="005F38A6" w:rsidRPr="002C1FE5" w:rsidRDefault="005F38A6" w:rsidP="00885487">
            <w:pPr>
              <w:shd w:val="clear" w:color="auto" w:fill="DEEAF6" w:themeFill="accent5" w:themeFillTint="33"/>
              <w:spacing w:line="23" w:lineRule="atLeast"/>
              <w:contextualSpacing/>
              <w:rPr>
                <w:b/>
                <w:color w:val="FF0000"/>
                <w:lang w:val="es-ES"/>
              </w:rPr>
            </w:pPr>
          </w:p>
          <w:p w14:paraId="3201DB76" w14:textId="77777777" w:rsidR="005F38A6" w:rsidRPr="009D7DE4" w:rsidRDefault="005F38A6" w:rsidP="00885487">
            <w:pPr>
              <w:spacing w:line="23" w:lineRule="atLeast"/>
              <w:contextualSpacing/>
              <w:jc w:val="both"/>
              <w:rPr>
                <w:sz w:val="20"/>
                <w:szCs w:val="20"/>
              </w:rPr>
            </w:pPr>
            <w:r w:rsidRPr="00AC1819">
              <w:t xml:space="preserve">El </w:t>
            </w:r>
            <w:r w:rsidRPr="009D7DE4">
              <w:rPr>
                <w:sz w:val="20"/>
                <w:szCs w:val="20"/>
              </w:rPr>
              <w:t>Banco Mundial clasifica las economías de los países según el nivel de ingresos para cada año.  Esta clasificación la realiza en cuatro categorías que son: alto, mediano alto, mediano bajo y bajo. Estas categorías son actualizadas en julio de cada año (última actualización disponible 2023) y son con base al ingreso nacional bruto per cápita en dólares estadounidenses, para lo cual usan los tipos de cambio del método Atlas, metodología que suaviza las fluctuaciones del tipo de cambio mediante el uso de un factor de conversión ajustado al precio de media móvil de tres años.</w:t>
            </w:r>
          </w:p>
          <w:p w14:paraId="0C4D01FB" w14:textId="77777777" w:rsidR="005F38A6" w:rsidRPr="009D7DE4" w:rsidRDefault="005F38A6" w:rsidP="00885487">
            <w:pPr>
              <w:spacing w:line="23" w:lineRule="atLeast"/>
              <w:contextualSpacing/>
              <w:jc w:val="both"/>
              <w:rPr>
                <w:sz w:val="20"/>
                <w:szCs w:val="20"/>
              </w:rPr>
            </w:pPr>
          </w:p>
          <w:tbl>
            <w:tblPr>
              <w:tblW w:w="9079" w:type="dxa"/>
              <w:jc w:val="center"/>
              <w:tblLayout w:type="fixed"/>
              <w:tblLook w:val="04A0" w:firstRow="1" w:lastRow="0" w:firstColumn="1" w:lastColumn="0" w:noHBand="0" w:noVBand="1"/>
            </w:tblPr>
            <w:tblGrid>
              <w:gridCol w:w="9079"/>
            </w:tblGrid>
            <w:tr w:rsidR="005F38A6" w:rsidRPr="009D7DE4" w14:paraId="5D89CC16" w14:textId="77777777" w:rsidTr="006A7377">
              <w:trPr>
                <w:trHeight w:val="1978"/>
                <w:jc w:val="center"/>
              </w:trPr>
              <w:tc>
                <w:tcPr>
                  <w:tcW w:w="9079" w:type="dxa"/>
                  <w:tcBorders>
                    <w:top w:val="nil"/>
                    <w:left w:val="nil"/>
                    <w:bottom w:val="nil"/>
                    <w:right w:val="nil"/>
                  </w:tcBorders>
                </w:tcPr>
                <w:p w14:paraId="0151B1EF" w14:textId="5EBC3C65" w:rsidR="005F38A6" w:rsidRPr="00B306EE" w:rsidRDefault="00B306EE" w:rsidP="00DE1611">
                  <w:pPr>
                    <w:pStyle w:val="Descripcin"/>
                    <w:keepNext/>
                    <w:framePr w:hSpace="141" w:wrap="around" w:vAnchor="text" w:hAnchor="margin" w:x="-30" w:y="124"/>
                  </w:pPr>
                  <w:bookmarkStart w:id="202" w:name="_Toc114493931"/>
                  <w:bookmarkStart w:id="203" w:name="_Toc130474608"/>
                  <w:bookmarkStart w:id="204" w:name="_Toc130474701"/>
                  <w:bookmarkStart w:id="205" w:name="_Toc143593529"/>
                  <w:r w:rsidRPr="00B306EE">
                    <w:rPr>
                      <w:color w:val="auto"/>
                    </w:rPr>
                    <w:t xml:space="preserve">Tabla </w:t>
                  </w:r>
                  <w:r w:rsidRPr="00B306EE">
                    <w:rPr>
                      <w:color w:val="auto"/>
                    </w:rPr>
                    <w:fldChar w:fldCharType="begin"/>
                  </w:r>
                  <w:r w:rsidRPr="00B306EE">
                    <w:rPr>
                      <w:color w:val="auto"/>
                    </w:rPr>
                    <w:instrText xml:space="preserve"> SEQ Tabla \* ARABIC </w:instrText>
                  </w:r>
                  <w:r w:rsidRPr="00B306EE">
                    <w:rPr>
                      <w:color w:val="auto"/>
                    </w:rPr>
                    <w:fldChar w:fldCharType="separate"/>
                  </w:r>
                  <w:r w:rsidR="00A62AFA">
                    <w:rPr>
                      <w:noProof/>
                      <w:color w:val="auto"/>
                    </w:rPr>
                    <w:t>27</w:t>
                  </w:r>
                  <w:r w:rsidRPr="00B306EE">
                    <w:rPr>
                      <w:color w:val="auto"/>
                    </w:rPr>
                    <w:fldChar w:fldCharType="end"/>
                  </w:r>
                  <w:r w:rsidRPr="00B306EE">
                    <w:rPr>
                      <w:color w:val="auto"/>
                    </w:rPr>
                    <w:t xml:space="preserve">. </w:t>
                  </w:r>
                  <w:r w:rsidR="005F38A6" w:rsidRPr="00B306EE">
                    <w:rPr>
                      <w:color w:val="auto"/>
                      <w:sz w:val="20"/>
                      <w:szCs w:val="20"/>
                    </w:rPr>
                    <w:t>Categorías de ingresos para los países</w:t>
                  </w:r>
                  <w:bookmarkEnd w:id="202"/>
                  <w:bookmarkEnd w:id="203"/>
                  <w:bookmarkEnd w:id="204"/>
                  <w:bookmarkEnd w:id="205"/>
                </w:p>
                <w:tbl>
                  <w:tblPr>
                    <w:tblW w:w="6780" w:type="dxa"/>
                    <w:tblInd w:w="1037" w:type="dxa"/>
                    <w:tblLayout w:type="fixed"/>
                    <w:tblCellMar>
                      <w:left w:w="70" w:type="dxa"/>
                      <w:right w:w="70" w:type="dxa"/>
                    </w:tblCellMar>
                    <w:tblLook w:val="04A0" w:firstRow="1" w:lastRow="0" w:firstColumn="1" w:lastColumn="0" w:noHBand="0" w:noVBand="1"/>
                  </w:tblPr>
                  <w:tblGrid>
                    <w:gridCol w:w="2460"/>
                    <w:gridCol w:w="2080"/>
                    <w:gridCol w:w="2240"/>
                  </w:tblGrid>
                  <w:tr w:rsidR="005F38A6" w:rsidRPr="009D7DE4" w14:paraId="6E09D4EA" w14:textId="77777777" w:rsidTr="00BB51FE">
                    <w:trPr>
                      <w:trHeight w:val="462"/>
                    </w:trPr>
                    <w:tc>
                      <w:tcPr>
                        <w:tcW w:w="24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623D6B2" w14:textId="77777777" w:rsidR="005F38A6" w:rsidRPr="009D7DE4" w:rsidRDefault="005F38A6" w:rsidP="00DE1611">
                        <w:pPr>
                          <w:framePr w:hSpace="141" w:wrap="around" w:vAnchor="text" w:hAnchor="margin" w:x="-30" w:y="124"/>
                          <w:jc w:val="center"/>
                          <w:rPr>
                            <w:b/>
                            <w:bCs/>
                            <w:color w:val="000000"/>
                            <w:sz w:val="20"/>
                            <w:szCs w:val="20"/>
                          </w:rPr>
                        </w:pPr>
                        <w:r w:rsidRPr="009D7DE4">
                          <w:rPr>
                            <w:b/>
                            <w:bCs/>
                            <w:color w:val="000000"/>
                            <w:sz w:val="20"/>
                            <w:szCs w:val="20"/>
                          </w:rPr>
                          <w:t>Umbral</w:t>
                        </w:r>
                      </w:p>
                    </w:tc>
                    <w:tc>
                      <w:tcPr>
                        <w:tcW w:w="2080" w:type="dxa"/>
                        <w:tcBorders>
                          <w:top w:val="single" w:sz="4" w:space="0" w:color="auto"/>
                          <w:left w:val="nil"/>
                          <w:bottom w:val="single" w:sz="4" w:space="0" w:color="auto"/>
                          <w:right w:val="single" w:sz="4" w:space="0" w:color="auto"/>
                        </w:tcBorders>
                        <w:shd w:val="clear" w:color="000000" w:fill="D9E1F2"/>
                        <w:noWrap/>
                        <w:vAlign w:val="center"/>
                        <w:hideMark/>
                      </w:tcPr>
                      <w:p w14:paraId="17F03F56" w14:textId="77777777" w:rsidR="005F38A6" w:rsidRPr="009D7DE4" w:rsidRDefault="005F38A6" w:rsidP="00DE1611">
                        <w:pPr>
                          <w:framePr w:hSpace="141" w:wrap="around" w:vAnchor="text" w:hAnchor="margin" w:x="-30" w:y="124"/>
                          <w:jc w:val="center"/>
                          <w:rPr>
                            <w:b/>
                            <w:bCs/>
                            <w:color w:val="000000"/>
                            <w:sz w:val="20"/>
                            <w:szCs w:val="20"/>
                          </w:rPr>
                        </w:pPr>
                        <w:r w:rsidRPr="009D7DE4">
                          <w:rPr>
                            <w:b/>
                            <w:bCs/>
                            <w:color w:val="000000"/>
                            <w:sz w:val="20"/>
                            <w:szCs w:val="20"/>
                          </w:rPr>
                          <w:t>Julio 2023/USD (nuevo)</w:t>
                        </w:r>
                      </w:p>
                    </w:tc>
                    <w:tc>
                      <w:tcPr>
                        <w:tcW w:w="2240" w:type="dxa"/>
                        <w:tcBorders>
                          <w:top w:val="single" w:sz="4" w:space="0" w:color="auto"/>
                          <w:left w:val="nil"/>
                          <w:bottom w:val="single" w:sz="4" w:space="0" w:color="auto"/>
                          <w:right w:val="single" w:sz="4" w:space="0" w:color="auto"/>
                        </w:tcBorders>
                        <w:shd w:val="clear" w:color="000000" w:fill="D9E1F2"/>
                        <w:noWrap/>
                        <w:vAlign w:val="center"/>
                        <w:hideMark/>
                      </w:tcPr>
                      <w:p w14:paraId="76BA8EEB" w14:textId="77777777" w:rsidR="005F38A6" w:rsidRPr="009D7DE4" w:rsidRDefault="005F38A6" w:rsidP="00DE1611">
                        <w:pPr>
                          <w:framePr w:hSpace="141" w:wrap="around" w:vAnchor="text" w:hAnchor="margin" w:x="-30" w:y="124"/>
                          <w:jc w:val="center"/>
                          <w:rPr>
                            <w:b/>
                            <w:bCs/>
                            <w:color w:val="000000"/>
                            <w:sz w:val="20"/>
                            <w:szCs w:val="20"/>
                          </w:rPr>
                        </w:pPr>
                        <w:r w:rsidRPr="009D7DE4">
                          <w:rPr>
                            <w:b/>
                            <w:bCs/>
                            <w:color w:val="000000"/>
                            <w:sz w:val="20"/>
                            <w:szCs w:val="20"/>
                          </w:rPr>
                          <w:t>Julio 2022/USD (antiguo)</w:t>
                        </w:r>
                      </w:p>
                    </w:tc>
                  </w:tr>
                  <w:tr w:rsidR="005F38A6" w:rsidRPr="009D7DE4" w14:paraId="271074F7" w14:textId="77777777" w:rsidTr="00BB51FE">
                    <w:trPr>
                      <w:trHeight w:val="113"/>
                    </w:trPr>
                    <w:tc>
                      <w:tcPr>
                        <w:tcW w:w="2460" w:type="dxa"/>
                        <w:tcBorders>
                          <w:top w:val="nil"/>
                          <w:left w:val="single" w:sz="4" w:space="0" w:color="auto"/>
                          <w:bottom w:val="nil"/>
                          <w:right w:val="single" w:sz="4" w:space="0" w:color="auto"/>
                        </w:tcBorders>
                        <w:shd w:val="clear" w:color="000000" w:fill="FFFFFF"/>
                        <w:noWrap/>
                        <w:vAlign w:val="center"/>
                        <w:hideMark/>
                      </w:tcPr>
                      <w:p w14:paraId="0A3A057B" w14:textId="77777777" w:rsidR="005F38A6" w:rsidRPr="009D7DE4" w:rsidRDefault="005F38A6" w:rsidP="00DE1611">
                        <w:pPr>
                          <w:framePr w:hSpace="141" w:wrap="around" w:vAnchor="text" w:hAnchor="margin" w:x="-30" w:y="124"/>
                          <w:rPr>
                            <w:color w:val="000000"/>
                            <w:sz w:val="20"/>
                            <w:szCs w:val="20"/>
                          </w:rPr>
                        </w:pPr>
                        <w:r w:rsidRPr="009D7DE4">
                          <w:rPr>
                            <w:color w:val="000000"/>
                            <w:sz w:val="20"/>
                            <w:szCs w:val="20"/>
                          </w:rPr>
                          <w:t>País de ingreso bajo</w:t>
                        </w:r>
                      </w:p>
                    </w:tc>
                    <w:tc>
                      <w:tcPr>
                        <w:tcW w:w="2080" w:type="dxa"/>
                        <w:tcBorders>
                          <w:top w:val="nil"/>
                          <w:left w:val="nil"/>
                          <w:bottom w:val="nil"/>
                          <w:right w:val="single" w:sz="4" w:space="0" w:color="auto"/>
                        </w:tcBorders>
                        <w:shd w:val="clear" w:color="000000" w:fill="FFFFFF"/>
                        <w:noWrap/>
                        <w:vAlign w:val="center"/>
                        <w:hideMark/>
                      </w:tcPr>
                      <w:p w14:paraId="6EF0E585" w14:textId="77777777" w:rsidR="005F38A6" w:rsidRPr="009D7DE4" w:rsidRDefault="005F38A6" w:rsidP="00DE1611">
                        <w:pPr>
                          <w:framePr w:hSpace="141" w:wrap="around" w:vAnchor="text" w:hAnchor="margin" w:x="-30" w:y="124"/>
                          <w:jc w:val="center"/>
                          <w:rPr>
                            <w:color w:val="000000"/>
                            <w:sz w:val="20"/>
                            <w:szCs w:val="20"/>
                          </w:rPr>
                        </w:pPr>
                        <w:r w:rsidRPr="009D7DE4">
                          <w:rPr>
                            <w:color w:val="000000"/>
                            <w:sz w:val="20"/>
                            <w:szCs w:val="20"/>
                          </w:rPr>
                          <w:t>menor que 1,135</w:t>
                        </w:r>
                      </w:p>
                    </w:tc>
                    <w:tc>
                      <w:tcPr>
                        <w:tcW w:w="2240" w:type="dxa"/>
                        <w:tcBorders>
                          <w:top w:val="nil"/>
                          <w:left w:val="nil"/>
                          <w:bottom w:val="nil"/>
                          <w:right w:val="single" w:sz="4" w:space="0" w:color="auto"/>
                        </w:tcBorders>
                        <w:shd w:val="clear" w:color="000000" w:fill="FFFFFF"/>
                        <w:noWrap/>
                        <w:vAlign w:val="center"/>
                        <w:hideMark/>
                      </w:tcPr>
                      <w:p w14:paraId="2AA2151B" w14:textId="77777777" w:rsidR="005F38A6" w:rsidRPr="009D7DE4" w:rsidRDefault="005F38A6" w:rsidP="00DE1611">
                        <w:pPr>
                          <w:framePr w:hSpace="141" w:wrap="around" w:vAnchor="text" w:hAnchor="margin" w:x="-30" w:y="124"/>
                          <w:jc w:val="center"/>
                          <w:rPr>
                            <w:color w:val="000000"/>
                            <w:sz w:val="20"/>
                            <w:szCs w:val="20"/>
                          </w:rPr>
                        </w:pPr>
                        <w:r w:rsidRPr="009D7DE4">
                          <w:rPr>
                            <w:color w:val="000000"/>
                            <w:sz w:val="20"/>
                            <w:szCs w:val="20"/>
                          </w:rPr>
                          <w:t>menor que 1,085</w:t>
                        </w:r>
                      </w:p>
                    </w:tc>
                  </w:tr>
                  <w:tr w:rsidR="005F38A6" w:rsidRPr="009D7DE4" w14:paraId="46787B23" w14:textId="77777777" w:rsidTr="00BB51FE">
                    <w:trPr>
                      <w:trHeight w:val="169"/>
                    </w:trPr>
                    <w:tc>
                      <w:tcPr>
                        <w:tcW w:w="2460" w:type="dxa"/>
                        <w:tcBorders>
                          <w:top w:val="nil"/>
                          <w:left w:val="single" w:sz="4" w:space="0" w:color="auto"/>
                          <w:bottom w:val="nil"/>
                          <w:right w:val="single" w:sz="4" w:space="0" w:color="auto"/>
                        </w:tcBorders>
                        <w:shd w:val="clear" w:color="000000" w:fill="FFFFFF"/>
                        <w:noWrap/>
                        <w:vAlign w:val="center"/>
                        <w:hideMark/>
                      </w:tcPr>
                      <w:p w14:paraId="3D63FE7F" w14:textId="77777777" w:rsidR="005F38A6" w:rsidRPr="009D7DE4" w:rsidRDefault="005F38A6" w:rsidP="00DE1611">
                        <w:pPr>
                          <w:framePr w:hSpace="141" w:wrap="around" w:vAnchor="text" w:hAnchor="margin" w:x="-30" w:y="124"/>
                          <w:rPr>
                            <w:color w:val="000000"/>
                            <w:sz w:val="20"/>
                            <w:szCs w:val="20"/>
                          </w:rPr>
                        </w:pPr>
                        <w:r w:rsidRPr="009D7DE4">
                          <w:rPr>
                            <w:color w:val="000000"/>
                            <w:sz w:val="20"/>
                            <w:szCs w:val="20"/>
                          </w:rPr>
                          <w:t>País de ingreso mediano bajo</w:t>
                        </w:r>
                      </w:p>
                    </w:tc>
                    <w:tc>
                      <w:tcPr>
                        <w:tcW w:w="2080" w:type="dxa"/>
                        <w:tcBorders>
                          <w:top w:val="nil"/>
                          <w:left w:val="nil"/>
                          <w:bottom w:val="nil"/>
                          <w:right w:val="single" w:sz="4" w:space="0" w:color="auto"/>
                        </w:tcBorders>
                        <w:shd w:val="clear" w:color="000000" w:fill="FFFFFF"/>
                        <w:noWrap/>
                        <w:vAlign w:val="center"/>
                        <w:hideMark/>
                      </w:tcPr>
                      <w:p w14:paraId="40273503" w14:textId="77777777" w:rsidR="005F38A6" w:rsidRPr="009D7DE4" w:rsidRDefault="005F38A6" w:rsidP="00DE1611">
                        <w:pPr>
                          <w:framePr w:hSpace="141" w:wrap="around" w:vAnchor="text" w:hAnchor="margin" w:x="-30" w:y="124"/>
                          <w:jc w:val="center"/>
                          <w:rPr>
                            <w:color w:val="000000"/>
                            <w:sz w:val="20"/>
                            <w:szCs w:val="20"/>
                          </w:rPr>
                        </w:pPr>
                        <w:r w:rsidRPr="009D7DE4">
                          <w:rPr>
                            <w:color w:val="000000"/>
                            <w:sz w:val="20"/>
                            <w:szCs w:val="20"/>
                          </w:rPr>
                          <w:t>entre 1,136 y 4,465</w:t>
                        </w:r>
                      </w:p>
                    </w:tc>
                    <w:tc>
                      <w:tcPr>
                        <w:tcW w:w="2240" w:type="dxa"/>
                        <w:tcBorders>
                          <w:top w:val="nil"/>
                          <w:left w:val="nil"/>
                          <w:bottom w:val="nil"/>
                          <w:right w:val="single" w:sz="4" w:space="0" w:color="auto"/>
                        </w:tcBorders>
                        <w:shd w:val="clear" w:color="000000" w:fill="FFFFFF"/>
                        <w:noWrap/>
                        <w:vAlign w:val="center"/>
                        <w:hideMark/>
                      </w:tcPr>
                      <w:p w14:paraId="3B299CFD" w14:textId="77777777" w:rsidR="005F38A6" w:rsidRPr="009D7DE4" w:rsidRDefault="005F38A6" w:rsidP="00DE1611">
                        <w:pPr>
                          <w:framePr w:hSpace="141" w:wrap="around" w:vAnchor="text" w:hAnchor="margin" w:x="-30" w:y="124"/>
                          <w:jc w:val="center"/>
                          <w:rPr>
                            <w:color w:val="000000"/>
                            <w:sz w:val="20"/>
                            <w:szCs w:val="20"/>
                          </w:rPr>
                        </w:pPr>
                        <w:r w:rsidRPr="009D7DE4">
                          <w:rPr>
                            <w:color w:val="000000"/>
                            <w:sz w:val="20"/>
                            <w:szCs w:val="20"/>
                          </w:rPr>
                          <w:t>entre 1,046 y 4,255</w:t>
                        </w:r>
                      </w:p>
                    </w:tc>
                  </w:tr>
                  <w:tr w:rsidR="005F38A6" w:rsidRPr="009D7DE4" w14:paraId="651DAA89" w14:textId="77777777" w:rsidTr="00BB51FE">
                    <w:trPr>
                      <w:trHeight w:val="147"/>
                    </w:trPr>
                    <w:tc>
                      <w:tcPr>
                        <w:tcW w:w="2460" w:type="dxa"/>
                        <w:tcBorders>
                          <w:top w:val="nil"/>
                          <w:left w:val="single" w:sz="4" w:space="0" w:color="auto"/>
                          <w:bottom w:val="nil"/>
                          <w:right w:val="single" w:sz="4" w:space="0" w:color="auto"/>
                        </w:tcBorders>
                        <w:shd w:val="clear" w:color="000000" w:fill="FFFFFF"/>
                        <w:noWrap/>
                        <w:vAlign w:val="center"/>
                        <w:hideMark/>
                      </w:tcPr>
                      <w:p w14:paraId="1718D6C4" w14:textId="77777777" w:rsidR="005F38A6" w:rsidRPr="009D7DE4" w:rsidRDefault="005F38A6" w:rsidP="00DE1611">
                        <w:pPr>
                          <w:framePr w:hSpace="141" w:wrap="around" w:vAnchor="text" w:hAnchor="margin" w:x="-30" w:y="124"/>
                          <w:rPr>
                            <w:color w:val="000000"/>
                            <w:sz w:val="20"/>
                            <w:szCs w:val="20"/>
                          </w:rPr>
                        </w:pPr>
                        <w:r w:rsidRPr="009D7DE4">
                          <w:rPr>
                            <w:color w:val="000000"/>
                            <w:sz w:val="20"/>
                            <w:szCs w:val="20"/>
                          </w:rPr>
                          <w:t>País de ingreso mediano alto</w:t>
                        </w:r>
                      </w:p>
                    </w:tc>
                    <w:tc>
                      <w:tcPr>
                        <w:tcW w:w="2080" w:type="dxa"/>
                        <w:tcBorders>
                          <w:top w:val="nil"/>
                          <w:left w:val="nil"/>
                          <w:bottom w:val="nil"/>
                          <w:right w:val="single" w:sz="4" w:space="0" w:color="auto"/>
                        </w:tcBorders>
                        <w:shd w:val="clear" w:color="000000" w:fill="FFFFFF"/>
                        <w:noWrap/>
                        <w:vAlign w:val="center"/>
                        <w:hideMark/>
                      </w:tcPr>
                      <w:p w14:paraId="2EF3EA02" w14:textId="77777777" w:rsidR="005F38A6" w:rsidRPr="009D7DE4" w:rsidRDefault="005F38A6" w:rsidP="00DE1611">
                        <w:pPr>
                          <w:framePr w:hSpace="141" w:wrap="around" w:vAnchor="text" w:hAnchor="margin" w:x="-30" w:y="124"/>
                          <w:jc w:val="center"/>
                          <w:rPr>
                            <w:color w:val="000000"/>
                            <w:sz w:val="20"/>
                            <w:szCs w:val="20"/>
                          </w:rPr>
                        </w:pPr>
                        <w:r w:rsidRPr="009D7DE4">
                          <w:rPr>
                            <w:color w:val="000000"/>
                            <w:sz w:val="20"/>
                            <w:szCs w:val="20"/>
                          </w:rPr>
                          <w:t>entre 4,466 y 13,845</w:t>
                        </w:r>
                      </w:p>
                    </w:tc>
                    <w:tc>
                      <w:tcPr>
                        <w:tcW w:w="2240" w:type="dxa"/>
                        <w:tcBorders>
                          <w:top w:val="nil"/>
                          <w:left w:val="nil"/>
                          <w:bottom w:val="nil"/>
                          <w:right w:val="single" w:sz="4" w:space="0" w:color="auto"/>
                        </w:tcBorders>
                        <w:shd w:val="clear" w:color="000000" w:fill="FFFFFF"/>
                        <w:noWrap/>
                        <w:vAlign w:val="center"/>
                        <w:hideMark/>
                      </w:tcPr>
                      <w:p w14:paraId="5E65092B" w14:textId="77777777" w:rsidR="005F38A6" w:rsidRPr="009D7DE4" w:rsidRDefault="005F38A6" w:rsidP="00DE1611">
                        <w:pPr>
                          <w:framePr w:hSpace="141" w:wrap="around" w:vAnchor="text" w:hAnchor="margin" w:x="-30" w:y="124"/>
                          <w:jc w:val="center"/>
                          <w:rPr>
                            <w:color w:val="000000"/>
                            <w:sz w:val="20"/>
                            <w:szCs w:val="20"/>
                          </w:rPr>
                        </w:pPr>
                        <w:r w:rsidRPr="009D7DE4">
                          <w:rPr>
                            <w:color w:val="000000"/>
                            <w:sz w:val="20"/>
                            <w:szCs w:val="20"/>
                          </w:rPr>
                          <w:t>entre 4,256 y 13,205</w:t>
                        </w:r>
                      </w:p>
                    </w:tc>
                  </w:tr>
                  <w:tr w:rsidR="005F38A6" w:rsidRPr="009D7DE4" w14:paraId="6EFB7D71" w14:textId="77777777" w:rsidTr="00BB51FE">
                    <w:trPr>
                      <w:trHeight w:val="70"/>
                    </w:trPr>
                    <w:tc>
                      <w:tcPr>
                        <w:tcW w:w="2460" w:type="dxa"/>
                        <w:tcBorders>
                          <w:top w:val="nil"/>
                          <w:left w:val="single" w:sz="4" w:space="0" w:color="auto"/>
                          <w:bottom w:val="single" w:sz="4" w:space="0" w:color="auto"/>
                          <w:right w:val="single" w:sz="4" w:space="0" w:color="auto"/>
                        </w:tcBorders>
                        <w:shd w:val="clear" w:color="000000" w:fill="FFFFFF"/>
                        <w:noWrap/>
                        <w:vAlign w:val="center"/>
                        <w:hideMark/>
                      </w:tcPr>
                      <w:p w14:paraId="3E242389" w14:textId="77777777" w:rsidR="005F38A6" w:rsidRPr="009D7DE4" w:rsidRDefault="005F38A6" w:rsidP="00DE1611">
                        <w:pPr>
                          <w:framePr w:hSpace="141" w:wrap="around" w:vAnchor="text" w:hAnchor="margin" w:x="-30" w:y="124"/>
                          <w:rPr>
                            <w:color w:val="000000"/>
                            <w:sz w:val="20"/>
                            <w:szCs w:val="20"/>
                          </w:rPr>
                        </w:pPr>
                        <w:r w:rsidRPr="009D7DE4">
                          <w:rPr>
                            <w:color w:val="000000"/>
                            <w:sz w:val="20"/>
                            <w:szCs w:val="20"/>
                          </w:rPr>
                          <w:t>País de ingreso alto</w:t>
                        </w:r>
                      </w:p>
                    </w:tc>
                    <w:tc>
                      <w:tcPr>
                        <w:tcW w:w="2080" w:type="dxa"/>
                        <w:tcBorders>
                          <w:top w:val="nil"/>
                          <w:left w:val="nil"/>
                          <w:bottom w:val="single" w:sz="4" w:space="0" w:color="auto"/>
                          <w:right w:val="single" w:sz="4" w:space="0" w:color="auto"/>
                        </w:tcBorders>
                        <w:shd w:val="clear" w:color="000000" w:fill="FFFFFF"/>
                        <w:noWrap/>
                        <w:vAlign w:val="center"/>
                        <w:hideMark/>
                      </w:tcPr>
                      <w:p w14:paraId="0B74097A" w14:textId="77777777" w:rsidR="005F38A6" w:rsidRPr="009D7DE4" w:rsidRDefault="005F38A6" w:rsidP="00DE1611">
                        <w:pPr>
                          <w:framePr w:hSpace="141" w:wrap="around" w:vAnchor="text" w:hAnchor="margin" w:x="-30" w:y="124"/>
                          <w:jc w:val="center"/>
                          <w:rPr>
                            <w:color w:val="000000"/>
                            <w:sz w:val="20"/>
                            <w:szCs w:val="20"/>
                          </w:rPr>
                        </w:pPr>
                        <w:r w:rsidRPr="009D7DE4">
                          <w:rPr>
                            <w:color w:val="000000"/>
                            <w:sz w:val="20"/>
                            <w:szCs w:val="20"/>
                          </w:rPr>
                          <w:t>más de 13,845</w:t>
                        </w:r>
                      </w:p>
                    </w:tc>
                    <w:tc>
                      <w:tcPr>
                        <w:tcW w:w="2240" w:type="dxa"/>
                        <w:tcBorders>
                          <w:top w:val="nil"/>
                          <w:left w:val="nil"/>
                          <w:bottom w:val="single" w:sz="4" w:space="0" w:color="auto"/>
                          <w:right w:val="single" w:sz="4" w:space="0" w:color="auto"/>
                        </w:tcBorders>
                        <w:shd w:val="clear" w:color="000000" w:fill="FFFFFF"/>
                        <w:noWrap/>
                        <w:vAlign w:val="center"/>
                        <w:hideMark/>
                      </w:tcPr>
                      <w:p w14:paraId="7D9C4477" w14:textId="77777777" w:rsidR="005F38A6" w:rsidRPr="009D7DE4" w:rsidRDefault="005F38A6" w:rsidP="00DE1611">
                        <w:pPr>
                          <w:framePr w:hSpace="141" w:wrap="around" w:vAnchor="text" w:hAnchor="margin" w:x="-30" w:y="124"/>
                          <w:jc w:val="center"/>
                          <w:rPr>
                            <w:color w:val="000000"/>
                            <w:sz w:val="20"/>
                            <w:szCs w:val="20"/>
                          </w:rPr>
                        </w:pPr>
                        <w:r w:rsidRPr="009D7DE4">
                          <w:rPr>
                            <w:color w:val="000000"/>
                            <w:sz w:val="20"/>
                            <w:szCs w:val="20"/>
                          </w:rPr>
                          <w:t>más de 13,205</w:t>
                        </w:r>
                      </w:p>
                    </w:tc>
                  </w:tr>
                </w:tbl>
                <w:p w14:paraId="769C1976" w14:textId="03BF8461" w:rsidR="005F38A6" w:rsidRPr="009D7DE4" w:rsidRDefault="005F38A6" w:rsidP="00DE1611">
                  <w:pPr>
                    <w:keepNext/>
                    <w:framePr w:hSpace="141" w:wrap="around" w:vAnchor="text" w:hAnchor="margin" w:x="-30" w:y="124"/>
                    <w:spacing w:line="23" w:lineRule="atLeast"/>
                    <w:contextualSpacing/>
                    <w:rPr>
                      <w:sz w:val="20"/>
                      <w:szCs w:val="20"/>
                    </w:rPr>
                  </w:pPr>
                  <w:r w:rsidRPr="009D7DE4">
                    <w:rPr>
                      <w:sz w:val="20"/>
                      <w:szCs w:val="20"/>
                    </w:rPr>
                    <w:t xml:space="preserve">                               </w:t>
                  </w:r>
                  <w:r w:rsidRPr="00B306EE">
                    <w:rPr>
                      <w:sz w:val="16"/>
                      <w:szCs w:val="16"/>
                    </w:rPr>
                    <w:t>Fuente: Banco Mundial.</w:t>
                  </w:r>
                </w:p>
              </w:tc>
            </w:tr>
          </w:tbl>
          <w:p w14:paraId="0A674A87" w14:textId="77777777" w:rsidR="005F38A6" w:rsidRPr="009D7DE4" w:rsidRDefault="005F38A6" w:rsidP="00885487">
            <w:pPr>
              <w:tabs>
                <w:tab w:val="left" w:pos="3165"/>
              </w:tabs>
              <w:spacing w:line="23" w:lineRule="atLeast"/>
              <w:contextualSpacing/>
              <w:jc w:val="both"/>
              <w:rPr>
                <w:sz w:val="20"/>
                <w:szCs w:val="20"/>
              </w:rPr>
            </w:pPr>
          </w:p>
          <w:p w14:paraId="37A2CB0D" w14:textId="77777777" w:rsidR="005F38A6" w:rsidRPr="009D7DE4" w:rsidRDefault="005F38A6" w:rsidP="00885487">
            <w:pPr>
              <w:tabs>
                <w:tab w:val="left" w:pos="3165"/>
              </w:tabs>
              <w:spacing w:line="23" w:lineRule="atLeast"/>
              <w:contextualSpacing/>
              <w:jc w:val="both"/>
              <w:rPr>
                <w:sz w:val="20"/>
                <w:szCs w:val="20"/>
              </w:rPr>
            </w:pPr>
            <w:r w:rsidRPr="009D7DE4">
              <w:rPr>
                <w:sz w:val="20"/>
                <w:szCs w:val="20"/>
              </w:rPr>
              <w:t>Los factores que influyen en el ingreso nacional bruto per cápita son: el crecimiento demográfico, el crecimiento económico, la inflación y los tipos de cambio. Para que los umbrales de ingreso se mantengan fijos en términos reales se ajustan a la inflación por medio de un deflactor que considera los deflactores del PIB de China, Japón, el Reino Unido y Estados Unidos. Para el caso de los umbrales actualizados en 2023, se aumentó US$50 el umbral de ingresos bajo con respecto los umbrales del 2022.  En el caso de los ingresos medianos bajos, el límite del umbral superior aumentó en US$160 y el límite superior del lumbral superior de los ingresos medianos altos aumentó en US$640.</w:t>
            </w:r>
          </w:p>
          <w:p w14:paraId="7B54796D" w14:textId="77777777" w:rsidR="005F38A6" w:rsidRPr="009D7DE4" w:rsidRDefault="005F38A6" w:rsidP="00885487">
            <w:pPr>
              <w:tabs>
                <w:tab w:val="left" w:pos="3165"/>
              </w:tabs>
              <w:spacing w:line="23" w:lineRule="atLeast"/>
              <w:contextualSpacing/>
              <w:jc w:val="both"/>
              <w:rPr>
                <w:sz w:val="20"/>
                <w:szCs w:val="20"/>
              </w:rPr>
            </w:pPr>
          </w:p>
          <w:tbl>
            <w:tblPr>
              <w:tblW w:w="9120" w:type="dxa"/>
              <w:jc w:val="center"/>
              <w:tblLayout w:type="fixed"/>
              <w:tblCellMar>
                <w:left w:w="70" w:type="dxa"/>
                <w:right w:w="70" w:type="dxa"/>
              </w:tblCellMar>
              <w:tblLook w:val="04A0" w:firstRow="1" w:lastRow="0" w:firstColumn="1" w:lastColumn="0" w:noHBand="0" w:noVBand="1"/>
            </w:tblPr>
            <w:tblGrid>
              <w:gridCol w:w="9120"/>
            </w:tblGrid>
            <w:tr w:rsidR="005F38A6" w:rsidRPr="009D7DE4" w14:paraId="4A7877D5" w14:textId="77777777" w:rsidTr="00B306EE">
              <w:trPr>
                <w:trHeight w:val="3430"/>
                <w:jc w:val="center"/>
              </w:trPr>
              <w:tc>
                <w:tcPr>
                  <w:tcW w:w="9120" w:type="dxa"/>
                  <w:tcBorders>
                    <w:top w:val="nil"/>
                    <w:left w:val="nil"/>
                    <w:bottom w:val="nil"/>
                    <w:right w:val="nil"/>
                  </w:tcBorders>
                </w:tcPr>
                <w:p w14:paraId="0C19F7FE" w14:textId="4D212AD9" w:rsidR="00B306EE" w:rsidRPr="00B306EE" w:rsidRDefault="00B306EE" w:rsidP="00DE1611">
                  <w:pPr>
                    <w:pStyle w:val="Descripcin"/>
                    <w:framePr w:hSpace="141" w:wrap="around" w:vAnchor="text" w:hAnchor="margin" w:x="-30" w:y="124"/>
                    <w:rPr>
                      <w:color w:val="auto"/>
                    </w:rPr>
                  </w:pPr>
                  <w:bookmarkStart w:id="206" w:name="_Toc143593587"/>
                  <w:r w:rsidRPr="00B306EE">
                    <w:rPr>
                      <w:color w:val="auto"/>
                    </w:rPr>
                    <w:t xml:space="preserve">Gráfico </w:t>
                  </w:r>
                  <w:r w:rsidRPr="00B306EE">
                    <w:rPr>
                      <w:color w:val="auto"/>
                    </w:rPr>
                    <w:fldChar w:fldCharType="begin"/>
                  </w:r>
                  <w:r w:rsidRPr="00B306EE">
                    <w:rPr>
                      <w:color w:val="auto"/>
                    </w:rPr>
                    <w:instrText xml:space="preserve"> SEQ Gráfico \* ARABIC </w:instrText>
                  </w:r>
                  <w:r w:rsidRPr="00B306EE">
                    <w:rPr>
                      <w:color w:val="auto"/>
                    </w:rPr>
                    <w:fldChar w:fldCharType="separate"/>
                  </w:r>
                  <w:r w:rsidR="00A62AFA">
                    <w:rPr>
                      <w:noProof/>
                      <w:color w:val="auto"/>
                    </w:rPr>
                    <w:t>29</w:t>
                  </w:r>
                  <w:r w:rsidRPr="00B306EE">
                    <w:rPr>
                      <w:color w:val="auto"/>
                    </w:rPr>
                    <w:fldChar w:fldCharType="end"/>
                  </w:r>
                  <w:r w:rsidRPr="00B306EE">
                    <w:rPr>
                      <w:color w:val="auto"/>
                    </w:rPr>
                    <w:t xml:space="preserve">.  </w:t>
                  </w:r>
                  <w:bookmarkStart w:id="207" w:name="_Toc142380399"/>
                  <w:bookmarkStart w:id="208" w:name="_Toc114493870"/>
                  <w:r w:rsidRPr="00B306EE">
                    <w:rPr>
                      <w:color w:val="auto"/>
                      <w:sz w:val="20"/>
                      <w:szCs w:val="20"/>
                    </w:rPr>
                    <w:t xml:space="preserve"> INB bruto per cápita según metodología Atlas para 2022*</w:t>
                  </w:r>
                  <w:bookmarkEnd w:id="206"/>
                  <w:bookmarkEnd w:id="207"/>
                  <w:bookmarkEnd w:id="208"/>
                </w:p>
                <w:p w14:paraId="481F5765" w14:textId="77777777" w:rsidR="005F38A6" w:rsidRPr="009D7DE4" w:rsidRDefault="005F38A6" w:rsidP="00DE1611">
                  <w:pPr>
                    <w:framePr w:hSpace="141" w:wrap="around" w:vAnchor="text" w:hAnchor="margin" w:x="-30" w:y="124"/>
                    <w:tabs>
                      <w:tab w:val="left" w:pos="1582"/>
                    </w:tabs>
                    <w:spacing w:line="23" w:lineRule="atLeast"/>
                    <w:contextualSpacing/>
                    <w:jc w:val="center"/>
                    <w:rPr>
                      <w:noProof/>
                      <w:sz w:val="20"/>
                      <w:szCs w:val="20"/>
                    </w:rPr>
                  </w:pPr>
                  <w:r w:rsidRPr="009D7DE4">
                    <w:rPr>
                      <w:noProof/>
                      <w:sz w:val="20"/>
                      <w:szCs w:val="20"/>
                    </w:rPr>
                    <mc:AlternateContent>
                      <mc:Choice Requires="wps">
                        <w:drawing>
                          <wp:anchor distT="0" distB="0" distL="114300" distR="114300" simplePos="0" relativeHeight="251660288" behindDoc="0" locked="0" layoutInCell="1" allowOverlap="1" wp14:anchorId="79071EDD" wp14:editId="2137F966">
                            <wp:simplePos x="0" y="0"/>
                            <wp:positionH relativeFrom="column">
                              <wp:posOffset>1890036</wp:posOffset>
                            </wp:positionH>
                            <wp:positionV relativeFrom="paragraph">
                              <wp:posOffset>92572</wp:posOffset>
                            </wp:positionV>
                            <wp:extent cx="1365250" cy="318052"/>
                            <wp:effectExtent l="0" t="0" r="0" b="0"/>
                            <wp:wrapNone/>
                            <wp:docPr id="22" name="CuadroTexto 10"/>
                            <wp:cNvGraphicFramePr/>
                            <a:graphic xmlns:a="http://schemas.openxmlformats.org/drawingml/2006/main">
                              <a:graphicData uri="http://schemas.microsoft.com/office/word/2010/wordprocessingShape">
                                <wps:wsp>
                                  <wps:cNvSpPr txBox="1"/>
                                  <wps:spPr>
                                    <a:xfrm>
                                      <a:off x="0" y="0"/>
                                      <a:ext cx="1365250" cy="318052"/>
                                    </a:xfrm>
                                    <a:prstGeom prst="rect">
                                      <a:avLst/>
                                    </a:prstGeom>
                                  </wps:spPr>
                                  <wps:txbx>
                                    <w:txbxContent>
                                      <w:p w14:paraId="352E537B" w14:textId="77777777" w:rsidR="005F38A6" w:rsidRDefault="005F38A6" w:rsidP="005F38A6">
                                        <w:pPr>
                                          <w:rPr>
                                            <w:b/>
                                            <w:bCs/>
                                            <w:color w:val="385623" w:themeColor="accent6" w:themeShade="80"/>
                                          </w:rPr>
                                        </w:pPr>
                                        <w:r>
                                          <w:rPr>
                                            <w:b/>
                                            <w:bCs/>
                                            <w:color w:val="385623" w:themeColor="accent6" w:themeShade="80"/>
                                          </w:rPr>
                                          <w:t>Ingreso medio alto</w:t>
                                        </w:r>
                                      </w:p>
                                    </w:txbxContent>
                                  </wps:txbx>
                                  <wps:bodyPr wrap="square" rtlCol="0">
                                    <a:noAutofit/>
                                  </wps:bodyPr>
                                </wps:wsp>
                              </a:graphicData>
                            </a:graphic>
                            <wp14:sizeRelV relativeFrom="margin">
                              <wp14:pctHeight>0</wp14:pctHeight>
                            </wp14:sizeRelV>
                          </wp:anchor>
                        </w:drawing>
                      </mc:Choice>
                      <mc:Fallback>
                        <w:pict>
                          <v:shape w14:anchorId="79071EDD" id="CuadroTexto 10" o:spid="_x0000_s1029" type="#_x0000_t202" style="position:absolute;left:0;text-align:left;margin-left:148.8pt;margin-top:7.3pt;width:107.5pt;height:25.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" filled="f" stroked="f">
                            <v:textbox>
                              <w:txbxContent>
                                <w:p w14:paraId="352E537B" w14:textId="77777777" w:rsidR="005F38A6" w:rsidRDefault="005F38A6" w:rsidP="005F38A6">
                                  <w:pPr>
                                    <w:rPr>
                                      <w:b/>
                                      <w:bCs/>
                                      <w:color w:val="385623" w:themeColor="accent6" w:themeShade="80"/>
                                    </w:rPr>
                                  </w:pPr>
                                  <w:r>
                                    <w:rPr>
                                      <w:b/>
                                      <w:bCs/>
                                      <w:color w:val="385623" w:themeColor="accent6" w:themeShade="80"/>
                                    </w:rPr>
                                    <w:t>Ingreso medio alto</w:t>
                                  </w:r>
                                </w:p>
                              </w:txbxContent>
                            </v:textbox>
                          </v:shape>
                        </w:pict>
                      </mc:Fallback>
                    </mc:AlternateContent>
                  </w:r>
                  <w:r w:rsidRPr="009D7DE4">
                    <w:rPr>
                      <w:noProof/>
                      <w:sz w:val="20"/>
                      <w:szCs w:val="20"/>
                    </w:rPr>
                    <mc:AlternateContent>
                      <mc:Choice Requires="wps">
                        <w:drawing>
                          <wp:anchor distT="0" distB="0" distL="114300" distR="114300" simplePos="0" relativeHeight="251659264" behindDoc="0" locked="0" layoutInCell="1" allowOverlap="1" wp14:anchorId="7B67944B" wp14:editId="4FB10412">
                            <wp:simplePos x="0" y="0"/>
                            <wp:positionH relativeFrom="column">
                              <wp:posOffset>1602342</wp:posOffset>
                            </wp:positionH>
                            <wp:positionV relativeFrom="paragraph">
                              <wp:posOffset>96966</wp:posOffset>
                            </wp:positionV>
                            <wp:extent cx="1937303" cy="1441174"/>
                            <wp:effectExtent l="0" t="0" r="6350" b="6985"/>
                            <wp:wrapNone/>
                            <wp:docPr id="25" name="Rectángulo 7"/>
                            <wp:cNvGraphicFramePr/>
                            <a:graphic xmlns:a="http://schemas.openxmlformats.org/drawingml/2006/main">
                              <a:graphicData uri="http://schemas.microsoft.com/office/word/2010/wordprocessingShape">
                                <wps:wsp>
                                  <wps:cNvSpPr/>
                                  <wps:spPr>
                                    <a:xfrm>
                                      <a:off x="0" y="0"/>
                                      <a:ext cx="1937303" cy="1441174"/>
                                    </a:xfrm>
                                    <a:prstGeom prst="rect">
                                      <a:avLst/>
                                    </a:prstGeom>
                                    <a:solidFill>
                                      <a:schemeClr val="accent6">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EE0E5FE" id="Rectángulo 7" o:spid="_x0000_s1026" style="position:absolute;margin-left:126.15pt;margin-top:7.65pt;width:152.55pt;height:1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" fillcolor="#70ad47 [3209]" stroked="f" strokeweight="1pt">
                            <v:fill opacity="6682f"/>
                          </v:rect>
                        </w:pict>
                      </mc:Fallback>
                    </mc:AlternateContent>
                  </w:r>
                  <w:r w:rsidRPr="009D7DE4">
                    <w:rPr>
                      <w:noProof/>
                      <w:sz w:val="20"/>
                      <w:szCs w:val="20"/>
                    </w:rPr>
                    <w:drawing>
                      <wp:inline distT="0" distB="0" distL="0" distR="0" wp14:anchorId="54F60612" wp14:editId="241C6A0F">
                        <wp:extent cx="4859655" cy="1789044"/>
                        <wp:effectExtent l="0" t="0" r="0" b="1905"/>
                        <wp:docPr id="24" name="Gráfico 24">
                          <a:extLst xmlns:a="http://schemas.openxmlformats.org/drawingml/2006/main">
                            <a:ext uri="{FF2B5EF4-FFF2-40B4-BE49-F238E27FC236}">
                              <a16:creationId xmlns:a16="http://schemas.microsoft.com/office/drawing/2014/main" id="{82975FC5-00AC-4459-95B3-0FEA76DEE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568A46A" w14:textId="77777777" w:rsidR="005F38A6" w:rsidRPr="009D7DE4" w:rsidRDefault="005F38A6" w:rsidP="00DE1611">
                  <w:pPr>
                    <w:framePr w:hSpace="141" w:wrap="around" w:vAnchor="text" w:hAnchor="margin" w:x="-30" w:y="124"/>
                    <w:tabs>
                      <w:tab w:val="left" w:pos="2236"/>
                    </w:tabs>
                    <w:spacing w:line="23" w:lineRule="atLeast"/>
                    <w:contextualSpacing/>
                    <w:rPr>
                      <w:sz w:val="20"/>
                      <w:szCs w:val="20"/>
                    </w:rPr>
                  </w:pPr>
                  <w:r w:rsidRPr="00B306EE">
                    <w:rPr>
                      <w:sz w:val="16"/>
                      <w:szCs w:val="16"/>
                    </w:rPr>
                    <w:t xml:space="preserve">                   Fuente: </w:t>
                  </w:r>
                  <w:r w:rsidRPr="00B306EE">
                    <w:rPr>
                      <w:bCs/>
                      <w:sz w:val="16"/>
                      <w:szCs w:val="16"/>
                    </w:rPr>
                    <w:t>Ministerio de Finanzas Públicas</w:t>
                  </w:r>
                  <w:r w:rsidRPr="00B306EE">
                    <w:rPr>
                      <w:sz w:val="16"/>
                      <w:szCs w:val="16"/>
                    </w:rPr>
                    <w:t xml:space="preserve"> con información del Banco Mundial.</w:t>
                  </w:r>
                </w:p>
              </w:tc>
            </w:tr>
          </w:tbl>
          <w:p w14:paraId="0A9A1401" w14:textId="3EAEF905" w:rsidR="005F38A6" w:rsidRPr="009D7DE4" w:rsidRDefault="005F38A6" w:rsidP="00885487">
            <w:pPr>
              <w:tabs>
                <w:tab w:val="left" w:pos="3165"/>
              </w:tabs>
              <w:spacing w:line="23" w:lineRule="atLeast"/>
              <w:contextualSpacing/>
              <w:jc w:val="both"/>
              <w:rPr>
                <w:sz w:val="20"/>
                <w:szCs w:val="20"/>
              </w:rPr>
            </w:pPr>
            <w:r w:rsidRPr="009D7DE4">
              <w:rPr>
                <w:sz w:val="20"/>
                <w:szCs w:val="20"/>
              </w:rPr>
              <w:t>Guatemala desde 2017 ha sido considerado un país de ingreso medio alto.  Previo a dicho año fue considerado un país de ingreso mediano bajo. Para el 2022, el ingreso nacional bruto per cápita medido por la metodología Atlas se encontraba en USD$5,350, mayor en USD$420 que el ingreso del año 2021. En el caso de la región Centroamericana, Panamá se considera un país de ingreso alto y Costa Rica está cerca del límite superior del ingreso mediano alto, esto se debe a que su población es menor a la población guatemalteca. Por otro lado, Honduras y Nicaragua son países de ingreso mediano bajo, este último está cerca del límite superior de los países de ingreso medio alto.</w:t>
            </w:r>
          </w:p>
          <w:p w14:paraId="53FE13DF" w14:textId="77777777" w:rsidR="005F38A6" w:rsidRPr="00037E1D" w:rsidRDefault="005F38A6" w:rsidP="00885487">
            <w:pPr>
              <w:tabs>
                <w:tab w:val="left" w:pos="3165"/>
              </w:tabs>
              <w:spacing w:line="23" w:lineRule="atLeast"/>
              <w:contextualSpacing/>
              <w:jc w:val="both"/>
              <w:rPr>
                <w:sz w:val="12"/>
                <w:szCs w:val="12"/>
              </w:rPr>
            </w:pPr>
          </w:p>
          <w:p w14:paraId="554D43FA" w14:textId="77777777" w:rsidR="005F38A6" w:rsidRPr="002C1FE5" w:rsidRDefault="005F38A6" w:rsidP="00885487">
            <w:pPr>
              <w:tabs>
                <w:tab w:val="left" w:pos="3165"/>
              </w:tabs>
              <w:spacing w:line="23" w:lineRule="atLeast"/>
              <w:contextualSpacing/>
              <w:jc w:val="both"/>
              <w:rPr>
                <w:color w:val="FF0000"/>
                <w:highlight w:val="yellow"/>
              </w:rPr>
            </w:pPr>
            <w:r w:rsidRPr="002C1FE5">
              <w:rPr>
                <w:sz w:val="18"/>
                <w:szCs w:val="18"/>
              </w:rPr>
              <w:t>*Última actualización disponible.</w:t>
            </w:r>
          </w:p>
        </w:tc>
      </w:tr>
    </w:tbl>
    <w:p w14:paraId="60E5F633" w14:textId="77777777" w:rsidR="005F38A6" w:rsidRPr="00B24092" w:rsidRDefault="005F38A6" w:rsidP="000E12CF">
      <w:pPr>
        <w:keepNext/>
        <w:numPr>
          <w:ilvl w:val="0"/>
          <w:numId w:val="8"/>
        </w:numPr>
        <w:ind w:right="49"/>
        <w:outlineLvl w:val="0"/>
        <w:rPr>
          <w:b/>
          <w:vanish/>
          <w:lang w:val="es-MX"/>
        </w:rPr>
      </w:pPr>
      <w:bookmarkStart w:id="209" w:name="_Toc114476103"/>
      <w:bookmarkStart w:id="210" w:name="_Toc114476188"/>
      <w:bookmarkStart w:id="211" w:name="_Toc114476255"/>
      <w:bookmarkStart w:id="212" w:name="_Toc114476329"/>
      <w:bookmarkStart w:id="213" w:name="_Toc114476395"/>
      <w:bookmarkStart w:id="214" w:name="_Toc114492481"/>
      <w:bookmarkStart w:id="215" w:name="_Toc114492682"/>
      <w:bookmarkStart w:id="216" w:name="_Toc114493792"/>
      <w:bookmarkStart w:id="217" w:name="_Toc114495247"/>
      <w:bookmarkStart w:id="218" w:name="_Toc143252202"/>
      <w:bookmarkStart w:id="219" w:name="_Toc143252346"/>
      <w:bookmarkStart w:id="220" w:name="_Toc143252488"/>
      <w:bookmarkStart w:id="221" w:name="_Toc143874018"/>
      <w:bookmarkStart w:id="222" w:name="_Toc143874163"/>
      <w:bookmarkStart w:id="223" w:name="_Toc144113929"/>
      <w:bookmarkStart w:id="224" w:name="_Toc144114087"/>
      <w:bookmarkStart w:id="225" w:name="_Toc144114233"/>
      <w:bookmarkStart w:id="226" w:name="_Toc14411437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7122EDAC" w14:textId="77777777" w:rsidR="005F38A6" w:rsidRPr="00B24092" w:rsidRDefault="005F38A6" w:rsidP="000E12CF">
      <w:pPr>
        <w:keepNext/>
        <w:numPr>
          <w:ilvl w:val="0"/>
          <w:numId w:val="8"/>
        </w:numPr>
        <w:ind w:right="49"/>
        <w:outlineLvl w:val="0"/>
        <w:rPr>
          <w:b/>
          <w:vanish/>
          <w:lang w:val="es-MX"/>
        </w:rPr>
      </w:pPr>
      <w:bookmarkStart w:id="227" w:name="_Toc114476104"/>
      <w:bookmarkStart w:id="228" w:name="_Toc114476189"/>
      <w:bookmarkStart w:id="229" w:name="_Toc114476256"/>
      <w:bookmarkStart w:id="230" w:name="_Toc114476330"/>
      <w:bookmarkStart w:id="231" w:name="_Toc114476396"/>
      <w:bookmarkStart w:id="232" w:name="_Toc114492482"/>
      <w:bookmarkStart w:id="233" w:name="_Toc114492683"/>
      <w:bookmarkStart w:id="234" w:name="_Toc114493793"/>
      <w:bookmarkStart w:id="235" w:name="_Toc114495248"/>
      <w:bookmarkStart w:id="236" w:name="_Toc143252203"/>
      <w:bookmarkStart w:id="237" w:name="_Toc143252347"/>
      <w:bookmarkStart w:id="238" w:name="_Toc143252489"/>
      <w:bookmarkStart w:id="239" w:name="_Toc143874019"/>
      <w:bookmarkStart w:id="240" w:name="_Toc143874164"/>
      <w:bookmarkStart w:id="241" w:name="_Toc144113930"/>
      <w:bookmarkStart w:id="242" w:name="_Toc144114088"/>
      <w:bookmarkStart w:id="243" w:name="_Toc144114234"/>
      <w:bookmarkStart w:id="244" w:name="_Toc144114378"/>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737CAFE5" w14:textId="77777777" w:rsidR="0060493C" w:rsidRPr="0060493C" w:rsidRDefault="0060493C" w:rsidP="0060493C">
      <w:pPr>
        <w:pStyle w:val="Prrafodelista"/>
        <w:keepNext/>
        <w:widowControl w:val="0"/>
        <w:numPr>
          <w:ilvl w:val="0"/>
          <w:numId w:val="35"/>
        </w:numPr>
        <w:contextualSpacing w:val="0"/>
        <w:outlineLvl w:val="1"/>
        <w:rPr>
          <w:rFonts w:eastAsiaTheme="minorHAnsi"/>
          <w:b/>
          <w:bCs/>
          <w:vanish/>
          <w:color w:val="000000"/>
          <w:lang w:eastAsia="en-US"/>
        </w:rPr>
      </w:pPr>
      <w:bookmarkStart w:id="245" w:name="_Toc143252204"/>
      <w:bookmarkStart w:id="246" w:name="_Toc143252348"/>
      <w:bookmarkStart w:id="247" w:name="_Toc143252490"/>
      <w:bookmarkStart w:id="248" w:name="_Toc143874020"/>
      <w:bookmarkStart w:id="249" w:name="_Toc143874165"/>
      <w:bookmarkStart w:id="250" w:name="_Toc144113931"/>
      <w:bookmarkStart w:id="251" w:name="_Toc144114089"/>
      <w:bookmarkStart w:id="252" w:name="_Toc144114235"/>
      <w:bookmarkStart w:id="253" w:name="_Toc144114379"/>
      <w:bookmarkStart w:id="254" w:name="_Toc114495249"/>
      <w:bookmarkEnd w:id="245"/>
      <w:bookmarkEnd w:id="246"/>
      <w:bookmarkEnd w:id="247"/>
      <w:bookmarkEnd w:id="248"/>
      <w:bookmarkEnd w:id="249"/>
      <w:bookmarkEnd w:id="250"/>
      <w:bookmarkEnd w:id="251"/>
      <w:bookmarkEnd w:id="252"/>
      <w:bookmarkEnd w:id="253"/>
    </w:p>
    <w:p w14:paraId="6404D5F2" w14:textId="03587492" w:rsidR="005F38A6" w:rsidRPr="009D188B" w:rsidRDefault="005F38A6" w:rsidP="007F19DF">
      <w:pPr>
        <w:pStyle w:val="Ttulo2"/>
        <w:numPr>
          <w:ilvl w:val="1"/>
          <w:numId w:val="35"/>
        </w:numPr>
        <w:ind w:left="426" w:hanging="284"/>
        <w:rPr>
          <w:bCs/>
        </w:rPr>
      </w:pPr>
      <w:bookmarkStart w:id="255" w:name="_Toc144114380"/>
      <w:r w:rsidRPr="009D188B">
        <w:rPr>
          <w:bCs/>
        </w:rPr>
        <w:t>Estándares internacionales para indicadores de riesgo de la deuda pública para los países con acceso al mercado de capitales</w:t>
      </w:r>
      <w:bookmarkEnd w:id="254"/>
      <w:bookmarkEnd w:id="255"/>
    </w:p>
    <w:p w14:paraId="28908580" w14:textId="77777777" w:rsidR="005F38A6" w:rsidRPr="002C1FE5" w:rsidRDefault="005F38A6" w:rsidP="005F38A6">
      <w:pPr>
        <w:ind w:right="49"/>
        <w:jc w:val="both"/>
        <w:rPr>
          <w:bCs/>
          <w:color w:val="000000" w:themeColor="text1"/>
          <w:lang w:val="es-MX"/>
        </w:rPr>
      </w:pPr>
    </w:p>
    <w:p w14:paraId="4B5E3825" w14:textId="08618319" w:rsidR="005F38A6" w:rsidRDefault="005F38A6" w:rsidP="005F38A6">
      <w:pPr>
        <w:ind w:right="49"/>
        <w:jc w:val="both"/>
        <w:rPr>
          <w:bCs/>
          <w:color w:val="000000" w:themeColor="text1"/>
          <w:lang w:val="es-MX"/>
        </w:rPr>
      </w:pPr>
      <w:r w:rsidRPr="002C1FE5">
        <w:rPr>
          <w:bCs/>
          <w:color w:val="000000" w:themeColor="text1"/>
          <w:lang w:val="es-MX"/>
        </w:rPr>
        <w:t>Los indicadores propuestos por el Fondo Monetario Internacional para identificar diversos riesgos para la sostenibilidad de la deuda son, para la carga de deuda pública: la deuda pública con respecto al PIB y los requerimientos de financiación pública bruta también con respecto al PIB. Para analizar los riesgos del perfil de la deuda los indicadores son el spread con los bonos del tesoro de Estados Unidos (EMBI), el requerimiento de financiamiento externo, la deuda en moneda extranjera, el cambio anual de la participación de la deuda a corto plazo y la deuda pública externa.</w:t>
      </w:r>
    </w:p>
    <w:p w14:paraId="1FEF1B9E" w14:textId="77777777" w:rsidR="00885487" w:rsidRPr="002C1FE5" w:rsidRDefault="00885487" w:rsidP="005F38A6">
      <w:pPr>
        <w:ind w:right="49"/>
        <w:jc w:val="both"/>
        <w:rPr>
          <w:bCs/>
          <w:color w:val="000000" w:themeColor="text1"/>
          <w:lang w:val="es-MX"/>
        </w:rPr>
      </w:pPr>
    </w:p>
    <w:p w14:paraId="31EDAF9F" w14:textId="24A0D895" w:rsidR="005F38A6" w:rsidRPr="00132F96" w:rsidRDefault="00B306EE" w:rsidP="00B306EE">
      <w:pPr>
        <w:pStyle w:val="Descripcin"/>
        <w:keepNext/>
      </w:pPr>
      <w:bookmarkStart w:id="256" w:name="_Toc114493932"/>
      <w:bookmarkStart w:id="257" w:name="_Toc143593530"/>
      <w:r w:rsidRPr="00B306EE">
        <w:rPr>
          <w:color w:val="auto"/>
        </w:rPr>
        <w:t xml:space="preserve">Tabla </w:t>
      </w:r>
      <w:r w:rsidRPr="00B306EE">
        <w:rPr>
          <w:color w:val="auto"/>
        </w:rPr>
        <w:fldChar w:fldCharType="begin"/>
      </w:r>
      <w:r w:rsidRPr="00B306EE">
        <w:rPr>
          <w:color w:val="auto"/>
        </w:rPr>
        <w:instrText xml:space="preserve"> SEQ Tabla \* ARABIC </w:instrText>
      </w:r>
      <w:r w:rsidRPr="00B306EE">
        <w:rPr>
          <w:color w:val="auto"/>
        </w:rPr>
        <w:fldChar w:fldCharType="separate"/>
      </w:r>
      <w:r w:rsidR="00A62AFA">
        <w:rPr>
          <w:noProof/>
          <w:color w:val="auto"/>
        </w:rPr>
        <w:t>28</w:t>
      </w:r>
      <w:r w:rsidRPr="00B306EE">
        <w:rPr>
          <w:color w:val="auto"/>
        </w:rPr>
        <w:fldChar w:fldCharType="end"/>
      </w:r>
      <w:r w:rsidRPr="00B306EE">
        <w:rPr>
          <w:color w:val="auto"/>
        </w:rPr>
        <w:t xml:space="preserve">.  </w:t>
      </w:r>
      <w:r w:rsidR="005F38A6" w:rsidRPr="00B306EE">
        <w:rPr>
          <w:color w:val="auto"/>
          <w:sz w:val="22"/>
          <w:szCs w:val="22"/>
          <w:lang w:val="es-ES_tradnl" w:eastAsia="es-ES"/>
        </w:rPr>
        <w:t>Puntos de referencia para los indicadores de Deuda</w:t>
      </w:r>
      <w:bookmarkEnd w:id="256"/>
      <w:bookmarkEnd w:id="257"/>
    </w:p>
    <w:tbl>
      <w:tblPr>
        <w:tblW w:w="8654" w:type="dxa"/>
        <w:jc w:val="center"/>
        <w:tblCellMar>
          <w:left w:w="70" w:type="dxa"/>
          <w:right w:w="70" w:type="dxa"/>
        </w:tblCellMar>
        <w:tblLook w:val="04A0" w:firstRow="1" w:lastRow="0" w:firstColumn="1" w:lastColumn="0" w:noHBand="0" w:noVBand="1"/>
      </w:tblPr>
      <w:tblGrid>
        <w:gridCol w:w="6318"/>
        <w:gridCol w:w="1237"/>
        <w:gridCol w:w="1099"/>
      </w:tblGrid>
      <w:tr w:rsidR="005F38A6" w:rsidRPr="002C1FE5" w14:paraId="78838DB8" w14:textId="77777777" w:rsidTr="00BB51FE">
        <w:trPr>
          <w:trHeight w:val="645"/>
          <w:jc w:val="center"/>
        </w:trPr>
        <w:tc>
          <w:tcPr>
            <w:tcW w:w="6318" w:type="dxa"/>
            <w:tcBorders>
              <w:top w:val="single" w:sz="4" w:space="0" w:color="auto"/>
              <w:left w:val="single" w:sz="4" w:space="0" w:color="auto"/>
              <w:bottom w:val="single" w:sz="4" w:space="0" w:color="auto"/>
              <w:right w:val="nil"/>
            </w:tcBorders>
            <w:shd w:val="clear" w:color="auto" w:fill="D9E2F3" w:themeFill="accent1" w:themeFillTint="33"/>
            <w:vAlign w:val="center"/>
            <w:hideMark/>
          </w:tcPr>
          <w:p w14:paraId="067728A1" w14:textId="77777777" w:rsidR="005F38A6" w:rsidRPr="002C1FE5" w:rsidRDefault="005F38A6" w:rsidP="006A7377">
            <w:pPr>
              <w:jc w:val="center"/>
              <w:rPr>
                <w:rFonts w:ascii="Times" w:hAnsi="Times" w:cs="Times"/>
                <w:b/>
                <w:bCs/>
                <w:color w:val="000000"/>
                <w:sz w:val="20"/>
                <w:szCs w:val="20"/>
                <w:lang w:val="es-ES_tradnl"/>
              </w:rPr>
            </w:pPr>
            <w:proofErr w:type="spellStart"/>
            <w:r w:rsidRPr="002C1FE5">
              <w:rPr>
                <w:rFonts w:ascii="Times" w:hAnsi="Times" w:cs="Times"/>
                <w:b/>
                <w:bCs/>
                <w:color w:val="000000"/>
                <w:sz w:val="20"/>
                <w:szCs w:val="20"/>
                <w:lang w:val="es-ES_tradnl"/>
              </w:rPr>
              <w:t>Benchmarks</w:t>
            </w:r>
            <w:proofErr w:type="spellEnd"/>
            <w:r w:rsidRPr="002C1FE5">
              <w:rPr>
                <w:rFonts w:ascii="Times" w:hAnsi="Times" w:cs="Times"/>
                <w:b/>
                <w:bCs/>
                <w:color w:val="000000"/>
                <w:sz w:val="20"/>
                <w:szCs w:val="20"/>
                <w:lang w:val="es-ES_tradnl"/>
              </w:rPr>
              <w:t xml:space="preserve"> para países con acceso al mercado</w:t>
            </w:r>
            <w:r w:rsidRPr="002C1FE5">
              <w:rPr>
                <w:rFonts w:ascii="Times" w:hAnsi="Times" w:cs="Times"/>
                <w:b/>
                <w:bCs/>
                <w:color w:val="000000"/>
                <w:sz w:val="20"/>
                <w:szCs w:val="20"/>
                <w:lang w:val="es-ES_tradnl"/>
              </w:rPr>
              <w:br/>
              <w:t>(en puntos porcentuales)</w:t>
            </w:r>
          </w:p>
        </w:tc>
        <w:tc>
          <w:tcPr>
            <w:tcW w:w="123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5E4F01" w14:textId="77777777" w:rsidR="005F38A6" w:rsidRPr="002C1FE5" w:rsidRDefault="005F38A6" w:rsidP="006A7377">
            <w:pPr>
              <w:jc w:val="center"/>
              <w:rPr>
                <w:rFonts w:ascii="Times" w:hAnsi="Times" w:cs="Times"/>
                <w:b/>
                <w:bCs/>
                <w:color w:val="000000"/>
                <w:sz w:val="20"/>
                <w:szCs w:val="20"/>
                <w:lang w:val="es-ES_tradnl"/>
              </w:rPr>
            </w:pPr>
            <w:r w:rsidRPr="002C1FE5">
              <w:rPr>
                <w:rFonts w:ascii="Times" w:hAnsi="Times" w:cs="Times"/>
                <w:b/>
                <w:bCs/>
                <w:color w:val="000000"/>
                <w:sz w:val="20"/>
                <w:szCs w:val="20"/>
                <w:lang w:val="es-ES_tradnl"/>
              </w:rPr>
              <w:t>Mercados emergentes</w:t>
            </w:r>
          </w:p>
        </w:tc>
        <w:tc>
          <w:tcPr>
            <w:tcW w:w="1099"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1099AC6" w14:textId="77777777" w:rsidR="005F38A6" w:rsidRPr="002C1FE5" w:rsidRDefault="005F38A6" w:rsidP="006A7377">
            <w:pPr>
              <w:jc w:val="center"/>
              <w:rPr>
                <w:rFonts w:ascii="Times" w:hAnsi="Times" w:cs="Times"/>
                <w:b/>
                <w:bCs/>
                <w:color w:val="000000"/>
                <w:sz w:val="20"/>
                <w:szCs w:val="20"/>
                <w:lang w:val="es-ES_tradnl"/>
              </w:rPr>
            </w:pPr>
            <w:r w:rsidRPr="002C1FE5">
              <w:rPr>
                <w:rFonts w:ascii="Times" w:hAnsi="Times" w:cs="Times"/>
                <w:b/>
                <w:bCs/>
                <w:color w:val="000000"/>
                <w:sz w:val="20"/>
                <w:szCs w:val="20"/>
                <w:lang w:val="es-ES_tradnl"/>
              </w:rPr>
              <w:t>Economías Avanzadas</w:t>
            </w:r>
          </w:p>
        </w:tc>
      </w:tr>
      <w:tr w:rsidR="005F38A6" w:rsidRPr="002C1FE5" w14:paraId="405642B0" w14:textId="77777777" w:rsidTr="00BB51FE">
        <w:trPr>
          <w:trHeight w:val="281"/>
          <w:jc w:val="center"/>
        </w:trPr>
        <w:tc>
          <w:tcPr>
            <w:tcW w:w="6318" w:type="dxa"/>
            <w:tcBorders>
              <w:top w:val="nil"/>
              <w:left w:val="single" w:sz="4" w:space="0" w:color="auto"/>
              <w:bottom w:val="nil"/>
              <w:right w:val="nil"/>
            </w:tcBorders>
            <w:shd w:val="clear" w:color="auto" w:fill="FFFFFF" w:themeFill="background1"/>
            <w:noWrap/>
            <w:vAlign w:val="bottom"/>
            <w:hideMark/>
          </w:tcPr>
          <w:p w14:paraId="69E0CC58" w14:textId="77777777" w:rsidR="005F38A6" w:rsidRPr="002C1FE5" w:rsidRDefault="005F38A6" w:rsidP="006A7377">
            <w:pPr>
              <w:rPr>
                <w:rFonts w:ascii="Times" w:hAnsi="Times" w:cs="Times"/>
                <w:b/>
                <w:bCs/>
                <w:color w:val="000000"/>
                <w:sz w:val="20"/>
                <w:szCs w:val="20"/>
                <w:lang w:val="es-ES_tradnl"/>
              </w:rPr>
            </w:pPr>
            <w:r w:rsidRPr="002C1FE5">
              <w:rPr>
                <w:rFonts w:ascii="Times" w:hAnsi="Times" w:cs="Times"/>
                <w:b/>
                <w:bCs/>
                <w:color w:val="000000"/>
                <w:sz w:val="20"/>
                <w:szCs w:val="20"/>
                <w:lang w:val="es-ES_tradnl"/>
              </w:rPr>
              <w:t>Indicadores de la carga de la deuda pública</w:t>
            </w:r>
          </w:p>
        </w:tc>
        <w:tc>
          <w:tcPr>
            <w:tcW w:w="1237" w:type="dxa"/>
            <w:tcBorders>
              <w:top w:val="nil"/>
              <w:left w:val="single" w:sz="4" w:space="0" w:color="auto"/>
              <w:bottom w:val="nil"/>
              <w:right w:val="single" w:sz="4" w:space="0" w:color="auto"/>
            </w:tcBorders>
            <w:shd w:val="clear" w:color="auto" w:fill="FFFFFF" w:themeFill="background1"/>
            <w:noWrap/>
            <w:vAlign w:val="bottom"/>
            <w:hideMark/>
          </w:tcPr>
          <w:p w14:paraId="700C3996" w14:textId="77777777" w:rsidR="005F38A6" w:rsidRPr="002C1FE5" w:rsidRDefault="005F38A6" w:rsidP="006A7377">
            <w:pPr>
              <w:rPr>
                <w:rFonts w:ascii="Times" w:hAnsi="Times" w:cs="Times"/>
                <w:color w:val="000000"/>
                <w:sz w:val="20"/>
                <w:szCs w:val="20"/>
                <w:lang w:val="es-ES_tradnl"/>
              </w:rPr>
            </w:pPr>
            <w:r w:rsidRPr="002C1FE5">
              <w:rPr>
                <w:rFonts w:ascii="Times" w:hAnsi="Times" w:cs="Times"/>
                <w:color w:val="000000"/>
                <w:sz w:val="20"/>
                <w:szCs w:val="20"/>
                <w:lang w:val="es-ES_tradnl"/>
              </w:rPr>
              <w:t> </w:t>
            </w:r>
          </w:p>
        </w:tc>
        <w:tc>
          <w:tcPr>
            <w:tcW w:w="1099" w:type="dxa"/>
            <w:tcBorders>
              <w:top w:val="nil"/>
              <w:left w:val="nil"/>
              <w:bottom w:val="nil"/>
              <w:right w:val="single" w:sz="4" w:space="0" w:color="auto"/>
            </w:tcBorders>
            <w:shd w:val="clear" w:color="auto" w:fill="FFFFFF" w:themeFill="background1"/>
            <w:noWrap/>
            <w:vAlign w:val="bottom"/>
            <w:hideMark/>
          </w:tcPr>
          <w:p w14:paraId="200A25BB" w14:textId="77777777" w:rsidR="005F38A6" w:rsidRPr="002C1FE5" w:rsidRDefault="005F38A6" w:rsidP="006A7377">
            <w:pPr>
              <w:rPr>
                <w:rFonts w:ascii="Times" w:hAnsi="Times" w:cs="Times"/>
                <w:color w:val="000000"/>
                <w:sz w:val="20"/>
                <w:szCs w:val="20"/>
                <w:lang w:val="es-ES_tradnl"/>
              </w:rPr>
            </w:pPr>
            <w:r w:rsidRPr="002C1FE5">
              <w:rPr>
                <w:rFonts w:ascii="Times" w:hAnsi="Times" w:cs="Times"/>
                <w:color w:val="000000"/>
                <w:sz w:val="20"/>
                <w:szCs w:val="20"/>
                <w:lang w:val="es-ES_tradnl"/>
              </w:rPr>
              <w:t> </w:t>
            </w:r>
          </w:p>
        </w:tc>
      </w:tr>
      <w:tr w:rsidR="005F38A6" w:rsidRPr="002C1FE5" w14:paraId="0EEDC0FA" w14:textId="77777777" w:rsidTr="00BB51FE">
        <w:trPr>
          <w:trHeight w:val="129"/>
          <w:jc w:val="center"/>
        </w:trPr>
        <w:tc>
          <w:tcPr>
            <w:tcW w:w="6318" w:type="dxa"/>
            <w:tcBorders>
              <w:top w:val="nil"/>
              <w:left w:val="single" w:sz="4" w:space="0" w:color="auto"/>
              <w:bottom w:val="nil"/>
              <w:right w:val="nil"/>
            </w:tcBorders>
            <w:shd w:val="clear" w:color="auto" w:fill="FFFFFF" w:themeFill="background1"/>
            <w:noWrap/>
            <w:vAlign w:val="bottom"/>
            <w:hideMark/>
          </w:tcPr>
          <w:p w14:paraId="484925EA" w14:textId="77777777" w:rsidR="005F38A6" w:rsidRPr="002C1FE5" w:rsidRDefault="005F38A6" w:rsidP="006A7377">
            <w:pPr>
              <w:ind w:firstLineChars="100" w:firstLine="200"/>
              <w:rPr>
                <w:rFonts w:ascii="Times" w:hAnsi="Times" w:cs="Times"/>
                <w:color w:val="000000"/>
                <w:sz w:val="20"/>
                <w:szCs w:val="20"/>
                <w:lang w:val="es-ES_tradnl"/>
              </w:rPr>
            </w:pPr>
            <w:r w:rsidRPr="002C1FE5">
              <w:rPr>
                <w:rFonts w:ascii="Times" w:hAnsi="Times" w:cs="Times"/>
                <w:color w:val="000000"/>
                <w:sz w:val="20"/>
                <w:szCs w:val="20"/>
                <w:lang w:val="es-ES_tradnl"/>
              </w:rPr>
              <w:t>Deuda/PIB</w:t>
            </w:r>
          </w:p>
        </w:tc>
        <w:tc>
          <w:tcPr>
            <w:tcW w:w="1237" w:type="dxa"/>
            <w:tcBorders>
              <w:top w:val="nil"/>
              <w:left w:val="single" w:sz="4" w:space="0" w:color="auto"/>
              <w:bottom w:val="nil"/>
              <w:right w:val="single" w:sz="4" w:space="0" w:color="auto"/>
            </w:tcBorders>
            <w:shd w:val="clear" w:color="auto" w:fill="FFFFFF" w:themeFill="background1"/>
            <w:noWrap/>
            <w:vAlign w:val="center"/>
            <w:hideMark/>
          </w:tcPr>
          <w:p w14:paraId="394062E4"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60</w:t>
            </w:r>
          </w:p>
        </w:tc>
        <w:tc>
          <w:tcPr>
            <w:tcW w:w="1099" w:type="dxa"/>
            <w:tcBorders>
              <w:top w:val="nil"/>
              <w:left w:val="nil"/>
              <w:bottom w:val="nil"/>
              <w:right w:val="single" w:sz="4" w:space="0" w:color="auto"/>
            </w:tcBorders>
            <w:shd w:val="clear" w:color="auto" w:fill="FFFFFF" w:themeFill="background1"/>
            <w:noWrap/>
            <w:vAlign w:val="center"/>
            <w:hideMark/>
          </w:tcPr>
          <w:p w14:paraId="761E9958"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70</w:t>
            </w:r>
          </w:p>
        </w:tc>
      </w:tr>
      <w:tr w:rsidR="005F38A6" w:rsidRPr="002C1FE5" w14:paraId="66642F3B" w14:textId="77777777" w:rsidTr="00BB51FE">
        <w:trPr>
          <w:trHeight w:val="178"/>
          <w:jc w:val="center"/>
        </w:trPr>
        <w:tc>
          <w:tcPr>
            <w:tcW w:w="6318" w:type="dxa"/>
            <w:tcBorders>
              <w:top w:val="nil"/>
              <w:left w:val="single" w:sz="4" w:space="0" w:color="auto"/>
              <w:bottom w:val="nil"/>
              <w:right w:val="nil"/>
            </w:tcBorders>
            <w:shd w:val="clear" w:color="auto" w:fill="FFFFFF" w:themeFill="background1"/>
            <w:vAlign w:val="bottom"/>
            <w:hideMark/>
          </w:tcPr>
          <w:p w14:paraId="521101F9" w14:textId="77777777" w:rsidR="005F38A6" w:rsidRPr="002C1FE5" w:rsidRDefault="005F38A6" w:rsidP="006A7377">
            <w:pPr>
              <w:rPr>
                <w:rFonts w:ascii="Times" w:hAnsi="Times" w:cs="Times"/>
                <w:color w:val="000000"/>
                <w:sz w:val="20"/>
                <w:szCs w:val="20"/>
                <w:lang w:val="es-ES_tradnl"/>
              </w:rPr>
            </w:pPr>
            <w:r w:rsidRPr="002C1FE5">
              <w:rPr>
                <w:rFonts w:ascii="Times" w:hAnsi="Times" w:cs="Times"/>
                <w:color w:val="000000"/>
                <w:sz w:val="20"/>
                <w:szCs w:val="20"/>
                <w:lang w:val="es-ES_tradnl"/>
              </w:rPr>
              <w:t xml:space="preserve">    Requerimiento de financiamiento del sector público como % del PIB</w:t>
            </w:r>
          </w:p>
        </w:tc>
        <w:tc>
          <w:tcPr>
            <w:tcW w:w="1237" w:type="dxa"/>
            <w:tcBorders>
              <w:top w:val="nil"/>
              <w:left w:val="single" w:sz="4" w:space="0" w:color="auto"/>
              <w:bottom w:val="nil"/>
              <w:right w:val="single" w:sz="4" w:space="0" w:color="auto"/>
            </w:tcBorders>
            <w:shd w:val="clear" w:color="auto" w:fill="FFFFFF" w:themeFill="background1"/>
            <w:noWrap/>
            <w:vAlign w:val="center"/>
            <w:hideMark/>
          </w:tcPr>
          <w:p w14:paraId="71858E69"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15</w:t>
            </w:r>
          </w:p>
        </w:tc>
        <w:tc>
          <w:tcPr>
            <w:tcW w:w="1099" w:type="dxa"/>
            <w:tcBorders>
              <w:top w:val="nil"/>
              <w:left w:val="nil"/>
              <w:bottom w:val="nil"/>
              <w:right w:val="single" w:sz="4" w:space="0" w:color="auto"/>
            </w:tcBorders>
            <w:shd w:val="clear" w:color="auto" w:fill="FFFFFF" w:themeFill="background1"/>
            <w:noWrap/>
            <w:vAlign w:val="center"/>
            <w:hideMark/>
          </w:tcPr>
          <w:p w14:paraId="2BB553FF"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20</w:t>
            </w:r>
          </w:p>
        </w:tc>
      </w:tr>
      <w:tr w:rsidR="005F38A6" w:rsidRPr="002C1FE5" w14:paraId="4D9B24B6" w14:textId="77777777" w:rsidTr="00BB51FE">
        <w:trPr>
          <w:trHeight w:val="129"/>
          <w:jc w:val="center"/>
        </w:trPr>
        <w:tc>
          <w:tcPr>
            <w:tcW w:w="6318" w:type="dxa"/>
            <w:tcBorders>
              <w:top w:val="nil"/>
              <w:left w:val="single" w:sz="4" w:space="0" w:color="auto"/>
              <w:bottom w:val="nil"/>
              <w:right w:val="nil"/>
            </w:tcBorders>
            <w:shd w:val="clear" w:color="auto" w:fill="FFFFFF" w:themeFill="background1"/>
            <w:noWrap/>
            <w:vAlign w:val="bottom"/>
            <w:hideMark/>
          </w:tcPr>
          <w:p w14:paraId="2C74E338" w14:textId="77777777" w:rsidR="005F38A6" w:rsidRPr="002C1FE5" w:rsidRDefault="005F38A6" w:rsidP="006A7377">
            <w:pPr>
              <w:rPr>
                <w:rFonts w:ascii="Times" w:hAnsi="Times" w:cs="Times"/>
                <w:b/>
                <w:bCs/>
                <w:color w:val="000000"/>
                <w:sz w:val="20"/>
                <w:szCs w:val="20"/>
                <w:lang w:val="es-ES_tradnl"/>
              </w:rPr>
            </w:pPr>
            <w:r w:rsidRPr="002C1FE5">
              <w:rPr>
                <w:rFonts w:ascii="Times" w:hAnsi="Times" w:cs="Times"/>
                <w:b/>
                <w:bCs/>
                <w:color w:val="000000"/>
                <w:sz w:val="20"/>
                <w:szCs w:val="20"/>
                <w:lang w:val="es-ES_tradnl"/>
              </w:rPr>
              <w:t>Indicadores del perfil de deuda</w:t>
            </w:r>
          </w:p>
        </w:tc>
        <w:tc>
          <w:tcPr>
            <w:tcW w:w="1237" w:type="dxa"/>
            <w:tcBorders>
              <w:top w:val="nil"/>
              <w:left w:val="single" w:sz="4" w:space="0" w:color="auto"/>
              <w:bottom w:val="nil"/>
              <w:right w:val="single" w:sz="4" w:space="0" w:color="auto"/>
            </w:tcBorders>
            <w:shd w:val="clear" w:color="auto" w:fill="FFFFFF" w:themeFill="background1"/>
            <w:noWrap/>
            <w:vAlign w:val="center"/>
            <w:hideMark/>
          </w:tcPr>
          <w:p w14:paraId="1B3DADB1"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 </w:t>
            </w:r>
          </w:p>
        </w:tc>
        <w:tc>
          <w:tcPr>
            <w:tcW w:w="1099" w:type="dxa"/>
            <w:tcBorders>
              <w:top w:val="nil"/>
              <w:left w:val="nil"/>
              <w:bottom w:val="nil"/>
              <w:right w:val="single" w:sz="4" w:space="0" w:color="auto"/>
            </w:tcBorders>
            <w:shd w:val="clear" w:color="auto" w:fill="FFFFFF" w:themeFill="background1"/>
            <w:noWrap/>
            <w:vAlign w:val="center"/>
            <w:hideMark/>
          </w:tcPr>
          <w:p w14:paraId="283D2AAE"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 </w:t>
            </w:r>
          </w:p>
        </w:tc>
      </w:tr>
      <w:tr w:rsidR="005F38A6" w:rsidRPr="002C1FE5" w14:paraId="795FDA63" w14:textId="77777777" w:rsidTr="00BB51FE">
        <w:trPr>
          <w:trHeight w:val="367"/>
          <w:jc w:val="center"/>
        </w:trPr>
        <w:tc>
          <w:tcPr>
            <w:tcW w:w="6318" w:type="dxa"/>
            <w:tcBorders>
              <w:top w:val="nil"/>
              <w:left w:val="single" w:sz="4" w:space="0" w:color="auto"/>
              <w:bottom w:val="nil"/>
              <w:right w:val="nil"/>
            </w:tcBorders>
            <w:shd w:val="clear" w:color="auto" w:fill="FFFFFF" w:themeFill="background1"/>
            <w:noWrap/>
            <w:vAlign w:val="bottom"/>
            <w:hideMark/>
          </w:tcPr>
          <w:p w14:paraId="53DC293E" w14:textId="77777777" w:rsidR="005F38A6" w:rsidRPr="002C1FE5" w:rsidRDefault="005F38A6" w:rsidP="006A7377">
            <w:pPr>
              <w:ind w:firstLineChars="100" w:firstLine="200"/>
              <w:rPr>
                <w:rFonts w:ascii="Times" w:hAnsi="Times" w:cs="Times"/>
                <w:color w:val="000000"/>
                <w:sz w:val="20"/>
                <w:szCs w:val="20"/>
                <w:lang w:val="es-ES_tradnl"/>
              </w:rPr>
            </w:pPr>
            <w:r w:rsidRPr="002C1FE5">
              <w:rPr>
                <w:rFonts w:ascii="Times" w:hAnsi="Times" w:cs="Times"/>
                <w:color w:val="000000"/>
                <w:sz w:val="20"/>
                <w:szCs w:val="20"/>
                <w:lang w:val="es-ES_tradnl"/>
              </w:rPr>
              <w:t>Spread de los bonos (con E.E.U.U o Alemania)</w:t>
            </w:r>
          </w:p>
        </w:tc>
        <w:tc>
          <w:tcPr>
            <w:tcW w:w="1237" w:type="dxa"/>
            <w:tcBorders>
              <w:top w:val="nil"/>
              <w:left w:val="single" w:sz="4" w:space="0" w:color="auto"/>
              <w:bottom w:val="nil"/>
              <w:right w:val="single" w:sz="4" w:space="0" w:color="auto"/>
            </w:tcBorders>
            <w:shd w:val="clear" w:color="auto" w:fill="FFFFFF" w:themeFill="background1"/>
            <w:noWrap/>
            <w:vAlign w:val="center"/>
            <w:hideMark/>
          </w:tcPr>
          <w:p w14:paraId="4027022B"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800</w:t>
            </w:r>
          </w:p>
        </w:tc>
        <w:tc>
          <w:tcPr>
            <w:tcW w:w="1099" w:type="dxa"/>
            <w:tcBorders>
              <w:top w:val="nil"/>
              <w:left w:val="nil"/>
              <w:bottom w:val="nil"/>
              <w:right w:val="single" w:sz="4" w:space="0" w:color="auto"/>
            </w:tcBorders>
            <w:shd w:val="clear" w:color="auto" w:fill="FFFFFF" w:themeFill="background1"/>
            <w:noWrap/>
            <w:vAlign w:val="center"/>
            <w:hideMark/>
          </w:tcPr>
          <w:p w14:paraId="338B12E0"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800</w:t>
            </w:r>
          </w:p>
        </w:tc>
      </w:tr>
      <w:tr w:rsidR="005F38A6" w:rsidRPr="002C1FE5" w14:paraId="78CA535E" w14:textId="77777777" w:rsidTr="00BB51FE">
        <w:trPr>
          <w:trHeight w:val="221"/>
          <w:jc w:val="center"/>
        </w:trPr>
        <w:tc>
          <w:tcPr>
            <w:tcW w:w="6318" w:type="dxa"/>
            <w:tcBorders>
              <w:top w:val="nil"/>
              <w:left w:val="single" w:sz="4" w:space="0" w:color="auto"/>
              <w:bottom w:val="nil"/>
              <w:right w:val="nil"/>
            </w:tcBorders>
            <w:shd w:val="clear" w:color="auto" w:fill="FFFFFF" w:themeFill="background1"/>
            <w:noWrap/>
            <w:vAlign w:val="bottom"/>
            <w:hideMark/>
          </w:tcPr>
          <w:p w14:paraId="6D49FEF3" w14:textId="77777777" w:rsidR="005F38A6" w:rsidRPr="002C1FE5" w:rsidRDefault="005F38A6" w:rsidP="006A7377">
            <w:pPr>
              <w:ind w:firstLineChars="100" w:firstLine="200"/>
              <w:rPr>
                <w:rFonts w:ascii="Times" w:hAnsi="Times" w:cs="Times"/>
                <w:color w:val="000000"/>
                <w:sz w:val="20"/>
                <w:szCs w:val="20"/>
                <w:lang w:val="es-ES_tradnl"/>
              </w:rPr>
            </w:pPr>
            <w:r w:rsidRPr="002C1FE5">
              <w:rPr>
                <w:rFonts w:ascii="Times" w:hAnsi="Times" w:cs="Times"/>
                <w:color w:val="000000"/>
                <w:sz w:val="20"/>
                <w:szCs w:val="20"/>
                <w:lang w:val="es-ES_tradnl"/>
              </w:rPr>
              <w:t>Requerimiento de financiamiento externo</w:t>
            </w:r>
          </w:p>
        </w:tc>
        <w:tc>
          <w:tcPr>
            <w:tcW w:w="1237" w:type="dxa"/>
            <w:tcBorders>
              <w:top w:val="nil"/>
              <w:left w:val="single" w:sz="4" w:space="0" w:color="auto"/>
              <w:bottom w:val="nil"/>
              <w:right w:val="single" w:sz="4" w:space="0" w:color="auto"/>
            </w:tcBorders>
            <w:shd w:val="clear" w:color="auto" w:fill="FFFFFF" w:themeFill="background1"/>
            <w:noWrap/>
            <w:vAlign w:val="center"/>
            <w:hideMark/>
          </w:tcPr>
          <w:p w14:paraId="4AC69B33"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20</w:t>
            </w:r>
          </w:p>
        </w:tc>
        <w:tc>
          <w:tcPr>
            <w:tcW w:w="1099" w:type="dxa"/>
            <w:tcBorders>
              <w:top w:val="nil"/>
              <w:left w:val="nil"/>
              <w:bottom w:val="nil"/>
              <w:right w:val="single" w:sz="4" w:space="0" w:color="auto"/>
            </w:tcBorders>
            <w:shd w:val="clear" w:color="auto" w:fill="FFFFFF" w:themeFill="background1"/>
            <w:noWrap/>
            <w:vAlign w:val="center"/>
            <w:hideMark/>
          </w:tcPr>
          <w:p w14:paraId="403CD529"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35</w:t>
            </w:r>
          </w:p>
        </w:tc>
      </w:tr>
      <w:tr w:rsidR="005F38A6" w:rsidRPr="002C1FE5" w14:paraId="482CB530" w14:textId="77777777" w:rsidTr="00BB51FE">
        <w:trPr>
          <w:trHeight w:val="302"/>
          <w:jc w:val="center"/>
        </w:trPr>
        <w:tc>
          <w:tcPr>
            <w:tcW w:w="6318" w:type="dxa"/>
            <w:tcBorders>
              <w:top w:val="nil"/>
              <w:left w:val="single" w:sz="4" w:space="0" w:color="auto"/>
              <w:bottom w:val="nil"/>
              <w:right w:val="nil"/>
            </w:tcBorders>
            <w:shd w:val="clear" w:color="auto" w:fill="FFFFFF" w:themeFill="background1"/>
            <w:noWrap/>
            <w:vAlign w:val="bottom"/>
            <w:hideMark/>
          </w:tcPr>
          <w:p w14:paraId="04ED3650" w14:textId="77777777" w:rsidR="005F38A6" w:rsidRPr="002C1FE5" w:rsidRDefault="005F38A6" w:rsidP="006A7377">
            <w:pPr>
              <w:ind w:firstLineChars="100" w:firstLine="200"/>
              <w:rPr>
                <w:rFonts w:ascii="Times" w:hAnsi="Times" w:cs="Times"/>
                <w:color w:val="000000"/>
                <w:sz w:val="20"/>
                <w:szCs w:val="20"/>
                <w:lang w:val="es-ES_tradnl"/>
              </w:rPr>
            </w:pPr>
            <w:r w:rsidRPr="002C1FE5">
              <w:rPr>
                <w:rFonts w:ascii="Times" w:hAnsi="Times" w:cs="Times"/>
                <w:color w:val="000000"/>
                <w:sz w:val="20"/>
                <w:szCs w:val="20"/>
                <w:lang w:val="es-ES_tradnl"/>
              </w:rPr>
              <w:t>Deuda en moneda extranjera</w:t>
            </w:r>
          </w:p>
        </w:tc>
        <w:tc>
          <w:tcPr>
            <w:tcW w:w="1237" w:type="dxa"/>
            <w:tcBorders>
              <w:top w:val="nil"/>
              <w:left w:val="single" w:sz="4" w:space="0" w:color="auto"/>
              <w:bottom w:val="nil"/>
              <w:right w:val="single" w:sz="4" w:space="0" w:color="auto"/>
            </w:tcBorders>
            <w:shd w:val="clear" w:color="auto" w:fill="FFFFFF" w:themeFill="background1"/>
            <w:noWrap/>
            <w:vAlign w:val="center"/>
            <w:hideMark/>
          </w:tcPr>
          <w:p w14:paraId="1B49439A"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80</w:t>
            </w:r>
          </w:p>
        </w:tc>
        <w:tc>
          <w:tcPr>
            <w:tcW w:w="1099" w:type="dxa"/>
            <w:tcBorders>
              <w:top w:val="nil"/>
              <w:left w:val="nil"/>
              <w:bottom w:val="nil"/>
              <w:right w:val="single" w:sz="4" w:space="0" w:color="auto"/>
            </w:tcBorders>
            <w:shd w:val="clear" w:color="auto" w:fill="FFFFFF" w:themeFill="background1"/>
            <w:noWrap/>
            <w:vAlign w:val="center"/>
            <w:hideMark/>
          </w:tcPr>
          <w:p w14:paraId="64B328AF"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 </w:t>
            </w:r>
            <w:proofErr w:type="spellStart"/>
            <w:r w:rsidRPr="002C1FE5">
              <w:rPr>
                <w:rFonts w:ascii="Times" w:hAnsi="Times" w:cs="Times"/>
                <w:color w:val="000000"/>
                <w:sz w:val="20"/>
                <w:szCs w:val="20"/>
                <w:lang w:val="es-ES_tradnl"/>
              </w:rPr>
              <w:t>ne</w:t>
            </w:r>
            <w:proofErr w:type="spellEnd"/>
            <w:r w:rsidRPr="002C1FE5">
              <w:rPr>
                <w:rFonts w:ascii="Times" w:hAnsi="Times" w:cs="Times"/>
                <w:color w:val="000000"/>
                <w:sz w:val="20"/>
                <w:szCs w:val="20"/>
                <w:lang w:val="es-ES_tradnl"/>
              </w:rPr>
              <w:t>*</w:t>
            </w:r>
          </w:p>
        </w:tc>
      </w:tr>
      <w:tr w:rsidR="005F38A6" w:rsidRPr="002C1FE5" w14:paraId="79AB1D0A" w14:textId="77777777" w:rsidTr="00BB51FE">
        <w:trPr>
          <w:trHeight w:val="156"/>
          <w:jc w:val="center"/>
        </w:trPr>
        <w:tc>
          <w:tcPr>
            <w:tcW w:w="6318" w:type="dxa"/>
            <w:tcBorders>
              <w:top w:val="nil"/>
              <w:left w:val="single" w:sz="4" w:space="0" w:color="auto"/>
              <w:bottom w:val="nil"/>
              <w:right w:val="nil"/>
            </w:tcBorders>
            <w:shd w:val="clear" w:color="auto" w:fill="FFFFFF" w:themeFill="background1"/>
            <w:vAlign w:val="bottom"/>
            <w:hideMark/>
          </w:tcPr>
          <w:p w14:paraId="762FD6B0" w14:textId="77777777" w:rsidR="005F38A6" w:rsidRPr="002C1FE5" w:rsidRDefault="005F38A6" w:rsidP="006A7377">
            <w:pPr>
              <w:ind w:firstLineChars="100" w:firstLine="200"/>
              <w:rPr>
                <w:rFonts w:ascii="Times" w:hAnsi="Times" w:cs="Times"/>
                <w:color w:val="000000"/>
                <w:sz w:val="20"/>
                <w:szCs w:val="20"/>
                <w:lang w:val="es-ES_tradnl"/>
              </w:rPr>
            </w:pPr>
            <w:r w:rsidRPr="002C1FE5">
              <w:rPr>
                <w:rFonts w:ascii="Times" w:hAnsi="Times" w:cs="Times"/>
                <w:color w:val="000000"/>
                <w:sz w:val="20"/>
                <w:szCs w:val="20"/>
                <w:lang w:val="es-ES_tradnl"/>
              </w:rPr>
              <w:t>Cambio anual de la participación de la deuda a</w:t>
            </w:r>
            <w:r>
              <w:rPr>
                <w:rFonts w:ascii="Times" w:hAnsi="Times" w:cs="Times"/>
                <w:color w:val="000000"/>
                <w:sz w:val="20"/>
                <w:szCs w:val="20"/>
                <w:lang w:val="es-ES_tradnl"/>
              </w:rPr>
              <w:t xml:space="preserve"> </w:t>
            </w:r>
            <w:r w:rsidRPr="002C1FE5">
              <w:rPr>
                <w:rFonts w:ascii="Times" w:hAnsi="Times" w:cs="Times"/>
                <w:color w:val="000000"/>
                <w:sz w:val="20"/>
                <w:szCs w:val="20"/>
                <w:lang w:val="es-ES_tradnl"/>
              </w:rPr>
              <w:t>corto plazo</w:t>
            </w:r>
          </w:p>
        </w:tc>
        <w:tc>
          <w:tcPr>
            <w:tcW w:w="1237" w:type="dxa"/>
            <w:tcBorders>
              <w:top w:val="nil"/>
              <w:left w:val="single" w:sz="4" w:space="0" w:color="auto"/>
              <w:bottom w:val="nil"/>
              <w:right w:val="single" w:sz="4" w:space="0" w:color="auto"/>
            </w:tcBorders>
            <w:shd w:val="clear" w:color="auto" w:fill="FFFFFF" w:themeFill="background1"/>
            <w:noWrap/>
            <w:vAlign w:val="center"/>
            <w:hideMark/>
          </w:tcPr>
          <w:p w14:paraId="244C1F7E"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1.5</w:t>
            </w:r>
          </w:p>
        </w:tc>
        <w:tc>
          <w:tcPr>
            <w:tcW w:w="1099" w:type="dxa"/>
            <w:tcBorders>
              <w:top w:val="nil"/>
              <w:left w:val="nil"/>
              <w:bottom w:val="nil"/>
              <w:right w:val="single" w:sz="4" w:space="0" w:color="auto"/>
            </w:tcBorders>
            <w:shd w:val="clear" w:color="auto" w:fill="FFFFFF" w:themeFill="background1"/>
            <w:noWrap/>
            <w:vAlign w:val="center"/>
            <w:hideMark/>
          </w:tcPr>
          <w:p w14:paraId="1760DA80"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2</w:t>
            </w:r>
          </w:p>
        </w:tc>
      </w:tr>
      <w:tr w:rsidR="005F38A6" w:rsidRPr="002C1FE5" w14:paraId="46956957" w14:textId="77777777" w:rsidTr="00BB51FE">
        <w:trPr>
          <w:trHeight w:val="133"/>
          <w:jc w:val="center"/>
        </w:trPr>
        <w:tc>
          <w:tcPr>
            <w:tcW w:w="6318" w:type="dxa"/>
            <w:tcBorders>
              <w:top w:val="nil"/>
              <w:left w:val="single" w:sz="4" w:space="0" w:color="auto"/>
              <w:bottom w:val="single" w:sz="4" w:space="0" w:color="auto"/>
              <w:right w:val="nil"/>
            </w:tcBorders>
            <w:shd w:val="clear" w:color="auto" w:fill="FFFFFF" w:themeFill="background1"/>
            <w:noWrap/>
            <w:vAlign w:val="bottom"/>
            <w:hideMark/>
          </w:tcPr>
          <w:p w14:paraId="3485FFD8" w14:textId="77777777" w:rsidR="005F38A6" w:rsidRPr="002C1FE5" w:rsidRDefault="005F38A6" w:rsidP="006A7377">
            <w:pPr>
              <w:ind w:firstLineChars="100" w:firstLine="200"/>
              <w:rPr>
                <w:rFonts w:ascii="Times" w:hAnsi="Times" w:cs="Times"/>
                <w:color w:val="000000"/>
                <w:sz w:val="20"/>
                <w:szCs w:val="20"/>
                <w:lang w:val="es-ES_tradnl"/>
              </w:rPr>
            </w:pPr>
            <w:r w:rsidRPr="002C1FE5">
              <w:rPr>
                <w:rFonts w:ascii="Times" w:hAnsi="Times" w:cs="Times"/>
                <w:color w:val="000000"/>
                <w:sz w:val="20"/>
                <w:szCs w:val="20"/>
                <w:lang w:val="es-ES_tradnl"/>
              </w:rPr>
              <w:t>Participación de la deuda externa del total</w:t>
            </w: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B4DB03"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60</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1C42B7E4" w14:textId="77777777" w:rsidR="005F38A6" w:rsidRPr="002C1FE5" w:rsidRDefault="005F38A6" w:rsidP="006A7377">
            <w:pPr>
              <w:jc w:val="center"/>
              <w:rPr>
                <w:rFonts w:ascii="Times" w:hAnsi="Times" w:cs="Times"/>
                <w:color w:val="000000"/>
                <w:sz w:val="20"/>
                <w:szCs w:val="20"/>
                <w:lang w:val="es-ES_tradnl"/>
              </w:rPr>
            </w:pPr>
            <w:r w:rsidRPr="002C1FE5">
              <w:rPr>
                <w:rFonts w:ascii="Times" w:hAnsi="Times" w:cs="Times"/>
                <w:color w:val="000000"/>
                <w:sz w:val="20"/>
                <w:szCs w:val="20"/>
                <w:lang w:val="es-ES_tradnl"/>
              </w:rPr>
              <w:t>60</w:t>
            </w:r>
          </w:p>
        </w:tc>
      </w:tr>
    </w:tbl>
    <w:p w14:paraId="6CF6FB54" w14:textId="77777777" w:rsidR="005F38A6" w:rsidRPr="00B306EE" w:rsidRDefault="005F38A6" w:rsidP="005F38A6">
      <w:pPr>
        <w:tabs>
          <w:tab w:val="left" w:pos="630"/>
        </w:tabs>
        <w:jc w:val="both"/>
        <w:rPr>
          <w:sz w:val="16"/>
          <w:szCs w:val="16"/>
          <w:lang w:val="es-ES_tradnl" w:eastAsia="es-ES"/>
        </w:rPr>
      </w:pPr>
      <w:r w:rsidRPr="00B306EE">
        <w:rPr>
          <w:sz w:val="16"/>
          <w:szCs w:val="16"/>
          <w:lang w:val="es-ES_tradnl" w:eastAsia="es-ES"/>
        </w:rPr>
        <w:t xml:space="preserve"> Fuente: </w:t>
      </w:r>
      <w:r w:rsidRPr="00B306EE">
        <w:rPr>
          <w:bCs/>
          <w:sz w:val="16"/>
          <w:szCs w:val="11"/>
          <w:lang w:val="es-ES_tradnl" w:eastAsia="es-ES"/>
        </w:rPr>
        <w:t>Ministerio de Finanzas Públicas</w:t>
      </w:r>
      <w:r w:rsidRPr="00B306EE">
        <w:rPr>
          <w:sz w:val="16"/>
          <w:szCs w:val="16"/>
          <w:lang w:val="es-ES_tradnl" w:eastAsia="es-ES"/>
        </w:rPr>
        <w:t xml:space="preserve"> con información del FMI, mayo de 2013</w:t>
      </w:r>
    </w:p>
    <w:p w14:paraId="5A14C5B7" w14:textId="77777777" w:rsidR="005F38A6" w:rsidRPr="00B306EE" w:rsidRDefault="005F38A6" w:rsidP="005F38A6">
      <w:pPr>
        <w:tabs>
          <w:tab w:val="left" w:pos="630"/>
        </w:tabs>
        <w:jc w:val="both"/>
        <w:rPr>
          <w:sz w:val="16"/>
          <w:szCs w:val="16"/>
          <w:lang w:val="es-ES_tradnl" w:eastAsia="es-ES"/>
        </w:rPr>
      </w:pPr>
      <w:r w:rsidRPr="00B306EE">
        <w:rPr>
          <w:sz w:val="16"/>
          <w:szCs w:val="16"/>
          <w:lang w:val="es-ES_tradnl" w:eastAsia="es-ES"/>
        </w:rPr>
        <w:t xml:space="preserve"> </w:t>
      </w:r>
      <w:proofErr w:type="spellStart"/>
      <w:r w:rsidRPr="00B306EE">
        <w:rPr>
          <w:sz w:val="16"/>
          <w:szCs w:val="16"/>
          <w:lang w:val="es-ES_tradnl" w:eastAsia="es-ES"/>
        </w:rPr>
        <w:t>ne</w:t>
      </w:r>
      <w:proofErr w:type="spellEnd"/>
      <w:r w:rsidRPr="00B306EE">
        <w:rPr>
          <w:sz w:val="16"/>
          <w:szCs w:val="16"/>
          <w:lang w:val="es-ES_tradnl" w:eastAsia="es-ES"/>
        </w:rPr>
        <w:t>*: No existe punto de referencia para este indicador</w:t>
      </w:r>
    </w:p>
    <w:p w14:paraId="69F1F597" w14:textId="77777777" w:rsidR="005F38A6" w:rsidRPr="002C1FE5" w:rsidRDefault="005F38A6" w:rsidP="005F38A6">
      <w:pPr>
        <w:ind w:left="567" w:right="49"/>
        <w:jc w:val="both"/>
        <w:rPr>
          <w:color w:val="FF0000"/>
          <w:lang w:val="es-MX" w:eastAsia="es-ES"/>
        </w:rPr>
      </w:pPr>
      <w:r w:rsidRPr="002C1FE5">
        <w:rPr>
          <w:color w:val="FF0000"/>
          <w:lang w:val="es-MX" w:eastAsia="es-ES"/>
        </w:rPr>
        <w:t xml:space="preserve"> </w:t>
      </w:r>
    </w:p>
    <w:p w14:paraId="02678238" w14:textId="38B30183" w:rsidR="005F38A6" w:rsidRPr="002C1FE5" w:rsidRDefault="005F38A6" w:rsidP="005F38A6">
      <w:pPr>
        <w:ind w:right="49"/>
        <w:jc w:val="both"/>
        <w:rPr>
          <w:bCs/>
          <w:color w:val="000000" w:themeColor="text1"/>
          <w:lang w:val="es-MX"/>
        </w:rPr>
      </w:pPr>
      <w:r w:rsidRPr="002C1FE5">
        <w:rPr>
          <w:bCs/>
          <w:color w:val="000000" w:themeColor="text1"/>
          <w:lang w:val="es-MX"/>
        </w:rPr>
        <w:t>En el capítulo tres de las “Perspectivas Económicas Mundiales” de octubre de 2012 del Fondo Monetario Internacional, se realizan distintos análisis para determinar la sostenibilidad de la deuda de varios países, mencionan que no existe un simple límite para los indicadores de deuda que puedan delinear una deuda “buena” de una “mala”, sino que es necesario explorar la dinámica de la deuda pública, su entorno macroeconómico y las políticas públicas de cada país. Por otro lado, los autores del FMI de la publicación de “Espacio Fiscal” de 2010, quienes también investigaron límites para mantener la sostenibilidad de deuda para diversos países indican que</w:t>
      </w:r>
      <w:r w:rsidR="00FF602C">
        <w:rPr>
          <w:bCs/>
          <w:color w:val="000000" w:themeColor="text1"/>
          <w:lang w:val="es-MX"/>
        </w:rPr>
        <w:t>,</w:t>
      </w:r>
      <w:r w:rsidRPr="002C1FE5">
        <w:rPr>
          <w:bCs/>
          <w:color w:val="000000" w:themeColor="text1"/>
          <w:lang w:val="es-MX"/>
        </w:rPr>
        <w:t xml:space="preserve"> su límite recomendado no debe interpretarse como una barrera absoluta ni como el nivel óptimo de deuda pública.</w:t>
      </w:r>
    </w:p>
    <w:p w14:paraId="57FB4215" w14:textId="77777777" w:rsidR="005F38A6" w:rsidRPr="002846D1" w:rsidRDefault="005F38A6" w:rsidP="005F38A6">
      <w:pPr>
        <w:ind w:right="49"/>
        <w:jc w:val="both"/>
        <w:rPr>
          <w:color w:val="FF0000"/>
          <w:lang w:val="es-MX"/>
        </w:rPr>
      </w:pPr>
    </w:p>
    <w:p w14:paraId="5D23121F" w14:textId="77777777" w:rsidR="005F38A6" w:rsidRPr="009D188B" w:rsidRDefault="005F38A6" w:rsidP="007F19DF">
      <w:pPr>
        <w:pStyle w:val="Ttulo2"/>
        <w:numPr>
          <w:ilvl w:val="1"/>
          <w:numId w:val="35"/>
        </w:numPr>
        <w:ind w:left="426" w:hanging="284"/>
        <w:rPr>
          <w:bCs/>
        </w:rPr>
      </w:pPr>
      <w:bookmarkStart w:id="258" w:name="_Toc110522928"/>
      <w:bookmarkStart w:id="259" w:name="_Toc114066628"/>
      <w:bookmarkStart w:id="260" w:name="_Toc114473950"/>
      <w:bookmarkStart w:id="261" w:name="_Toc114475997"/>
      <w:bookmarkStart w:id="262" w:name="_Toc114495250"/>
      <w:bookmarkStart w:id="263" w:name="_Toc144114381"/>
      <w:bookmarkStart w:id="264" w:name="_Hlk110841902"/>
      <w:bookmarkEnd w:id="258"/>
      <w:bookmarkEnd w:id="259"/>
      <w:bookmarkEnd w:id="260"/>
      <w:bookmarkEnd w:id="261"/>
      <w:r w:rsidRPr="009D188B">
        <w:rPr>
          <w:bCs/>
        </w:rPr>
        <w:t>Indicadores de la deuda pública para Guatemala</w:t>
      </w:r>
      <w:bookmarkEnd w:id="262"/>
      <w:bookmarkEnd w:id="263"/>
    </w:p>
    <w:bookmarkEnd w:id="264"/>
    <w:p w14:paraId="257B0EB9" w14:textId="77777777" w:rsidR="005F38A6" w:rsidRPr="002846D1" w:rsidRDefault="005F38A6" w:rsidP="005F38A6">
      <w:pPr>
        <w:ind w:left="567" w:right="49"/>
        <w:jc w:val="both"/>
        <w:rPr>
          <w:color w:val="FF0000"/>
          <w:lang w:val="es-MX"/>
        </w:rPr>
      </w:pPr>
    </w:p>
    <w:p w14:paraId="7CF0926A" w14:textId="59E435AB" w:rsidR="005F38A6" w:rsidRDefault="005F38A6" w:rsidP="005F38A6">
      <w:pPr>
        <w:jc w:val="both"/>
        <w:rPr>
          <w:bCs/>
          <w:color w:val="000000" w:themeColor="text1"/>
          <w:lang w:val="es-MX"/>
        </w:rPr>
      </w:pPr>
      <w:r w:rsidRPr="002C3D84">
        <w:rPr>
          <w:bCs/>
          <w:color w:val="000000" w:themeColor="text1"/>
          <w:lang w:val="es-MX"/>
        </w:rPr>
        <w:t xml:space="preserve">Guatemala destaca por su manejo prudente de la deuda al tener una ratio deuda/PIB de </w:t>
      </w:r>
      <w:r>
        <w:rPr>
          <w:bCs/>
          <w:color w:val="000000" w:themeColor="text1"/>
          <w:lang w:val="es-MX"/>
        </w:rPr>
        <w:t>29.2</w:t>
      </w:r>
      <w:r w:rsidRPr="002C3D84">
        <w:rPr>
          <w:bCs/>
          <w:color w:val="000000" w:themeColor="text1"/>
          <w:lang w:val="es-MX"/>
        </w:rPr>
        <w:t xml:space="preserve">% en </w:t>
      </w:r>
      <w:r>
        <w:rPr>
          <w:bCs/>
          <w:color w:val="000000" w:themeColor="text1"/>
          <w:lang w:val="es-MX"/>
        </w:rPr>
        <w:t>2022</w:t>
      </w:r>
      <w:r w:rsidRPr="002C3D84">
        <w:rPr>
          <w:bCs/>
          <w:color w:val="000000" w:themeColor="text1"/>
          <w:lang w:val="es-MX"/>
        </w:rPr>
        <w:t xml:space="preserve">. El nivel de este indicador para Guatemala es el nivel más bajo en todo Centroamérica incluyendo a República Dominicana. A pesar de que este indicador aumentó 5.1 puntos porcentuales del 2019 al 2020 en Guatemala, este disminuyó 0.8 puntos porcentuales de 2020 a 2021 debido del efecto “catch up” del crecimiento económico que tuvo un impacto positivo en la recaudación, al igual que el aumento de los precios de productos de importación, en particular los combustibles. Para </w:t>
      </w:r>
      <w:r>
        <w:rPr>
          <w:bCs/>
          <w:color w:val="000000" w:themeColor="text1"/>
          <w:lang w:val="es-MX"/>
        </w:rPr>
        <w:t>2023</w:t>
      </w:r>
      <w:r w:rsidRPr="002C3D84">
        <w:rPr>
          <w:bCs/>
          <w:color w:val="000000" w:themeColor="text1"/>
          <w:lang w:val="es-MX"/>
        </w:rPr>
        <w:t xml:space="preserve">, tomando como base el presupuesto vigente del presente año, el indicador se </w:t>
      </w:r>
      <w:r>
        <w:rPr>
          <w:bCs/>
          <w:color w:val="000000" w:themeColor="text1"/>
          <w:lang w:val="es-MX"/>
        </w:rPr>
        <w:t>encontrará alrededor de</w:t>
      </w:r>
      <w:r w:rsidRPr="002C3D84">
        <w:rPr>
          <w:bCs/>
          <w:color w:val="000000" w:themeColor="text1"/>
          <w:lang w:val="es-MX"/>
        </w:rPr>
        <w:t xml:space="preserve"> </w:t>
      </w:r>
      <w:r>
        <w:rPr>
          <w:bCs/>
          <w:color w:val="000000" w:themeColor="text1"/>
          <w:lang w:val="es-MX"/>
        </w:rPr>
        <w:t>28.</w:t>
      </w:r>
      <w:r w:rsidR="00654FD8">
        <w:rPr>
          <w:bCs/>
          <w:color w:val="000000" w:themeColor="text1"/>
          <w:lang w:val="es-MX"/>
        </w:rPr>
        <w:t>4</w:t>
      </w:r>
      <w:r w:rsidRPr="002C3D84">
        <w:rPr>
          <w:bCs/>
          <w:color w:val="000000" w:themeColor="text1"/>
          <w:lang w:val="es-MX"/>
        </w:rPr>
        <w:t xml:space="preserve">%, muy </w:t>
      </w:r>
      <w:r w:rsidRPr="002C3D84">
        <w:rPr>
          <w:bCs/>
          <w:color w:val="000000" w:themeColor="text1"/>
          <w:lang w:val="es-MX"/>
        </w:rPr>
        <w:lastRenderedPageBreak/>
        <w:t>por debajo de los límites de referencias utilizados por el Fondo Monetario Internacional y del Banco Mundial.</w:t>
      </w:r>
    </w:p>
    <w:p w14:paraId="342DEA17" w14:textId="77777777" w:rsidR="005F38A6" w:rsidRDefault="005F38A6" w:rsidP="005F38A6">
      <w:pPr>
        <w:jc w:val="both"/>
        <w:rPr>
          <w:bCs/>
          <w:color w:val="000000" w:themeColor="text1"/>
          <w:lang w:val="es-MX"/>
        </w:rPr>
      </w:pPr>
    </w:p>
    <w:p w14:paraId="607A3850" w14:textId="41B5558D" w:rsidR="005F38A6" w:rsidRDefault="005F38A6" w:rsidP="005F38A6">
      <w:pPr>
        <w:jc w:val="both"/>
        <w:rPr>
          <w:bCs/>
          <w:color w:val="000000" w:themeColor="text1"/>
          <w:lang w:val="es-MX"/>
        </w:rPr>
      </w:pPr>
      <w:r w:rsidRPr="002C3D84">
        <w:rPr>
          <w:bCs/>
          <w:color w:val="000000" w:themeColor="text1"/>
          <w:lang w:val="es-MX"/>
        </w:rPr>
        <w:t xml:space="preserve">Otro indicador que mide la capacidad para hacer frente a los compromisos es la deuda con respecto a los ingresos fiscales. Este indicador disminuyó </w:t>
      </w:r>
      <w:r>
        <w:rPr>
          <w:bCs/>
          <w:color w:val="000000" w:themeColor="text1"/>
          <w:lang w:val="es-MX"/>
        </w:rPr>
        <w:t>18.2</w:t>
      </w:r>
      <w:r w:rsidRPr="002C3D84">
        <w:rPr>
          <w:bCs/>
          <w:color w:val="000000" w:themeColor="text1"/>
          <w:lang w:val="es-MX"/>
        </w:rPr>
        <w:t xml:space="preserve"> puntos porcentuales del </w:t>
      </w:r>
      <w:r>
        <w:rPr>
          <w:bCs/>
          <w:color w:val="000000" w:themeColor="text1"/>
          <w:lang w:val="es-MX"/>
        </w:rPr>
        <w:t>2021</w:t>
      </w:r>
      <w:r w:rsidRPr="002C3D84">
        <w:rPr>
          <w:bCs/>
          <w:color w:val="000000" w:themeColor="text1"/>
          <w:lang w:val="es-MX"/>
        </w:rPr>
        <w:t xml:space="preserve"> a </w:t>
      </w:r>
      <w:r>
        <w:rPr>
          <w:bCs/>
          <w:color w:val="000000" w:themeColor="text1"/>
          <w:lang w:val="es-MX"/>
        </w:rPr>
        <w:t>2022</w:t>
      </w:r>
      <w:r w:rsidRPr="002C3D84">
        <w:rPr>
          <w:bCs/>
          <w:color w:val="000000" w:themeColor="text1"/>
          <w:lang w:val="es-MX"/>
        </w:rPr>
        <w:t xml:space="preserve"> y se encontró en </w:t>
      </w:r>
      <w:r>
        <w:rPr>
          <w:bCs/>
          <w:color w:val="000000" w:themeColor="text1"/>
          <w:lang w:val="es-MX"/>
        </w:rPr>
        <w:t>230.5</w:t>
      </w:r>
      <w:r w:rsidRPr="002C3D84">
        <w:rPr>
          <w:bCs/>
          <w:color w:val="000000" w:themeColor="text1"/>
          <w:lang w:val="es-MX"/>
        </w:rPr>
        <w:t xml:space="preserve">%. Para el año </w:t>
      </w:r>
      <w:r>
        <w:rPr>
          <w:bCs/>
          <w:color w:val="000000" w:themeColor="text1"/>
          <w:lang w:val="es-MX"/>
        </w:rPr>
        <w:t>2023</w:t>
      </w:r>
      <w:r w:rsidRPr="002C3D84">
        <w:rPr>
          <w:bCs/>
          <w:color w:val="000000" w:themeColor="text1"/>
          <w:lang w:val="es-MX"/>
        </w:rPr>
        <w:t xml:space="preserve"> se estima que este indicador se encuentre en </w:t>
      </w:r>
      <w:r w:rsidR="0002461D">
        <w:rPr>
          <w:bCs/>
          <w:color w:val="000000" w:themeColor="text1"/>
          <w:lang w:val="es-MX"/>
        </w:rPr>
        <w:t>230.6</w:t>
      </w:r>
      <w:r>
        <w:rPr>
          <w:bCs/>
          <w:color w:val="000000" w:themeColor="text1"/>
          <w:lang w:val="es-MX"/>
        </w:rPr>
        <w:t>%</w:t>
      </w:r>
      <w:r w:rsidRPr="002C3D84">
        <w:rPr>
          <w:bCs/>
          <w:color w:val="000000" w:themeColor="text1"/>
          <w:lang w:val="es-MX"/>
        </w:rPr>
        <w:t xml:space="preserve">, es importante enfatizar en que el indicador se encuentra cerca del promedio de Latinoamérica. </w:t>
      </w:r>
    </w:p>
    <w:p w14:paraId="383031DB" w14:textId="77777777" w:rsidR="00B306EE" w:rsidRDefault="00B306EE" w:rsidP="005F38A6">
      <w:pPr>
        <w:jc w:val="both"/>
        <w:rPr>
          <w:bCs/>
          <w:color w:val="000000" w:themeColor="text1"/>
          <w:lang w:val="es-MX"/>
        </w:rPr>
      </w:pPr>
    </w:p>
    <w:tbl>
      <w:tblPr>
        <w:tblW w:w="8163" w:type="dxa"/>
        <w:jc w:val="center"/>
        <w:tblCellMar>
          <w:left w:w="70" w:type="dxa"/>
          <w:right w:w="70" w:type="dxa"/>
        </w:tblCellMar>
        <w:tblLook w:val="04A0" w:firstRow="1" w:lastRow="0" w:firstColumn="1" w:lastColumn="0" w:noHBand="0" w:noVBand="1"/>
      </w:tblPr>
      <w:tblGrid>
        <w:gridCol w:w="4310"/>
        <w:gridCol w:w="4509"/>
      </w:tblGrid>
      <w:tr w:rsidR="005F38A6" w:rsidRPr="002C1FE5" w14:paraId="4DD2575E" w14:textId="77777777" w:rsidTr="006A7377">
        <w:trPr>
          <w:trHeight w:val="77"/>
          <w:jc w:val="center"/>
        </w:trPr>
        <w:tc>
          <w:tcPr>
            <w:tcW w:w="8163" w:type="dxa"/>
            <w:gridSpan w:val="2"/>
          </w:tcPr>
          <w:p w14:paraId="6A94140E" w14:textId="586ABB04" w:rsidR="005F38A6" w:rsidRPr="00B306EE" w:rsidRDefault="00B306EE" w:rsidP="00B306EE">
            <w:pPr>
              <w:pStyle w:val="Descripcin"/>
              <w:rPr>
                <w:color w:val="auto"/>
              </w:rPr>
            </w:pPr>
            <w:bookmarkStart w:id="265" w:name="_Toc143593588"/>
            <w:r w:rsidRPr="00B306EE">
              <w:rPr>
                <w:color w:val="auto"/>
              </w:rPr>
              <w:t xml:space="preserve">Gráfico </w:t>
            </w:r>
            <w:r w:rsidRPr="00B306EE">
              <w:rPr>
                <w:color w:val="auto"/>
              </w:rPr>
              <w:fldChar w:fldCharType="begin"/>
            </w:r>
            <w:r w:rsidRPr="00B306EE">
              <w:rPr>
                <w:color w:val="auto"/>
              </w:rPr>
              <w:instrText xml:space="preserve"> SEQ Gráfico \* ARABIC </w:instrText>
            </w:r>
            <w:r w:rsidRPr="00B306EE">
              <w:rPr>
                <w:color w:val="auto"/>
              </w:rPr>
              <w:fldChar w:fldCharType="separate"/>
            </w:r>
            <w:r w:rsidR="00A62AFA">
              <w:rPr>
                <w:noProof/>
                <w:color w:val="auto"/>
              </w:rPr>
              <w:t>30</w:t>
            </w:r>
            <w:r w:rsidRPr="00B306EE">
              <w:rPr>
                <w:color w:val="auto"/>
              </w:rPr>
              <w:fldChar w:fldCharType="end"/>
            </w:r>
            <w:r w:rsidRPr="00B306EE">
              <w:rPr>
                <w:color w:val="auto"/>
              </w:rPr>
              <w:t xml:space="preserve">. </w:t>
            </w:r>
            <w:bookmarkStart w:id="266" w:name="_Toc114493871"/>
            <w:r w:rsidRPr="00B306EE">
              <w:rPr>
                <w:bCs/>
                <w:color w:val="auto"/>
              </w:rPr>
              <w:t>Indicadores de deuda</w:t>
            </w:r>
            <w:bookmarkEnd w:id="265"/>
            <w:bookmarkEnd w:id="266"/>
          </w:p>
        </w:tc>
      </w:tr>
      <w:tr w:rsidR="005F38A6" w:rsidRPr="002C1FE5" w14:paraId="0B9C1E08" w14:textId="77777777" w:rsidTr="00654FD8">
        <w:trPr>
          <w:trHeight w:val="77"/>
          <w:jc w:val="center"/>
        </w:trPr>
        <w:tc>
          <w:tcPr>
            <w:tcW w:w="4108" w:type="dxa"/>
          </w:tcPr>
          <w:p w14:paraId="196E9BC6" w14:textId="77777777" w:rsidR="005F38A6" w:rsidRPr="002C1FE5" w:rsidRDefault="005F38A6" w:rsidP="00B306EE">
            <w:pPr>
              <w:keepNext/>
              <w:jc w:val="center"/>
            </w:pPr>
            <w:r w:rsidRPr="002C1FE5">
              <w:t>Deuda/ PIB en porcentaje</w:t>
            </w:r>
          </w:p>
        </w:tc>
        <w:tc>
          <w:tcPr>
            <w:tcW w:w="4055" w:type="dxa"/>
          </w:tcPr>
          <w:p w14:paraId="435AC09D" w14:textId="77777777" w:rsidR="005F38A6" w:rsidRPr="002C1FE5" w:rsidRDefault="005F38A6" w:rsidP="00B306EE">
            <w:pPr>
              <w:keepNext/>
              <w:jc w:val="center"/>
            </w:pPr>
            <w:r w:rsidRPr="002C1FE5">
              <w:t>Deuda / Ingresos fiscales en porcentaje</w:t>
            </w:r>
          </w:p>
        </w:tc>
      </w:tr>
      <w:tr w:rsidR="005F38A6" w:rsidRPr="002C1FE5" w14:paraId="2534F859" w14:textId="77777777" w:rsidTr="00654FD8">
        <w:trPr>
          <w:trHeight w:val="2221"/>
          <w:jc w:val="center"/>
        </w:trPr>
        <w:tc>
          <w:tcPr>
            <w:tcW w:w="4108" w:type="dxa"/>
          </w:tcPr>
          <w:p w14:paraId="7F38C7F5" w14:textId="7ACC50F2" w:rsidR="005F38A6" w:rsidRPr="00205A08" w:rsidRDefault="00654FD8" w:rsidP="00B306EE">
            <w:pPr>
              <w:jc w:val="center"/>
            </w:pPr>
            <w:r>
              <w:rPr>
                <w:noProof/>
              </w:rPr>
              <w:drawing>
                <wp:inline distT="0" distB="0" distL="0" distR="0" wp14:anchorId="0B4A47D5" wp14:editId="6E6EB95C">
                  <wp:extent cx="2647784" cy="2059388"/>
                  <wp:effectExtent l="0" t="0" r="635" b="0"/>
                  <wp:docPr id="1889938851" name="Gráfico 1889938851">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4055" w:type="dxa"/>
          </w:tcPr>
          <w:p w14:paraId="405C04E7" w14:textId="76BF0C9B" w:rsidR="005F38A6" w:rsidRPr="002C1FE5" w:rsidRDefault="00654FD8" w:rsidP="00B306EE">
            <w:pPr>
              <w:keepNext/>
              <w:ind w:right="49"/>
              <w:jc w:val="center"/>
              <w:rPr>
                <w:noProof/>
              </w:rPr>
            </w:pPr>
            <w:r>
              <w:rPr>
                <w:noProof/>
              </w:rPr>
              <w:drawing>
                <wp:inline distT="0" distB="0" distL="0" distR="0" wp14:anchorId="1A5396AA" wp14:editId="65BF13FD">
                  <wp:extent cx="2743200" cy="2059305"/>
                  <wp:effectExtent l="0" t="0" r="0" b="0"/>
                  <wp:docPr id="1889938853" name="Gráfico 1889938853">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5F38A6" w:rsidRPr="002C1FE5" w14:paraId="2C635FD4" w14:textId="77777777" w:rsidTr="006A7377">
        <w:trPr>
          <w:trHeight w:val="108"/>
          <w:jc w:val="center"/>
        </w:trPr>
        <w:tc>
          <w:tcPr>
            <w:tcW w:w="8163" w:type="dxa"/>
            <w:gridSpan w:val="2"/>
          </w:tcPr>
          <w:p w14:paraId="7C282D6B" w14:textId="2623FED0" w:rsidR="005F38A6" w:rsidRPr="002C1FE5" w:rsidRDefault="005F38A6" w:rsidP="00B306EE">
            <w:pPr>
              <w:ind w:right="49"/>
              <w:jc w:val="center"/>
              <w:rPr>
                <w:sz w:val="18"/>
                <w:szCs w:val="22"/>
                <w:lang w:val="es-ES"/>
              </w:rPr>
            </w:pPr>
            <w:r w:rsidRPr="002C1FE5">
              <w:rPr>
                <w:sz w:val="16"/>
                <w:szCs w:val="16"/>
                <w:lang w:val="es-ES"/>
              </w:rPr>
              <w:t xml:space="preserve">Fuente: </w:t>
            </w:r>
            <w:r w:rsidRPr="002C1FE5">
              <w:rPr>
                <w:bCs/>
                <w:sz w:val="16"/>
                <w:szCs w:val="16"/>
                <w:lang w:val="es-ES"/>
              </w:rPr>
              <w:t>Ministerio de Finanzas Públicas</w:t>
            </w:r>
          </w:p>
        </w:tc>
      </w:tr>
    </w:tbl>
    <w:p w14:paraId="2E340BF2" w14:textId="77777777" w:rsidR="005F38A6" w:rsidRDefault="005F38A6" w:rsidP="005F38A6">
      <w:pPr>
        <w:jc w:val="both"/>
        <w:rPr>
          <w:bCs/>
          <w:color w:val="000000" w:themeColor="text1"/>
          <w:lang w:val="es-MX"/>
        </w:rPr>
      </w:pPr>
    </w:p>
    <w:p w14:paraId="1DBB01C8" w14:textId="54D01D49" w:rsidR="005F38A6" w:rsidRPr="002C1FE5" w:rsidRDefault="005F38A6" w:rsidP="005F38A6">
      <w:pPr>
        <w:jc w:val="both"/>
        <w:rPr>
          <w:bCs/>
          <w:color w:val="000000" w:themeColor="text1"/>
          <w:lang w:val="es-MX"/>
        </w:rPr>
      </w:pPr>
      <w:r w:rsidRPr="002C1FE5">
        <w:rPr>
          <w:bCs/>
          <w:color w:val="000000" w:themeColor="text1"/>
          <w:lang w:val="es-MX"/>
        </w:rPr>
        <w:t xml:space="preserve">Entre los indicadores de liquidez se encuentra el servicio de la deuda con respecto a los ingresos fiscales y el servicio de deuda externa con respecto a las exportaciones. Para el </w:t>
      </w:r>
      <w:r>
        <w:rPr>
          <w:bCs/>
          <w:color w:val="000000" w:themeColor="text1"/>
          <w:lang w:val="es-MX"/>
        </w:rPr>
        <w:t>2022</w:t>
      </w:r>
      <w:r w:rsidRPr="002C1FE5">
        <w:rPr>
          <w:bCs/>
          <w:color w:val="000000" w:themeColor="text1"/>
          <w:lang w:val="es-MX"/>
        </w:rPr>
        <w:t xml:space="preserve"> </w:t>
      </w:r>
      <w:proofErr w:type="gramStart"/>
      <w:r w:rsidRPr="002C1FE5">
        <w:rPr>
          <w:bCs/>
          <w:color w:val="000000" w:themeColor="text1"/>
          <w:lang w:val="es-MX"/>
        </w:rPr>
        <w:t>el ratio</w:t>
      </w:r>
      <w:proofErr w:type="gramEnd"/>
      <w:r w:rsidRPr="002C1FE5">
        <w:rPr>
          <w:bCs/>
          <w:color w:val="000000" w:themeColor="text1"/>
          <w:lang w:val="es-MX"/>
        </w:rPr>
        <w:t xml:space="preserve"> del servicio de la deuda/ ingresos fiscales se encontró en </w:t>
      </w:r>
      <w:r>
        <w:rPr>
          <w:bCs/>
          <w:color w:val="000000" w:themeColor="text1"/>
          <w:lang w:val="es-MX"/>
        </w:rPr>
        <w:t xml:space="preserve">22.5%, </w:t>
      </w:r>
      <w:r w:rsidRPr="002C1FE5">
        <w:rPr>
          <w:bCs/>
          <w:color w:val="000000" w:themeColor="text1"/>
          <w:lang w:val="es-MX"/>
        </w:rPr>
        <w:t xml:space="preserve">para </w:t>
      </w:r>
      <w:r>
        <w:rPr>
          <w:bCs/>
          <w:color w:val="000000" w:themeColor="text1"/>
          <w:lang w:val="es-MX"/>
        </w:rPr>
        <w:t>2023</w:t>
      </w:r>
      <w:r w:rsidRPr="002C1FE5">
        <w:rPr>
          <w:bCs/>
          <w:color w:val="000000" w:themeColor="text1"/>
          <w:lang w:val="es-MX"/>
        </w:rPr>
        <w:t xml:space="preserve"> se prevé que es encuentre alrededor de </w:t>
      </w:r>
      <w:r w:rsidR="00654FD8">
        <w:rPr>
          <w:bCs/>
          <w:color w:val="000000" w:themeColor="text1"/>
          <w:lang w:val="es-MX"/>
        </w:rPr>
        <w:t>18.8</w:t>
      </w:r>
      <w:r w:rsidRPr="002C1FE5">
        <w:rPr>
          <w:bCs/>
          <w:color w:val="000000" w:themeColor="text1"/>
          <w:lang w:val="es-MX"/>
        </w:rPr>
        <w:t xml:space="preserve">% y para </w:t>
      </w:r>
      <w:r>
        <w:rPr>
          <w:bCs/>
          <w:color w:val="000000" w:themeColor="text1"/>
          <w:lang w:val="es-MX"/>
        </w:rPr>
        <w:t>2028</w:t>
      </w:r>
      <w:r w:rsidRPr="002C1FE5">
        <w:rPr>
          <w:bCs/>
          <w:color w:val="000000" w:themeColor="text1"/>
          <w:lang w:val="es-MX"/>
        </w:rPr>
        <w:t xml:space="preserve"> en </w:t>
      </w:r>
      <w:r>
        <w:rPr>
          <w:bCs/>
          <w:color w:val="000000" w:themeColor="text1"/>
          <w:lang w:val="es-MX"/>
        </w:rPr>
        <w:t>18.</w:t>
      </w:r>
      <w:r w:rsidR="00654FD8">
        <w:rPr>
          <w:bCs/>
          <w:color w:val="000000" w:themeColor="text1"/>
          <w:lang w:val="es-MX"/>
        </w:rPr>
        <w:t>9</w:t>
      </w:r>
      <w:r w:rsidRPr="002C1FE5">
        <w:rPr>
          <w:bCs/>
          <w:color w:val="000000" w:themeColor="text1"/>
          <w:lang w:val="es-MX"/>
        </w:rPr>
        <w:t>%.</w:t>
      </w:r>
    </w:p>
    <w:p w14:paraId="2A401858" w14:textId="77777777" w:rsidR="005F38A6" w:rsidRPr="002C1FE5" w:rsidRDefault="005F38A6" w:rsidP="005F38A6">
      <w:pPr>
        <w:jc w:val="both"/>
        <w:rPr>
          <w:bCs/>
          <w:color w:val="000000" w:themeColor="text1"/>
          <w:lang w:val="es-MX"/>
        </w:rPr>
      </w:pPr>
    </w:p>
    <w:p w14:paraId="77F2B4C4" w14:textId="61009A22" w:rsidR="005F38A6" w:rsidRPr="002C1FE5" w:rsidRDefault="005F38A6" w:rsidP="005F38A6">
      <w:pPr>
        <w:jc w:val="both"/>
        <w:rPr>
          <w:bCs/>
          <w:color w:val="000000" w:themeColor="text1"/>
          <w:lang w:val="es-MX"/>
        </w:rPr>
      </w:pPr>
      <w:r w:rsidRPr="002C1FE5">
        <w:rPr>
          <w:bCs/>
          <w:color w:val="000000" w:themeColor="text1"/>
          <w:lang w:val="es-MX"/>
        </w:rPr>
        <w:t xml:space="preserve">Con respecto </w:t>
      </w:r>
      <w:proofErr w:type="gramStart"/>
      <w:r>
        <w:rPr>
          <w:bCs/>
          <w:color w:val="000000" w:themeColor="text1"/>
          <w:lang w:val="es-MX"/>
        </w:rPr>
        <w:t>el ratio</w:t>
      </w:r>
      <w:proofErr w:type="gramEnd"/>
      <w:r w:rsidRPr="002C1FE5">
        <w:rPr>
          <w:bCs/>
          <w:color w:val="000000" w:themeColor="text1"/>
          <w:lang w:val="es-MX"/>
        </w:rPr>
        <w:t xml:space="preserve"> del servicio de la deuda externa/ exportaciones se registró en </w:t>
      </w:r>
      <w:r>
        <w:rPr>
          <w:bCs/>
          <w:color w:val="000000" w:themeColor="text1"/>
          <w:lang w:val="es-MX"/>
        </w:rPr>
        <w:t>2022</w:t>
      </w:r>
      <w:r w:rsidRPr="002C1FE5">
        <w:rPr>
          <w:bCs/>
          <w:color w:val="000000" w:themeColor="text1"/>
          <w:lang w:val="es-MX"/>
        </w:rPr>
        <w:t xml:space="preserve"> en </w:t>
      </w:r>
      <w:r>
        <w:rPr>
          <w:bCs/>
          <w:color w:val="000000" w:themeColor="text1"/>
          <w:lang w:val="es-MX"/>
        </w:rPr>
        <w:t>8.6</w:t>
      </w:r>
      <w:r w:rsidRPr="002C1FE5">
        <w:rPr>
          <w:bCs/>
          <w:color w:val="000000" w:themeColor="text1"/>
          <w:lang w:val="es-MX"/>
        </w:rPr>
        <w:t xml:space="preserve">%, se espera que para </w:t>
      </w:r>
      <w:r>
        <w:rPr>
          <w:bCs/>
          <w:color w:val="000000" w:themeColor="text1"/>
          <w:lang w:val="es-MX"/>
        </w:rPr>
        <w:t>2023</w:t>
      </w:r>
      <w:r w:rsidRPr="002C1FE5">
        <w:rPr>
          <w:bCs/>
          <w:color w:val="000000" w:themeColor="text1"/>
          <w:lang w:val="es-MX"/>
        </w:rPr>
        <w:t xml:space="preserve"> ese se encuentre en </w:t>
      </w:r>
      <w:r w:rsidR="00654FD8">
        <w:rPr>
          <w:bCs/>
          <w:color w:val="000000" w:themeColor="text1"/>
          <w:lang w:val="es-MX"/>
        </w:rPr>
        <w:t>4</w:t>
      </w:r>
      <w:r>
        <w:rPr>
          <w:bCs/>
          <w:color w:val="000000" w:themeColor="text1"/>
          <w:lang w:val="es-MX"/>
        </w:rPr>
        <w:t>.</w:t>
      </w:r>
      <w:r w:rsidR="00654FD8">
        <w:rPr>
          <w:bCs/>
          <w:color w:val="000000" w:themeColor="text1"/>
          <w:lang w:val="es-MX"/>
        </w:rPr>
        <w:t>8</w:t>
      </w:r>
      <w:r w:rsidRPr="002C1FE5">
        <w:rPr>
          <w:bCs/>
          <w:color w:val="000000" w:themeColor="text1"/>
          <w:lang w:val="es-MX"/>
        </w:rPr>
        <w:t xml:space="preserve">% y que para </w:t>
      </w:r>
      <w:r>
        <w:rPr>
          <w:bCs/>
          <w:color w:val="000000" w:themeColor="text1"/>
          <w:lang w:val="es-MX"/>
        </w:rPr>
        <w:t>2028</w:t>
      </w:r>
      <w:r w:rsidRPr="002C1FE5">
        <w:rPr>
          <w:bCs/>
          <w:color w:val="000000" w:themeColor="text1"/>
          <w:lang w:val="es-MX"/>
        </w:rPr>
        <w:t xml:space="preserve"> en 7.</w:t>
      </w:r>
      <w:r>
        <w:rPr>
          <w:bCs/>
          <w:color w:val="000000" w:themeColor="text1"/>
          <w:lang w:val="es-MX"/>
        </w:rPr>
        <w:t>9</w:t>
      </w:r>
      <w:r w:rsidRPr="002C1FE5">
        <w:rPr>
          <w:bCs/>
          <w:color w:val="000000" w:themeColor="text1"/>
          <w:lang w:val="es-MX"/>
        </w:rPr>
        <w:t xml:space="preserve">%. La razón por la cual el indicador deuda externa/exportaciones </w:t>
      </w:r>
      <w:r>
        <w:rPr>
          <w:bCs/>
          <w:color w:val="000000" w:themeColor="text1"/>
          <w:lang w:val="es-MX"/>
        </w:rPr>
        <w:t>aumentó</w:t>
      </w:r>
      <w:r w:rsidRPr="002C1FE5">
        <w:rPr>
          <w:bCs/>
          <w:color w:val="000000" w:themeColor="text1"/>
          <w:lang w:val="es-MX"/>
        </w:rPr>
        <w:t xml:space="preserve"> en </w:t>
      </w:r>
      <w:r>
        <w:rPr>
          <w:bCs/>
          <w:color w:val="000000" w:themeColor="text1"/>
          <w:lang w:val="es-MX"/>
        </w:rPr>
        <w:t>2022</w:t>
      </w:r>
      <w:r w:rsidRPr="002C1FE5">
        <w:rPr>
          <w:bCs/>
          <w:color w:val="000000" w:themeColor="text1"/>
          <w:lang w:val="es-MX"/>
        </w:rPr>
        <w:t xml:space="preserve"> </w:t>
      </w:r>
      <w:r>
        <w:rPr>
          <w:bCs/>
          <w:color w:val="000000" w:themeColor="text1"/>
          <w:lang w:val="es-MX"/>
        </w:rPr>
        <w:t xml:space="preserve">fue </w:t>
      </w:r>
      <w:r w:rsidRPr="002C1FE5">
        <w:rPr>
          <w:bCs/>
          <w:color w:val="000000" w:themeColor="text1"/>
          <w:lang w:val="es-MX"/>
        </w:rPr>
        <w:t xml:space="preserve">por </w:t>
      </w:r>
      <w:r>
        <w:rPr>
          <w:bCs/>
          <w:color w:val="000000" w:themeColor="text1"/>
          <w:lang w:val="es-MX"/>
        </w:rPr>
        <w:t xml:space="preserve">los </w:t>
      </w:r>
      <w:r w:rsidRPr="002C1FE5">
        <w:rPr>
          <w:bCs/>
          <w:color w:val="000000" w:themeColor="text1"/>
          <w:lang w:val="es-MX"/>
        </w:rPr>
        <w:t>vencimientos de los Euro</w:t>
      </w:r>
      <w:r>
        <w:rPr>
          <w:bCs/>
          <w:color w:val="000000" w:themeColor="text1"/>
          <w:lang w:val="es-MX"/>
        </w:rPr>
        <w:t>b</w:t>
      </w:r>
      <w:r w:rsidRPr="002C1FE5">
        <w:rPr>
          <w:bCs/>
          <w:color w:val="000000" w:themeColor="text1"/>
          <w:lang w:val="es-MX"/>
        </w:rPr>
        <w:t>onos, los cuales tuvieron un monto de USD$700.0 millones, asimismo, habrá vencimientos de eurobonos en 2026 y 2027 por USD$700.0 y USD$500.0 millones respectivamente. Para los indicadores de servicio de deuda no se cuenta con un máximo recomendable para países con acceso al mercado de capitales.</w:t>
      </w:r>
    </w:p>
    <w:p w14:paraId="350DCA60" w14:textId="01AAB03A" w:rsidR="005F38A6" w:rsidRDefault="005F38A6" w:rsidP="005F38A6">
      <w:pPr>
        <w:jc w:val="both"/>
        <w:rPr>
          <w:bCs/>
          <w:color w:val="000000" w:themeColor="text1"/>
          <w:lang w:val="es-MX"/>
        </w:rPr>
      </w:pPr>
    </w:p>
    <w:p w14:paraId="672E9CA8" w14:textId="28C9E034" w:rsidR="00037E1D" w:rsidRDefault="00037E1D" w:rsidP="005F38A6">
      <w:pPr>
        <w:jc w:val="both"/>
        <w:rPr>
          <w:bCs/>
          <w:color w:val="000000" w:themeColor="text1"/>
          <w:lang w:val="es-MX"/>
        </w:rPr>
      </w:pPr>
    </w:p>
    <w:p w14:paraId="63AB0660" w14:textId="332088C3" w:rsidR="00BB51FE" w:rsidRDefault="00BB51FE" w:rsidP="005F38A6">
      <w:pPr>
        <w:jc w:val="both"/>
        <w:rPr>
          <w:bCs/>
          <w:color w:val="000000" w:themeColor="text1"/>
          <w:lang w:val="es-MX"/>
        </w:rPr>
      </w:pPr>
    </w:p>
    <w:p w14:paraId="022B6C4C" w14:textId="250C8113" w:rsidR="00BB51FE" w:rsidRDefault="00BB51FE" w:rsidP="005F38A6">
      <w:pPr>
        <w:jc w:val="both"/>
        <w:rPr>
          <w:bCs/>
          <w:color w:val="000000" w:themeColor="text1"/>
          <w:lang w:val="es-MX"/>
        </w:rPr>
      </w:pPr>
    </w:p>
    <w:p w14:paraId="6BC06A33" w14:textId="4E806498" w:rsidR="00BB51FE" w:rsidRDefault="00BB51FE" w:rsidP="005F38A6">
      <w:pPr>
        <w:jc w:val="both"/>
        <w:rPr>
          <w:bCs/>
          <w:color w:val="000000" w:themeColor="text1"/>
          <w:lang w:val="es-MX"/>
        </w:rPr>
      </w:pPr>
    </w:p>
    <w:p w14:paraId="2EA008D7" w14:textId="4CD0726C" w:rsidR="00BB51FE" w:rsidRDefault="00BB51FE" w:rsidP="005F38A6">
      <w:pPr>
        <w:jc w:val="both"/>
        <w:rPr>
          <w:bCs/>
          <w:color w:val="000000" w:themeColor="text1"/>
          <w:lang w:val="es-MX"/>
        </w:rPr>
      </w:pPr>
    </w:p>
    <w:p w14:paraId="73C2825B" w14:textId="605EFC13" w:rsidR="00BB51FE" w:rsidRDefault="00BB51FE" w:rsidP="005F38A6">
      <w:pPr>
        <w:jc w:val="both"/>
        <w:rPr>
          <w:bCs/>
          <w:color w:val="000000" w:themeColor="text1"/>
          <w:lang w:val="es-MX"/>
        </w:rPr>
      </w:pPr>
    </w:p>
    <w:p w14:paraId="36F95944" w14:textId="5030CD17" w:rsidR="00BB51FE" w:rsidRDefault="00BB51FE" w:rsidP="005F38A6">
      <w:pPr>
        <w:jc w:val="both"/>
        <w:rPr>
          <w:bCs/>
          <w:color w:val="000000" w:themeColor="text1"/>
          <w:lang w:val="es-MX"/>
        </w:rPr>
      </w:pPr>
    </w:p>
    <w:p w14:paraId="7B38CA70" w14:textId="5F6C13C5" w:rsidR="00BB51FE" w:rsidRDefault="00BB51FE" w:rsidP="005F38A6">
      <w:pPr>
        <w:jc w:val="both"/>
        <w:rPr>
          <w:bCs/>
          <w:color w:val="000000" w:themeColor="text1"/>
          <w:lang w:val="es-MX"/>
        </w:rPr>
      </w:pPr>
    </w:p>
    <w:p w14:paraId="503F4E59" w14:textId="77777777" w:rsidR="00BB51FE" w:rsidRPr="002C1FE5" w:rsidRDefault="00BB51FE" w:rsidP="005F38A6">
      <w:pPr>
        <w:jc w:val="both"/>
        <w:rPr>
          <w:bCs/>
          <w:color w:val="000000" w:themeColor="text1"/>
          <w:lang w:val="es-MX"/>
        </w:rPr>
      </w:pPr>
    </w:p>
    <w:tbl>
      <w:tblPr>
        <w:tblW w:w="8956" w:type="dxa"/>
        <w:jc w:val="center"/>
        <w:tblCellMar>
          <w:left w:w="70" w:type="dxa"/>
          <w:right w:w="70" w:type="dxa"/>
        </w:tblCellMar>
        <w:tblLook w:val="04A0" w:firstRow="1" w:lastRow="0" w:firstColumn="1" w:lastColumn="0" w:noHBand="0" w:noVBand="1"/>
      </w:tblPr>
      <w:tblGrid>
        <w:gridCol w:w="4597"/>
        <w:gridCol w:w="4359"/>
      </w:tblGrid>
      <w:tr w:rsidR="005F38A6" w:rsidRPr="002C1FE5" w14:paraId="0913395E" w14:textId="77777777" w:rsidTr="00B306EE">
        <w:trPr>
          <w:trHeight w:val="90"/>
          <w:jc w:val="center"/>
        </w:trPr>
        <w:tc>
          <w:tcPr>
            <w:tcW w:w="8956" w:type="dxa"/>
            <w:gridSpan w:val="2"/>
          </w:tcPr>
          <w:p w14:paraId="6D19926C" w14:textId="4CD5304B" w:rsidR="005F38A6" w:rsidRPr="004A12A1" w:rsidRDefault="00B306EE" w:rsidP="00B306EE">
            <w:pPr>
              <w:pStyle w:val="Descripcin"/>
              <w:rPr>
                <w:b w:val="0"/>
                <w:bCs/>
                <w:sz w:val="18"/>
                <w:szCs w:val="18"/>
              </w:rPr>
            </w:pPr>
            <w:bookmarkStart w:id="267" w:name="_Toc143593589"/>
            <w:r w:rsidRPr="00B306EE">
              <w:rPr>
                <w:color w:val="auto"/>
              </w:rPr>
              <w:lastRenderedPageBreak/>
              <w:t xml:space="preserve">Gráfico </w:t>
            </w:r>
            <w:r w:rsidRPr="00B306EE">
              <w:rPr>
                <w:color w:val="auto"/>
              </w:rPr>
              <w:fldChar w:fldCharType="begin"/>
            </w:r>
            <w:r w:rsidRPr="00B306EE">
              <w:rPr>
                <w:color w:val="auto"/>
              </w:rPr>
              <w:instrText xml:space="preserve"> SEQ Gráfico \* ARABIC </w:instrText>
            </w:r>
            <w:r w:rsidRPr="00B306EE">
              <w:rPr>
                <w:color w:val="auto"/>
              </w:rPr>
              <w:fldChar w:fldCharType="separate"/>
            </w:r>
            <w:r w:rsidR="00A62AFA">
              <w:rPr>
                <w:noProof/>
                <w:color w:val="auto"/>
              </w:rPr>
              <w:t>31</w:t>
            </w:r>
            <w:r w:rsidRPr="00B306EE">
              <w:rPr>
                <w:color w:val="auto"/>
              </w:rPr>
              <w:fldChar w:fldCharType="end"/>
            </w:r>
            <w:r w:rsidRPr="00B306EE">
              <w:rPr>
                <w:color w:val="auto"/>
              </w:rPr>
              <w:t xml:space="preserve">. </w:t>
            </w:r>
            <w:bookmarkStart w:id="268" w:name="_Toc114493872"/>
            <w:r w:rsidRPr="00B306EE">
              <w:rPr>
                <w:bCs/>
                <w:color w:val="auto"/>
              </w:rPr>
              <w:t>Indicadores del servicio de deuda</w:t>
            </w:r>
            <w:bookmarkEnd w:id="267"/>
            <w:bookmarkEnd w:id="268"/>
          </w:p>
        </w:tc>
      </w:tr>
      <w:tr w:rsidR="005F38A6" w:rsidRPr="002C1FE5" w14:paraId="78FD5E5D" w14:textId="77777777" w:rsidTr="00B306EE">
        <w:trPr>
          <w:trHeight w:val="90"/>
          <w:jc w:val="center"/>
        </w:trPr>
        <w:tc>
          <w:tcPr>
            <w:tcW w:w="4597" w:type="dxa"/>
          </w:tcPr>
          <w:p w14:paraId="418C6FA4" w14:textId="77777777" w:rsidR="005F38A6" w:rsidRPr="00B306EE" w:rsidRDefault="005F38A6" w:rsidP="00B306EE">
            <w:pPr>
              <w:keepNext/>
              <w:jc w:val="center"/>
              <w:rPr>
                <w:sz w:val="22"/>
                <w:szCs w:val="22"/>
                <w:highlight w:val="yellow"/>
              </w:rPr>
            </w:pPr>
            <w:r w:rsidRPr="00B306EE">
              <w:rPr>
                <w:sz w:val="22"/>
                <w:szCs w:val="22"/>
              </w:rPr>
              <w:t>Servicio de deuda/ Ingresos fiscales en porcentaje</w:t>
            </w:r>
          </w:p>
        </w:tc>
        <w:tc>
          <w:tcPr>
            <w:tcW w:w="4358" w:type="dxa"/>
          </w:tcPr>
          <w:p w14:paraId="43A3ABAA" w14:textId="77777777" w:rsidR="005F38A6" w:rsidRPr="00B306EE" w:rsidRDefault="005F38A6" w:rsidP="006A7377">
            <w:pPr>
              <w:keepNext/>
              <w:rPr>
                <w:sz w:val="22"/>
                <w:szCs w:val="22"/>
              </w:rPr>
            </w:pPr>
            <w:r w:rsidRPr="00B306EE">
              <w:rPr>
                <w:sz w:val="22"/>
                <w:szCs w:val="22"/>
              </w:rPr>
              <w:t>Servicios de deuda externa/ Exportaciones</w:t>
            </w:r>
          </w:p>
        </w:tc>
      </w:tr>
      <w:tr w:rsidR="005F38A6" w:rsidRPr="002C1FE5" w14:paraId="5A4669D7" w14:textId="77777777" w:rsidTr="00B306EE">
        <w:trPr>
          <w:trHeight w:val="2597"/>
          <w:jc w:val="center"/>
        </w:trPr>
        <w:tc>
          <w:tcPr>
            <w:tcW w:w="4597" w:type="dxa"/>
          </w:tcPr>
          <w:p w14:paraId="2B1A0C2C" w14:textId="77777777" w:rsidR="005F38A6" w:rsidRPr="002C1FE5" w:rsidRDefault="005F38A6" w:rsidP="006A7377">
            <w:pPr>
              <w:ind w:right="49"/>
              <w:rPr>
                <w:noProof/>
              </w:rPr>
            </w:pPr>
            <w:r>
              <w:rPr>
                <w:noProof/>
              </w:rPr>
              <w:drawing>
                <wp:inline distT="0" distB="0" distL="0" distR="0" wp14:anchorId="64023DA8" wp14:editId="2125928B">
                  <wp:extent cx="2660821" cy="1820562"/>
                  <wp:effectExtent l="0" t="0" r="6350" b="8255"/>
                  <wp:docPr id="34" name="Gráfico 34">
                    <a:extLst xmlns:a="http://schemas.openxmlformats.org/drawingml/2006/main">
                      <a:ext uri="{FF2B5EF4-FFF2-40B4-BE49-F238E27FC236}">
                        <a16:creationId xmlns:a16="http://schemas.microsoft.com/office/drawing/2014/main" id="{00000000-0008-0000-08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4358" w:type="dxa"/>
          </w:tcPr>
          <w:p w14:paraId="2151CD87" w14:textId="77777777" w:rsidR="005F38A6" w:rsidRPr="002C1FE5" w:rsidRDefault="005F38A6" w:rsidP="006A7377">
            <w:pPr>
              <w:keepNext/>
              <w:ind w:right="49"/>
              <w:rPr>
                <w:noProof/>
              </w:rPr>
            </w:pPr>
            <w:r>
              <w:rPr>
                <w:noProof/>
              </w:rPr>
              <w:drawing>
                <wp:inline distT="0" distB="0" distL="0" distR="0" wp14:anchorId="51CC14B6" wp14:editId="02F35FDC">
                  <wp:extent cx="2586681" cy="1820545"/>
                  <wp:effectExtent l="0" t="0" r="4445" b="8255"/>
                  <wp:docPr id="38" name="Gráfico 38">
                    <a:extLst xmlns:a="http://schemas.openxmlformats.org/drawingml/2006/main">
                      <a:ext uri="{FF2B5EF4-FFF2-40B4-BE49-F238E27FC236}">
                        <a16:creationId xmlns:a16="http://schemas.microsoft.com/office/drawing/2014/main" id="{00000000-0008-0000-08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5F38A6" w:rsidRPr="002C1FE5" w14:paraId="614AD7E9" w14:textId="77777777" w:rsidTr="00B306EE">
        <w:trPr>
          <w:trHeight w:val="127"/>
          <w:jc w:val="center"/>
        </w:trPr>
        <w:tc>
          <w:tcPr>
            <w:tcW w:w="8956" w:type="dxa"/>
            <w:gridSpan w:val="2"/>
          </w:tcPr>
          <w:p w14:paraId="5A5746FA" w14:textId="77777777" w:rsidR="005F38A6" w:rsidRPr="002C1FE5" w:rsidRDefault="005F38A6" w:rsidP="006A7377">
            <w:pPr>
              <w:ind w:right="49"/>
              <w:jc w:val="both"/>
              <w:rPr>
                <w:sz w:val="18"/>
                <w:szCs w:val="22"/>
                <w:lang w:val="es-ES"/>
              </w:rPr>
            </w:pPr>
            <w:r w:rsidRPr="002C1FE5">
              <w:rPr>
                <w:sz w:val="18"/>
                <w:szCs w:val="22"/>
                <w:lang w:val="es-ES"/>
              </w:rPr>
              <w:t xml:space="preserve"> </w:t>
            </w:r>
            <w:r w:rsidRPr="002C1FE5">
              <w:rPr>
                <w:sz w:val="16"/>
                <w:szCs w:val="16"/>
                <w:lang w:val="es-ES"/>
              </w:rPr>
              <w:t xml:space="preserve">Fuente: </w:t>
            </w:r>
            <w:r w:rsidRPr="002C1FE5">
              <w:rPr>
                <w:bCs/>
                <w:sz w:val="16"/>
                <w:szCs w:val="16"/>
                <w:lang w:val="es-ES"/>
              </w:rPr>
              <w:t>Ministerio de Finanzas Públicas</w:t>
            </w:r>
            <w:r w:rsidRPr="002C1FE5">
              <w:rPr>
                <w:sz w:val="16"/>
                <w:szCs w:val="16"/>
                <w:lang w:val="es-ES"/>
              </w:rPr>
              <w:t xml:space="preserve"> </w:t>
            </w:r>
          </w:p>
        </w:tc>
      </w:tr>
    </w:tbl>
    <w:p w14:paraId="200F69B9" w14:textId="77777777" w:rsidR="005F38A6" w:rsidRDefault="005F38A6" w:rsidP="005F38A6">
      <w:pPr>
        <w:jc w:val="both"/>
        <w:rPr>
          <w:bCs/>
          <w:color w:val="000000" w:themeColor="text1"/>
          <w:lang w:val="es-MX"/>
        </w:rPr>
      </w:pPr>
    </w:p>
    <w:p w14:paraId="0A57913D" w14:textId="7B1F2A30" w:rsidR="005F38A6" w:rsidRPr="002C1FE5" w:rsidRDefault="005F38A6" w:rsidP="005F38A6">
      <w:pPr>
        <w:jc w:val="both"/>
        <w:rPr>
          <w:bCs/>
          <w:color w:val="000000" w:themeColor="text1"/>
          <w:lang w:val="es-MX"/>
        </w:rPr>
      </w:pPr>
      <w:r w:rsidRPr="002C1FE5">
        <w:rPr>
          <w:bCs/>
          <w:color w:val="000000" w:themeColor="text1"/>
          <w:lang w:val="es-MX"/>
        </w:rPr>
        <w:t xml:space="preserve">Otro indicador que capta la carga económica de la deuda son los intereses de deuda /PIB, para Guatemala dicho indicador se encontraba en 1.7% en </w:t>
      </w:r>
      <w:r>
        <w:rPr>
          <w:bCs/>
          <w:color w:val="000000" w:themeColor="text1"/>
          <w:lang w:val="es-MX"/>
        </w:rPr>
        <w:t>2022</w:t>
      </w:r>
      <w:r w:rsidRPr="002C1FE5">
        <w:rPr>
          <w:bCs/>
          <w:color w:val="000000" w:themeColor="text1"/>
          <w:lang w:val="es-MX"/>
        </w:rPr>
        <w:t xml:space="preserve">, y se proyecta que este se </w:t>
      </w:r>
      <w:r>
        <w:rPr>
          <w:bCs/>
          <w:color w:val="000000" w:themeColor="text1"/>
          <w:lang w:val="es-MX"/>
        </w:rPr>
        <w:t>reduzca gradualmente a</w:t>
      </w:r>
      <w:r w:rsidR="00357CAA">
        <w:rPr>
          <w:bCs/>
          <w:color w:val="000000" w:themeColor="text1"/>
          <w:lang w:val="es-MX"/>
        </w:rPr>
        <w:t xml:space="preserve"> 1.4% en</w:t>
      </w:r>
      <w:r>
        <w:rPr>
          <w:bCs/>
          <w:color w:val="000000" w:themeColor="text1"/>
          <w:lang w:val="es-MX"/>
        </w:rPr>
        <w:t xml:space="preserve"> </w:t>
      </w:r>
      <w:r w:rsidRPr="002C1FE5">
        <w:rPr>
          <w:bCs/>
          <w:color w:val="000000" w:themeColor="text1"/>
          <w:lang w:val="es-MX"/>
        </w:rPr>
        <w:t>202</w:t>
      </w:r>
      <w:r>
        <w:rPr>
          <w:bCs/>
          <w:color w:val="000000" w:themeColor="text1"/>
          <w:lang w:val="es-MX"/>
        </w:rPr>
        <w:t>8</w:t>
      </w:r>
      <w:r w:rsidRPr="002C1FE5">
        <w:rPr>
          <w:bCs/>
          <w:color w:val="000000" w:themeColor="text1"/>
          <w:lang w:val="es-MX"/>
        </w:rPr>
        <w:t xml:space="preserve">. Por otro lado, el indicador de intereses/ingresos fiscales muestra el costo de intereses en términos de la captación fiscal, este indicador se ubicó en </w:t>
      </w:r>
      <w:r>
        <w:rPr>
          <w:bCs/>
          <w:color w:val="000000" w:themeColor="text1"/>
          <w:lang w:val="es-MX"/>
        </w:rPr>
        <w:t>13.2</w:t>
      </w:r>
      <w:r w:rsidRPr="002C1FE5">
        <w:rPr>
          <w:bCs/>
          <w:color w:val="000000" w:themeColor="text1"/>
          <w:lang w:val="es-MX"/>
        </w:rPr>
        <w:t xml:space="preserve">% en </w:t>
      </w:r>
      <w:r>
        <w:rPr>
          <w:bCs/>
          <w:color w:val="000000" w:themeColor="text1"/>
          <w:lang w:val="es-MX"/>
        </w:rPr>
        <w:t>2022</w:t>
      </w:r>
      <w:r w:rsidRPr="002C1FE5">
        <w:rPr>
          <w:bCs/>
          <w:color w:val="000000" w:themeColor="text1"/>
          <w:lang w:val="es-MX"/>
        </w:rPr>
        <w:t xml:space="preserve"> y se espera que se encuentre alrededor de </w:t>
      </w:r>
      <w:r>
        <w:rPr>
          <w:bCs/>
          <w:color w:val="000000" w:themeColor="text1"/>
          <w:lang w:val="es-MX"/>
        </w:rPr>
        <w:t>11.</w:t>
      </w:r>
      <w:r w:rsidR="00357CAA">
        <w:rPr>
          <w:bCs/>
          <w:color w:val="000000" w:themeColor="text1"/>
          <w:lang w:val="es-MX"/>
        </w:rPr>
        <w:t>5</w:t>
      </w:r>
      <w:r w:rsidRPr="002C1FE5">
        <w:rPr>
          <w:bCs/>
          <w:color w:val="000000" w:themeColor="text1"/>
          <w:lang w:val="es-MX"/>
        </w:rPr>
        <w:t xml:space="preserve">% para </w:t>
      </w:r>
      <w:r>
        <w:rPr>
          <w:bCs/>
          <w:color w:val="000000" w:themeColor="text1"/>
          <w:lang w:val="es-MX"/>
        </w:rPr>
        <w:t>2028</w:t>
      </w:r>
      <w:r w:rsidRPr="002C1FE5">
        <w:rPr>
          <w:bCs/>
          <w:color w:val="000000" w:themeColor="text1"/>
          <w:lang w:val="es-MX"/>
        </w:rPr>
        <w:t>.</w:t>
      </w:r>
    </w:p>
    <w:p w14:paraId="5C6B7905" w14:textId="77777777" w:rsidR="005F38A6" w:rsidRPr="002C1FE5" w:rsidRDefault="005F38A6" w:rsidP="005F38A6">
      <w:pPr>
        <w:jc w:val="both"/>
        <w:rPr>
          <w:bCs/>
          <w:color w:val="000000" w:themeColor="text1"/>
          <w:lang w:val="es-MX"/>
        </w:rPr>
      </w:pPr>
    </w:p>
    <w:p w14:paraId="220EA6EF" w14:textId="77777777" w:rsidR="005F38A6" w:rsidRPr="002C1FE5" w:rsidRDefault="005F38A6" w:rsidP="005F38A6">
      <w:pPr>
        <w:jc w:val="both"/>
        <w:rPr>
          <w:bCs/>
          <w:color w:val="000000" w:themeColor="text1"/>
          <w:lang w:val="es-MX"/>
        </w:rPr>
      </w:pPr>
      <w:r w:rsidRPr="002C1FE5">
        <w:rPr>
          <w:bCs/>
          <w:color w:val="000000" w:themeColor="text1"/>
          <w:lang w:val="es-MX"/>
        </w:rPr>
        <w:t xml:space="preserve">Asimismo, para medir la liquidez externa se utiliza el indicador de las reservas monetarias internacionales como proporción del saldo de la deuda externa. Cuanto más alto es el indicador, menor es la propensión de un país a presentar problemas en su balanza de pagos. Guatemala, ha mostrado un fortalecimiento en la liquidez externa debido principalmente al aumento importante que han tenido las reservas monetarias internacionales y a un crecimiento bastante modesto de la deuda en moneda extranjera. Para el </w:t>
      </w:r>
      <w:r>
        <w:rPr>
          <w:bCs/>
          <w:color w:val="000000" w:themeColor="text1"/>
          <w:lang w:val="es-MX"/>
        </w:rPr>
        <w:t>2022</w:t>
      </w:r>
      <w:r w:rsidRPr="002C1FE5">
        <w:rPr>
          <w:bCs/>
          <w:color w:val="000000" w:themeColor="text1"/>
          <w:lang w:val="es-MX"/>
        </w:rPr>
        <w:t xml:space="preserve"> este indicador se ubicó en </w:t>
      </w:r>
      <w:r>
        <w:rPr>
          <w:bCs/>
          <w:color w:val="000000" w:themeColor="text1"/>
          <w:lang w:val="es-MX"/>
        </w:rPr>
        <w:t>180.5</w:t>
      </w:r>
      <w:r w:rsidRPr="002C1FE5">
        <w:rPr>
          <w:bCs/>
          <w:color w:val="000000" w:themeColor="text1"/>
          <w:lang w:val="es-MX"/>
        </w:rPr>
        <w:t>%.</w:t>
      </w:r>
    </w:p>
    <w:p w14:paraId="2726EACE" w14:textId="77777777" w:rsidR="005F38A6" w:rsidRDefault="005F38A6" w:rsidP="005F38A6">
      <w:pPr>
        <w:jc w:val="both"/>
        <w:rPr>
          <w:bCs/>
          <w:color w:val="000000" w:themeColor="text1"/>
          <w:lang w:val="es-MX"/>
        </w:rPr>
      </w:pPr>
    </w:p>
    <w:tbl>
      <w:tblPr>
        <w:tblW w:w="8891" w:type="dxa"/>
        <w:jc w:val="center"/>
        <w:tblLook w:val="04A0" w:firstRow="1" w:lastRow="0" w:firstColumn="1" w:lastColumn="0" w:noHBand="0" w:noVBand="1"/>
      </w:tblPr>
      <w:tblGrid>
        <w:gridCol w:w="3023"/>
        <w:gridCol w:w="3023"/>
        <w:gridCol w:w="3023"/>
      </w:tblGrid>
      <w:tr w:rsidR="005F38A6" w:rsidRPr="002C1FE5" w14:paraId="162CF169" w14:textId="77777777" w:rsidTr="00B306EE">
        <w:trPr>
          <w:trHeight w:val="366"/>
          <w:jc w:val="center"/>
        </w:trPr>
        <w:tc>
          <w:tcPr>
            <w:tcW w:w="8891" w:type="dxa"/>
            <w:gridSpan w:val="3"/>
          </w:tcPr>
          <w:p w14:paraId="1B0A9B5C" w14:textId="231610F5" w:rsidR="005F38A6" w:rsidRPr="00B306EE" w:rsidRDefault="00B306EE" w:rsidP="00B306EE">
            <w:pPr>
              <w:pStyle w:val="Descripcin"/>
              <w:rPr>
                <w:b w:val="0"/>
                <w:bCs/>
                <w:color w:val="auto"/>
              </w:rPr>
            </w:pPr>
            <w:bookmarkStart w:id="269" w:name="_Toc143593590"/>
            <w:r w:rsidRPr="00B306EE">
              <w:rPr>
                <w:color w:val="auto"/>
              </w:rPr>
              <w:t xml:space="preserve">Gráfico </w:t>
            </w:r>
            <w:r w:rsidRPr="00B306EE">
              <w:rPr>
                <w:color w:val="auto"/>
              </w:rPr>
              <w:fldChar w:fldCharType="begin"/>
            </w:r>
            <w:r w:rsidRPr="00B306EE">
              <w:rPr>
                <w:color w:val="auto"/>
              </w:rPr>
              <w:instrText xml:space="preserve"> SEQ Gráfico \* ARABIC </w:instrText>
            </w:r>
            <w:r w:rsidRPr="00B306EE">
              <w:rPr>
                <w:color w:val="auto"/>
              </w:rPr>
              <w:fldChar w:fldCharType="separate"/>
            </w:r>
            <w:r w:rsidR="00A62AFA">
              <w:rPr>
                <w:noProof/>
                <w:color w:val="auto"/>
              </w:rPr>
              <w:t>32</w:t>
            </w:r>
            <w:r w:rsidRPr="00B306EE">
              <w:rPr>
                <w:color w:val="auto"/>
              </w:rPr>
              <w:fldChar w:fldCharType="end"/>
            </w:r>
            <w:r w:rsidRPr="00B306EE">
              <w:rPr>
                <w:color w:val="auto"/>
              </w:rPr>
              <w:t xml:space="preserve">. </w:t>
            </w:r>
            <w:bookmarkStart w:id="270" w:name="_Toc114493873"/>
            <w:r w:rsidRPr="00B306EE">
              <w:rPr>
                <w:bCs/>
                <w:color w:val="auto"/>
              </w:rPr>
              <w:t>Indicadores de intereses e indicador reservas/deuda externa</w:t>
            </w:r>
            <w:bookmarkEnd w:id="269"/>
            <w:bookmarkEnd w:id="270"/>
          </w:p>
          <w:p w14:paraId="00F6C695" w14:textId="77777777" w:rsidR="005F38A6" w:rsidRPr="002C1FE5" w:rsidRDefault="005F38A6" w:rsidP="00B306EE">
            <w:pPr>
              <w:tabs>
                <w:tab w:val="left" w:pos="1066"/>
              </w:tabs>
              <w:ind w:right="49"/>
              <w:jc w:val="center"/>
              <w:rPr>
                <w:lang w:val="es-ES_tradnl" w:eastAsia="es-ES"/>
              </w:rPr>
            </w:pPr>
            <w:r w:rsidRPr="002C1FE5">
              <w:rPr>
                <w:sz w:val="22"/>
                <w:szCs w:val="22"/>
                <w:lang w:val="es-ES_tradnl" w:eastAsia="es-ES"/>
              </w:rPr>
              <w:t>En porcentajes</w:t>
            </w:r>
          </w:p>
        </w:tc>
      </w:tr>
      <w:tr w:rsidR="005F38A6" w:rsidRPr="002C1FE5" w14:paraId="06C500BC" w14:textId="77777777" w:rsidTr="00B306EE">
        <w:trPr>
          <w:trHeight w:val="177"/>
          <w:jc w:val="center"/>
        </w:trPr>
        <w:tc>
          <w:tcPr>
            <w:tcW w:w="2963" w:type="dxa"/>
          </w:tcPr>
          <w:p w14:paraId="55361439" w14:textId="77777777" w:rsidR="005F38A6" w:rsidRPr="002C1FE5" w:rsidRDefault="005F38A6" w:rsidP="00B306EE">
            <w:pPr>
              <w:tabs>
                <w:tab w:val="left" w:pos="1066"/>
              </w:tabs>
              <w:ind w:right="49"/>
              <w:jc w:val="center"/>
              <w:rPr>
                <w:bCs/>
                <w:sz w:val="22"/>
                <w:szCs w:val="22"/>
                <w:lang w:val="es-ES_tradnl" w:eastAsia="es-ES"/>
              </w:rPr>
            </w:pPr>
            <w:r w:rsidRPr="002C1FE5">
              <w:rPr>
                <w:bCs/>
                <w:sz w:val="22"/>
                <w:szCs w:val="22"/>
                <w:lang w:val="es-ES_tradnl" w:eastAsia="es-ES"/>
              </w:rPr>
              <w:t>Intereses/PIB</w:t>
            </w:r>
          </w:p>
        </w:tc>
        <w:tc>
          <w:tcPr>
            <w:tcW w:w="2963" w:type="dxa"/>
          </w:tcPr>
          <w:p w14:paraId="16B2B433" w14:textId="77777777" w:rsidR="005F38A6" w:rsidRPr="002C1FE5" w:rsidRDefault="005F38A6" w:rsidP="00B306EE">
            <w:pPr>
              <w:tabs>
                <w:tab w:val="left" w:pos="1066"/>
              </w:tabs>
              <w:ind w:right="49"/>
              <w:jc w:val="center"/>
              <w:rPr>
                <w:bCs/>
                <w:sz w:val="22"/>
                <w:szCs w:val="22"/>
                <w:lang w:val="es-ES_tradnl" w:eastAsia="es-ES"/>
              </w:rPr>
            </w:pPr>
            <w:r w:rsidRPr="002C1FE5">
              <w:rPr>
                <w:bCs/>
                <w:sz w:val="22"/>
                <w:szCs w:val="22"/>
                <w:lang w:val="es-ES_tradnl" w:eastAsia="es-ES"/>
              </w:rPr>
              <w:t>Intereses/Ingresos</w:t>
            </w:r>
          </w:p>
        </w:tc>
        <w:tc>
          <w:tcPr>
            <w:tcW w:w="2963" w:type="dxa"/>
          </w:tcPr>
          <w:p w14:paraId="60B7D075" w14:textId="77777777" w:rsidR="005F38A6" w:rsidRPr="002C1FE5" w:rsidRDefault="005F38A6" w:rsidP="00B306EE">
            <w:pPr>
              <w:tabs>
                <w:tab w:val="left" w:pos="1066"/>
              </w:tabs>
              <w:ind w:right="49"/>
              <w:jc w:val="center"/>
              <w:rPr>
                <w:bCs/>
                <w:sz w:val="22"/>
                <w:szCs w:val="22"/>
                <w:lang w:val="es-ES_tradnl" w:eastAsia="es-ES"/>
              </w:rPr>
            </w:pPr>
            <w:r w:rsidRPr="002C1FE5">
              <w:rPr>
                <w:bCs/>
                <w:sz w:val="22"/>
                <w:szCs w:val="22"/>
                <w:lang w:val="es-ES_tradnl" w:eastAsia="es-ES"/>
              </w:rPr>
              <w:t>Reservas/ Deuda externa</w:t>
            </w:r>
          </w:p>
        </w:tc>
      </w:tr>
      <w:tr w:rsidR="005F38A6" w:rsidRPr="002C1FE5" w14:paraId="14411764" w14:textId="77777777" w:rsidTr="00B306EE">
        <w:tblPrEx>
          <w:tblCellMar>
            <w:left w:w="70" w:type="dxa"/>
            <w:right w:w="70" w:type="dxa"/>
          </w:tblCellMar>
        </w:tblPrEx>
        <w:trPr>
          <w:trHeight w:val="2354"/>
          <w:jc w:val="center"/>
        </w:trPr>
        <w:tc>
          <w:tcPr>
            <w:tcW w:w="2963" w:type="dxa"/>
          </w:tcPr>
          <w:p w14:paraId="4EB9D2CF" w14:textId="77777777" w:rsidR="005F38A6" w:rsidRPr="002C1FE5" w:rsidRDefault="005F38A6" w:rsidP="006A7377">
            <w:pPr>
              <w:tabs>
                <w:tab w:val="left" w:pos="1066"/>
              </w:tabs>
              <w:ind w:right="49"/>
              <w:rPr>
                <w:noProof/>
              </w:rPr>
            </w:pPr>
            <w:r>
              <w:rPr>
                <w:noProof/>
              </w:rPr>
              <w:drawing>
                <wp:inline distT="0" distB="0" distL="0" distR="0" wp14:anchorId="3D643F6B" wp14:editId="7368CCC6">
                  <wp:extent cx="1799590" cy="1494430"/>
                  <wp:effectExtent l="0" t="0" r="0" b="0"/>
                  <wp:docPr id="41" name="Gráfico 41">
                    <a:extLst xmlns:a="http://schemas.openxmlformats.org/drawingml/2006/main">
                      <a:ext uri="{FF2B5EF4-FFF2-40B4-BE49-F238E27FC236}">
                        <a16:creationId xmlns:a16="http://schemas.microsoft.com/office/drawing/2014/main" id="{00000000-0008-0000-08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2963" w:type="dxa"/>
          </w:tcPr>
          <w:p w14:paraId="49D936FA" w14:textId="77777777" w:rsidR="005F38A6" w:rsidRPr="002C1FE5" w:rsidRDefault="005F38A6" w:rsidP="006A7377">
            <w:pPr>
              <w:tabs>
                <w:tab w:val="left" w:pos="1066"/>
              </w:tabs>
              <w:ind w:right="49"/>
              <w:rPr>
                <w:noProof/>
              </w:rPr>
            </w:pPr>
            <w:r>
              <w:rPr>
                <w:noProof/>
              </w:rPr>
              <w:drawing>
                <wp:inline distT="0" distB="0" distL="0" distR="0" wp14:anchorId="741D37CA" wp14:editId="1684B208">
                  <wp:extent cx="1799590" cy="1494155"/>
                  <wp:effectExtent l="0" t="0" r="0" b="0"/>
                  <wp:docPr id="42" name="Gráfico 42">
                    <a:extLst xmlns:a="http://schemas.openxmlformats.org/drawingml/2006/main">
                      <a:ext uri="{FF2B5EF4-FFF2-40B4-BE49-F238E27FC236}">
                        <a16:creationId xmlns:a16="http://schemas.microsoft.com/office/drawing/2014/main" id="{00000000-0008-0000-08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2963" w:type="dxa"/>
          </w:tcPr>
          <w:p w14:paraId="2D1EDE40" w14:textId="77777777" w:rsidR="005F38A6" w:rsidRPr="002C1FE5" w:rsidRDefault="005F38A6" w:rsidP="006A7377">
            <w:pPr>
              <w:tabs>
                <w:tab w:val="left" w:pos="1066"/>
              </w:tabs>
              <w:ind w:right="49"/>
              <w:rPr>
                <w:noProof/>
              </w:rPr>
            </w:pPr>
            <w:r>
              <w:rPr>
                <w:noProof/>
              </w:rPr>
              <w:drawing>
                <wp:inline distT="0" distB="0" distL="0" distR="0" wp14:anchorId="2879F0B6" wp14:editId="7BAE982C">
                  <wp:extent cx="1799590" cy="1494155"/>
                  <wp:effectExtent l="0" t="0" r="0" b="0"/>
                  <wp:docPr id="43" name="Gráfico 43">
                    <a:extLst xmlns:a="http://schemas.openxmlformats.org/drawingml/2006/main">
                      <a:ext uri="{FF2B5EF4-FFF2-40B4-BE49-F238E27FC236}">
                        <a16:creationId xmlns:a16="http://schemas.microsoft.com/office/drawing/2014/main" id="{00000000-0008-0000-08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5F38A6" w:rsidRPr="002C1FE5" w14:paraId="313E507F" w14:textId="77777777" w:rsidTr="00B306EE">
        <w:trPr>
          <w:trHeight w:val="141"/>
          <w:jc w:val="center"/>
        </w:trPr>
        <w:tc>
          <w:tcPr>
            <w:tcW w:w="8891" w:type="dxa"/>
            <w:gridSpan w:val="3"/>
          </w:tcPr>
          <w:p w14:paraId="202B1E83" w14:textId="77777777" w:rsidR="005F38A6" w:rsidRPr="00B306EE" w:rsidRDefault="005F38A6" w:rsidP="006A7377">
            <w:pPr>
              <w:tabs>
                <w:tab w:val="left" w:pos="1066"/>
              </w:tabs>
              <w:ind w:right="49"/>
              <w:rPr>
                <w:sz w:val="16"/>
                <w:szCs w:val="16"/>
                <w:lang w:val="es-ES_tradnl" w:eastAsia="es-ES"/>
              </w:rPr>
            </w:pPr>
            <w:r w:rsidRPr="00B306EE">
              <w:rPr>
                <w:sz w:val="16"/>
                <w:szCs w:val="16"/>
                <w:lang w:val="es-ES_tradnl" w:eastAsia="es-ES"/>
              </w:rPr>
              <w:t xml:space="preserve">Fuente: </w:t>
            </w:r>
            <w:r w:rsidRPr="00B306EE">
              <w:rPr>
                <w:bCs/>
                <w:sz w:val="16"/>
                <w:szCs w:val="16"/>
                <w:lang w:val="es-ES_tradnl" w:eastAsia="es-ES"/>
              </w:rPr>
              <w:t>Ministerio de Finanzas Públicas</w:t>
            </w:r>
            <w:r w:rsidRPr="00B306EE">
              <w:rPr>
                <w:sz w:val="16"/>
                <w:szCs w:val="16"/>
                <w:lang w:val="es-ES_tradnl" w:eastAsia="es-ES"/>
              </w:rPr>
              <w:t xml:space="preserve"> y Banco de Guatemala</w:t>
            </w:r>
          </w:p>
        </w:tc>
      </w:tr>
    </w:tbl>
    <w:p w14:paraId="3EA2E7DC" w14:textId="77777777" w:rsidR="005F38A6" w:rsidRPr="002C1FE5" w:rsidRDefault="005F38A6" w:rsidP="005F38A6">
      <w:pPr>
        <w:jc w:val="both"/>
        <w:rPr>
          <w:bCs/>
          <w:color w:val="000000" w:themeColor="text1"/>
        </w:rPr>
      </w:pPr>
    </w:p>
    <w:p w14:paraId="0AA5C6F4" w14:textId="0209D8C0" w:rsidR="005F38A6" w:rsidRDefault="005F38A6" w:rsidP="005F38A6">
      <w:pPr>
        <w:jc w:val="both"/>
        <w:rPr>
          <w:bCs/>
          <w:color w:val="000000" w:themeColor="text1"/>
          <w:lang w:val="es-MX"/>
        </w:rPr>
      </w:pPr>
      <w:r w:rsidRPr="002C3D84">
        <w:rPr>
          <w:bCs/>
          <w:color w:val="000000" w:themeColor="text1"/>
          <w:lang w:val="es-MX"/>
        </w:rPr>
        <w:t xml:space="preserve">Conforme a las expectativas de las cuentas fiscales para </w:t>
      </w:r>
      <w:r>
        <w:rPr>
          <w:bCs/>
          <w:color w:val="000000" w:themeColor="text1"/>
          <w:lang w:val="es-MX"/>
        </w:rPr>
        <w:t>2023</w:t>
      </w:r>
      <w:r w:rsidRPr="002C3D84">
        <w:rPr>
          <w:bCs/>
          <w:color w:val="000000" w:themeColor="text1"/>
          <w:lang w:val="es-MX"/>
        </w:rPr>
        <w:t xml:space="preserve"> en Guatemala, se estima que los indicadores de vulnerabilidad del perfil de la deuda del Fondo Monetario Internacional se encuentren en niveles adecuados y no se observan riesgos importantes. El cambio de la deuda de corto plazo cercano al 0.0% reduce el riesgo de repago de deuda, la deuda externa como porcentaje del total en </w:t>
      </w:r>
      <w:r>
        <w:rPr>
          <w:bCs/>
          <w:color w:val="000000" w:themeColor="text1"/>
          <w:lang w:val="es-MX"/>
        </w:rPr>
        <w:t>41.</w:t>
      </w:r>
      <w:r w:rsidR="00357CAA">
        <w:rPr>
          <w:bCs/>
          <w:color w:val="000000" w:themeColor="text1"/>
          <w:lang w:val="es-MX"/>
        </w:rPr>
        <w:t>4</w:t>
      </w:r>
      <w:r w:rsidRPr="002C3D84">
        <w:rPr>
          <w:bCs/>
          <w:color w:val="000000" w:themeColor="text1"/>
          <w:lang w:val="es-MX"/>
        </w:rPr>
        <w:t xml:space="preserve">% con riesgo moderado, la deuda en moneda extranjera como porcentaje del total en </w:t>
      </w:r>
      <w:r>
        <w:rPr>
          <w:bCs/>
          <w:color w:val="000000" w:themeColor="text1"/>
          <w:lang w:val="es-MX"/>
        </w:rPr>
        <w:t>44.</w:t>
      </w:r>
      <w:r w:rsidR="00357CAA">
        <w:rPr>
          <w:bCs/>
          <w:color w:val="000000" w:themeColor="text1"/>
          <w:lang w:val="es-MX"/>
        </w:rPr>
        <w:t>0</w:t>
      </w:r>
      <w:r w:rsidRPr="002C3D84">
        <w:rPr>
          <w:bCs/>
          <w:color w:val="000000" w:themeColor="text1"/>
          <w:lang w:val="es-MX"/>
        </w:rPr>
        <w:t xml:space="preserve">% se mantiene en niveles adecuados, el indicador deuda/PIB </w:t>
      </w:r>
      <w:r w:rsidRPr="002C3D84">
        <w:rPr>
          <w:bCs/>
          <w:color w:val="000000" w:themeColor="text1"/>
          <w:lang w:val="es-MX"/>
        </w:rPr>
        <w:lastRenderedPageBreak/>
        <w:t xml:space="preserve">en </w:t>
      </w:r>
      <w:r>
        <w:rPr>
          <w:bCs/>
          <w:color w:val="000000" w:themeColor="text1"/>
          <w:lang w:val="es-MX"/>
        </w:rPr>
        <w:t>28.</w:t>
      </w:r>
      <w:r w:rsidR="00357CAA">
        <w:rPr>
          <w:bCs/>
          <w:color w:val="000000" w:themeColor="text1"/>
          <w:lang w:val="es-MX"/>
        </w:rPr>
        <w:t>4</w:t>
      </w:r>
      <w:r w:rsidRPr="002C3D84">
        <w:rPr>
          <w:bCs/>
          <w:color w:val="000000" w:themeColor="text1"/>
          <w:lang w:val="es-MX"/>
        </w:rPr>
        <w:t xml:space="preserve">% muy por abajo del máximo recomendado y el EMBI (Indicador de Bonos de Mercados Emergentes por sus siglas en inglés) al </w:t>
      </w:r>
      <w:r>
        <w:rPr>
          <w:bCs/>
          <w:color w:val="000000" w:themeColor="text1"/>
          <w:lang w:val="es-MX"/>
        </w:rPr>
        <w:t>31</w:t>
      </w:r>
      <w:r w:rsidRPr="002C3D84">
        <w:rPr>
          <w:bCs/>
          <w:color w:val="000000" w:themeColor="text1"/>
          <w:lang w:val="es-MX"/>
        </w:rPr>
        <w:t xml:space="preserve"> de </w:t>
      </w:r>
      <w:r>
        <w:rPr>
          <w:bCs/>
          <w:color w:val="000000" w:themeColor="text1"/>
          <w:lang w:val="es-MX"/>
        </w:rPr>
        <w:t>julio</w:t>
      </w:r>
      <w:r w:rsidRPr="002C3D84">
        <w:rPr>
          <w:bCs/>
          <w:color w:val="000000" w:themeColor="text1"/>
          <w:lang w:val="es-MX"/>
        </w:rPr>
        <w:t xml:space="preserve"> de </w:t>
      </w:r>
      <w:r>
        <w:rPr>
          <w:bCs/>
          <w:color w:val="000000" w:themeColor="text1"/>
          <w:lang w:val="es-MX"/>
        </w:rPr>
        <w:t>2023</w:t>
      </w:r>
      <w:r w:rsidRPr="002C3D84">
        <w:rPr>
          <w:bCs/>
          <w:color w:val="000000" w:themeColor="text1"/>
          <w:lang w:val="es-MX"/>
        </w:rPr>
        <w:t xml:space="preserve"> se ubicó en </w:t>
      </w:r>
      <w:r>
        <w:rPr>
          <w:bCs/>
          <w:color w:val="000000" w:themeColor="text1"/>
          <w:lang w:val="es-MX"/>
        </w:rPr>
        <w:t>220</w:t>
      </w:r>
      <w:r w:rsidRPr="002C3D84">
        <w:rPr>
          <w:bCs/>
          <w:color w:val="000000" w:themeColor="text1"/>
          <w:lang w:val="es-MX"/>
        </w:rPr>
        <w:t xml:space="preserve"> puntos básicos, también muestra un riesgo bastante moderado.</w:t>
      </w:r>
    </w:p>
    <w:p w14:paraId="14CE44ED" w14:textId="77777777" w:rsidR="005F38A6" w:rsidRDefault="005F38A6" w:rsidP="005F38A6">
      <w:pPr>
        <w:jc w:val="both"/>
        <w:rPr>
          <w:bCs/>
          <w:color w:val="000000" w:themeColor="text1"/>
          <w:lang w:val="es-MX"/>
        </w:rPr>
      </w:pPr>
    </w:p>
    <w:tbl>
      <w:tblPr>
        <w:tblW w:w="0" w:type="auto"/>
        <w:tblInd w:w="567" w:type="dxa"/>
        <w:tblLook w:val="04A0" w:firstRow="1" w:lastRow="0" w:firstColumn="1" w:lastColumn="0" w:noHBand="0" w:noVBand="1"/>
      </w:tblPr>
      <w:tblGrid>
        <w:gridCol w:w="8271"/>
      </w:tblGrid>
      <w:tr w:rsidR="005F38A6" w:rsidRPr="004A12A1" w14:paraId="0025DEFD" w14:textId="77777777" w:rsidTr="006A7377">
        <w:trPr>
          <w:trHeight w:val="233"/>
        </w:trPr>
        <w:tc>
          <w:tcPr>
            <w:tcW w:w="8271" w:type="dxa"/>
          </w:tcPr>
          <w:p w14:paraId="4836FA1C" w14:textId="2B2764A9" w:rsidR="005F38A6" w:rsidRPr="004A12A1" w:rsidRDefault="00B306EE" w:rsidP="00B306EE">
            <w:pPr>
              <w:pStyle w:val="Descripcin"/>
              <w:rPr>
                <w:b w:val="0"/>
                <w:bCs/>
              </w:rPr>
            </w:pPr>
            <w:bookmarkStart w:id="271" w:name="_Toc143593591"/>
            <w:r w:rsidRPr="00B306EE">
              <w:rPr>
                <w:color w:val="auto"/>
              </w:rPr>
              <w:t xml:space="preserve">Gráfico </w:t>
            </w:r>
            <w:r w:rsidRPr="00B306EE">
              <w:rPr>
                <w:color w:val="auto"/>
              </w:rPr>
              <w:fldChar w:fldCharType="begin"/>
            </w:r>
            <w:r w:rsidRPr="00B306EE">
              <w:rPr>
                <w:color w:val="auto"/>
              </w:rPr>
              <w:instrText xml:space="preserve"> SEQ Gráfico \* ARABIC </w:instrText>
            </w:r>
            <w:r w:rsidRPr="00B306EE">
              <w:rPr>
                <w:color w:val="auto"/>
              </w:rPr>
              <w:fldChar w:fldCharType="separate"/>
            </w:r>
            <w:r w:rsidR="00A62AFA">
              <w:rPr>
                <w:noProof/>
                <w:color w:val="auto"/>
              </w:rPr>
              <w:t>33</w:t>
            </w:r>
            <w:r w:rsidRPr="00B306EE">
              <w:rPr>
                <w:color w:val="auto"/>
              </w:rPr>
              <w:fldChar w:fldCharType="end"/>
            </w:r>
            <w:r w:rsidRPr="00B306EE">
              <w:rPr>
                <w:color w:val="auto"/>
              </w:rPr>
              <w:t xml:space="preserve">. </w:t>
            </w:r>
            <w:bookmarkStart w:id="272" w:name="_Toc114493874"/>
            <w:r w:rsidRPr="00B306EE">
              <w:rPr>
                <w:bCs/>
                <w:color w:val="auto"/>
              </w:rPr>
              <w:t xml:space="preserve">Vulnerabilidad del Perfil de la Deuda Pública de Guatemala para </w:t>
            </w:r>
            <w:bookmarkEnd w:id="272"/>
            <w:r w:rsidRPr="00B306EE">
              <w:rPr>
                <w:bCs/>
                <w:noProof/>
                <w:color w:val="auto"/>
              </w:rPr>
              <w:t>2023</w:t>
            </w:r>
            <w:bookmarkEnd w:id="271"/>
          </w:p>
        </w:tc>
      </w:tr>
      <w:tr w:rsidR="005F38A6" w:rsidRPr="002846D1" w14:paraId="354874CF" w14:textId="77777777" w:rsidTr="00357CAA">
        <w:tblPrEx>
          <w:tblCellMar>
            <w:left w:w="70" w:type="dxa"/>
            <w:right w:w="70" w:type="dxa"/>
          </w:tblCellMar>
        </w:tblPrEx>
        <w:trPr>
          <w:trHeight w:val="2853"/>
        </w:trPr>
        <w:tc>
          <w:tcPr>
            <w:tcW w:w="8271" w:type="dxa"/>
          </w:tcPr>
          <w:p w14:paraId="47E84915" w14:textId="32FA1F4D" w:rsidR="005F38A6" w:rsidRPr="002846D1" w:rsidRDefault="00357CAA" w:rsidP="006A7377">
            <w:pPr>
              <w:ind w:right="49"/>
              <w:rPr>
                <w:lang w:val="es-MX"/>
              </w:rPr>
            </w:pPr>
            <w:r>
              <w:rPr>
                <w:noProof/>
              </w:rPr>
              <w:drawing>
                <wp:inline distT="0" distB="0" distL="0" distR="0" wp14:anchorId="408F8D1D" wp14:editId="5E255797">
                  <wp:extent cx="5020062" cy="2360180"/>
                  <wp:effectExtent l="0" t="0" r="0" b="2540"/>
                  <wp:docPr id="1889938854" name="Imagen 43">
                    <a:extLst xmlns:a="http://schemas.openxmlformats.org/drawingml/2006/main">
                      <a:ext uri="{FF2B5EF4-FFF2-40B4-BE49-F238E27FC236}">
                        <a16:creationId xmlns:a16="http://schemas.microsoft.com/office/drawing/2014/main" id="{00000000-0008-0000-0800-00002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a16="http://schemas.microsoft.com/office/drawing/2014/main" id="{00000000-0008-0000-0800-00002C000000}"/>
                              </a:ext>
                            </a:extLst>
                          </pic:cNvPr>
                          <pic:cNvPicPr>
                            <a:picLocks noChangeAspect="1" noChangeArrowheads="1"/>
                            <a:extLst>
                              <a:ext uri="{84589F7E-364E-4C9E-8A38-B11213B215E9}">
                                <a14:cameraTool xmlns:a14="http://schemas.microsoft.com/office/drawing/2010/main" cellRange="'Output-Riesgo'!$B$110:$Q$136" spid="_x0000_s167164"/>
                              </a:ext>
                            </a:extLst>
                          </pic:cNvPicPr>
                        </pic:nvPicPr>
                        <pic:blipFill>
                          <a:blip r:embed="rId87"/>
                          <a:srcRect/>
                          <a:stretch>
                            <a:fillRect/>
                          </a:stretch>
                        </pic:blipFill>
                        <pic:spPr bwMode="auto">
                          <a:xfrm>
                            <a:off x="0" y="0"/>
                            <a:ext cx="5020062" cy="23601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5F38A6" w:rsidRPr="002846D1" w14:paraId="5DC49B1D" w14:textId="77777777" w:rsidTr="006A7377">
        <w:trPr>
          <w:trHeight w:val="311"/>
        </w:trPr>
        <w:tc>
          <w:tcPr>
            <w:tcW w:w="8271" w:type="dxa"/>
          </w:tcPr>
          <w:p w14:paraId="37B60AAF" w14:textId="77777777" w:rsidR="005F38A6" w:rsidRPr="00462B5B" w:rsidRDefault="005F38A6" w:rsidP="006A7377">
            <w:pPr>
              <w:ind w:right="49"/>
              <w:rPr>
                <w:sz w:val="16"/>
                <w:szCs w:val="22"/>
              </w:rPr>
            </w:pPr>
            <w:r w:rsidRPr="002846D1">
              <w:rPr>
                <w:sz w:val="16"/>
                <w:szCs w:val="22"/>
              </w:rPr>
              <w:t xml:space="preserve">Fuente: </w:t>
            </w:r>
            <w:r w:rsidRPr="002846D1">
              <w:rPr>
                <w:bCs/>
                <w:sz w:val="16"/>
                <w:szCs w:val="11"/>
              </w:rPr>
              <w:t>Ministerio de Finanzas Públicas</w:t>
            </w:r>
            <w:r w:rsidRPr="002846D1">
              <w:rPr>
                <w:sz w:val="16"/>
                <w:szCs w:val="22"/>
              </w:rPr>
              <w:t xml:space="preserve"> con información proyectada para </w:t>
            </w:r>
            <w:r w:rsidRPr="00501FE4">
              <w:rPr>
                <w:noProof/>
                <w:sz w:val="16"/>
                <w:szCs w:val="22"/>
              </w:rPr>
              <w:t>2022</w:t>
            </w:r>
            <w:r w:rsidRPr="002846D1">
              <w:rPr>
                <w:sz w:val="16"/>
                <w:szCs w:val="22"/>
              </w:rPr>
              <w:t>, el indicador EMBI de JP Morgan se obtuvo del Banco Central de la República Dominicana</w:t>
            </w:r>
            <w:r>
              <w:rPr>
                <w:sz w:val="16"/>
                <w:szCs w:val="22"/>
              </w:rPr>
              <w:t xml:space="preserve"> y corresponde al 02 de agosto de 2022</w:t>
            </w:r>
            <w:r w:rsidRPr="002846D1">
              <w:rPr>
                <w:sz w:val="16"/>
                <w:szCs w:val="22"/>
              </w:rPr>
              <w:t>.</w:t>
            </w:r>
          </w:p>
        </w:tc>
      </w:tr>
    </w:tbl>
    <w:p w14:paraId="5A7F8292" w14:textId="77777777" w:rsidR="005F38A6" w:rsidRPr="002846D1" w:rsidRDefault="005F38A6" w:rsidP="005F38A6">
      <w:pPr>
        <w:rPr>
          <w:color w:val="1F3864" w:themeColor="accent1" w:themeShade="80"/>
          <w:lang w:val="es-MX"/>
        </w:rPr>
      </w:pPr>
    </w:p>
    <w:p w14:paraId="68C10F7A" w14:textId="77777777" w:rsidR="005F38A6" w:rsidRPr="009D188B" w:rsidRDefault="005F38A6" w:rsidP="007F19DF">
      <w:pPr>
        <w:pStyle w:val="Ttulo2"/>
        <w:numPr>
          <w:ilvl w:val="1"/>
          <w:numId w:val="35"/>
        </w:numPr>
        <w:ind w:left="426" w:hanging="284"/>
        <w:rPr>
          <w:bCs/>
        </w:rPr>
      </w:pPr>
      <w:bookmarkStart w:id="273" w:name="_Toc114495251"/>
      <w:bookmarkStart w:id="274" w:name="_Toc144114382"/>
      <w:r w:rsidRPr="009D188B">
        <w:rPr>
          <w:bCs/>
        </w:rPr>
        <w:t>Comparativo con otros países</w:t>
      </w:r>
      <w:bookmarkEnd w:id="273"/>
      <w:bookmarkEnd w:id="274"/>
    </w:p>
    <w:p w14:paraId="517B9F80" w14:textId="77777777" w:rsidR="005F38A6" w:rsidRPr="002846D1" w:rsidRDefault="005F38A6" w:rsidP="005F38A6">
      <w:pPr>
        <w:ind w:right="49"/>
        <w:jc w:val="both"/>
        <w:rPr>
          <w:lang w:val="es-MX"/>
        </w:rPr>
      </w:pPr>
    </w:p>
    <w:p w14:paraId="0EA2C5B9" w14:textId="77777777" w:rsidR="005F38A6" w:rsidRDefault="005F38A6" w:rsidP="005F38A6">
      <w:pPr>
        <w:ind w:right="49"/>
        <w:jc w:val="both"/>
        <w:rPr>
          <w:rFonts w:eastAsiaTheme="minorHAnsi"/>
          <w:bCs/>
          <w:color w:val="000000" w:themeColor="text1"/>
          <w:lang w:val="es-MX"/>
        </w:rPr>
      </w:pPr>
      <w:r w:rsidRPr="002C3D84">
        <w:rPr>
          <w:rFonts w:eastAsiaTheme="minorHAnsi"/>
          <w:bCs/>
          <w:color w:val="000000" w:themeColor="text1"/>
          <w:lang w:val="es-MX"/>
        </w:rPr>
        <w:t xml:space="preserve">Para el </w:t>
      </w:r>
      <w:r>
        <w:rPr>
          <w:rFonts w:eastAsiaTheme="minorHAnsi"/>
          <w:bCs/>
          <w:color w:val="000000" w:themeColor="text1"/>
          <w:lang w:val="es-MX"/>
        </w:rPr>
        <w:t>2023</w:t>
      </w:r>
      <w:r w:rsidRPr="002C3D84">
        <w:rPr>
          <w:rFonts w:eastAsiaTheme="minorHAnsi"/>
          <w:bCs/>
          <w:color w:val="000000" w:themeColor="text1"/>
          <w:lang w:val="es-MX"/>
        </w:rPr>
        <w:t xml:space="preserve">, se espera que el indicador deuda/PIB para las economías avanzadas disminuya levemente mientras estos países busquen la consolidación fiscal, </w:t>
      </w:r>
      <w:r>
        <w:rPr>
          <w:rFonts w:eastAsiaTheme="minorHAnsi"/>
          <w:bCs/>
          <w:color w:val="000000" w:themeColor="text1"/>
          <w:lang w:val="es-MX"/>
        </w:rPr>
        <w:t>después de las</w:t>
      </w:r>
      <w:r w:rsidRPr="002C3D84">
        <w:rPr>
          <w:rFonts w:eastAsiaTheme="minorHAnsi"/>
          <w:bCs/>
          <w:color w:val="000000" w:themeColor="text1"/>
          <w:lang w:val="es-MX"/>
        </w:rPr>
        <w:t xml:space="preserve"> presiones de gasto </w:t>
      </w:r>
      <w:r>
        <w:rPr>
          <w:rFonts w:eastAsiaTheme="minorHAnsi"/>
          <w:bCs/>
          <w:color w:val="000000" w:themeColor="text1"/>
          <w:lang w:val="es-MX"/>
        </w:rPr>
        <w:t>que surgieron el año anterior</w:t>
      </w:r>
      <w:r w:rsidRPr="002C3D84">
        <w:rPr>
          <w:rFonts w:eastAsiaTheme="minorHAnsi"/>
          <w:bCs/>
          <w:color w:val="000000" w:themeColor="text1"/>
          <w:lang w:val="es-MX"/>
        </w:rPr>
        <w:t xml:space="preserve"> para mitigar los efectos económicos del alza de precio de las materias prima de agricultura y energía por la guerra de Ucrania y Rusia. En el caso de Estados Unidos, se espera que su deuda como proporción del PIB sea de </w:t>
      </w:r>
      <w:r>
        <w:rPr>
          <w:rFonts w:eastAsiaTheme="minorHAnsi"/>
          <w:bCs/>
          <w:color w:val="000000" w:themeColor="text1"/>
          <w:lang w:val="es-MX"/>
        </w:rPr>
        <w:t>122.2</w:t>
      </w:r>
      <w:r w:rsidRPr="002C3D84">
        <w:rPr>
          <w:rFonts w:eastAsiaTheme="minorHAnsi"/>
          <w:bCs/>
          <w:color w:val="000000" w:themeColor="text1"/>
          <w:lang w:val="es-MX"/>
        </w:rPr>
        <w:t xml:space="preserve">% y para Latinoamérica y el Caribe de </w:t>
      </w:r>
      <w:r>
        <w:rPr>
          <w:rFonts w:eastAsiaTheme="minorHAnsi"/>
          <w:bCs/>
          <w:color w:val="000000" w:themeColor="text1"/>
          <w:lang w:val="es-MX"/>
        </w:rPr>
        <w:t>68.2</w:t>
      </w:r>
      <w:r w:rsidRPr="002C3D84">
        <w:rPr>
          <w:rFonts w:eastAsiaTheme="minorHAnsi"/>
          <w:bCs/>
          <w:color w:val="000000" w:themeColor="text1"/>
          <w:lang w:val="es-MX"/>
        </w:rPr>
        <w:t>%.</w:t>
      </w:r>
    </w:p>
    <w:p w14:paraId="158803FB" w14:textId="77777777" w:rsidR="005F38A6" w:rsidRPr="0099727E" w:rsidRDefault="005F38A6" w:rsidP="005F38A6">
      <w:pPr>
        <w:ind w:right="49"/>
        <w:jc w:val="both"/>
        <w:rPr>
          <w:lang w:val="es-MX"/>
        </w:rPr>
      </w:pPr>
    </w:p>
    <w:tbl>
      <w:tblPr>
        <w:tblW w:w="9107" w:type="dxa"/>
        <w:jc w:val="center"/>
        <w:tblCellMar>
          <w:left w:w="70" w:type="dxa"/>
          <w:right w:w="70" w:type="dxa"/>
        </w:tblCellMar>
        <w:tblLook w:val="04A0" w:firstRow="1" w:lastRow="0" w:firstColumn="1" w:lastColumn="0" w:noHBand="0" w:noVBand="1"/>
      </w:tblPr>
      <w:tblGrid>
        <w:gridCol w:w="9107"/>
      </w:tblGrid>
      <w:tr w:rsidR="005F38A6" w:rsidRPr="0099727E" w14:paraId="0390AD19" w14:textId="77777777" w:rsidTr="006A7377">
        <w:trPr>
          <w:trHeight w:val="97"/>
          <w:jc w:val="center"/>
        </w:trPr>
        <w:tc>
          <w:tcPr>
            <w:tcW w:w="9107" w:type="dxa"/>
          </w:tcPr>
          <w:p w14:paraId="1E0D6963" w14:textId="3E17415C" w:rsidR="005F38A6" w:rsidRPr="004A12A1" w:rsidRDefault="00B306EE" w:rsidP="00B306EE">
            <w:pPr>
              <w:pStyle w:val="Descripcin"/>
              <w:rPr>
                <w:b w:val="0"/>
                <w:bCs/>
              </w:rPr>
            </w:pPr>
            <w:bookmarkStart w:id="275" w:name="_Toc143593592"/>
            <w:r w:rsidRPr="00B306EE">
              <w:rPr>
                <w:color w:val="auto"/>
              </w:rPr>
              <w:t xml:space="preserve">Gráfico </w:t>
            </w:r>
            <w:r w:rsidRPr="00B306EE">
              <w:rPr>
                <w:color w:val="auto"/>
              </w:rPr>
              <w:fldChar w:fldCharType="begin"/>
            </w:r>
            <w:r w:rsidRPr="00B306EE">
              <w:rPr>
                <w:color w:val="auto"/>
              </w:rPr>
              <w:instrText xml:space="preserve"> SEQ Gráfico \* ARABIC </w:instrText>
            </w:r>
            <w:r w:rsidRPr="00B306EE">
              <w:rPr>
                <w:color w:val="auto"/>
              </w:rPr>
              <w:fldChar w:fldCharType="separate"/>
            </w:r>
            <w:r w:rsidR="00A62AFA">
              <w:rPr>
                <w:noProof/>
                <w:color w:val="auto"/>
              </w:rPr>
              <w:t>34</w:t>
            </w:r>
            <w:r w:rsidRPr="00B306EE">
              <w:rPr>
                <w:color w:val="auto"/>
              </w:rPr>
              <w:fldChar w:fldCharType="end"/>
            </w:r>
            <w:r w:rsidRPr="00B306EE">
              <w:rPr>
                <w:color w:val="auto"/>
              </w:rPr>
              <w:t xml:space="preserve">. </w:t>
            </w:r>
            <w:bookmarkStart w:id="276" w:name="_Toc114493875"/>
            <w:r w:rsidRPr="00B306EE">
              <w:rPr>
                <w:bCs/>
                <w:color w:val="auto"/>
              </w:rPr>
              <w:t>Indicador Deuda /PIB para países seleccionados</w:t>
            </w:r>
            <w:bookmarkEnd w:id="275"/>
            <w:bookmarkEnd w:id="276"/>
          </w:p>
        </w:tc>
      </w:tr>
      <w:tr w:rsidR="005F38A6" w:rsidRPr="0099727E" w14:paraId="0D927E91" w14:textId="77777777" w:rsidTr="006A7377">
        <w:trPr>
          <w:trHeight w:val="2751"/>
          <w:jc w:val="center"/>
        </w:trPr>
        <w:tc>
          <w:tcPr>
            <w:tcW w:w="9107" w:type="dxa"/>
          </w:tcPr>
          <w:p w14:paraId="604D390D" w14:textId="77777777" w:rsidR="005F38A6" w:rsidRPr="0099727E" w:rsidRDefault="005F38A6" w:rsidP="006A7377">
            <w:pPr>
              <w:keepNext/>
              <w:ind w:right="49"/>
              <w:rPr>
                <w:noProof/>
              </w:rPr>
            </w:pPr>
            <w:r>
              <w:rPr>
                <w:noProof/>
              </w:rPr>
              <w:drawing>
                <wp:inline distT="0" distB="0" distL="0" distR="0" wp14:anchorId="19FF0BA1" wp14:editId="723CE1EB">
                  <wp:extent cx="5612130" cy="2033516"/>
                  <wp:effectExtent l="0" t="0" r="7620" b="5080"/>
                  <wp:docPr id="52" name="Gráfico 52">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99727E">
              <w:rPr>
                <w:noProof/>
              </w:rPr>
              <w:t xml:space="preserve">            </w:t>
            </w:r>
          </w:p>
        </w:tc>
      </w:tr>
      <w:tr w:rsidR="005F38A6" w:rsidRPr="0099727E" w14:paraId="1505BB4E" w14:textId="77777777" w:rsidTr="006A7377">
        <w:trPr>
          <w:trHeight w:val="135"/>
          <w:jc w:val="center"/>
        </w:trPr>
        <w:tc>
          <w:tcPr>
            <w:tcW w:w="9107" w:type="dxa"/>
          </w:tcPr>
          <w:p w14:paraId="480E4828" w14:textId="77777777" w:rsidR="005F38A6" w:rsidRPr="0099727E" w:rsidRDefault="005F38A6" w:rsidP="006A7377">
            <w:pPr>
              <w:ind w:right="49"/>
              <w:jc w:val="both"/>
              <w:rPr>
                <w:sz w:val="16"/>
                <w:szCs w:val="22"/>
              </w:rPr>
            </w:pPr>
            <w:r w:rsidRPr="0099727E">
              <w:rPr>
                <w:sz w:val="18"/>
                <w:szCs w:val="22"/>
              </w:rPr>
              <w:t xml:space="preserve">                   </w:t>
            </w:r>
            <w:r w:rsidRPr="0099727E">
              <w:rPr>
                <w:sz w:val="16"/>
                <w:szCs w:val="22"/>
              </w:rPr>
              <w:t>Fuente: FMI</w:t>
            </w:r>
            <w:r>
              <w:rPr>
                <w:sz w:val="16"/>
                <w:szCs w:val="22"/>
              </w:rPr>
              <w:t>, WEO</w:t>
            </w:r>
            <w:r w:rsidRPr="0099727E">
              <w:rPr>
                <w:sz w:val="16"/>
                <w:szCs w:val="22"/>
              </w:rPr>
              <w:t xml:space="preserve"> abril </w:t>
            </w:r>
            <w:r w:rsidRPr="00501FE4">
              <w:rPr>
                <w:noProof/>
                <w:sz w:val="16"/>
                <w:szCs w:val="22"/>
              </w:rPr>
              <w:t>2022</w:t>
            </w:r>
            <w:r w:rsidRPr="0099727E">
              <w:rPr>
                <w:sz w:val="16"/>
                <w:szCs w:val="22"/>
              </w:rPr>
              <w:t>, a excepción de Guatemala.</w:t>
            </w:r>
          </w:p>
          <w:p w14:paraId="66F30B4F" w14:textId="77777777" w:rsidR="005F38A6" w:rsidRPr="0099727E" w:rsidRDefault="005F38A6" w:rsidP="006A7377">
            <w:pPr>
              <w:ind w:right="49"/>
              <w:jc w:val="both"/>
              <w:rPr>
                <w:sz w:val="18"/>
                <w:szCs w:val="22"/>
              </w:rPr>
            </w:pPr>
            <w:r w:rsidRPr="0099727E">
              <w:rPr>
                <w:sz w:val="16"/>
                <w:szCs w:val="22"/>
              </w:rPr>
              <w:t xml:space="preserve">                    </w:t>
            </w:r>
            <w:r>
              <w:rPr>
                <w:sz w:val="16"/>
                <w:szCs w:val="22"/>
              </w:rPr>
              <w:t xml:space="preserve"> </w:t>
            </w:r>
          </w:p>
        </w:tc>
      </w:tr>
    </w:tbl>
    <w:p w14:paraId="17EF5E81" w14:textId="13E8312C" w:rsidR="005F38A6" w:rsidRPr="00152989" w:rsidRDefault="005F38A6" w:rsidP="005F38A6">
      <w:pPr>
        <w:ind w:right="49"/>
        <w:jc w:val="both"/>
        <w:rPr>
          <w:rFonts w:eastAsiaTheme="minorHAnsi"/>
          <w:bCs/>
          <w:color w:val="000000" w:themeColor="text1"/>
          <w:lang w:val="es-MX"/>
        </w:rPr>
      </w:pPr>
      <w:r w:rsidRPr="00152989">
        <w:rPr>
          <w:rFonts w:eastAsiaTheme="minorHAnsi"/>
          <w:bCs/>
          <w:color w:val="000000" w:themeColor="text1"/>
          <w:lang w:val="es-MX"/>
        </w:rPr>
        <w:t xml:space="preserve">Según la información presentada por el Fondo Monetario Internacional en su base de datos de Perspectivas Económicas de abril 2023, Guatemala tiene una de las deudas públicas más </w:t>
      </w:r>
      <w:r w:rsidRPr="00152989">
        <w:rPr>
          <w:rFonts w:eastAsiaTheme="minorHAnsi"/>
          <w:bCs/>
          <w:color w:val="000000" w:themeColor="text1"/>
          <w:lang w:val="es-MX"/>
        </w:rPr>
        <w:lastRenderedPageBreak/>
        <w:t>bajas en Latinoamérica en relación con el PIB. Para 2023, la relación deuda/PIB de Guatemala se proyecta en 28.</w:t>
      </w:r>
      <w:r w:rsidR="00AD6A7D">
        <w:rPr>
          <w:rFonts w:eastAsiaTheme="minorHAnsi"/>
          <w:bCs/>
          <w:color w:val="000000" w:themeColor="text1"/>
          <w:lang w:val="es-MX"/>
        </w:rPr>
        <w:t>4</w:t>
      </w:r>
      <w:r w:rsidRPr="00152989">
        <w:rPr>
          <w:rFonts w:eastAsiaTheme="minorHAnsi"/>
          <w:bCs/>
          <w:color w:val="000000" w:themeColor="text1"/>
          <w:lang w:val="es-MX"/>
        </w:rPr>
        <w:t xml:space="preserve"> %, mientras que el promedio de Latinoamérica, sin considerar a Venezuela, se prevé en 57.7%. Para 2023 los valores más altos de este indicador serán para Brasil (88.4%), Bolivia (82.3%), Argentina (76.3%) y El Salvador (76.1%). Entre los países más conservadores en su relación deuda/PIB, sin considerar Haití por ser un país pobre altamente endeudado (HIPC por sus siglas en inglés) con condiciones de financiamiento diferentes, se encuentran Guatemala (28.</w:t>
      </w:r>
      <w:r w:rsidR="001158BC">
        <w:rPr>
          <w:rFonts w:eastAsiaTheme="minorHAnsi"/>
          <w:bCs/>
          <w:color w:val="000000" w:themeColor="text1"/>
          <w:lang w:val="es-MX"/>
        </w:rPr>
        <w:t>4</w:t>
      </w:r>
      <w:r w:rsidRPr="00152989">
        <w:rPr>
          <w:rFonts w:eastAsiaTheme="minorHAnsi"/>
          <w:bCs/>
          <w:color w:val="000000" w:themeColor="text1"/>
          <w:lang w:val="es-MX"/>
        </w:rPr>
        <w:t xml:space="preserve">%); Perú (33.0%), Chile (36.6%); y Paraguay (40.4%). </w:t>
      </w:r>
    </w:p>
    <w:p w14:paraId="5509330F" w14:textId="77777777" w:rsidR="005F38A6" w:rsidRPr="0099727E" w:rsidRDefault="005F38A6" w:rsidP="005F38A6">
      <w:pPr>
        <w:ind w:right="49"/>
        <w:jc w:val="both"/>
        <w:rPr>
          <w:lang w:val="es-MX"/>
        </w:rPr>
      </w:pPr>
    </w:p>
    <w:tbl>
      <w:tblPr>
        <w:tblW w:w="9915" w:type="dxa"/>
        <w:jc w:val="center"/>
        <w:tblCellMar>
          <w:left w:w="70" w:type="dxa"/>
          <w:right w:w="70" w:type="dxa"/>
        </w:tblCellMar>
        <w:tblLook w:val="04A0" w:firstRow="1" w:lastRow="0" w:firstColumn="1" w:lastColumn="0" w:noHBand="0" w:noVBand="1"/>
      </w:tblPr>
      <w:tblGrid>
        <w:gridCol w:w="9915"/>
      </w:tblGrid>
      <w:tr w:rsidR="005F38A6" w:rsidRPr="007D3A46" w14:paraId="4A7D394B" w14:textId="77777777" w:rsidTr="006A7377">
        <w:trPr>
          <w:trHeight w:val="102"/>
          <w:jc w:val="center"/>
        </w:trPr>
        <w:tc>
          <w:tcPr>
            <w:tcW w:w="9915" w:type="dxa"/>
          </w:tcPr>
          <w:p w14:paraId="5CF8A921" w14:textId="597FB171" w:rsidR="005F38A6" w:rsidRPr="004A12A1" w:rsidRDefault="00B306EE" w:rsidP="00B306EE">
            <w:pPr>
              <w:pStyle w:val="Descripcin"/>
              <w:rPr>
                <w:b w:val="0"/>
                <w:bCs/>
              </w:rPr>
            </w:pPr>
            <w:bookmarkStart w:id="277" w:name="_Toc143593593"/>
            <w:r w:rsidRPr="00B306EE">
              <w:rPr>
                <w:color w:val="auto"/>
              </w:rPr>
              <w:t xml:space="preserve">Gráfico </w:t>
            </w:r>
            <w:r w:rsidRPr="00B306EE">
              <w:rPr>
                <w:color w:val="auto"/>
              </w:rPr>
              <w:fldChar w:fldCharType="begin"/>
            </w:r>
            <w:r w:rsidRPr="00B306EE">
              <w:rPr>
                <w:color w:val="auto"/>
              </w:rPr>
              <w:instrText xml:space="preserve"> SEQ Gráfico \* ARABIC </w:instrText>
            </w:r>
            <w:r w:rsidRPr="00B306EE">
              <w:rPr>
                <w:color w:val="auto"/>
              </w:rPr>
              <w:fldChar w:fldCharType="separate"/>
            </w:r>
            <w:r w:rsidR="00A62AFA">
              <w:rPr>
                <w:noProof/>
                <w:color w:val="auto"/>
              </w:rPr>
              <w:t>35</w:t>
            </w:r>
            <w:r w:rsidRPr="00B306EE">
              <w:rPr>
                <w:color w:val="auto"/>
              </w:rPr>
              <w:fldChar w:fldCharType="end"/>
            </w:r>
            <w:r w:rsidRPr="00B306EE">
              <w:rPr>
                <w:color w:val="auto"/>
              </w:rPr>
              <w:t xml:space="preserve">. </w:t>
            </w:r>
            <w:bookmarkStart w:id="278" w:name="_Toc114493876"/>
            <w:r w:rsidRPr="00B306EE">
              <w:rPr>
                <w:bCs/>
                <w:color w:val="auto"/>
              </w:rPr>
              <w:t xml:space="preserve">Indicadores de deuda para Latinoamérica para </w:t>
            </w:r>
            <w:bookmarkEnd w:id="278"/>
            <w:r w:rsidRPr="00B306EE">
              <w:rPr>
                <w:bCs/>
                <w:color w:val="auto"/>
              </w:rPr>
              <w:t>2023</w:t>
            </w:r>
            <w:bookmarkEnd w:id="277"/>
          </w:p>
        </w:tc>
      </w:tr>
      <w:tr w:rsidR="005F38A6" w:rsidRPr="007D3A46" w14:paraId="7E6D24F8" w14:textId="77777777" w:rsidTr="006A7377">
        <w:trPr>
          <w:trHeight w:val="2881"/>
          <w:jc w:val="center"/>
        </w:trPr>
        <w:tc>
          <w:tcPr>
            <w:tcW w:w="9915" w:type="dxa"/>
          </w:tcPr>
          <w:p w14:paraId="410BD813" w14:textId="77777777" w:rsidR="005F38A6" w:rsidRPr="007D3A46" w:rsidRDefault="005F38A6" w:rsidP="00B306EE">
            <w:pPr>
              <w:keepNext/>
              <w:ind w:right="49"/>
              <w:jc w:val="center"/>
              <w:rPr>
                <w:noProof/>
              </w:rPr>
            </w:pPr>
            <w:r>
              <w:rPr>
                <w:noProof/>
              </w:rPr>
              <w:drawing>
                <wp:inline distT="0" distB="0" distL="0" distR="0" wp14:anchorId="578E078C" wp14:editId="1E5D7AAC">
                  <wp:extent cx="4942703" cy="2356021"/>
                  <wp:effectExtent l="0" t="0" r="0" b="6350"/>
                  <wp:docPr id="53" name="Gráfico 53">
                    <a:extLst xmlns:a="http://schemas.openxmlformats.org/drawingml/2006/main">
                      <a:ext uri="{FF2B5EF4-FFF2-40B4-BE49-F238E27FC236}">
                        <a16:creationId xmlns:a16="http://schemas.microsoft.com/office/drawing/2014/main" id="{00000000-0008-0000-08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5F38A6" w:rsidRPr="007D3A46" w14:paraId="3C5C4192" w14:textId="77777777" w:rsidTr="006A7377">
        <w:trPr>
          <w:trHeight w:val="143"/>
          <w:jc w:val="center"/>
        </w:trPr>
        <w:tc>
          <w:tcPr>
            <w:tcW w:w="9915" w:type="dxa"/>
          </w:tcPr>
          <w:p w14:paraId="3C3036A7" w14:textId="7570C155" w:rsidR="005F38A6" w:rsidRPr="007D3A46" w:rsidRDefault="005F38A6" w:rsidP="006A7377">
            <w:pPr>
              <w:ind w:right="49"/>
              <w:jc w:val="both"/>
              <w:rPr>
                <w:sz w:val="16"/>
                <w:szCs w:val="16"/>
                <w:lang w:val="es-ES"/>
              </w:rPr>
            </w:pPr>
            <w:r w:rsidRPr="007D3A46">
              <w:rPr>
                <w:sz w:val="18"/>
                <w:szCs w:val="22"/>
                <w:lang w:val="es-ES"/>
              </w:rPr>
              <w:t xml:space="preserve">                   </w:t>
            </w:r>
            <w:r w:rsidR="00B306EE">
              <w:rPr>
                <w:sz w:val="18"/>
                <w:szCs w:val="22"/>
                <w:lang w:val="es-ES"/>
              </w:rPr>
              <w:t xml:space="preserve">                          </w:t>
            </w:r>
            <w:r w:rsidRPr="007D3A46">
              <w:rPr>
                <w:sz w:val="16"/>
                <w:szCs w:val="16"/>
                <w:lang w:val="es-ES"/>
              </w:rPr>
              <w:t xml:space="preserve">Fuente: FMI, WEO de abril </w:t>
            </w:r>
            <w:r w:rsidRPr="007D3A46">
              <w:rPr>
                <w:noProof/>
                <w:sz w:val="16"/>
                <w:szCs w:val="16"/>
                <w:lang w:val="es-ES"/>
              </w:rPr>
              <w:t>2022</w:t>
            </w:r>
            <w:r w:rsidRPr="007D3A46">
              <w:rPr>
                <w:sz w:val="16"/>
                <w:szCs w:val="16"/>
                <w:lang w:val="es-ES"/>
              </w:rPr>
              <w:t>, a excepción de Guatemala.</w:t>
            </w:r>
          </w:p>
          <w:p w14:paraId="20AD888D" w14:textId="48B9FE71" w:rsidR="005F38A6" w:rsidRPr="007D3A46" w:rsidRDefault="005F38A6" w:rsidP="006A7377">
            <w:pPr>
              <w:ind w:right="49"/>
              <w:jc w:val="both"/>
              <w:rPr>
                <w:sz w:val="16"/>
                <w:szCs w:val="16"/>
                <w:lang w:val="es-ES"/>
              </w:rPr>
            </w:pPr>
            <w:r w:rsidRPr="007D3A46">
              <w:rPr>
                <w:sz w:val="16"/>
                <w:szCs w:val="16"/>
                <w:lang w:val="es-ES"/>
              </w:rPr>
              <w:t xml:space="preserve">                     </w:t>
            </w:r>
            <w:r w:rsidR="00B306EE">
              <w:rPr>
                <w:sz w:val="16"/>
                <w:szCs w:val="16"/>
                <w:lang w:val="es-ES"/>
              </w:rPr>
              <w:t xml:space="preserve">                              </w:t>
            </w:r>
            <w:r w:rsidRPr="007D3A46">
              <w:rPr>
                <w:sz w:val="16"/>
                <w:szCs w:val="16"/>
                <w:lang w:val="es-ES"/>
              </w:rPr>
              <w:t xml:space="preserve">Nota: Según proyecciones de cierre para </w:t>
            </w:r>
            <w:r w:rsidRPr="007D3A46">
              <w:rPr>
                <w:noProof/>
                <w:sz w:val="16"/>
                <w:szCs w:val="16"/>
                <w:lang w:val="es-ES"/>
              </w:rPr>
              <w:t>2022</w:t>
            </w:r>
            <w:r w:rsidRPr="007D3A46">
              <w:rPr>
                <w:sz w:val="16"/>
                <w:szCs w:val="16"/>
                <w:lang w:val="es-ES"/>
              </w:rPr>
              <w:t xml:space="preserve"> para cada país.</w:t>
            </w:r>
          </w:p>
        </w:tc>
      </w:tr>
    </w:tbl>
    <w:p w14:paraId="20B687F4" w14:textId="77777777" w:rsidR="00037E1D" w:rsidRDefault="00037E1D" w:rsidP="005F38A6">
      <w:pPr>
        <w:ind w:right="49"/>
        <w:jc w:val="both"/>
        <w:rPr>
          <w:rFonts w:eastAsiaTheme="minorHAnsi"/>
          <w:bCs/>
          <w:color w:val="000000" w:themeColor="text1"/>
          <w:lang w:val="es-MX"/>
        </w:rPr>
      </w:pPr>
    </w:p>
    <w:p w14:paraId="1B7E3F50" w14:textId="717B4297" w:rsidR="005F38A6" w:rsidRDefault="005F38A6" w:rsidP="005F38A6">
      <w:pPr>
        <w:ind w:right="49"/>
        <w:jc w:val="both"/>
        <w:rPr>
          <w:rFonts w:eastAsiaTheme="minorHAnsi"/>
          <w:bCs/>
          <w:color w:val="000000" w:themeColor="text1"/>
          <w:lang w:val="es-MX"/>
        </w:rPr>
      </w:pPr>
      <w:r w:rsidRPr="00152989">
        <w:rPr>
          <w:rFonts w:eastAsiaTheme="minorHAnsi"/>
          <w:bCs/>
          <w:color w:val="000000" w:themeColor="text1"/>
          <w:lang w:val="es-MX"/>
        </w:rPr>
        <w:t xml:space="preserve">Para 2023, según las proyecciones del Fondo Monetario Internacional, la relación deuda/ingresos fiscales estará en alrededor de 147.8 para Chile; 153.3% para Perú; 197.3% para Colombia; 297.1% para Bolivia; 304.3% para El Salvador; 392.3% para República Dominicana; y, 409.7% para Costa Rica, entre otros para Guatemala se espera que este indicador se encuentre en </w:t>
      </w:r>
      <w:r w:rsidR="0002461D">
        <w:rPr>
          <w:rFonts w:eastAsiaTheme="minorHAnsi"/>
          <w:bCs/>
          <w:color w:val="000000" w:themeColor="text1"/>
          <w:lang w:val="es-MX"/>
        </w:rPr>
        <w:t>230.6</w:t>
      </w:r>
      <w:r w:rsidRPr="00152989">
        <w:rPr>
          <w:rFonts w:eastAsiaTheme="minorHAnsi"/>
          <w:bCs/>
          <w:color w:val="000000" w:themeColor="text1"/>
          <w:lang w:val="es-MX"/>
        </w:rPr>
        <w:t>%.</w:t>
      </w:r>
    </w:p>
    <w:p w14:paraId="554FA046" w14:textId="77777777" w:rsidR="005F38A6" w:rsidRPr="00152989" w:rsidRDefault="005F38A6" w:rsidP="005F38A6">
      <w:pPr>
        <w:ind w:right="49"/>
        <w:jc w:val="both"/>
        <w:rPr>
          <w:rFonts w:eastAsiaTheme="minorHAnsi"/>
          <w:bCs/>
          <w:color w:val="000000" w:themeColor="text1"/>
          <w:lang w:val="es-MX"/>
        </w:rPr>
      </w:pPr>
    </w:p>
    <w:p w14:paraId="6AC490D1" w14:textId="77777777" w:rsidR="005F38A6" w:rsidRDefault="005F38A6" w:rsidP="005F38A6">
      <w:pPr>
        <w:jc w:val="both"/>
        <w:rPr>
          <w:bCs/>
          <w:color w:val="000000" w:themeColor="text1"/>
          <w:lang w:val="es-MX"/>
        </w:rPr>
      </w:pPr>
      <w:r w:rsidRPr="002C3D84">
        <w:rPr>
          <w:bCs/>
          <w:color w:val="000000" w:themeColor="text1"/>
          <w:lang w:val="es-MX"/>
        </w:rPr>
        <w:t>Otro indicador que muestra la percepción del riesgo de los inversionistas de la deuda de cada país es el EMBI (</w:t>
      </w:r>
      <w:proofErr w:type="spellStart"/>
      <w:r w:rsidRPr="002C3D84">
        <w:rPr>
          <w:bCs/>
          <w:color w:val="000000" w:themeColor="text1"/>
          <w:lang w:val="es-MX"/>
        </w:rPr>
        <w:t>Emerging</w:t>
      </w:r>
      <w:proofErr w:type="spellEnd"/>
      <w:r w:rsidRPr="002C3D84">
        <w:rPr>
          <w:bCs/>
          <w:color w:val="000000" w:themeColor="text1"/>
          <w:lang w:val="es-MX"/>
        </w:rPr>
        <w:t xml:space="preserve"> </w:t>
      </w:r>
      <w:proofErr w:type="spellStart"/>
      <w:r w:rsidRPr="002C3D84">
        <w:rPr>
          <w:bCs/>
          <w:color w:val="000000" w:themeColor="text1"/>
          <w:lang w:val="es-MX"/>
        </w:rPr>
        <w:t>Markets</w:t>
      </w:r>
      <w:proofErr w:type="spellEnd"/>
      <w:r w:rsidRPr="002C3D84">
        <w:rPr>
          <w:bCs/>
          <w:color w:val="000000" w:themeColor="text1"/>
          <w:lang w:val="es-MX"/>
        </w:rPr>
        <w:t xml:space="preserve"> Bonds </w:t>
      </w:r>
      <w:proofErr w:type="spellStart"/>
      <w:r w:rsidRPr="002C3D84">
        <w:rPr>
          <w:bCs/>
          <w:color w:val="000000" w:themeColor="text1"/>
          <w:lang w:val="es-MX"/>
        </w:rPr>
        <w:t>Index</w:t>
      </w:r>
      <w:proofErr w:type="spellEnd"/>
      <w:r w:rsidRPr="002C3D84">
        <w:rPr>
          <w:bCs/>
          <w:color w:val="000000" w:themeColor="text1"/>
          <w:lang w:val="es-MX"/>
        </w:rPr>
        <w:t xml:space="preserve"> o Indicador de Bonos de Mercados Emergentes) calculado por JP Morgan Chase y trata de medir la diferencia de tasa de interés que pagan los bonos denominados en dólares, emitidos por países en desarrollo, y los Bonos del Tesoro de EE. UU., que se consideran "libres" de riesgo.  </w:t>
      </w:r>
    </w:p>
    <w:p w14:paraId="11F497A4" w14:textId="77777777" w:rsidR="005F38A6" w:rsidRDefault="005F38A6" w:rsidP="005F38A6">
      <w:pPr>
        <w:jc w:val="both"/>
        <w:rPr>
          <w:bCs/>
          <w:color w:val="000000" w:themeColor="text1"/>
          <w:lang w:val="es-MX"/>
        </w:rPr>
      </w:pPr>
    </w:p>
    <w:p w14:paraId="6F6A2FD7" w14:textId="77777777" w:rsidR="005F38A6" w:rsidRPr="00152989" w:rsidRDefault="005F38A6" w:rsidP="005F38A6">
      <w:pPr>
        <w:jc w:val="both"/>
        <w:rPr>
          <w:bCs/>
          <w:color w:val="000000" w:themeColor="text1"/>
          <w:lang w:val="es-MX"/>
        </w:rPr>
      </w:pPr>
      <w:r w:rsidRPr="00152989">
        <w:rPr>
          <w:bCs/>
          <w:color w:val="000000" w:themeColor="text1"/>
          <w:lang w:val="es-MX"/>
        </w:rPr>
        <w:t>El EMBI para Guatemala fue de 220 puntos básicos al 31 de julio del 2023, el cual es menor en comparación de otros países de Latinoamérica, como lo es Argentina (1,982 pb); Ecuador (1,934 pb); El Salvador (935 pb); Bolivia (908 pb); Honduras (471 pb); México (354 pb), entre otros. Este indicador tiene incidencia directa sobre el costo financiero de la deuda de mercado lo que se puede ver reflejado en la baja tasa ponderada (5.25%) en la cual fueron colocados los Eurobonos para 2022, evidenciando el manejo prudente y responsable de las finanzas públicas por parte del gobierno y que contribuye a la estabilidad macroeconómica del país.</w:t>
      </w:r>
    </w:p>
    <w:p w14:paraId="57BA2CF6" w14:textId="77777777" w:rsidR="005F38A6" w:rsidRPr="00462B5B" w:rsidRDefault="005F38A6" w:rsidP="005F38A6">
      <w:pPr>
        <w:jc w:val="both"/>
        <w:rPr>
          <w:sz w:val="16"/>
          <w:lang w:val="es-MX"/>
        </w:rPr>
      </w:pPr>
    </w:p>
    <w:tbl>
      <w:tblPr>
        <w:tblpPr w:leftFromText="141" w:rightFromText="141" w:vertAnchor="text" w:horzAnchor="margin" w:tblpXSpec="center" w:tblpY="114"/>
        <w:tblW w:w="9043" w:type="dxa"/>
        <w:tblCellMar>
          <w:left w:w="70" w:type="dxa"/>
          <w:right w:w="70" w:type="dxa"/>
        </w:tblCellMar>
        <w:tblLook w:val="04A0" w:firstRow="1" w:lastRow="0" w:firstColumn="1" w:lastColumn="0" w:noHBand="0" w:noVBand="1"/>
      </w:tblPr>
      <w:tblGrid>
        <w:gridCol w:w="9110"/>
      </w:tblGrid>
      <w:tr w:rsidR="005F38A6" w:rsidRPr="0099727E" w14:paraId="11C522A3" w14:textId="77777777" w:rsidTr="006A7377">
        <w:trPr>
          <w:trHeight w:val="3557"/>
        </w:trPr>
        <w:tc>
          <w:tcPr>
            <w:tcW w:w="9043" w:type="dxa"/>
          </w:tcPr>
          <w:p w14:paraId="1C5BBBE7" w14:textId="6E4961DA" w:rsidR="005F38A6" w:rsidRPr="00B306EE" w:rsidRDefault="00B306EE" w:rsidP="00B306EE">
            <w:pPr>
              <w:pStyle w:val="Descripcin"/>
              <w:rPr>
                <w:b w:val="0"/>
                <w:bCs/>
                <w:color w:val="auto"/>
              </w:rPr>
            </w:pPr>
            <w:bookmarkStart w:id="279" w:name="_Toc143593594"/>
            <w:r w:rsidRPr="00B306EE">
              <w:rPr>
                <w:color w:val="auto"/>
              </w:rPr>
              <w:lastRenderedPageBreak/>
              <w:t xml:space="preserve">Gráfico </w:t>
            </w:r>
            <w:r w:rsidRPr="00B306EE">
              <w:rPr>
                <w:color w:val="auto"/>
              </w:rPr>
              <w:fldChar w:fldCharType="begin"/>
            </w:r>
            <w:r w:rsidRPr="00B306EE">
              <w:rPr>
                <w:color w:val="auto"/>
              </w:rPr>
              <w:instrText xml:space="preserve"> SEQ Gráfico \* ARABIC </w:instrText>
            </w:r>
            <w:r w:rsidRPr="00B306EE">
              <w:rPr>
                <w:color w:val="auto"/>
              </w:rPr>
              <w:fldChar w:fldCharType="separate"/>
            </w:r>
            <w:r w:rsidR="00A62AFA">
              <w:rPr>
                <w:noProof/>
                <w:color w:val="auto"/>
              </w:rPr>
              <w:t>36</w:t>
            </w:r>
            <w:r w:rsidRPr="00B306EE">
              <w:rPr>
                <w:color w:val="auto"/>
              </w:rPr>
              <w:fldChar w:fldCharType="end"/>
            </w:r>
            <w:r w:rsidRPr="00B306EE">
              <w:rPr>
                <w:color w:val="auto"/>
              </w:rPr>
              <w:t xml:space="preserve">.  </w:t>
            </w:r>
            <w:bookmarkStart w:id="280" w:name="_Toc114493878"/>
            <w:r w:rsidRPr="00B306EE">
              <w:rPr>
                <w:bCs/>
                <w:color w:val="auto"/>
              </w:rPr>
              <w:t>EMBI Calculado para Países de América Latina</w:t>
            </w:r>
            <w:bookmarkEnd w:id="279"/>
            <w:bookmarkEnd w:id="280"/>
          </w:p>
          <w:p w14:paraId="06443AEE" w14:textId="77777777" w:rsidR="005F38A6" w:rsidRPr="0099727E" w:rsidRDefault="005F38A6" w:rsidP="004A12A1">
            <w:pPr>
              <w:ind w:left="567" w:right="49"/>
              <w:jc w:val="center"/>
              <w:rPr>
                <w:sz w:val="22"/>
              </w:rPr>
            </w:pPr>
            <w:r w:rsidRPr="0099727E">
              <w:rPr>
                <w:sz w:val="22"/>
              </w:rPr>
              <w:t xml:space="preserve">Al </w:t>
            </w:r>
            <w:r>
              <w:rPr>
                <w:noProof/>
                <w:sz w:val="22"/>
              </w:rPr>
              <w:t>31</w:t>
            </w:r>
            <w:r w:rsidRPr="00501FE4">
              <w:rPr>
                <w:noProof/>
                <w:sz w:val="22"/>
              </w:rPr>
              <w:t xml:space="preserve"> de </w:t>
            </w:r>
            <w:r>
              <w:rPr>
                <w:noProof/>
                <w:sz w:val="22"/>
              </w:rPr>
              <w:t>julio</w:t>
            </w:r>
            <w:r>
              <w:rPr>
                <w:sz w:val="22"/>
              </w:rPr>
              <w:t xml:space="preserve"> </w:t>
            </w:r>
            <w:r w:rsidRPr="0099727E">
              <w:rPr>
                <w:sz w:val="22"/>
              </w:rPr>
              <w:t xml:space="preserve">de </w:t>
            </w:r>
            <w:r>
              <w:rPr>
                <w:noProof/>
                <w:sz w:val="22"/>
              </w:rPr>
              <w:t>2023</w:t>
            </w:r>
          </w:p>
          <w:p w14:paraId="373C7B28" w14:textId="0F42B1E2" w:rsidR="005F38A6" w:rsidRPr="0099727E" w:rsidRDefault="005F38A6" w:rsidP="004A12A1">
            <w:pPr>
              <w:ind w:left="567" w:right="49"/>
              <w:jc w:val="center"/>
              <w:rPr>
                <w:noProof/>
              </w:rPr>
            </w:pPr>
            <w:r w:rsidRPr="009701B8">
              <w:rPr>
                <w:sz w:val="22"/>
              </w:rPr>
              <w:t>Puntos básicos</w:t>
            </w:r>
            <w:r w:rsidRPr="0099727E">
              <w:rPr>
                <w:noProof/>
              </w:rPr>
              <w:t xml:space="preserve">   </w:t>
            </w:r>
            <w:r>
              <w:rPr>
                <w:noProof/>
              </w:rPr>
              <w:t xml:space="preserve"> </w:t>
            </w:r>
            <w:r>
              <w:rPr>
                <w:noProof/>
              </w:rPr>
              <w:drawing>
                <wp:inline distT="0" distB="0" distL="0" distR="0" wp14:anchorId="52F095A6" wp14:editId="0AAB243F">
                  <wp:extent cx="5304790" cy="2374710"/>
                  <wp:effectExtent l="0" t="0" r="0" b="6985"/>
                  <wp:docPr id="54" name="Gráfico 54">
                    <a:extLst xmlns:a="http://schemas.openxmlformats.org/drawingml/2006/main">
                      <a:ext uri="{FF2B5EF4-FFF2-40B4-BE49-F238E27FC236}">
                        <a16:creationId xmlns:a16="http://schemas.microsoft.com/office/drawing/2014/main" id="{00000000-0008-0000-0800-00002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64D86C6" w14:textId="77777777" w:rsidR="005F38A6" w:rsidRPr="00462B5B" w:rsidRDefault="005F38A6" w:rsidP="006A7377">
            <w:pPr>
              <w:ind w:left="567" w:right="49"/>
              <w:rPr>
                <w:sz w:val="16"/>
              </w:rPr>
            </w:pPr>
            <w:r w:rsidRPr="00462B5B">
              <w:rPr>
                <w:sz w:val="14"/>
                <w:szCs w:val="22"/>
              </w:rPr>
              <w:t xml:space="preserve">           </w:t>
            </w:r>
            <w:r w:rsidRPr="00462B5B">
              <w:rPr>
                <w:sz w:val="16"/>
              </w:rPr>
              <w:t xml:space="preserve">Fuente:  </w:t>
            </w:r>
            <w:r w:rsidRPr="00462B5B">
              <w:rPr>
                <w:bCs/>
                <w:sz w:val="16"/>
                <w:szCs w:val="13"/>
              </w:rPr>
              <w:t xml:space="preserve"> Ministerio de Finanzas Públicas</w:t>
            </w:r>
            <w:r w:rsidRPr="00462B5B">
              <w:rPr>
                <w:sz w:val="16"/>
              </w:rPr>
              <w:t xml:space="preserve"> con información de JP Morgan obtenida del Banco Central de </w:t>
            </w:r>
          </w:p>
          <w:p w14:paraId="0738313A" w14:textId="77777777" w:rsidR="005F38A6" w:rsidRPr="0099727E" w:rsidRDefault="005F38A6" w:rsidP="006A7377">
            <w:pPr>
              <w:ind w:left="567" w:right="49"/>
              <w:rPr>
                <w:sz w:val="16"/>
                <w:szCs w:val="22"/>
              </w:rPr>
            </w:pPr>
            <w:r w:rsidRPr="00462B5B">
              <w:rPr>
                <w:sz w:val="16"/>
              </w:rPr>
              <w:t xml:space="preserve">          República Dominicana</w:t>
            </w:r>
          </w:p>
        </w:tc>
      </w:tr>
    </w:tbl>
    <w:p w14:paraId="1C94B088" w14:textId="77777777" w:rsidR="0091174A" w:rsidRPr="0091174A" w:rsidRDefault="0091174A" w:rsidP="00037E1D">
      <w:pPr>
        <w:rPr>
          <w:b/>
          <w:bCs/>
        </w:rPr>
      </w:pPr>
      <w:bookmarkStart w:id="281" w:name="_Toc114495252"/>
    </w:p>
    <w:p w14:paraId="13CE3AFD" w14:textId="5EDF3A1E" w:rsidR="005F38A6" w:rsidRPr="00C36261" w:rsidRDefault="005F38A6" w:rsidP="007F19DF">
      <w:pPr>
        <w:pStyle w:val="Prrafodelista"/>
        <w:numPr>
          <w:ilvl w:val="0"/>
          <w:numId w:val="44"/>
        </w:numPr>
        <w:spacing w:line="259" w:lineRule="auto"/>
        <w:ind w:left="284" w:hanging="284"/>
        <w:jc w:val="both"/>
        <w:outlineLvl w:val="0"/>
        <w:rPr>
          <w:b/>
          <w:bCs/>
        </w:rPr>
      </w:pPr>
      <w:bookmarkStart w:id="282" w:name="_Toc144114383"/>
      <w:r w:rsidRPr="00C36261">
        <w:rPr>
          <w:b/>
          <w:bCs/>
        </w:rPr>
        <w:t>Análisis de Sostenibilidad de la Deuda</w:t>
      </w:r>
      <w:bookmarkEnd w:id="281"/>
      <w:bookmarkEnd w:id="282"/>
    </w:p>
    <w:p w14:paraId="69B9AB90" w14:textId="77777777" w:rsidR="005F38A6" w:rsidRPr="0099727E" w:rsidRDefault="005F38A6" w:rsidP="0060493C">
      <w:pPr>
        <w:rPr>
          <w:b/>
          <w:color w:val="FF0000"/>
          <w:sz w:val="18"/>
        </w:rPr>
      </w:pPr>
    </w:p>
    <w:p w14:paraId="12F7A13C" w14:textId="77777777" w:rsidR="005F38A6" w:rsidRPr="00A07BD4" w:rsidRDefault="005F38A6" w:rsidP="000E12CF">
      <w:pPr>
        <w:keepNext/>
        <w:numPr>
          <w:ilvl w:val="0"/>
          <w:numId w:val="8"/>
        </w:numPr>
        <w:ind w:right="49"/>
        <w:outlineLvl w:val="0"/>
        <w:rPr>
          <w:b/>
          <w:vanish/>
          <w:lang w:val="es-MX"/>
        </w:rPr>
      </w:pPr>
      <w:bookmarkStart w:id="283" w:name="_Toc110522933"/>
      <w:bookmarkStart w:id="284" w:name="_Toc114066633"/>
      <w:bookmarkStart w:id="285" w:name="_Toc114473955"/>
      <w:bookmarkStart w:id="286" w:name="_Toc114476002"/>
      <w:bookmarkStart w:id="287" w:name="_Toc114476109"/>
      <w:bookmarkStart w:id="288" w:name="_Toc114476194"/>
      <w:bookmarkStart w:id="289" w:name="_Toc114476261"/>
      <w:bookmarkStart w:id="290" w:name="_Toc114476335"/>
      <w:bookmarkStart w:id="291" w:name="_Toc114476401"/>
      <w:bookmarkStart w:id="292" w:name="_Toc114492487"/>
      <w:bookmarkStart w:id="293" w:name="_Toc114492688"/>
      <w:bookmarkStart w:id="294" w:name="_Toc114493798"/>
      <w:bookmarkStart w:id="295" w:name="_Toc114495253"/>
      <w:bookmarkStart w:id="296" w:name="_Toc143252209"/>
      <w:bookmarkStart w:id="297" w:name="_Toc143252353"/>
      <w:bookmarkStart w:id="298" w:name="_Toc143252495"/>
      <w:bookmarkStart w:id="299" w:name="_Toc143874025"/>
      <w:bookmarkStart w:id="300" w:name="_Toc143874170"/>
      <w:bookmarkStart w:id="301" w:name="_Toc144113936"/>
      <w:bookmarkStart w:id="302" w:name="_Toc144114094"/>
      <w:bookmarkStart w:id="303" w:name="_Toc144114240"/>
      <w:bookmarkStart w:id="304" w:name="_Toc144114384"/>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75250FE7" w14:textId="77777777" w:rsidR="00A01EB8" w:rsidRPr="00A01EB8" w:rsidRDefault="00A01EB8" w:rsidP="00A01EB8">
      <w:pPr>
        <w:pStyle w:val="Prrafodelista"/>
        <w:keepNext/>
        <w:widowControl w:val="0"/>
        <w:numPr>
          <w:ilvl w:val="0"/>
          <w:numId w:val="35"/>
        </w:numPr>
        <w:contextualSpacing w:val="0"/>
        <w:outlineLvl w:val="1"/>
        <w:rPr>
          <w:rFonts w:eastAsiaTheme="minorHAnsi"/>
          <w:b/>
          <w:bCs/>
          <w:vanish/>
          <w:color w:val="000000"/>
          <w:lang w:eastAsia="en-US"/>
        </w:rPr>
      </w:pPr>
      <w:bookmarkStart w:id="305" w:name="_Toc143252210"/>
      <w:bookmarkStart w:id="306" w:name="_Toc143252354"/>
      <w:bookmarkStart w:id="307" w:name="_Toc143252496"/>
      <w:bookmarkStart w:id="308" w:name="_Toc143874026"/>
      <w:bookmarkStart w:id="309" w:name="_Toc143874171"/>
      <w:bookmarkStart w:id="310" w:name="_Toc144113937"/>
      <w:bookmarkStart w:id="311" w:name="_Toc144114095"/>
      <w:bookmarkStart w:id="312" w:name="_Toc144114241"/>
      <w:bookmarkStart w:id="313" w:name="_Toc144114385"/>
      <w:bookmarkStart w:id="314" w:name="_Toc114495254"/>
      <w:bookmarkEnd w:id="305"/>
      <w:bookmarkEnd w:id="306"/>
      <w:bookmarkEnd w:id="307"/>
      <w:bookmarkEnd w:id="308"/>
      <w:bookmarkEnd w:id="309"/>
      <w:bookmarkEnd w:id="310"/>
      <w:bookmarkEnd w:id="311"/>
      <w:bookmarkEnd w:id="312"/>
      <w:bookmarkEnd w:id="313"/>
    </w:p>
    <w:p w14:paraId="40F1402E" w14:textId="78B09D34" w:rsidR="005F38A6" w:rsidRPr="009D188B" w:rsidRDefault="005F38A6" w:rsidP="007F19DF">
      <w:pPr>
        <w:pStyle w:val="Ttulo2"/>
        <w:numPr>
          <w:ilvl w:val="1"/>
          <w:numId w:val="35"/>
        </w:numPr>
        <w:ind w:left="567" w:hanging="425"/>
        <w:rPr>
          <w:bCs/>
        </w:rPr>
      </w:pPr>
      <w:bookmarkStart w:id="315" w:name="_Toc144114386"/>
      <w:r w:rsidRPr="009D188B">
        <w:rPr>
          <w:bCs/>
        </w:rPr>
        <w:t xml:space="preserve">Análisis de </w:t>
      </w:r>
      <w:r w:rsidR="00910096">
        <w:rPr>
          <w:bCs/>
        </w:rPr>
        <w:t>m</w:t>
      </w:r>
      <w:r w:rsidRPr="009D188B">
        <w:rPr>
          <w:bCs/>
        </w:rPr>
        <w:t xml:space="preserve">ediano </w:t>
      </w:r>
      <w:r w:rsidR="00910096">
        <w:rPr>
          <w:bCs/>
        </w:rPr>
        <w:t>p</w:t>
      </w:r>
      <w:r w:rsidRPr="009D188B">
        <w:rPr>
          <w:bCs/>
        </w:rPr>
        <w:t>lazo</w:t>
      </w:r>
      <w:bookmarkEnd w:id="314"/>
      <w:bookmarkEnd w:id="315"/>
    </w:p>
    <w:p w14:paraId="02380632" w14:textId="77777777" w:rsidR="005F38A6" w:rsidRPr="0099727E" w:rsidRDefault="005F38A6" w:rsidP="005F38A6">
      <w:pPr>
        <w:ind w:left="567" w:right="49"/>
        <w:jc w:val="both"/>
        <w:rPr>
          <w:color w:val="FF0000"/>
          <w:lang w:val="es-MX"/>
        </w:rPr>
      </w:pPr>
    </w:p>
    <w:p w14:paraId="3A526BB4" w14:textId="77777777" w:rsidR="005F38A6" w:rsidRPr="002C3D84" w:rsidRDefault="005F38A6" w:rsidP="005F38A6">
      <w:pPr>
        <w:jc w:val="both"/>
        <w:rPr>
          <w:bCs/>
          <w:color w:val="000000" w:themeColor="text1"/>
          <w:lang w:val="es-MX"/>
        </w:rPr>
      </w:pPr>
      <w:r w:rsidRPr="002C3D84">
        <w:rPr>
          <w:bCs/>
          <w:color w:val="000000" w:themeColor="text1"/>
          <w:lang w:val="es-MX"/>
        </w:rPr>
        <w:t xml:space="preserve">De acuerdo con el enfoque tradicional de acumulación de deuda, los cambios en la proporción deuda/PIB, son determinados por el diferencial entre el tipo de interés real implícito y la tasa de crecimiento del PIB, la variación del tipo de cambio, el saldo fiscal primario y los ajustes de flujos a stock, tales como el uso de recursos del gobierno en el Banco de Guatemala y el Pago de las Deficiencias Netas. Las simulaciones determinísticas sobre la trayectoria de las variables que integran una ecuación dan como resultado la proporción de deuda/PIB de referencia o acorde a los niveles de las variables consideradas en el análisis. </w:t>
      </w:r>
    </w:p>
    <w:p w14:paraId="06FAB36F" w14:textId="77777777" w:rsidR="005F38A6" w:rsidRPr="002C3D84" w:rsidRDefault="005F38A6" w:rsidP="005F38A6">
      <w:pPr>
        <w:jc w:val="both"/>
        <w:rPr>
          <w:bCs/>
          <w:color w:val="000000" w:themeColor="text1"/>
          <w:lang w:val="es-MX"/>
        </w:rPr>
      </w:pPr>
    </w:p>
    <w:p w14:paraId="5AC2680A" w14:textId="77777777" w:rsidR="005F38A6" w:rsidRPr="002C3D84" w:rsidRDefault="005F38A6" w:rsidP="005F38A6">
      <w:pPr>
        <w:jc w:val="both"/>
        <w:rPr>
          <w:lang w:val="es-MX"/>
        </w:rPr>
      </w:pPr>
      <w:r w:rsidRPr="002C3D84">
        <w:rPr>
          <w:bCs/>
          <w:color w:val="000000" w:themeColor="text1"/>
          <w:lang w:val="es-MX"/>
        </w:rPr>
        <w:t>Las previsiones macroeconómicas, financieras y fiscales preliminares</w:t>
      </w:r>
      <w:r w:rsidRPr="002C3D84">
        <w:rPr>
          <w:bCs/>
          <w:color w:val="000000" w:themeColor="text1"/>
          <w:vertAlign w:val="superscript"/>
          <w:lang w:val="es-MX"/>
        </w:rPr>
        <w:footnoteReference w:id="4"/>
      </w:r>
      <w:r w:rsidRPr="002C3D84">
        <w:rPr>
          <w:bCs/>
          <w:color w:val="000000" w:themeColor="text1"/>
          <w:lang w:val="es-MX"/>
        </w:rPr>
        <w:t xml:space="preserve"> dan como resultado la trayectoria base para </w:t>
      </w:r>
      <w:r>
        <w:rPr>
          <w:bCs/>
          <w:color w:val="000000" w:themeColor="text1"/>
          <w:lang w:val="es-MX"/>
        </w:rPr>
        <w:t>2023</w:t>
      </w:r>
      <w:r w:rsidRPr="002C3D84">
        <w:rPr>
          <w:bCs/>
          <w:color w:val="000000" w:themeColor="text1"/>
          <w:lang w:val="es-MX"/>
        </w:rPr>
        <w:t>-</w:t>
      </w:r>
      <w:r>
        <w:rPr>
          <w:bCs/>
          <w:color w:val="000000" w:themeColor="text1"/>
          <w:lang w:val="es-MX"/>
        </w:rPr>
        <w:t>2028</w:t>
      </w:r>
      <w:r w:rsidRPr="002C3D84">
        <w:rPr>
          <w:bCs/>
          <w:color w:val="000000" w:themeColor="text1"/>
          <w:lang w:val="es-MX"/>
        </w:rPr>
        <w:t>, utilizan para el efecto las previsiones</w:t>
      </w:r>
      <w:r w:rsidRPr="002C3D84">
        <w:rPr>
          <w:lang w:val="es-MX"/>
        </w:rPr>
        <w:t xml:space="preserve"> macroeconómicas y fiscales hasta </w:t>
      </w:r>
      <w:r>
        <w:rPr>
          <w:noProof/>
          <w:lang w:val="es-MX"/>
        </w:rPr>
        <w:t>2028</w:t>
      </w:r>
      <w:r w:rsidRPr="002C3D84">
        <w:rPr>
          <w:lang w:val="es-MX"/>
        </w:rPr>
        <w:t xml:space="preserve">, tomadas de </w:t>
      </w:r>
      <w:r>
        <w:rPr>
          <w:lang w:val="es-MX"/>
        </w:rPr>
        <w:t>la actualización de abril 2023</w:t>
      </w:r>
      <w:r w:rsidRPr="002C3D84">
        <w:rPr>
          <w:lang w:val="es-MX"/>
        </w:rPr>
        <w:t xml:space="preserve"> de las proyecciones macroeconómicas elaboradas por el Banco de Guatemala, así como el escenario fiscal de mediano plazo (tomando como base el presupuesto vigente). Los supuestos que se utilizaron son los siguientes:</w:t>
      </w:r>
    </w:p>
    <w:p w14:paraId="6F1E22BE" w14:textId="77777777" w:rsidR="005F38A6" w:rsidRPr="002C3D84" w:rsidRDefault="005F38A6" w:rsidP="005F38A6">
      <w:pPr>
        <w:ind w:left="567" w:right="49"/>
        <w:jc w:val="both"/>
        <w:rPr>
          <w:lang w:val="es-MX"/>
        </w:rPr>
      </w:pPr>
    </w:p>
    <w:p w14:paraId="7227CE6D" w14:textId="77777777" w:rsidR="005F38A6" w:rsidRPr="00481337" w:rsidRDefault="005F38A6" w:rsidP="000E12CF">
      <w:pPr>
        <w:numPr>
          <w:ilvl w:val="0"/>
          <w:numId w:val="9"/>
        </w:numPr>
        <w:ind w:right="49"/>
        <w:jc w:val="both"/>
        <w:rPr>
          <w:lang w:val="es-MX"/>
        </w:rPr>
      </w:pPr>
      <w:r w:rsidRPr="00481337">
        <w:rPr>
          <w:lang w:val="es-MX"/>
        </w:rPr>
        <w:t>El crecimiento real del PIB está basado en el crecimiento estimado por el Banco de Guatemala, donde se asume que este se ubicará en el escenario bajo de las proyecciones de esta entidad.</w:t>
      </w:r>
    </w:p>
    <w:p w14:paraId="06B99E5C" w14:textId="77777777" w:rsidR="005F38A6" w:rsidRPr="00481337" w:rsidRDefault="005F38A6" w:rsidP="000E12CF">
      <w:pPr>
        <w:numPr>
          <w:ilvl w:val="0"/>
          <w:numId w:val="9"/>
        </w:numPr>
        <w:ind w:right="49"/>
        <w:jc w:val="both"/>
        <w:rPr>
          <w:lang w:val="es-MX"/>
        </w:rPr>
      </w:pPr>
      <w:r w:rsidRPr="00481337">
        <w:rPr>
          <w:lang w:val="es-MX"/>
        </w:rPr>
        <w:lastRenderedPageBreak/>
        <w:t>La tasa de inflación (y el deflactor del PIB) convergen a un 3.0% en el período indicado, en el límite inferior de la meta del Banco Central, generando una brecha constante entre crecimiento real y nominal.</w:t>
      </w:r>
    </w:p>
    <w:p w14:paraId="1673D967" w14:textId="77777777" w:rsidR="005F38A6" w:rsidRPr="00481337" w:rsidRDefault="005F38A6" w:rsidP="000E12CF">
      <w:pPr>
        <w:numPr>
          <w:ilvl w:val="0"/>
          <w:numId w:val="9"/>
        </w:numPr>
        <w:ind w:right="49"/>
        <w:jc w:val="both"/>
        <w:rPr>
          <w:lang w:val="es-MX"/>
        </w:rPr>
      </w:pPr>
      <w:r w:rsidRPr="00481337">
        <w:rPr>
          <w:lang w:val="es-MX"/>
        </w:rPr>
        <w:t>El gasto en pago de intereses de deuda (r) está calculado como la suma ponderada de los distintos instrumentos de deuda con diferente madurez.</w:t>
      </w:r>
    </w:p>
    <w:p w14:paraId="2F9B2981" w14:textId="77777777" w:rsidR="005F38A6" w:rsidRPr="00481337" w:rsidRDefault="005F38A6" w:rsidP="000E12CF">
      <w:pPr>
        <w:numPr>
          <w:ilvl w:val="0"/>
          <w:numId w:val="9"/>
        </w:numPr>
        <w:ind w:right="49"/>
        <w:jc w:val="both"/>
        <w:rPr>
          <w:lang w:val="es-MX"/>
        </w:rPr>
      </w:pPr>
      <w:r w:rsidRPr="00481337">
        <w:rPr>
          <w:lang w:val="es-MX"/>
        </w:rPr>
        <w:t>El saldo fiscal primario (</w:t>
      </w:r>
      <w:proofErr w:type="spellStart"/>
      <w:r w:rsidRPr="00481337">
        <w:rPr>
          <w:lang w:val="es-MX"/>
        </w:rPr>
        <w:t>Sp</w:t>
      </w:r>
      <w:proofErr w:type="spellEnd"/>
      <w:r w:rsidRPr="00481337">
        <w:rPr>
          <w:lang w:val="es-MX"/>
        </w:rPr>
        <w:t>) se obtiene de las operaciones de ingresos y gastos que se proyectan en el presupuesto de mediano plazo</w:t>
      </w:r>
      <w:r>
        <w:rPr>
          <w:lang w:val="es-MX"/>
        </w:rPr>
        <w:t>.</w:t>
      </w:r>
    </w:p>
    <w:p w14:paraId="6E940683" w14:textId="77777777" w:rsidR="005F38A6" w:rsidRPr="002C3D84" w:rsidRDefault="005F38A6" w:rsidP="005F38A6">
      <w:pPr>
        <w:ind w:right="49"/>
        <w:jc w:val="both"/>
        <w:rPr>
          <w:lang w:val="es-MX"/>
        </w:rPr>
      </w:pPr>
    </w:p>
    <w:p w14:paraId="3FCAC8D3" w14:textId="5EA50361" w:rsidR="005F38A6" w:rsidRPr="002C3D84" w:rsidRDefault="005F38A6" w:rsidP="005F38A6">
      <w:pPr>
        <w:ind w:right="49"/>
        <w:jc w:val="both"/>
        <w:rPr>
          <w:lang w:val="es-MX"/>
        </w:rPr>
      </w:pPr>
      <w:r w:rsidRPr="002C3D84">
        <w:rPr>
          <w:lang w:val="es-MX"/>
        </w:rPr>
        <w:t xml:space="preserve">Con base a esa información, se realizó un análisis para observar las contribuciones de los determinantes macro fiscales en el cambio de la deuda pública. Se observa que para </w:t>
      </w:r>
      <w:r>
        <w:rPr>
          <w:noProof/>
          <w:lang w:val="es-ES"/>
        </w:rPr>
        <w:t>2023</w:t>
      </w:r>
      <w:r w:rsidRPr="002C3D84">
        <w:rPr>
          <w:lang w:val="es-MX"/>
        </w:rPr>
        <w:t xml:space="preserve">, </w:t>
      </w:r>
      <w:r>
        <w:rPr>
          <w:lang w:val="es-MX"/>
        </w:rPr>
        <w:t xml:space="preserve">la disminución relativa </w:t>
      </w:r>
      <w:r w:rsidRPr="002C3D84">
        <w:rPr>
          <w:lang w:val="es-MX"/>
        </w:rPr>
        <w:t xml:space="preserve">de la deuda es </w:t>
      </w:r>
      <w:r>
        <w:rPr>
          <w:lang w:val="es-MX"/>
        </w:rPr>
        <w:t>de</w:t>
      </w:r>
      <w:r w:rsidRPr="002C3D84">
        <w:rPr>
          <w:lang w:val="es-MX"/>
        </w:rPr>
        <w:t xml:space="preserve"> </w:t>
      </w:r>
      <w:r w:rsidRPr="002C3D84">
        <w:rPr>
          <w:noProof/>
          <w:lang w:val="es-ES"/>
        </w:rPr>
        <w:t>0.</w:t>
      </w:r>
      <w:r>
        <w:rPr>
          <w:noProof/>
          <w:lang w:val="es-ES"/>
        </w:rPr>
        <w:t>7</w:t>
      </w:r>
      <w:r w:rsidRPr="002C3D84">
        <w:rPr>
          <w:lang w:val="es-MX"/>
        </w:rPr>
        <w:t xml:space="preserve"> puntos porcentuales del PIB</w:t>
      </w:r>
      <w:r>
        <w:rPr>
          <w:lang w:val="es-MX"/>
        </w:rPr>
        <w:t xml:space="preserve"> y se ubique en 28.</w:t>
      </w:r>
      <w:r w:rsidR="00E07415">
        <w:rPr>
          <w:lang w:val="es-MX"/>
        </w:rPr>
        <w:t>4</w:t>
      </w:r>
      <w:r>
        <w:rPr>
          <w:lang w:val="es-MX"/>
        </w:rPr>
        <w:t>%</w:t>
      </w:r>
      <w:r w:rsidRPr="002C3D84">
        <w:rPr>
          <w:lang w:val="es-MX"/>
        </w:rPr>
        <w:t xml:space="preserve">, mostrando una política fiscal conservadora </w:t>
      </w:r>
      <w:r>
        <w:rPr>
          <w:lang w:val="es-MX"/>
        </w:rPr>
        <w:t>del 2021 al 2023,</w:t>
      </w:r>
      <w:r w:rsidRPr="002C3D84">
        <w:rPr>
          <w:lang w:val="es-MX"/>
        </w:rPr>
        <w:t xml:space="preserve"> después de la política fiscal expansiva del año 2020.</w:t>
      </w:r>
    </w:p>
    <w:p w14:paraId="61871C98" w14:textId="77777777" w:rsidR="005F38A6" w:rsidRPr="002C3D84" w:rsidRDefault="005F38A6" w:rsidP="005F38A6">
      <w:pPr>
        <w:ind w:right="49"/>
        <w:jc w:val="both"/>
        <w:rPr>
          <w:lang w:val="es-MX"/>
        </w:rPr>
      </w:pPr>
    </w:p>
    <w:p w14:paraId="1760DA2C" w14:textId="52A2CFCB" w:rsidR="005F38A6" w:rsidRPr="002846D1" w:rsidRDefault="005F38A6" w:rsidP="005F38A6">
      <w:pPr>
        <w:ind w:right="49"/>
        <w:jc w:val="both"/>
        <w:rPr>
          <w:lang w:val="es-MX"/>
        </w:rPr>
      </w:pPr>
      <w:r w:rsidRPr="00CF6BA5">
        <w:rPr>
          <w:lang w:val="es-MX"/>
        </w:rPr>
        <w:t xml:space="preserve">Por su parte, para </w:t>
      </w:r>
      <w:r>
        <w:rPr>
          <w:lang w:val="es-MX"/>
        </w:rPr>
        <w:t>2024</w:t>
      </w:r>
      <w:r w:rsidRPr="00CF6BA5">
        <w:rPr>
          <w:lang w:val="es-MX"/>
        </w:rPr>
        <w:t xml:space="preserve">, se prevé </w:t>
      </w:r>
      <w:r>
        <w:rPr>
          <w:lang w:val="es-MX"/>
        </w:rPr>
        <w:t xml:space="preserve">también una disminución </w:t>
      </w:r>
      <w:r w:rsidRPr="00CF6BA5">
        <w:rPr>
          <w:lang w:val="es-MX"/>
        </w:rPr>
        <w:t>relativ</w:t>
      </w:r>
      <w:r>
        <w:rPr>
          <w:lang w:val="es-MX"/>
        </w:rPr>
        <w:t>a</w:t>
      </w:r>
      <w:r w:rsidRPr="00CF6BA5">
        <w:rPr>
          <w:lang w:val="es-MX"/>
        </w:rPr>
        <w:t xml:space="preserve"> de la deuda (0.</w:t>
      </w:r>
      <w:r w:rsidR="00E07415">
        <w:rPr>
          <w:lang w:val="es-MX"/>
        </w:rPr>
        <w:t>5</w:t>
      </w:r>
      <w:r w:rsidRPr="00CF6BA5">
        <w:rPr>
          <w:lang w:val="es-MX"/>
        </w:rPr>
        <w:t xml:space="preserve"> puntos porcentuales del PIB), el cual se explica principalmente por un superávit primario estimado de 0.</w:t>
      </w:r>
      <w:r>
        <w:rPr>
          <w:lang w:val="es-MX"/>
        </w:rPr>
        <w:t>1</w:t>
      </w:r>
      <w:r w:rsidRPr="00CF6BA5">
        <w:rPr>
          <w:lang w:val="es-MX"/>
        </w:rPr>
        <w:t xml:space="preserve">% con respecto al PIB. Asimismo, en los años </w:t>
      </w:r>
      <w:r>
        <w:rPr>
          <w:lang w:val="es-MX"/>
        </w:rPr>
        <w:t>2025</w:t>
      </w:r>
      <w:r w:rsidRPr="00CF6BA5">
        <w:rPr>
          <w:lang w:val="es-MX"/>
        </w:rPr>
        <w:t>-</w:t>
      </w:r>
      <w:r>
        <w:rPr>
          <w:lang w:val="es-MX"/>
        </w:rPr>
        <w:t>2028</w:t>
      </w:r>
      <w:r w:rsidRPr="00CF6BA5">
        <w:rPr>
          <w:lang w:val="es-MX"/>
        </w:rPr>
        <w:t xml:space="preserve"> se pronostica que el crecimiento de la deuda con respecto al PIB se </w:t>
      </w:r>
      <w:r>
        <w:rPr>
          <w:lang w:val="es-MX"/>
        </w:rPr>
        <w:t>siga desacelerando</w:t>
      </w:r>
      <w:r w:rsidRPr="00CF6BA5">
        <w:rPr>
          <w:lang w:val="es-MX"/>
        </w:rPr>
        <w:t xml:space="preserve"> gradualmente en la medida en que los gastos se ajusten a la baja y se obtengan mayores ingresos fiscales, lo que permitirá reducir el déficit y el incremento interanual de la deuda al punto que en </w:t>
      </w:r>
      <w:r>
        <w:rPr>
          <w:lang w:val="es-MX"/>
        </w:rPr>
        <w:t>2028</w:t>
      </w:r>
      <w:r w:rsidRPr="00CF6BA5">
        <w:rPr>
          <w:lang w:val="es-MX"/>
        </w:rPr>
        <w:t xml:space="preserve"> la relación deuda/PIB se encuentre en </w:t>
      </w:r>
      <w:r>
        <w:rPr>
          <w:lang w:val="es-MX"/>
        </w:rPr>
        <w:t>2</w:t>
      </w:r>
      <w:r w:rsidR="00E07415">
        <w:rPr>
          <w:lang w:val="es-MX"/>
        </w:rPr>
        <w:t>3</w:t>
      </w:r>
      <w:r>
        <w:rPr>
          <w:lang w:val="es-MX"/>
        </w:rPr>
        <w:t>.</w:t>
      </w:r>
      <w:r w:rsidR="00E07415">
        <w:rPr>
          <w:lang w:val="es-MX"/>
        </w:rPr>
        <w:t>7</w:t>
      </w:r>
      <w:r w:rsidRPr="00CF6BA5">
        <w:rPr>
          <w:lang w:val="es-MX"/>
        </w:rPr>
        <w:t>%</w:t>
      </w:r>
      <w:r>
        <w:rPr>
          <w:lang w:val="es-MX"/>
        </w:rPr>
        <w:t>, representando una disminución acumulada de 4.</w:t>
      </w:r>
      <w:r w:rsidR="00E07415">
        <w:rPr>
          <w:lang w:val="es-MX"/>
        </w:rPr>
        <w:t>7</w:t>
      </w:r>
      <w:r>
        <w:rPr>
          <w:lang w:val="es-MX"/>
        </w:rPr>
        <w:t xml:space="preserve"> puntos porcentuales</w:t>
      </w:r>
      <w:r w:rsidRPr="00286CBF">
        <w:rPr>
          <w:lang w:val="es-MX"/>
        </w:rPr>
        <w:t xml:space="preserve">. Asimismo, el tipo de cambio se prevé se mantenga en torno </w:t>
      </w:r>
      <w:r>
        <w:rPr>
          <w:lang w:val="es-MX"/>
        </w:rPr>
        <w:t>a</w:t>
      </w:r>
      <w:r w:rsidRPr="00286CBF">
        <w:rPr>
          <w:lang w:val="es-MX"/>
        </w:rPr>
        <w:t xml:space="preserve"> </w:t>
      </w:r>
      <w:r>
        <w:rPr>
          <w:lang w:val="es-MX"/>
        </w:rPr>
        <w:t>Q7.</w:t>
      </w:r>
      <w:r w:rsidR="00E07415">
        <w:rPr>
          <w:lang w:val="es-MX"/>
        </w:rPr>
        <w:t>79</w:t>
      </w:r>
      <w:r w:rsidRPr="009F5738">
        <w:rPr>
          <w:lang w:val="es-MX"/>
        </w:rPr>
        <w:t xml:space="preserve"> </w:t>
      </w:r>
      <w:r w:rsidRPr="00286CBF">
        <w:rPr>
          <w:lang w:val="es-MX"/>
        </w:rPr>
        <w:t xml:space="preserve">x US$1.00 </w:t>
      </w:r>
      <w:r>
        <w:rPr>
          <w:lang w:val="es-MX"/>
        </w:rPr>
        <w:t xml:space="preserve">a </w:t>
      </w:r>
      <w:r w:rsidRPr="00286CBF">
        <w:rPr>
          <w:lang w:val="es-MX"/>
        </w:rPr>
        <w:t>Q7.85 x US$1.00 del 2023-</w:t>
      </w:r>
      <w:r>
        <w:rPr>
          <w:lang w:val="es-MX"/>
        </w:rPr>
        <w:t>2028</w:t>
      </w:r>
      <w:r w:rsidRPr="00286CBF">
        <w:rPr>
          <w:lang w:val="es-MX"/>
        </w:rPr>
        <w:t>. Es importante indicar que, si el crecimiento económico se ubica por encima de la tasa de interés real favorece la estabilidad en la dinámica de la deuda</w:t>
      </w:r>
      <w:r>
        <w:rPr>
          <w:lang w:val="es-MX"/>
        </w:rPr>
        <w:t>.</w:t>
      </w:r>
    </w:p>
    <w:tbl>
      <w:tblPr>
        <w:tblW w:w="9322" w:type="dxa"/>
        <w:jc w:val="center"/>
        <w:tblCellMar>
          <w:left w:w="70" w:type="dxa"/>
          <w:right w:w="70" w:type="dxa"/>
        </w:tblCellMar>
        <w:tblLook w:val="04A0" w:firstRow="1" w:lastRow="0" w:firstColumn="1" w:lastColumn="0" w:noHBand="0" w:noVBand="1"/>
      </w:tblPr>
      <w:tblGrid>
        <w:gridCol w:w="9322"/>
      </w:tblGrid>
      <w:tr w:rsidR="005F38A6" w:rsidRPr="002846D1" w14:paraId="3ADD99BE" w14:textId="77777777" w:rsidTr="002F0D44">
        <w:trPr>
          <w:trHeight w:val="3277"/>
          <w:jc w:val="center"/>
        </w:trPr>
        <w:tc>
          <w:tcPr>
            <w:tcW w:w="9322" w:type="dxa"/>
            <w:shd w:val="clear" w:color="auto" w:fill="auto"/>
          </w:tcPr>
          <w:p w14:paraId="799E937C" w14:textId="79A1B0FB" w:rsidR="005F38A6" w:rsidRPr="00B306EE" w:rsidRDefault="00B306EE" w:rsidP="00B306EE">
            <w:pPr>
              <w:pStyle w:val="Descripcin"/>
              <w:rPr>
                <w:b w:val="0"/>
                <w:bCs/>
                <w:color w:val="auto"/>
              </w:rPr>
            </w:pPr>
            <w:bookmarkStart w:id="316" w:name="_Toc143593595"/>
            <w:r w:rsidRPr="00B306EE">
              <w:rPr>
                <w:color w:val="auto"/>
              </w:rPr>
              <w:t xml:space="preserve">Gráfico </w:t>
            </w:r>
            <w:r w:rsidRPr="00B306EE">
              <w:rPr>
                <w:color w:val="auto"/>
              </w:rPr>
              <w:fldChar w:fldCharType="begin"/>
            </w:r>
            <w:r w:rsidRPr="00B306EE">
              <w:rPr>
                <w:color w:val="auto"/>
              </w:rPr>
              <w:instrText xml:space="preserve"> SEQ Gráfico \* ARABIC </w:instrText>
            </w:r>
            <w:r w:rsidRPr="00B306EE">
              <w:rPr>
                <w:color w:val="auto"/>
              </w:rPr>
              <w:fldChar w:fldCharType="separate"/>
            </w:r>
            <w:r w:rsidR="00A62AFA">
              <w:rPr>
                <w:noProof/>
                <w:color w:val="auto"/>
              </w:rPr>
              <w:t>37</w:t>
            </w:r>
            <w:r w:rsidRPr="00B306EE">
              <w:rPr>
                <w:color w:val="auto"/>
              </w:rPr>
              <w:fldChar w:fldCharType="end"/>
            </w:r>
            <w:r w:rsidRPr="00B306EE">
              <w:rPr>
                <w:color w:val="auto"/>
              </w:rPr>
              <w:t xml:space="preserve">. </w:t>
            </w:r>
            <w:bookmarkStart w:id="317" w:name="_Toc114493879"/>
            <w:r w:rsidRPr="00B306EE">
              <w:rPr>
                <w:bCs/>
                <w:color w:val="auto"/>
              </w:rPr>
              <w:t>Flujos creados de Deuda Pública</w:t>
            </w:r>
            <w:bookmarkEnd w:id="316"/>
            <w:bookmarkEnd w:id="317"/>
          </w:p>
          <w:p w14:paraId="538D0384" w14:textId="77777777" w:rsidR="005F38A6" w:rsidRPr="004A12A1" w:rsidRDefault="005F38A6" w:rsidP="004A12A1">
            <w:pPr>
              <w:ind w:left="567" w:right="49"/>
              <w:jc w:val="center"/>
              <w:rPr>
                <w:sz w:val="22"/>
              </w:rPr>
            </w:pPr>
            <w:r w:rsidRPr="004A12A1">
              <w:rPr>
                <w:sz w:val="22"/>
              </w:rPr>
              <w:t>En porcentaje del PIB</w:t>
            </w:r>
          </w:p>
          <w:p w14:paraId="63CCC860" w14:textId="639EACCD" w:rsidR="005F38A6" w:rsidRPr="00506C79" w:rsidRDefault="005F38A6" w:rsidP="006A7377">
            <w:pPr>
              <w:ind w:left="567" w:right="49"/>
              <w:rPr>
                <w:noProof/>
              </w:rPr>
            </w:pPr>
            <w:r w:rsidRPr="00506C79">
              <w:rPr>
                <w:noProof/>
              </w:rPr>
              <w:t xml:space="preserve"> </w:t>
            </w:r>
            <w:r>
              <w:rPr>
                <w:noProof/>
              </w:rPr>
              <w:drawing>
                <wp:inline distT="0" distB="0" distL="0" distR="0" wp14:anchorId="7BB0106F" wp14:editId="18E9CEB8">
                  <wp:extent cx="5399405" cy="2565779"/>
                  <wp:effectExtent l="0" t="0" r="0" b="6350"/>
                  <wp:docPr id="55" name="Gráfico 55">
                    <a:extLst xmlns:a="http://schemas.openxmlformats.org/drawingml/2006/main">
                      <a:ext uri="{FF2B5EF4-FFF2-40B4-BE49-F238E27FC236}">
                        <a16:creationId xmlns:a16="http://schemas.microsoft.com/office/drawing/2014/main" id="{00000000-0008-0000-0800-00002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22FFA85" w14:textId="77777777" w:rsidR="005F38A6" w:rsidRPr="002846D1" w:rsidRDefault="005F38A6" w:rsidP="006A7377">
            <w:pPr>
              <w:ind w:left="567" w:right="49"/>
              <w:rPr>
                <w:szCs w:val="22"/>
              </w:rPr>
            </w:pPr>
            <w:r w:rsidRPr="00506C79">
              <w:rPr>
                <w:szCs w:val="22"/>
              </w:rPr>
              <w:t xml:space="preserve">           </w:t>
            </w:r>
            <w:r w:rsidRPr="00506C79">
              <w:rPr>
                <w:sz w:val="16"/>
                <w:szCs w:val="22"/>
              </w:rPr>
              <w:t xml:space="preserve">Fuente: </w:t>
            </w:r>
            <w:r w:rsidRPr="00506C79">
              <w:rPr>
                <w:bCs/>
                <w:sz w:val="16"/>
                <w:szCs w:val="11"/>
              </w:rPr>
              <w:t>Ministerio de Finanzas Públicas</w:t>
            </w:r>
            <w:r w:rsidRPr="00506C79">
              <w:rPr>
                <w:sz w:val="16"/>
                <w:szCs w:val="22"/>
              </w:rPr>
              <w:t xml:space="preserve"> con metodología del FMI</w:t>
            </w:r>
          </w:p>
          <w:p w14:paraId="45AA8C85" w14:textId="77777777" w:rsidR="005F38A6" w:rsidRPr="002846D1" w:rsidRDefault="005F38A6" w:rsidP="006A7377">
            <w:pPr>
              <w:ind w:left="567" w:right="49"/>
            </w:pPr>
          </w:p>
        </w:tc>
      </w:tr>
    </w:tbl>
    <w:p w14:paraId="625FD62D" w14:textId="77777777" w:rsidR="005F38A6" w:rsidRPr="00935D43" w:rsidRDefault="005F38A6" w:rsidP="005F38A6">
      <w:pPr>
        <w:ind w:right="49"/>
        <w:jc w:val="both"/>
        <w:rPr>
          <w:lang w:val="es-MX"/>
        </w:rPr>
      </w:pPr>
      <w:r w:rsidRPr="00935D43">
        <w:rPr>
          <w:lang w:val="es-MX"/>
        </w:rPr>
        <w:t xml:space="preserve">Considerando que persiste cierta incertidumbre en los mercados externos, dicha incertidumbre puede tener efectos sobre la actividad económica nacional, principalmente en las variables macroeconómicas que tienen incidencia en las cuentas fiscales, especialmente </w:t>
      </w:r>
      <w:r w:rsidRPr="00935D43">
        <w:rPr>
          <w:lang w:val="es-MX"/>
        </w:rPr>
        <w:lastRenderedPageBreak/>
        <w:t xml:space="preserve">en la dinámica de la deuda pública. Se consideró para el efecto la construcción de algunas pruebas de tensión para determinar cómo evolucionaría la deuda en el mediano plazo ante choques que podrían producirse en el mercado externo o dentro de la economía nacional.   </w:t>
      </w:r>
    </w:p>
    <w:p w14:paraId="11A8797B" w14:textId="77777777" w:rsidR="005F38A6" w:rsidRPr="00935D43" w:rsidRDefault="005F38A6" w:rsidP="005F38A6">
      <w:pPr>
        <w:ind w:right="49"/>
        <w:jc w:val="both"/>
        <w:rPr>
          <w:lang w:val="es-MX"/>
        </w:rPr>
      </w:pPr>
    </w:p>
    <w:p w14:paraId="07492433" w14:textId="77777777" w:rsidR="005F38A6" w:rsidRPr="00935D43" w:rsidRDefault="005F38A6" w:rsidP="005F38A6">
      <w:pPr>
        <w:ind w:right="49"/>
        <w:jc w:val="both"/>
        <w:rPr>
          <w:lang w:val="es-MX"/>
        </w:rPr>
      </w:pPr>
      <w:r w:rsidRPr="00935D43">
        <w:rPr>
          <w:lang w:val="es-MX"/>
        </w:rPr>
        <w:t xml:space="preserve">De esa cuenta, tomando como referencia la metodología utilizada en el Framework </w:t>
      </w:r>
      <w:proofErr w:type="spellStart"/>
      <w:r w:rsidRPr="00935D43">
        <w:rPr>
          <w:lang w:val="es-MX"/>
        </w:rPr>
        <w:t>Public</w:t>
      </w:r>
      <w:proofErr w:type="spellEnd"/>
      <w:r w:rsidRPr="00935D43">
        <w:rPr>
          <w:lang w:val="es-MX"/>
        </w:rPr>
        <w:t xml:space="preserve"> </w:t>
      </w:r>
      <w:proofErr w:type="spellStart"/>
      <w:r w:rsidRPr="00935D43">
        <w:rPr>
          <w:lang w:val="es-MX"/>
        </w:rPr>
        <w:t>Debt</w:t>
      </w:r>
      <w:proofErr w:type="spellEnd"/>
      <w:r w:rsidRPr="00935D43">
        <w:rPr>
          <w:lang w:val="es-MX"/>
        </w:rPr>
        <w:t xml:space="preserve"> </w:t>
      </w:r>
      <w:proofErr w:type="spellStart"/>
      <w:r w:rsidRPr="00935D43">
        <w:rPr>
          <w:lang w:val="es-MX"/>
        </w:rPr>
        <w:t>Sustainability</w:t>
      </w:r>
      <w:proofErr w:type="spellEnd"/>
      <w:r w:rsidRPr="00935D43">
        <w:rPr>
          <w:lang w:val="es-MX"/>
        </w:rPr>
        <w:t xml:space="preserve"> </w:t>
      </w:r>
      <w:proofErr w:type="spellStart"/>
      <w:r w:rsidRPr="00935D43">
        <w:rPr>
          <w:lang w:val="es-MX"/>
        </w:rPr>
        <w:t>Analysis</w:t>
      </w:r>
      <w:proofErr w:type="spellEnd"/>
      <w:r w:rsidRPr="00935D43">
        <w:rPr>
          <w:lang w:val="es-MX"/>
        </w:rPr>
        <w:t xml:space="preserve"> (DSA) del Fondo Monetario Internacional -FMI-, se elaboraron una serie de escenarios con los diferentes choques posibles que podrían experimentarse.  Estos choques se midieron con respecto al escenario base que es consistente con las estimaciones del presupuesto multianual 2024-2028.</w:t>
      </w:r>
    </w:p>
    <w:p w14:paraId="1BFE7B11" w14:textId="77777777" w:rsidR="005F38A6" w:rsidRPr="00272B14" w:rsidRDefault="005F38A6" w:rsidP="005F38A6">
      <w:pPr>
        <w:ind w:right="49"/>
        <w:jc w:val="both"/>
        <w:rPr>
          <w:lang w:val="es-MX"/>
        </w:rPr>
      </w:pPr>
    </w:p>
    <w:p w14:paraId="0CC3FA0B" w14:textId="02DDC641" w:rsidR="005F38A6" w:rsidRPr="00937E2E" w:rsidRDefault="005F38A6" w:rsidP="005F38A6">
      <w:pPr>
        <w:ind w:right="49"/>
        <w:jc w:val="both"/>
        <w:rPr>
          <w:lang w:val="es-MX"/>
        </w:rPr>
      </w:pPr>
      <w:r w:rsidRPr="00937E2E">
        <w:rPr>
          <w:lang w:val="es-MX"/>
        </w:rPr>
        <w:t xml:space="preserve">De acuerdo con los resultados obtenidos al realizar los diferentes choques, se pudo observar que una de las variables que tiene mayor incidencia en la evolución de la dinámica de la </w:t>
      </w:r>
      <w:r w:rsidRPr="00935D43">
        <w:rPr>
          <w:lang w:val="es-MX"/>
        </w:rPr>
        <w:t>deuda</w:t>
      </w:r>
      <w:r w:rsidRPr="00937E2E">
        <w:rPr>
          <w:lang w:val="es-MX"/>
        </w:rPr>
        <w:t xml:space="preserve"> es el crecimiento económico real. Para el escenario con choque, se consideró una reducción en el PIB real para </w:t>
      </w:r>
      <w:r>
        <w:rPr>
          <w:lang w:val="es-MX"/>
        </w:rPr>
        <w:t>2024</w:t>
      </w:r>
      <w:r w:rsidRPr="00937E2E">
        <w:rPr>
          <w:lang w:val="es-MX"/>
        </w:rPr>
        <w:t xml:space="preserve"> y con secuelas en </w:t>
      </w:r>
      <w:r>
        <w:rPr>
          <w:lang w:val="es-MX"/>
        </w:rPr>
        <w:t>2025</w:t>
      </w:r>
      <w:r w:rsidRPr="00937E2E">
        <w:rPr>
          <w:lang w:val="es-MX"/>
        </w:rPr>
        <w:t xml:space="preserve"> por el equivalente a 0.75 de una desviación estándar de los datos históricos, equivalente a 1.9 puntos porcentuales, manteniendo los demás factores constantes, la razón deuda/PIB podría aumentar a </w:t>
      </w:r>
      <w:r>
        <w:rPr>
          <w:lang w:val="es-MX"/>
        </w:rPr>
        <w:t>2</w:t>
      </w:r>
      <w:r w:rsidR="00774135">
        <w:rPr>
          <w:lang w:val="es-MX"/>
        </w:rPr>
        <w:t>8.7</w:t>
      </w:r>
      <w:r w:rsidRPr="00937E2E">
        <w:rPr>
          <w:lang w:val="es-MX"/>
        </w:rPr>
        <w:t xml:space="preserve">% en </w:t>
      </w:r>
      <w:r>
        <w:rPr>
          <w:lang w:val="es-MX"/>
        </w:rPr>
        <w:t>2024</w:t>
      </w:r>
      <w:r w:rsidRPr="00937E2E">
        <w:rPr>
          <w:lang w:val="es-MX"/>
        </w:rPr>
        <w:t xml:space="preserve"> y </w:t>
      </w:r>
      <w:r>
        <w:rPr>
          <w:lang w:val="es-MX"/>
        </w:rPr>
        <w:t>disminuiría</w:t>
      </w:r>
      <w:r w:rsidRPr="00937E2E">
        <w:rPr>
          <w:lang w:val="es-MX"/>
        </w:rPr>
        <w:t xml:space="preserve"> levemente hasta llegar a </w:t>
      </w:r>
      <w:r w:rsidR="00774135">
        <w:rPr>
          <w:lang w:val="es-MX"/>
        </w:rPr>
        <w:t>25.9</w:t>
      </w:r>
      <w:r w:rsidRPr="00937E2E">
        <w:rPr>
          <w:lang w:val="es-MX"/>
        </w:rPr>
        <w:t xml:space="preserve"> al cierre de 202</w:t>
      </w:r>
      <w:r>
        <w:rPr>
          <w:lang w:val="es-MX"/>
        </w:rPr>
        <w:t>8</w:t>
      </w:r>
      <w:r w:rsidRPr="00937E2E">
        <w:rPr>
          <w:lang w:val="es-MX"/>
        </w:rPr>
        <w:t>.</w:t>
      </w:r>
    </w:p>
    <w:p w14:paraId="555C3AAE" w14:textId="77777777" w:rsidR="005F38A6" w:rsidRPr="00F12E6E" w:rsidRDefault="005F38A6" w:rsidP="005F38A6">
      <w:pPr>
        <w:spacing w:line="23" w:lineRule="atLeast"/>
        <w:ind w:left="567" w:right="49"/>
        <w:contextualSpacing/>
        <w:jc w:val="both"/>
        <w:rPr>
          <w:lang w:val="es-MX"/>
        </w:rPr>
      </w:pPr>
    </w:p>
    <w:p w14:paraId="4E441860" w14:textId="5D3F9EE1" w:rsidR="005F38A6" w:rsidRPr="00F12E6E" w:rsidRDefault="005F38A6" w:rsidP="005F38A6">
      <w:pPr>
        <w:ind w:right="49"/>
        <w:jc w:val="both"/>
        <w:rPr>
          <w:lang w:val="es-MX"/>
        </w:rPr>
      </w:pPr>
      <w:r w:rsidRPr="00F12E6E">
        <w:rPr>
          <w:lang w:val="es-MX"/>
        </w:rPr>
        <w:t>Asimismo, un choque en el balance primario (</w:t>
      </w:r>
      <w:proofErr w:type="spellStart"/>
      <w:r w:rsidRPr="00F12E6E">
        <w:rPr>
          <w:lang w:val="es-MX"/>
        </w:rPr>
        <w:t>Sp</w:t>
      </w:r>
      <w:proofErr w:type="spellEnd"/>
      <w:r w:rsidRPr="00F12E6E">
        <w:rPr>
          <w:lang w:val="es-MX"/>
        </w:rPr>
        <w:t xml:space="preserve">), según la evidencia presentada, podría elevar de manera importante la deuda pública. Se simuló que estos choques ocurrirían en los años </w:t>
      </w:r>
      <w:r w:rsidRPr="00935D43">
        <w:rPr>
          <w:lang w:val="es-MX"/>
        </w:rPr>
        <w:t>2024</w:t>
      </w:r>
      <w:r w:rsidRPr="00F12E6E">
        <w:rPr>
          <w:lang w:val="es-MX"/>
        </w:rPr>
        <w:t>-</w:t>
      </w:r>
      <w:r>
        <w:rPr>
          <w:lang w:val="es-MX"/>
        </w:rPr>
        <w:t>2028</w:t>
      </w:r>
      <w:r w:rsidRPr="00F12E6E">
        <w:rPr>
          <w:lang w:val="es-MX"/>
        </w:rPr>
        <w:t xml:space="preserve">, los cuales podrían ser causados por gastos para mitigar el impacto económico </w:t>
      </w:r>
      <w:r>
        <w:rPr>
          <w:lang w:val="es-MX"/>
        </w:rPr>
        <w:t xml:space="preserve">por un </w:t>
      </w:r>
      <w:r w:rsidRPr="00F12E6E">
        <w:rPr>
          <w:lang w:val="es-MX"/>
        </w:rPr>
        <w:t xml:space="preserve">gasto extraordinario como consecuencia de un evento natural de gran magnitud o una súbita caída en la recaudación tributaria. La dimensión del choque negativo acumulado realizado es por el equivalente a </w:t>
      </w:r>
      <w:r>
        <w:rPr>
          <w:lang w:val="es-MX"/>
        </w:rPr>
        <w:t>1.5</w:t>
      </w:r>
      <w:r w:rsidRPr="00F12E6E">
        <w:rPr>
          <w:lang w:val="es-MX"/>
        </w:rPr>
        <w:t xml:space="preserve">% del PIB en los años indicados. Esto elevaría la razón deuda/PIB en </w:t>
      </w:r>
      <w:r>
        <w:rPr>
          <w:lang w:val="es-MX"/>
        </w:rPr>
        <w:t>2024</w:t>
      </w:r>
      <w:r w:rsidRPr="00F12E6E">
        <w:rPr>
          <w:lang w:val="es-MX"/>
        </w:rPr>
        <w:t xml:space="preserve"> a </w:t>
      </w:r>
      <w:r>
        <w:rPr>
          <w:lang w:val="es-MX"/>
        </w:rPr>
        <w:t>28.</w:t>
      </w:r>
      <w:r w:rsidR="003B2B85">
        <w:rPr>
          <w:lang w:val="es-MX"/>
        </w:rPr>
        <w:t>1</w:t>
      </w:r>
      <w:r w:rsidRPr="00F12E6E">
        <w:rPr>
          <w:lang w:val="es-MX"/>
        </w:rPr>
        <w:t xml:space="preserve">% y para </w:t>
      </w:r>
      <w:r>
        <w:rPr>
          <w:lang w:val="es-MX"/>
        </w:rPr>
        <w:t>2028</w:t>
      </w:r>
      <w:r w:rsidRPr="00F12E6E">
        <w:rPr>
          <w:lang w:val="es-MX"/>
        </w:rPr>
        <w:t xml:space="preserve"> </w:t>
      </w:r>
      <w:r>
        <w:rPr>
          <w:lang w:val="es-MX"/>
        </w:rPr>
        <w:t>disminuiría a</w:t>
      </w:r>
      <w:r w:rsidRPr="00F12E6E">
        <w:rPr>
          <w:lang w:val="es-MX"/>
        </w:rPr>
        <w:t xml:space="preserve"> </w:t>
      </w:r>
      <w:r>
        <w:rPr>
          <w:lang w:val="es-MX"/>
        </w:rPr>
        <w:t>25.</w:t>
      </w:r>
      <w:r w:rsidR="003B2B85">
        <w:rPr>
          <w:lang w:val="es-MX"/>
        </w:rPr>
        <w:t>2</w:t>
      </w:r>
      <w:r w:rsidRPr="00F12E6E">
        <w:rPr>
          <w:lang w:val="es-MX"/>
        </w:rPr>
        <w:t xml:space="preserve">%. </w:t>
      </w:r>
    </w:p>
    <w:p w14:paraId="2567FBAF" w14:textId="77777777" w:rsidR="005F38A6" w:rsidRPr="00272B14" w:rsidRDefault="005F38A6" w:rsidP="005F38A6">
      <w:pPr>
        <w:spacing w:line="23" w:lineRule="atLeast"/>
        <w:ind w:right="49"/>
        <w:contextualSpacing/>
        <w:jc w:val="both"/>
        <w:rPr>
          <w:lang w:val="es-MX"/>
        </w:rPr>
      </w:pPr>
    </w:p>
    <w:p w14:paraId="212F3621" w14:textId="0D0826D7" w:rsidR="005F38A6" w:rsidRPr="00157924" w:rsidRDefault="005F38A6" w:rsidP="005F38A6">
      <w:pPr>
        <w:ind w:right="49"/>
        <w:jc w:val="both"/>
        <w:rPr>
          <w:lang w:val="es-MX"/>
        </w:rPr>
      </w:pPr>
      <w:r w:rsidRPr="00157924">
        <w:rPr>
          <w:lang w:val="es-MX"/>
        </w:rPr>
        <w:t xml:space="preserve">Otro factor que incide sensiblemente en el comportamiento de la deuda pública es la variación en el tipo de cambio, una depreciación importante podría elevar los niveles de la deuda pública, derivado que cerca del </w:t>
      </w:r>
      <w:r>
        <w:rPr>
          <w:lang w:val="es-MX"/>
        </w:rPr>
        <w:t>43.3</w:t>
      </w:r>
      <w:r w:rsidRPr="00157924">
        <w:rPr>
          <w:lang w:val="es-MX"/>
        </w:rPr>
        <w:t xml:space="preserve">% del saldo de </w:t>
      </w:r>
      <w:r>
        <w:rPr>
          <w:lang w:val="es-MX"/>
        </w:rPr>
        <w:t>2022</w:t>
      </w:r>
      <w:r w:rsidRPr="00157924">
        <w:rPr>
          <w:lang w:val="es-MX"/>
        </w:rPr>
        <w:t xml:space="preserve"> se tuvo en moneda extranjera.  De esa cuenta, se consideró una depreciación del 5.0% en </w:t>
      </w:r>
      <w:r>
        <w:rPr>
          <w:lang w:val="es-MX"/>
        </w:rPr>
        <w:t>2024</w:t>
      </w:r>
      <w:r w:rsidRPr="00157924">
        <w:rPr>
          <w:lang w:val="es-MX"/>
        </w:rPr>
        <w:t>, es decir, el tipo de cambio nominal pasaría Q7.</w:t>
      </w:r>
      <w:r>
        <w:rPr>
          <w:lang w:val="es-MX"/>
        </w:rPr>
        <w:t>79</w:t>
      </w:r>
      <w:r w:rsidRPr="00157924">
        <w:rPr>
          <w:lang w:val="es-MX"/>
        </w:rPr>
        <w:t xml:space="preserve">xUSD$1.00 en </w:t>
      </w:r>
      <w:r>
        <w:rPr>
          <w:lang w:val="es-MX"/>
        </w:rPr>
        <w:t>2024</w:t>
      </w:r>
      <w:r w:rsidRPr="00157924">
        <w:rPr>
          <w:lang w:val="es-MX"/>
        </w:rPr>
        <w:t xml:space="preserve"> a Q8.</w:t>
      </w:r>
      <w:r>
        <w:rPr>
          <w:lang w:val="es-MX"/>
        </w:rPr>
        <w:t>54</w:t>
      </w:r>
      <w:r w:rsidRPr="00157924">
        <w:rPr>
          <w:lang w:val="es-MX"/>
        </w:rPr>
        <w:t xml:space="preserve">xUSD$1.00 a partir del, esto </w:t>
      </w:r>
      <w:r>
        <w:rPr>
          <w:lang w:val="es-MX"/>
        </w:rPr>
        <w:t>ubicaría</w:t>
      </w:r>
      <w:r w:rsidRPr="00157924">
        <w:rPr>
          <w:lang w:val="es-MX"/>
        </w:rPr>
        <w:t xml:space="preserve"> la razón deuda/PIB a </w:t>
      </w:r>
      <w:r>
        <w:rPr>
          <w:lang w:val="es-MX"/>
        </w:rPr>
        <w:t>29.2</w:t>
      </w:r>
      <w:r w:rsidRPr="00157924">
        <w:rPr>
          <w:lang w:val="es-MX"/>
        </w:rPr>
        <w:t xml:space="preserve">% en </w:t>
      </w:r>
      <w:r>
        <w:rPr>
          <w:lang w:val="es-MX"/>
        </w:rPr>
        <w:t>2024</w:t>
      </w:r>
      <w:r w:rsidRPr="00157924">
        <w:rPr>
          <w:lang w:val="es-MX"/>
        </w:rPr>
        <w:t xml:space="preserve"> y se estimó que el tipo de cambio nominal </w:t>
      </w:r>
      <w:r>
        <w:rPr>
          <w:lang w:val="es-MX"/>
        </w:rPr>
        <w:t xml:space="preserve">alcanzará los </w:t>
      </w:r>
      <w:r w:rsidRPr="00157924">
        <w:rPr>
          <w:lang w:val="es-MX"/>
        </w:rPr>
        <w:t>Q8.</w:t>
      </w:r>
      <w:r>
        <w:rPr>
          <w:lang w:val="es-MX"/>
        </w:rPr>
        <w:t>61</w:t>
      </w:r>
      <w:r w:rsidRPr="00157924">
        <w:rPr>
          <w:lang w:val="es-MX"/>
        </w:rPr>
        <w:t>xUSD$1.00</w:t>
      </w:r>
      <w:r>
        <w:rPr>
          <w:lang w:val="es-MX"/>
        </w:rPr>
        <w:t xml:space="preserve"> y que</w:t>
      </w:r>
      <w:r w:rsidRPr="00157924">
        <w:rPr>
          <w:lang w:val="es-MX"/>
        </w:rPr>
        <w:t xml:space="preserve"> la razón deuda/PIB </w:t>
      </w:r>
      <w:r>
        <w:rPr>
          <w:lang w:val="es-MX"/>
        </w:rPr>
        <w:t>disminuirá</w:t>
      </w:r>
      <w:r w:rsidRPr="00157924">
        <w:rPr>
          <w:lang w:val="es-MX"/>
        </w:rPr>
        <w:t xml:space="preserve"> a </w:t>
      </w:r>
      <w:r>
        <w:rPr>
          <w:lang w:val="es-MX"/>
        </w:rPr>
        <w:t>2</w:t>
      </w:r>
      <w:r w:rsidR="003B2B85">
        <w:rPr>
          <w:lang w:val="es-MX"/>
        </w:rPr>
        <w:t>4</w:t>
      </w:r>
      <w:r>
        <w:rPr>
          <w:lang w:val="es-MX"/>
        </w:rPr>
        <w:t>.</w:t>
      </w:r>
      <w:r w:rsidR="003B2B85">
        <w:rPr>
          <w:lang w:val="es-MX"/>
        </w:rPr>
        <w:t>9</w:t>
      </w:r>
      <w:r w:rsidRPr="00157924">
        <w:rPr>
          <w:lang w:val="es-MX"/>
        </w:rPr>
        <w:t>%.</w:t>
      </w:r>
    </w:p>
    <w:p w14:paraId="2B3C4364" w14:textId="77777777" w:rsidR="005F38A6" w:rsidRPr="00272B14" w:rsidRDefault="005F38A6" w:rsidP="005F38A6">
      <w:pPr>
        <w:spacing w:line="23" w:lineRule="atLeast"/>
        <w:ind w:right="49"/>
        <w:contextualSpacing/>
        <w:jc w:val="both"/>
        <w:rPr>
          <w:lang w:val="es-MX"/>
        </w:rPr>
      </w:pPr>
    </w:p>
    <w:p w14:paraId="41F21E08" w14:textId="3198D96E" w:rsidR="005F38A6" w:rsidRPr="00157924" w:rsidRDefault="005F38A6" w:rsidP="005F38A6">
      <w:pPr>
        <w:ind w:right="49"/>
        <w:jc w:val="both"/>
        <w:rPr>
          <w:lang w:val="es-MX"/>
        </w:rPr>
      </w:pPr>
      <w:r w:rsidRPr="00157924">
        <w:rPr>
          <w:lang w:val="es-MX"/>
        </w:rPr>
        <w:t xml:space="preserve">Igualmente, se realizó un choque a la tasa de interés real, el cual es sensible a la volatilidad de los mercados financieros y a las decisiones en materia de política monetaria. Para el efecto, se consideró un aumento de </w:t>
      </w:r>
      <w:r>
        <w:rPr>
          <w:lang w:val="es-MX"/>
        </w:rPr>
        <w:t>300</w:t>
      </w:r>
      <w:r w:rsidRPr="00157924">
        <w:rPr>
          <w:lang w:val="es-MX"/>
        </w:rPr>
        <w:t xml:space="preserve"> puntos básicos en la tasa de interés real promedio que paga el gobierno en sus obligaciones en </w:t>
      </w:r>
      <w:r>
        <w:rPr>
          <w:lang w:val="es-MX"/>
        </w:rPr>
        <w:t>2024</w:t>
      </w:r>
      <w:r w:rsidRPr="00157924">
        <w:rPr>
          <w:lang w:val="es-MX"/>
        </w:rPr>
        <w:t xml:space="preserve"> y se mantiene constante hasta el </w:t>
      </w:r>
      <w:r>
        <w:rPr>
          <w:lang w:val="es-MX"/>
        </w:rPr>
        <w:t>2028</w:t>
      </w:r>
      <w:r w:rsidRPr="00157924">
        <w:rPr>
          <w:lang w:val="es-MX"/>
        </w:rPr>
        <w:t xml:space="preserve">. El efecto para </w:t>
      </w:r>
      <w:r>
        <w:rPr>
          <w:lang w:val="es-MX"/>
        </w:rPr>
        <w:t>2024</w:t>
      </w:r>
      <w:r w:rsidRPr="00157924">
        <w:rPr>
          <w:lang w:val="es-MX"/>
        </w:rPr>
        <w:t xml:space="preserve">, se estima que será mínimo debido a que la mayor parte de la deuda se tiene contratada a tasa fija, por lo que el principal ajuste se obtendrá en los años siguientes con la contratación de nueva deuda o el repago de esta. De esa cuenta, para </w:t>
      </w:r>
      <w:r>
        <w:rPr>
          <w:lang w:val="es-MX"/>
        </w:rPr>
        <w:t>2024</w:t>
      </w:r>
      <w:r w:rsidRPr="00157924">
        <w:rPr>
          <w:lang w:val="es-MX"/>
        </w:rPr>
        <w:t xml:space="preserve"> la deuda/PIB aumentaría a </w:t>
      </w:r>
      <w:r>
        <w:rPr>
          <w:lang w:val="es-MX"/>
        </w:rPr>
        <w:t>28.</w:t>
      </w:r>
      <w:r w:rsidR="003B2B85">
        <w:rPr>
          <w:lang w:val="es-MX"/>
        </w:rPr>
        <w:t>5</w:t>
      </w:r>
      <w:r w:rsidRPr="00157924">
        <w:rPr>
          <w:lang w:val="es-MX"/>
        </w:rPr>
        <w:t xml:space="preserve">% y para el cierre 2027 podría ubicarse en </w:t>
      </w:r>
      <w:r>
        <w:rPr>
          <w:lang w:val="es-MX"/>
        </w:rPr>
        <w:t>25.</w:t>
      </w:r>
      <w:r w:rsidR="003B2B85">
        <w:rPr>
          <w:lang w:val="es-MX"/>
        </w:rPr>
        <w:t>0</w:t>
      </w:r>
      <w:r w:rsidRPr="00157924">
        <w:rPr>
          <w:lang w:val="es-MX"/>
        </w:rPr>
        <w:t xml:space="preserve">% del PIB.  </w:t>
      </w:r>
    </w:p>
    <w:p w14:paraId="0076F66C" w14:textId="77777777" w:rsidR="005F38A6" w:rsidRPr="00272B14" w:rsidRDefault="005F38A6" w:rsidP="005F38A6">
      <w:pPr>
        <w:spacing w:line="23" w:lineRule="atLeast"/>
        <w:ind w:right="49"/>
        <w:contextualSpacing/>
        <w:jc w:val="both"/>
        <w:rPr>
          <w:lang w:val="es-MX"/>
        </w:rPr>
      </w:pPr>
    </w:p>
    <w:p w14:paraId="6ED834B8" w14:textId="7C981AF3" w:rsidR="005F38A6" w:rsidRPr="00157924" w:rsidRDefault="005F38A6" w:rsidP="005F38A6">
      <w:pPr>
        <w:ind w:right="49"/>
        <w:jc w:val="both"/>
        <w:rPr>
          <w:lang w:val="es-MX"/>
        </w:rPr>
      </w:pPr>
      <w:r w:rsidRPr="00157924">
        <w:rPr>
          <w:lang w:val="es-MX"/>
        </w:rPr>
        <w:t xml:space="preserve">Por último, se considera un efecto combinado de los diferentes choques y se estima que para </w:t>
      </w:r>
      <w:r>
        <w:rPr>
          <w:lang w:val="es-MX"/>
        </w:rPr>
        <w:t>2024</w:t>
      </w:r>
      <w:r w:rsidRPr="00157924">
        <w:rPr>
          <w:lang w:val="es-MX"/>
        </w:rPr>
        <w:t xml:space="preserve"> la razón deuda/PIB podría ascender a </w:t>
      </w:r>
      <w:r>
        <w:rPr>
          <w:lang w:val="es-MX"/>
        </w:rPr>
        <w:t>30.1</w:t>
      </w:r>
      <w:r w:rsidRPr="00157924">
        <w:rPr>
          <w:lang w:val="es-MX"/>
        </w:rPr>
        <w:t xml:space="preserve">% y para el año </w:t>
      </w:r>
      <w:r>
        <w:rPr>
          <w:lang w:val="es-MX"/>
        </w:rPr>
        <w:t>2028</w:t>
      </w:r>
      <w:r w:rsidRPr="00157924">
        <w:rPr>
          <w:lang w:val="es-MX"/>
        </w:rPr>
        <w:t xml:space="preserve"> podría ubicarse, si todos los choques se dan al unísono, en </w:t>
      </w:r>
      <w:r>
        <w:rPr>
          <w:lang w:val="es-MX"/>
        </w:rPr>
        <w:t>28.</w:t>
      </w:r>
      <w:r w:rsidR="003B2B85">
        <w:rPr>
          <w:lang w:val="es-MX"/>
        </w:rPr>
        <w:t>5</w:t>
      </w:r>
      <w:r w:rsidRPr="00157924">
        <w:rPr>
          <w:lang w:val="es-MX"/>
        </w:rPr>
        <w:t>%.</w:t>
      </w:r>
    </w:p>
    <w:p w14:paraId="776B6C7B" w14:textId="77777777" w:rsidR="005F38A6" w:rsidRPr="00272B14" w:rsidRDefault="005F38A6" w:rsidP="005F38A6">
      <w:pPr>
        <w:spacing w:line="23" w:lineRule="atLeast"/>
        <w:ind w:right="49"/>
        <w:contextualSpacing/>
        <w:jc w:val="both"/>
        <w:rPr>
          <w:lang w:val="es-MX"/>
        </w:rPr>
      </w:pPr>
    </w:p>
    <w:p w14:paraId="6F2D96CD" w14:textId="5523F8EA" w:rsidR="005F38A6" w:rsidRDefault="005F38A6" w:rsidP="005F38A6">
      <w:pPr>
        <w:ind w:right="49"/>
        <w:jc w:val="both"/>
        <w:rPr>
          <w:lang w:val="es-MX"/>
        </w:rPr>
      </w:pPr>
      <w:r w:rsidRPr="00157924">
        <w:rPr>
          <w:lang w:val="es-MX"/>
        </w:rPr>
        <w:lastRenderedPageBreak/>
        <w:t xml:space="preserve">De la misma forma, se analizó la relación deuda/ingresos fiscales.  El indicador en el escenario base es decreciente, de tal manera que se espera que para </w:t>
      </w:r>
      <w:r>
        <w:rPr>
          <w:lang w:val="es-MX"/>
        </w:rPr>
        <w:t>2024</w:t>
      </w:r>
      <w:r w:rsidRPr="00157924">
        <w:rPr>
          <w:lang w:val="es-MX"/>
        </w:rPr>
        <w:t xml:space="preserve"> se encuentre </w:t>
      </w:r>
      <w:r>
        <w:rPr>
          <w:lang w:val="es-MX"/>
        </w:rPr>
        <w:t xml:space="preserve">en </w:t>
      </w:r>
      <w:r w:rsidRPr="00157924">
        <w:rPr>
          <w:lang w:val="es-MX"/>
        </w:rPr>
        <w:t xml:space="preserve">alrededor de </w:t>
      </w:r>
      <w:r>
        <w:rPr>
          <w:lang w:val="es-MX"/>
        </w:rPr>
        <w:t>2</w:t>
      </w:r>
      <w:r w:rsidR="0002461D">
        <w:rPr>
          <w:lang w:val="es-MX"/>
        </w:rPr>
        <w:t>30</w:t>
      </w:r>
      <w:r>
        <w:rPr>
          <w:lang w:val="es-MX"/>
        </w:rPr>
        <w:t>.6</w:t>
      </w:r>
      <w:r w:rsidRPr="00157924">
        <w:rPr>
          <w:lang w:val="es-MX"/>
        </w:rPr>
        <w:t>%, y para 2</w:t>
      </w:r>
      <w:r>
        <w:rPr>
          <w:lang w:val="es-MX"/>
        </w:rPr>
        <w:t>028</w:t>
      </w:r>
      <w:r w:rsidRPr="00157924">
        <w:rPr>
          <w:lang w:val="es-MX"/>
        </w:rPr>
        <w:t xml:space="preserve"> se prevé podría ubicase en </w:t>
      </w:r>
      <w:r w:rsidR="0002461D">
        <w:rPr>
          <w:lang w:val="es-MX"/>
        </w:rPr>
        <w:t>188.1</w:t>
      </w:r>
      <w:r w:rsidRPr="00157924">
        <w:rPr>
          <w:lang w:val="es-MX"/>
        </w:rPr>
        <w:t xml:space="preserve">%.  Aplicando las pruebas de tensión para el escenario de un shock combinado, debido al aumento del déficit fiscal y el deterioro de los otros determinantes de la deuda, el indicador podría alcanzar un valor de </w:t>
      </w:r>
      <w:r w:rsidR="0002461D">
        <w:rPr>
          <w:lang w:val="es-MX"/>
        </w:rPr>
        <w:t>245.2</w:t>
      </w:r>
      <w:r w:rsidRPr="00157924">
        <w:rPr>
          <w:lang w:val="es-MX"/>
        </w:rPr>
        <w:t xml:space="preserve">% en </w:t>
      </w:r>
      <w:r>
        <w:rPr>
          <w:lang w:val="es-MX"/>
        </w:rPr>
        <w:t>2024</w:t>
      </w:r>
      <w:r w:rsidRPr="00157924">
        <w:rPr>
          <w:lang w:val="es-MX"/>
        </w:rPr>
        <w:t xml:space="preserve"> y podría disminuir a </w:t>
      </w:r>
      <w:r>
        <w:rPr>
          <w:lang w:val="es-MX"/>
        </w:rPr>
        <w:t>22</w:t>
      </w:r>
      <w:r w:rsidR="0002461D">
        <w:rPr>
          <w:lang w:val="es-MX"/>
        </w:rPr>
        <w:t>5.5</w:t>
      </w:r>
      <w:r w:rsidRPr="00157924">
        <w:rPr>
          <w:lang w:val="es-MX"/>
        </w:rPr>
        <w:t xml:space="preserve">% en </w:t>
      </w:r>
      <w:r>
        <w:rPr>
          <w:lang w:val="es-MX"/>
        </w:rPr>
        <w:t>2028</w:t>
      </w:r>
      <w:r w:rsidRPr="00157924">
        <w:rPr>
          <w:lang w:val="es-MX"/>
        </w:rPr>
        <w:t>.</w:t>
      </w:r>
    </w:p>
    <w:p w14:paraId="42FF3ADF" w14:textId="77777777" w:rsidR="005F38A6" w:rsidRDefault="005F38A6" w:rsidP="005F38A6">
      <w:pPr>
        <w:spacing w:line="23" w:lineRule="atLeast"/>
        <w:ind w:left="567" w:right="49"/>
        <w:contextualSpacing/>
        <w:jc w:val="both"/>
        <w:rPr>
          <w:lang w:val="es-MX"/>
        </w:rPr>
      </w:pPr>
    </w:p>
    <w:p w14:paraId="5482555A" w14:textId="77777777" w:rsidR="005F38A6" w:rsidRPr="00157924" w:rsidRDefault="005F38A6" w:rsidP="005F38A6">
      <w:pPr>
        <w:ind w:right="49"/>
        <w:jc w:val="both"/>
        <w:rPr>
          <w:lang w:val="es-MX"/>
        </w:rPr>
      </w:pPr>
      <w:r w:rsidRPr="00157924">
        <w:rPr>
          <w:lang w:val="es-MX"/>
        </w:rPr>
        <w:t xml:space="preserve">Por otro lado, se realizó el análisis de sostenibilidad de deuda pública bajo un enfoque estocástico sobre los determinantes macro fiscales de la proporción de deuda pública sobre PIB. Con esta metodología se busca determinar la distribución de probabilidades de las sendas de trayectoria de la deuda pública en un determinado horizonte de proyección. El desarrollo de este enfoque reconoce explícitamente la existencia de un grado de incertidumbre acerca de las futuras condiciones macroeconómicas y de la política fiscal. Este instrumento mejora la comprensión y transparencia acerca de los riesgos en torno a la dinámica de la deuda pública. </w:t>
      </w:r>
    </w:p>
    <w:p w14:paraId="73275EF8" w14:textId="77777777" w:rsidR="002F0D44" w:rsidRDefault="002F0D44" w:rsidP="005F38A6">
      <w:pPr>
        <w:ind w:right="49"/>
        <w:jc w:val="both"/>
        <w:rPr>
          <w:lang w:val="es-MX"/>
        </w:rPr>
      </w:pPr>
    </w:p>
    <w:p w14:paraId="5B6F6A39" w14:textId="3259A20A" w:rsidR="005F38A6" w:rsidRPr="002F0D44" w:rsidRDefault="002F0D44" w:rsidP="002F0D44">
      <w:pPr>
        <w:pStyle w:val="Descripcin"/>
        <w:jc w:val="left"/>
        <w:rPr>
          <w:b w:val="0"/>
          <w:bCs/>
          <w:color w:val="auto"/>
        </w:rPr>
      </w:pPr>
      <w:bookmarkStart w:id="318" w:name="_Toc143593596"/>
      <w:r w:rsidRPr="002F0D44">
        <w:rPr>
          <w:color w:val="auto"/>
        </w:rPr>
        <w:t xml:space="preserve">Gráfico </w:t>
      </w:r>
      <w:r w:rsidRPr="002F0D44">
        <w:rPr>
          <w:color w:val="auto"/>
        </w:rPr>
        <w:fldChar w:fldCharType="begin"/>
      </w:r>
      <w:r w:rsidRPr="002F0D44">
        <w:rPr>
          <w:color w:val="auto"/>
        </w:rPr>
        <w:instrText xml:space="preserve"> SEQ Gráfico \* ARABIC </w:instrText>
      </w:r>
      <w:r w:rsidRPr="002F0D44">
        <w:rPr>
          <w:color w:val="auto"/>
        </w:rPr>
        <w:fldChar w:fldCharType="separate"/>
      </w:r>
      <w:r w:rsidR="00A62AFA">
        <w:rPr>
          <w:noProof/>
          <w:color w:val="auto"/>
        </w:rPr>
        <w:t>38</w:t>
      </w:r>
      <w:r w:rsidRPr="002F0D44">
        <w:rPr>
          <w:color w:val="auto"/>
        </w:rPr>
        <w:fldChar w:fldCharType="end"/>
      </w:r>
      <w:r w:rsidRPr="002F0D44">
        <w:rPr>
          <w:color w:val="auto"/>
        </w:rPr>
        <w:t xml:space="preserve">.  </w:t>
      </w:r>
      <w:bookmarkStart w:id="319" w:name="_Toc114493880"/>
      <w:r w:rsidRPr="002F0D44">
        <w:rPr>
          <w:bCs/>
          <w:color w:val="auto"/>
        </w:rPr>
        <w:t>Pruebas de tensión para el Análisis de Sostenibilidad de la Deuda</w:t>
      </w:r>
      <w:bookmarkEnd w:id="318"/>
      <w:bookmarkEnd w:id="319"/>
    </w:p>
    <w:p w14:paraId="5C4AF9CD" w14:textId="77777777" w:rsidR="005F38A6" w:rsidRPr="000E35D2" w:rsidRDefault="005F38A6" w:rsidP="005F38A6">
      <w:pPr>
        <w:ind w:left="567" w:right="49"/>
        <w:jc w:val="center"/>
        <w:rPr>
          <w:sz w:val="22"/>
        </w:rPr>
      </w:pPr>
      <w:r w:rsidRPr="000E35D2">
        <w:rPr>
          <w:sz w:val="22"/>
        </w:rPr>
        <w:t>En porcentaje del PIB</w:t>
      </w:r>
    </w:p>
    <w:p w14:paraId="435E194B" w14:textId="58E6EE1B" w:rsidR="005F38A6" w:rsidRPr="000E35D2" w:rsidRDefault="00820C09" w:rsidP="005F38A6">
      <w:pPr>
        <w:jc w:val="center"/>
      </w:pPr>
      <w:r>
        <w:rPr>
          <w:noProof/>
        </w:rPr>
        <w:drawing>
          <wp:inline distT="0" distB="0" distL="0" distR="0" wp14:anchorId="2E4973A0" wp14:editId="0AA4ECC2">
            <wp:extent cx="5612130" cy="3381375"/>
            <wp:effectExtent l="0" t="0" r="7620" b="9525"/>
            <wp:docPr id="1889938856" name="Imagen 46">
              <a:extLst xmlns:a="http://schemas.openxmlformats.org/drawingml/2006/main">
                <a:ext uri="{FF2B5EF4-FFF2-40B4-BE49-F238E27FC236}">
                  <a16:creationId xmlns:a16="http://schemas.microsoft.com/office/drawing/2014/main" id="{00000000-0008-0000-08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00000000-0008-0000-0800-00002F000000}"/>
                        </a:ext>
                      </a:extLst>
                    </pic:cNvPr>
                    <pic:cNvPicPr>
                      <a:picLocks noChangeAspect="1" noChangeArrowheads="1"/>
                      <a:extLst>
                        <a:ext uri="{84589F7E-364E-4C9E-8A38-B11213B215E9}">
                          <a14:cameraTool xmlns:a14="http://schemas.microsoft.com/office/drawing/2010/main" cellRange="'Output-choques'!$C$2:$S$42" spid="_x0000_s167165"/>
                        </a:ext>
                      </a:extLst>
                    </pic:cNvPicPr>
                  </pic:nvPicPr>
                  <pic:blipFill>
                    <a:blip r:embed="rId92"/>
                    <a:srcRect/>
                    <a:stretch>
                      <a:fillRect/>
                    </a:stretch>
                  </pic:blipFill>
                  <pic:spPr bwMode="auto">
                    <a:xfrm>
                      <a:off x="0" y="0"/>
                      <a:ext cx="5612130" cy="3381375"/>
                    </a:xfrm>
                    <a:prstGeom prst="rect">
                      <a:avLst/>
                    </a:prstGeom>
                    <a:noFill/>
                  </pic:spPr>
                </pic:pic>
              </a:graphicData>
            </a:graphic>
          </wp:inline>
        </w:drawing>
      </w:r>
    </w:p>
    <w:p w14:paraId="0BFD3AB3" w14:textId="77777777" w:rsidR="005F38A6" w:rsidRPr="002846D1" w:rsidRDefault="005F38A6" w:rsidP="005F38A6">
      <w:pPr>
        <w:ind w:right="49"/>
        <w:jc w:val="both"/>
        <w:rPr>
          <w:sz w:val="16"/>
          <w:szCs w:val="22"/>
        </w:rPr>
      </w:pPr>
      <w:r w:rsidRPr="000E35D2">
        <w:t xml:space="preserve">             </w:t>
      </w:r>
      <w:r w:rsidRPr="000E35D2">
        <w:rPr>
          <w:sz w:val="16"/>
          <w:szCs w:val="22"/>
        </w:rPr>
        <w:t xml:space="preserve">   Fuente: </w:t>
      </w:r>
      <w:r w:rsidRPr="000E35D2">
        <w:rPr>
          <w:bCs/>
          <w:sz w:val="16"/>
          <w:szCs w:val="11"/>
        </w:rPr>
        <w:t>Ministerio de Finanzas Públicas</w:t>
      </w:r>
      <w:r w:rsidRPr="000E35D2">
        <w:rPr>
          <w:sz w:val="16"/>
          <w:szCs w:val="22"/>
        </w:rPr>
        <w:t xml:space="preserve"> con metodología del FMI</w:t>
      </w:r>
    </w:p>
    <w:p w14:paraId="0CC1A073" w14:textId="77777777" w:rsidR="005F38A6" w:rsidRPr="002846D1" w:rsidRDefault="005F38A6" w:rsidP="005F38A6">
      <w:pPr>
        <w:ind w:right="49"/>
        <w:jc w:val="both"/>
        <w:rPr>
          <w:noProof/>
          <w:szCs w:val="22"/>
        </w:rPr>
      </w:pPr>
    </w:p>
    <w:p w14:paraId="7B3510D3" w14:textId="77777777" w:rsidR="005F38A6" w:rsidRPr="00FE445D" w:rsidRDefault="005F38A6" w:rsidP="005F38A6">
      <w:pPr>
        <w:ind w:right="49"/>
        <w:jc w:val="both"/>
        <w:rPr>
          <w:lang w:val="es-MX"/>
        </w:rPr>
      </w:pPr>
      <w:bookmarkStart w:id="320" w:name="_Hlk125017276"/>
      <w:r w:rsidRPr="00FE445D">
        <w:rPr>
          <w:lang w:val="es-MX"/>
        </w:rPr>
        <w:t xml:space="preserve">Por otro lado, se realizó el análisis de sostenibilidad de deuda pública bajo un enfoque estocástico sobre los determinantes macro fiscales de la proporción de deuda pública sobre PIB. Con esta metodología se busca determinar la distribución de probabilidades de las sendas de trayectoria de la deuda pública en un determinado horizonte de proyección. El desarrollo de este enfoque reconoce explícitamente la existencia de un grado de incertidumbre acerca de las futuras condiciones macroeconómicas y de la política fiscal. Este instrumento mejora la comprensión y transparencia acerca de los riesgos en torno a la dinámica de la deuda pública. </w:t>
      </w:r>
    </w:p>
    <w:p w14:paraId="3DD35F92" w14:textId="77777777" w:rsidR="005F38A6" w:rsidRPr="00FE445D" w:rsidRDefault="005F38A6" w:rsidP="005F38A6">
      <w:pPr>
        <w:ind w:right="49"/>
        <w:jc w:val="both"/>
        <w:rPr>
          <w:lang w:val="es-MX"/>
        </w:rPr>
      </w:pPr>
    </w:p>
    <w:bookmarkEnd w:id="320"/>
    <w:p w14:paraId="710633AF" w14:textId="77777777" w:rsidR="005F38A6" w:rsidRPr="00157924" w:rsidRDefault="005F38A6" w:rsidP="005F38A6">
      <w:pPr>
        <w:ind w:right="49"/>
        <w:jc w:val="both"/>
        <w:rPr>
          <w:lang w:val="es-MX"/>
        </w:rPr>
      </w:pPr>
      <w:r w:rsidRPr="00074C8D">
        <w:rPr>
          <w:lang w:val="es-MX"/>
        </w:rPr>
        <w:t>Para</w:t>
      </w:r>
      <w:r w:rsidRPr="00157924">
        <w:rPr>
          <w:lang w:val="es-MX"/>
        </w:rPr>
        <w:t xml:space="preserve"> el efecto, se utilizó un Fan Chart (gráfica de abanico) el cual proporciona una vista probabilística de la incertidumbre en torno a la línea de base. Si bien las pruebas de resistencia presentadas anteriormente evalúan la sensibilidad de la dinámica de la deuda a variables clave exógenas y de política, los Fan Chart muestran un espectro de posibles resultados basados en las propiedades estocásticas del comportamiento de las variables determinantes en un país. En particular, los gráficos incorporan retroalimentación entre las variables macroeconómicas que impulsan la dinámica de la deuda y se basa en datos históricos para calibrar la persistencia de los shocks.</w:t>
      </w:r>
    </w:p>
    <w:p w14:paraId="15F9C400" w14:textId="77777777" w:rsidR="005F38A6" w:rsidRPr="00157924" w:rsidRDefault="005F38A6" w:rsidP="005F38A6">
      <w:pPr>
        <w:spacing w:line="23" w:lineRule="atLeast"/>
        <w:ind w:left="567" w:right="49"/>
        <w:contextualSpacing/>
        <w:jc w:val="both"/>
        <w:rPr>
          <w:lang w:val="es-MX"/>
        </w:rPr>
      </w:pPr>
    </w:p>
    <w:p w14:paraId="29E0FE8E" w14:textId="7BA63567" w:rsidR="005F38A6" w:rsidRPr="00157924" w:rsidRDefault="005F38A6" w:rsidP="005F38A6">
      <w:pPr>
        <w:ind w:right="49"/>
        <w:jc w:val="both"/>
        <w:rPr>
          <w:lang w:val="es-MX"/>
        </w:rPr>
      </w:pPr>
      <w:r w:rsidRPr="00157924">
        <w:rPr>
          <w:lang w:val="es-MX"/>
        </w:rPr>
        <w:t xml:space="preserve">En el escenario central, el análisis estocástico de la deuda pública permite evidenciar </w:t>
      </w:r>
      <w:r>
        <w:rPr>
          <w:lang w:val="es-MX"/>
        </w:rPr>
        <w:t>una reducción</w:t>
      </w:r>
      <w:r w:rsidRPr="00157924">
        <w:rPr>
          <w:lang w:val="es-MX"/>
        </w:rPr>
        <w:t xml:space="preserve"> gradual en la proporción de deuda sobre PIB y una posterior estabilización en torno al </w:t>
      </w:r>
      <w:r>
        <w:rPr>
          <w:lang w:val="es-MX"/>
        </w:rPr>
        <w:t>2</w:t>
      </w:r>
      <w:r w:rsidR="00A05C8B">
        <w:rPr>
          <w:lang w:val="es-MX"/>
        </w:rPr>
        <w:t>3.8</w:t>
      </w:r>
      <w:r w:rsidRPr="00157924">
        <w:rPr>
          <w:lang w:val="es-MX"/>
        </w:rPr>
        <w:t xml:space="preserve">% del PIB en </w:t>
      </w:r>
      <w:r>
        <w:rPr>
          <w:lang w:val="es-MX"/>
        </w:rPr>
        <w:t>2028</w:t>
      </w:r>
      <w:r w:rsidRPr="00157924">
        <w:rPr>
          <w:lang w:val="es-MX"/>
        </w:rPr>
        <w:t xml:space="preserve">. Considerando el comportamiento de la deuda y los diferentes choques internos y externos que podrían experimentarse, se estima que hay una probabilidad del 50% que la deuda pública pueda situarse entre </w:t>
      </w:r>
      <w:r>
        <w:rPr>
          <w:lang w:val="es-MX"/>
        </w:rPr>
        <w:t>2</w:t>
      </w:r>
      <w:r w:rsidR="00A05C8B">
        <w:rPr>
          <w:lang w:val="es-MX"/>
        </w:rPr>
        <w:t>1.1</w:t>
      </w:r>
      <w:r w:rsidRPr="00157924">
        <w:rPr>
          <w:lang w:val="es-MX"/>
        </w:rPr>
        <w:t xml:space="preserve">% y </w:t>
      </w:r>
      <w:r>
        <w:rPr>
          <w:lang w:val="es-MX"/>
        </w:rPr>
        <w:t>2</w:t>
      </w:r>
      <w:r w:rsidR="00A05C8B">
        <w:rPr>
          <w:lang w:val="es-MX"/>
        </w:rPr>
        <w:t>6.5</w:t>
      </w:r>
      <w:r w:rsidRPr="00157924">
        <w:rPr>
          <w:lang w:val="es-MX"/>
        </w:rPr>
        <w:t xml:space="preserve">% al final del período de análisis. Asimismo, hay una probabilidad del 90% que la deuda pública se ubique para </w:t>
      </w:r>
      <w:r>
        <w:rPr>
          <w:lang w:val="es-MX"/>
        </w:rPr>
        <w:t>2024</w:t>
      </w:r>
      <w:r w:rsidRPr="00157924">
        <w:rPr>
          <w:lang w:val="es-MX"/>
        </w:rPr>
        <w:t xml:space="preserve"> entre </w:t>
      </w:r>
      <w:r>
        <w:rPr>
          <w:lang w:val="es-MX"/>
        </w:rPr>
        <w:t>2</w:t>
      </w:r>
      <w:r w:rsidR="00A05C8B">
        <w:rPr>
          <w:lang w:val="es-MX"/>
        </w:rPr>
        <w:t>4.1</w:t>
      </w:r>
      <w:r w:rsidRPr="00157924">
        <w:rPr>
          <w:lang w:val="es-MX"/>
        </w:rPr>
        <w:t>% y 3</w:t>
      </w:r>
      <w:r>
        <w:rPr>
          <w:lang w:val="es-MX"/>
        </w:rPr>
        <w:t>2.</w:t>
      </w:r>
      <w:r w:rsidR="00A05C8B">
        <w:rPr>
          <w:lang w:val="es-MX"/>
        </w:rPr>
        <w:t>0</w:t>
      </w:r>
      <w:r w:rsidRPr="00157924">
        <w:rPr>
          <w:lang w:val="es-MX"/>
        </w:rPr>
        <w:t xml:space="preserve">%.  Para finales de </w:t>
      </w:r>
      <w:r>
        <w:rPr>
          <w:lang w:val="es-MX"/>
        </w:rPr>
        <w:t>2028</w:t>
      </w:r>
      <w:r w:rsidRPr="00157924">
        <w:rPr>
          <w:lang w:val="es-MX"/>
        </w:rPr>
        <w:t xml:space="preserve">, igualmente se esperaría que con una probabilidad del 90.0%, la relación deuda / PIB se encuentre entre </w:t>
      </w:r>
      <w:r>
        <w:rPr>
          <w:lang w:val="es-MX"/>
        </w:rPr>
        <w:t>17.</w:t>
      </w:r>
      <w:r w:rsidR="00A05C8B">
        <w:rPr>
          <w:lang w:val="es-MX"/>
        </w:rPr>
        <w:t>3</w:t>
      </w:r>
      <w:r w:rsidRPr="00157924">
        <w:rPr>
          <w:lang w:val="es-MX"/>
        </w:rPr>
        <w:t xml:space="preserve">% y </w:t>
      </w:r>
      <w:r>
        <w:rPr>
          <w:lang w:val="es-MX"/>
        </w:rPr>
        <w:t>30.</w:t>
      </w:r>
      <w:r w:rsidR="00A05C8B">
        <w:rPr>
          <w:lang w:val="es-MX"/>
        </w:rPr>
        <w:t>6</w:t>
      </w:r>
      <w:r w:rsidRPr="00157924">
        <w:rPr>
          <w:lang w:val="es-MX"/>
        </w:rPr>
        <w:t>%.</w:t>
      </w:r>
    </w:p>
    <w:p w14:paraId="37925D29" w14:textId="77777777" w:rsidR="005F38A6" w:rsidRDefault="005F38A6" w:rsidP="005F38A6">
      <w:pPr>
        <w:ind w:right="49"/>
        <w:jc w:val="both"/>
        <w:rPr>
          <w:lang w:val="es-MX"/>
        </w:rPr>
      </w:pPr>
    </w:p>
    <w:tbl>
      <w:tblPr>
        <w:tblW w:w="9567" w:type="dxa"/>
        <w:jc w:val="center"/>
        <w:tblCellMar>
          <w:left w:w="70" w:type="dxa"/>
          <w:right w:w="70" w:type="dxa"/>
        </w:tblCellMar>
        <w:tblLook w:val="04A0" w:firstRow="1" w:lastRow="0" w:firstColumn="1" w:lastColumn="0" w:noHBand="0" w:noVBand="1"/>
      </w:tblPr>
      <w:tblGrid>
        <w:gridCol w:w="9567"/>
      </w:tblGrid>
      <w:tr w:rsidR="005F38A6" w:rsidRPr="002846D1" w14:paraId="0E35F2BC" w14:textId="77777777" w:rsidTr="006A7377">
        <w:trPr>
          <w:trHeight w:val="3381"/>
          <w:jc w:val="center"/>
        </w:trPr>
        <w:tc>
          <w:tcPr>
            <w:tcW w:w="9567" w:type="dxa"/>
          </w:tcPr>
          <w:p w14:paraId="050CC3FE" w14:textId="03BAF37C" w:rsidR="005F38A6" w:rsidRPr="002F0D44" w:rsidRDefault="002F0D44" w:rsidP="002F0D44">
            <w:pPr>
              <w:pStyle w:val="Descripcin"/>
              <w:rPr>
                <w:b w:val="0"/>
                <w:bCs/>
                <w:color w:val="auto"/>
              </w:rPr>
            </w:pPr>
            <w:bookmarkStart w:id="321" w:name="_Toc143593597"/>
            <w:r w:rsidRPr="002F0D44">
              <w:rPr>
                <w:color w:val="auto"/>
              </w:rPr>
              <w:t xml:space="preserve">Gráfico </w:t>
            </w:r>
            <w:r w:rsidRPr="002F0D44">
              <w:rPr>
                <w:color w:val="auto"/>
              </w:rPr>
              <w:fldChar w:fldCharType="begin"/>
            </w:r>
            <w:r w:rsidRPr="002F0D44">
              <w:rPr>
                <w:color w:val="auto"/>
              </w:rPr>
              <w:instrText xml:space="preserve"> SEQ Gráfico \* ARABIC </w:instrText>
            </w:r>
            <w:r w:rsidRPr="002F0D44">
              <w:rPr>
                <w:color w:val="auto"/>
              </w:rPr>
              <w:fldChar w:fldCharType="separate"/>
            </w:r>
            <w:r w:rsidR="00A62AFA">
              <w:rPr>
                <w:noProof/>
                <w:color w:val="auto"/>
              </w:rPr>
              <w:t>39</w:t>
            </w:r>
            <w:r w:rsidRPr="002F0D44">
              <w:rPr>
                <w:color w:val="auto"/>
              </w:rPr>
              <w:fldChar w:fldCharType="end"/>
            </w:r>
            <w:r w:rsidRPr="002F0D44">
              <w:rPr>
                <w:color w:val="auto"/>
              </w:rPr>
              <w:t xml:space="preserve">. </w:t>
            </w:r>
            <w:bookmarkStart w:id="322" w:name="_Toc114493881"/>
            <w:r w:rsidRPr="002F0D44">
              <w:rPr>
                <w:bCs/>
                <w:color w:val="auto"/>
              </w:rPr>
              <w:t>Trayectoria de la Deuda Pública (Fan chart)</w:t>
            </w:r>
            <w:bookmarkEnd w:id="321"/>
            <w:bookmarkEnd w:id="322"/>
          </w:p>
          <w:p w14:paraId="55C78F6F" w14:textId="77777777" w:rsidR="005F38A6" w:rsidRPr="002846D1" w:rsidRDefault="005F38A6" w:rsidP="004A12A1">
            <w:pPr>
              <w:ind w:left="567" w:right="49"/>
              <w:jc w:val="center"/>
              <w:rPr>
                <w:sz w:val="22"/>
              </w:rPr>
            </w:pPr>
            <w:r w:rsidRPr="002846D1">
              <w:rPr>
                <w:sz w:val="22"/>
              </w:rPr>
              <w:t>En porcentaje del PIB</w:t>
            </w:r>
          </w:p>
          <w:p w14:paraId="63D67CF3" w14:textId="77777777" w:rsidR="005F38A6" w:rsidRPr="002846D1" w:rsidRDefault="005F38A6" w:rsidP="006A7377">
            <w:pPr>
              <w:ind w:left="567" w:right="49"/>
            </w:pPr>
            <w:r>
              <w:rPr>
                <w:noProof/>
              </w:rPr>
              <w:drawing>
                <wp:inline distT="0" distB="0" distL="0" distR="0" wp14:anchorId="0D735A22" wp14:editId="1B37B529">
                  <wp:extent cx="5030470" cy="2295525"/>
                  <wp:effectExtent l="0" t="0" r="0" b="0"/>
                  <wp:docPr id="57" name="Gráfico 57">
                    <a:extLst xmlns:a="http://schemas.openxmlformats.org/drawingml/2006/main">
                      <a:ext uri="{FF2B5EF4-FFF2-40B4-BE49-F238E27FC236}">
                        <a16:creationId xmlns:a16="http://schemas.microsoft.com/office/drawing/2014/main" id="{00000000-0008-0000-08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6845822" w14:textId="77777777" w:rsidR="005F38A6" w:rsidRPr="002846D1" w:rsidRDefault="005F38A6" w:rsidP="006A7377">
            <w:pPr>
              <w:ind w:right="49"/>
            </w:pPr>
            <w:r w:rsidRPr="002846D1">
              <w:t xml:space="preserve">                      </w:t>
            </w:r>
            <w:r w:rsidRPr="002846D1">
              <w:rPr>
                <w:sz w:val="16"/>
                <w:szCs w:val="22"/>
              </w:rPr>
              <w:t xml:space="preserve">Fuente: </w:t>
            </w:r>
            <w:r w:rsidRPr="002846D1">
              <w:rPr>
                <w:bCs/>
                <w:sz w:val="16"/>
                <w:szCs w:val="11"/>
              </w:rPr>
              <w:t>Ministerio de Finanzas Públicas</w:t>
            </w:r>
            <w:r w:rsidRPr="002846D1">
              <w:rPr>
                <w:sz w:val="16"/>
                <w:szCs w:val="22"/>
              </w:rPr>
              <w:t xml:space="preserve"> con metodología del FMI</w:t>
            </w:r>
          </w:p>
        </w:tc>
      </w:tr>
    </w:tbl>
    <w:p w14:paraId="46ADDCBB" w14:textId="77777777" w:rsidR="005F38A6" w:rsidRPr="002846D1" w:rsidRDefault="005F38A6" w:rsidP="005F38A6">
      <w:pPr>
        <w:ind w:right="49"/>
        <w:jc w:val="both"/>
        <w:rPr>
          <w:lang w:val="es-MX"/>
        </w:rPr>
      </w:pPr>
    </w:p>
    <w:p w14:paraId="16F9C1E3" w14:textId="77777777" w:rsidR="005F38A6" w:rsidRPr="003C3EC5" w:rsidRDefault="005F38A6" w:rsidP="005F38A6">
      <w:pPr>
        <w:ind w:right="49"/>
        <w:jc w:val="both"/>
        <w:rPr>
          <w:lang w:val="es-MX"/>
        </w:rPr>
      </w:pPr>
      <w:r w:rsidRPr="003C3EC5">
        <w:rPr>
          <w:lang w:val="es-MX"/>
        </w:rPr>
        <w:t>Para medir los riesgos de la deuda pública</w:t>
      </w:r>
      <w:r>
        <w:rPr>
          <w:lang w:val="es-MX"/>
        </w:rPr>
        <w:t>,</w:t>
      </w:r>
      <w:r w:rsidRPr="003C3EC5">
        <w:rPr>
          <w:lang w:val="es-MX"/>
        </w:rPr>
        <w:t xml:space="preserve"> el marco del Análisis de Sostenibilidad de la Deuda (ASD) propone, además de los gráficos de abanico, un mapa de calor que resume los riesgos de</w:t>
      </w:r>
      <w:r>
        <w:rPr>
          <w:lang w:val="es-MX"/>
        </w:rPr>
        <w:t xml:space="preserve"> </w:t>
      </w:r>
      <w:r w:rsidRPr="003C3EC5">
        <w:rPr>
          <w:lang w:val="es-MX"/>
        </w:rPr>
        <w:t>l</w:t>
      </w:r>
      <w:r>
        <w:rPr>
          <w:lang w:val="es-MX"/>
        </w:rPr>
        <w:t>a</w:t>
      </w:r>
      <w:r w:rsidRPr="003C3EC5">
        <w:rPr>
          <w:lang w:val="es-MX"/>
        </w:rPr>
        <w:t xml:space="preserve"> ratio deuda /PIB, de</w:t>
      </w:r>
      <w:r>
        <w:rPr>
          <w:lang w:val="es-MX"/>
        </w:rPr>
        <w:t xml:space="preserve"> </w:t>
      </w:r>
      <w:r w:rsidRPr="003C3EC5">
        <w:rPr>
          <w:lang w:val="es-MX"/>
        </w:rPr>
        <w:t>l</w:t>
      </w:r>
      <w:r>
        <w:rPr>
          <w:lang w:val="es-MX"/>
        </w:rPr>
        <w:t>a</w:t>
      </w:r>
      <w:r w:rsidRPr="003C3EC5">
        <w:rPr>
          <w:lang w:val="es-MX"/>
        </w:rPr>
        <w:t xml:space="preserve"> ratio de las necesidades brutas de financiamiento/PIB y del perfil de la deuda pública. Dado que en el escenario base y en los escenarios con choques a las variables macroeconómicas</w:t>
      </w:r>
      <w:r>
        <w:rPr>
          <w:lang w:val="es-MX"/>
        </w:rPr>
        <w:t>,</w:t>
      </w:r>
      <w:r w:rsidRPr="003C3EC5">
        <w:rPr>
          <w:lang w:val="es-MX"/>
        </w:rPr>
        <w:t xml:space="preserve"> los indicadores de deuda/PIB y las necesidades brutas de financiamiento/PIB no sobrepasan los límites de referencia propuestos por el ASD</w:t>
      </w:r>
      <w:r>
        <w:rPr>
          <w:lang w:val="es-MX"/>
        </w:rPr>
        <w:t>,</w:t>
      </w:r>
      <w:r w:rsidRPr="003C3EC5">
        <w:rPr>
          <w:lang w:val="es-MX"/>
        </w:rPr>
        <w:t xml:space="preserve"> el riesgo se considera bajo en el mediano plazo.</w:t>
      </w:r>
    </w:p>
    <w:p w14:paraId="068FCDAD" w14:textId="77777777" w:rsidR="005F38A6" w:rsidRPr="00FE445D" w:rsidRDefault="005F38A6" w:rsidP="005F38A6">
      <w:pPr>
        <w:ind w:right="49"/>
        <w:jc w:val="both"/>
        <w:rPr>
          <w:lang w:val="es-MX"/>
        </w:rPr>
      </w:pPr>
    </w:p>
    <w:p w14:paraId="55D21FC4" w14:textId="72548F17" w:rsidR="005F38A6" w:rsidRDefault="005F38A6" w:rsidP="005F38A6">
      <w:pPr>
        <w:ind w:right="49"/>
        <w:jc w:val="both"/>
        <w:rPr>
          <w:lang w:val="es-MX"/>
        </w:rPr>
      </w:pPr>
      <w:r w:rsidRPr="003C3EC5">
        <w:rPr>
          <w:lang w:val="es-MX"/>
        </w:rPr>
        <w:t xml:space="preserve">En lo que respecta al perfil de la deuda, la percepción del mercado se considera con riesgo moderado dado que el EMBI promedio de </w:t>
      </w:r>
      <w:r>
        <w:rPr>
          <w:lang w:val="es-MX"/>
        </w:rPr>
        <w:t>mayo</w:t>
      </w:r>
      <w:r w:rsidRPr="003C3EC5">
        <w:rPr>
          <w:lang w:val="es-MX"/>
        </w:rPr>
        <w:t xml:space="preserve"> a </w:t>
      </w:r>
      <w:r>
        <w:rPr>
          <w:lang w:val="es-MX"/>
        </w:rPr>
        <w:t xml:space="preserve">julio de 2023 fue </w:t>
      </w:r>
      <w:r w:rsidRPr="003C3EC5">
        <w:rPr>
          <w:lang w:val="es-MX"/>
        </w:rPr>
        <w:t xml:space="preserve">de </w:t>
      </w:r>
      <w:r>
        <w:rPr>
          <w:lang w:val="es-MX"/>
        </w:rPr>
        <w:t>235</w:t>
      </w:r>
      <w:r w:rsidRPr="003C3EC5">
        <w:rPr>
          <w:lang w:val="es-MX"/>
        </w:rPr>
        <w:t xml:space="preserve"> puntos básicos, sin embargo, este se encuentra muy cercano al límite (200 pb). El cambio en la deuda de </w:t>
      </w:r>
      <w:r w:rsidRPr="003C3EC5">
        <w:rPr>
          <w:lang w:val="es-MX"/>
        </w:rPr>
        <w:lastRenderedPageBreak/>
        <w:t xml:space="preserve">corto plazo es cercano al 0% porque la mayoría de la deuda contratada es de largo plazo. La deuda pública externa tiene riesgo moderado dado que para </w:t>
      </w:r>
      <w:r>
        <w:rPr>
          <w:lang w:val="es-MX"/>
        </w:rPr>
        <w:t>2023</w:t>
      </w:r>
      <w:r w:rsidRPr="003C3EC5">
        <w:rPr>
          <w:lang w:val="es-MX"/>
        </w:rPr>
        <w:t xml:space="preserve"> este se ubicará alrededor del </w:t>
      </w:r>
      <w:r>
        <w:rPr>
          <w:lang w:val="es-MX"/>
        </w:rPr>
        <w:t>41.</w:t>
      </w:r>
      <w:r w:rsidR="00974817">
        <w:rPr>
          <w:lang w:val="es-MX"/>
        </w:rPr>
        <w:t>4</w:t>
      </w:r>
      <w:r w:rsidRPr="003C3EC5">
        <w:rPr>
          <w:lang w:val="es-MX"/>
        </w:rPr>
        <w:t xml:space="preserve">%, no obstante, este indicador ha disminuido en el tiempo debido a que la deuda interna ha ido en aumento con respecto del total. La deuda pública en moneda extranjera tiene riesgo moderado dado que se proyecta que esta se encuentre en </w:t>
      </w:r>
      <w:r>
        <w:rPr>
          <w:lang w:val="es-MX"/>
        </w:rPr>
        <w:t>44.</w:t>
      </w:r>
      <w:r w:rsidR="00974817">
        <w:rPr>
          <w:lang w:val="es-MX"/>
        </w:rPr>
        <w:t>0</w:t>
      </w:r>
      <w:r w:rsidRPr="003C3EC5">
        <w:rPr>
          <w:lang w:val="es-MX"/>
        </w:rPr>
        <w:t xml:space="preserve">% en </w:t>
      </w:r>
      <w:r>
        <w:rPr>
          <w:lang w:val="es-MX"/>
        </w:rPr>
        <w:t>2023</w:t>
      </w:r>
      <w:r w:rsidRPr="003C3EC5">
        <w:rPr>
          <w:lang w:val="es-MX"/>
        </w:rPr>
        <w:t xml:space="preserve">, pero es importante mencionar que este indicador también ha ido en disminución y que el tipo de cambio nacional ha sido bastante estable en el largo plazo. Por lo que, el análisis sobre los resultados del mapa de calor muestra que el riesgo de la deuda pública en el mediano plazo es bajo. </w:t>
      </w:r>
    </w:p>
    <w:p w14:paraId="3C89A1C9" w14:textId="77777777" w:rsidR="004A12A1" w:rsidRDefault="004A12A1" w:rsidP="005F38A6">
      <w:pPr>
        <w:ind w:right="49"/>
        <w:jc w:val="both"/>
        <w:rPr>
          <w:lang w:val="es-MX"/>
        </w:rPr>
      </w:pPr>
    </w:p>
    <w:p w14:paraId="641148A3" w14:textId="40A419D3" w:rsidR="005F38A6" w:rsidRPr="002F0D44" w:rsidRDefault="002F0D44" w:rsidP="002F0D44">
      <w:pPr>
        <w:pStyle w:val="Descripcin"/>
        <w:keepNext/>
      </w:pPr>
      <w:bookmarkStart w:id="323" w:name="_Toc114493933"/>
      <w:bookmarkStart w:id="324" w:name="_Toc143593531"/>
      <w:r w:rsidRPr="002F0D44">
        <w:rPr>
          <w:color w:val="auto"/>
        </w:rPr>
        <w:t xml:space="preserve">Tabla </w:t>
      </w:r>
      <w:r w:rsidRPr="002F0D44">
        <w:rPr>
          <w:color w:val="auto"/>
        </w:rPr>
        <w:fldChar w:fldCharType="begin"/>
      </w:r>
      <w:r w:rsidRPr="002F0D44">
        <w:rPr>
          <w:color w:val="auto"/>
        </w:rPr>
        <w:instrText xml:space="preserve"> SEQ Tabla \* ARABIC </w:instrText>
      </w:r>
      <w:r w:rsidRPr="002F0D44">
        <w:rPr>
          <w:color w:val="auto"/>
        </w:rPr>
        <w:fldChar w:fldCharType="separate"/>
      </w:r>
      <w:r w:rsidR="00A62AFA">
        <w:rPr>
          <w:noProof/>
          <w:color w:val="auto"/>
        </w:rPr>
        <w:t>29</w:t>
      </w:r>
      <w:r w:rsidRPr="002F0D44">
        <w:rPr>
          <w:color w:val="auto"/>
        </w:rPr>
        <w:fldChar w:fldCharType="end"/>
      </w:r>
      <w:r w:rsidRPr="002F0D44">
        <w:rPr>
          <w:color w:val="auto"/>
        </w:rPr>
        <w:t xml:space="preserve">. </w:t>
      </w:r>
      <w:r w:rsidR="005F38A6" w:rsidRPr="002F0D44">
        <w:rPr>
          <w:bCs/>
          <w:color w:val="auto"/>
        </w:rPr>
        <w:t>Resultados del riesgo de la deuda pública en el medio plazo</w:t>
      </w:r>
      <w:bookmarkEnd w:id="323"/>
      <w:bookmarkEnd w:id="324"/>
    </w:p>
    <w:tbl>
      <w:tblPr>
        <w:tblW w:w="9033" w:type="dxa"/>
        <w:jc w:val="center"/>
        <w:tblLook w:val="04A0" w:firstRow="1" w:lastRow="0" w:firstColumn="1" w:lastColumn="0" w:noHBand="0" w:noVBand="1"/>
      </w:tblPr>
      <w:tblGrid>
        <w:gridCol w:w="5054"/>
        <w:gridCol w:w="3979"/>
      </w:tblGrid>
      <w:tr w:rsidR="005F38A6" w:rsidRPr="004A12A1" w14:paraId="25813EB1" w14:textId="77777777" w:rsidTr="004A12A1">
        <w:trPr>
          <w:trHeight w:val="224"/>
          <w:jc w:val="center"/>
        </w:trPr>
        <w:tc>
          <w:tcPr>
            <w:tcW w:w="5054" w:type="dxa"/>
          </w:tcPr>
          <w:p w14:paraId="061C83BD" w14:textId="77777777" w:rsidR="005F38A6" w:rsidRPr="004A12A1" w:rsidRDefault="005F38A6" w:rsidP="004A12A1">
            <w:pPr>
              <w:jc w:val="center"/>
              <w:rPr>
                <w:b/>
                <w:bCs/>
              </w:rPr>
            </w:pPr>
            <w:r w:rsidRPr="004A12A1">
              <w:rPr>
                <w:b/>
                <w:bCs/>
              </w:rPr>
              <w:t>Mapa de calor</w:t>
            </w:r>
          </w:p>
        </w:tc>
        <w:tc>
          <w:tcPr>
            <w:tcW w:w="3979" w:type="dxa"/>
          </w:tcPr>
          <w:p w14:paraId="0EF69A11" w14:textId="77777777" w:rsidR="005F38A6" w:rsidRPr="004A12A1" w:rsidRDefault="005F38A6" w:rsidP="004A12A1">
            <w:pPr>
              <w:jc w:val="center"/>
              <w:rPr>
                <w:b/>
                <w:bCs/>
              </w:rPr>
            </w:pPr>
            <w:proofErr w:type="spellStart"/>
            <w:r w:rsidRPr="004A12A1">
              <w:rPr>
                <w:b/>
                <w:bCs/>
              </w:rPr>
              <w:t>Benchmarks</w:t>
            </w:r>
            <w:proofErr w:type="spellEnd"/>
            <w:r w:rsidRPr="004A12A1">
              <w:rPr>
                <w:b/>
                <w:bCs/>
              </w:rPr>
              <w:t xml:space="preserve"> para los indicadores</w:t>
            </w:r>
          </w:p>
        </w:tc>
      </w:tr>
      <w:tr w:rsidR="005F38A6" w:rsidRPr="002846D1" w14:paraId="7F012F24" w14:textId="77777777" w:rsidTr="004A12A1">
        <w:trPr>
          <w:trHeight w:val="2291"/>
          <w:jc w:val="center"/>
        </w:trPr>
        <w:tc>
          <w:tcPr>
            <w:tcW w:w="5054" w:type="dxa"/>
          </w:tcPr>
          <w:p w14:paraId="6A4ECED6" w14:textId="77777777" w:rsidR="005F38A6" w:rsidRPr="002846D1" w:rsidRDefault="005F38A6" w:rsidP="006A7377">
            <w:r w:rsidRPr="002846D1">
              <w:rPr>
                <w:noProof/>
              </w:rPr>
              <w:drawing>
                <wp:inline distT="0" distB="0" distL="0" distR="0" wp14:anchorId="71BAF75A" wp14:editId="4794C3F3">
                  <wp:extent cx="3058807" cy="1628775"/>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60228" cy="1629532"/>
                          </a:xfrm>
                          <a:prstGeom prst="rect">
                            <a:avLst/>
                          </a:prstGeom>
                          <a:noFill/>
                          <a:ln>
                            <a:noFill/>
                          </a:ln>
                        </pic:spPr>
                      </pic:pic>
                    </a:graphicData>
                  </a:graphic>
                </wp:inline>
              </w:drawing>
            </w:r>
          </w:p>
        </w:tc>
        <w:tc>
          <w:tcPr>
            <w:tcW w:w="3979" w:type="dxa"/>
          </w:tcPr>
          <w:p w14:paraId="6C61CCF8" w14:textId="77777777" w:rsidR="005F38A6" w:rsidRPr="002846D1" w:rsidRDefault="005F38A6" w:rsidP="006A7377">
            <w:r w:rsidRPr="002846D1">
              <w:rPr>
                <w:noProof/>
              </w:rPr>
              <w:drawing>
                <wp:inline distT="0" distB="0" distL="0" distR="0" wp14:anchorId="7D54FBC8" wp14:editId="454B2DC1">
                  <wp:extent cx="2385060" cy="16478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5962" cy="1648448"/>
                          </a:xfrm>
                          <a:prstGeom prst="rect">
                            <a:avLst/>
                          </a:prstGeom>
                          <a:noFill/>
                          <a:ln>
                            <a:noFill/>
                          </a:ln>
                        </pic:spPr>
                      </pic:pic>
                    </a:graphicData>
                  </a:graphic>
                </wp:inline>
              </w:drawing>
            </w:r>
          </w:p>
        </w:tc>
      </w:tr>
      <w:tr w:rsidR="005F38A6" w:rsidRPr="002846D1" w14:paraId="1037801C" w14:textId="77777777" w:rsidTr="002F0D44">
        <w:trPr>
          <w:trHeight w:val="366"/>
          <w:jc w:val="center"/>
        </w:trPr>
        <w:tc>
          <w:tcPr>
            <w:tcW w:w="9033" w:type="dxa"/>
            <w:gridSpan w:val="2"/>
          </w:tcPr>
          <w:p w14:paraId="6B7A6B64" w14:textId="77777777" w:rsidR="005F38A6" w:rsidRPr="002846D1" w:rsidRDefault="005F38A6" w:rsidP="006A7377">
            <w:pPr>
              <w:rPr>
                <w:sz w:val="14"/>
                <w:szCs w:val="14"/>
              </w:rPr>
            </w:pPr>
          </w:p>
          <w:p w14:paraId="5276CA25" w14:textId="77777777" w:rsidR="005F38A6" w:rsidRPr="002F0D44" w:rsidRDefault="005F38A6" w:rsidP="006A7377">
            <w:pPr>
              <w:rPr>
                <w:sz w:val="16"/>
                <w:szCs w:val="16"/>
              </w:rPr>
            </w:pPr>
            <w:r w:rsidRPr="002F0D44">
              <w:rPr>
                <w:sz w:val="16"/>
                <w:szCs w:val="16"/>
              </w:rPr>
              <w:t xml:space="preserve">Fuente: </w:t>
            </w:r>
            <w:r w:rsidRPr="002F0D44">
              <w:rPr>
                <w:bCs/>
                <w:sz w:val="16"/>
                <w:szCs w:val="16"/>
              </w:rPr>
              <w:t>Ministerio de Finanzas Públicas</w:t>
            </w:r>
            <w:r w:rsidRPr="002F0D44">
              <w:rPr>
                <w:sz w:val="16"/>
                <w:szCs w:val="16"/>
              </w:rPr>
              <w:t xml:space="preserve"> según metodología del Fondo monetario internacional.</w:t>
            </w:r>
          </w:p>
          <w:p w14:paraId="3235E028" w14:textId="77777777" w:rsidR="005F38A6" w:rsidRPr="002F0D44" w:rsidRDefault="005F38A6" w:rsidP="006A7377">
            <w:pPr>
              <w:rPr>
                <w:sz w:val="16"/>
                <w:szCs w:val="16"/>
              </w:rPr>
            </w:pPr>
            <w:r w:rsidRPr="002F0D44">
              <w:rPr>
                <w:sz w:val="16"/>
                <w:szCs w:val="16"/>
              </w:rPr>
              <w:t xml:space="preserve">Nota:  En los indicadores de deuda PIB y NBF/PIB el color es rojo si en el escenario base se sobre pasa el </w:t>
            </w:r>
            <w:proofErr w:type="spellStart"/>
            <w:r w:rsidRPr="002F0D44">
              <w:rPr>
                <w:sz w:val="16"/>
                <w:szCs w:val="16"/>
              </w:rPr>
              <w:t>benchmark</w:t>
            </w:r>
            <w:proofErr w:type="spellEnd"/>
            <w:r w:rsidRPr="002F0D44">
              <w:rPr>
                <w:sz w:val="16"/>
                <w:szCs w:val="16"/>
              </w:rPr>
              <w:t xml:space="preserve">, es amarillo si únicamente el </w:t>
            </w:r>
            <w:proofErr w:type="spellStart"/>
            <w:r w:rsidRPr="002F0D44">
              <w:rPr>
                <w:sz w:val="16"/>
                <w:szCs w:val="16"/>
              </w:rPr>
              <w:t>benchmark</w:t>
            </w:r>
            <w:proofErr w:type="spellEnd"/>
            <w:r w:rsidRPr="002F0D44">
              <w:rPr>
                <w:sz w:val="16"/>
                <w:szCs w:val="16"/>
              </w:rPr>
              <w:t xml:space="preserve"> se sobrepasa en los escenarios con choques y es verde si en todos los escenarios el </w:t>
            </w:r>
            <w:proofErr w:type="spellStart"/>
            <w:r w:rsidRPr="002F0D44">
              <w:rPr>
                <w:sz w:val="16"/>
                <w:szCs w:val="16"/>
              </w:rPr>
              <w:t>benchmark</w:t>
            </w:r>
            <w:proofErr w:type="spellEnd"/>
            <w:r w:rsidRPr="002F0D44">
              <w:rPr>
                <w:sz w:val="16"/>
                <w:szCs w:val="16"/>
              </w:rPr>
              <w:t xml:space="preserve"> no se sobrepasa.</w:t>
            </w:r>
          </w:p>
          <w:p w14:paraId="57E53BE4" w14:textId="77777777" w:rsidR="005F38A6" w:rsidRPr="002846D1" w:rsidRDefault="005F38A6" w:rsidP="006A7377">
            <w:r w:rsidRPr="002F0D44">
              <w:rPr>
                <w:sz w:val="16"/>
                <w:szCs w:val="16"/>
              </w:rPr>
              <w:t>NBF: Necesidades brutas de financiamiento.</w:t>
            </w:r>
          </w:p>
        </w:tc>
      </w:tr>
    </w:tbl>
    <w:p w14:paraId="3C3A6353" w14:textId="77777777" w:rsidR="005F38A6" w:rsidRPr="002846D1" w:rsidRDefault="005F38A6" w:rsidP="005F38A6">
      <w:pPr>
        <w:tabs>
          <w:tab w:val="left" w:pos="1212"/>
        </w:tabs>
        <w:ind w:right="49"/>
        <w:jc w:val="both"/>
        <w:rPr>
          <w:lang w:val="es-MX"/>
        </w:rPr>
      </w:pPr>
      <w:r>
        <w:rPr>
          <w:lang w:val="es-MX"/>
        </w:rPr>
        <w:tab/>
      </w:r>
    </w:p>
    <w:p w14:paraId="770D1799" w14:textId="4D71CDC0" w:rsidR="005F38A6" w:rsidRPr="009D188B" w:rsidRDefault="005F38A6" w:rsidP="007F19DF">
      <w:pPr>
        <w:pStyle w:val="Ttulo2"/>
        <w:numPr>
          <w:ilvl w:val="1"/>
          <w:numId w:val="35"/>
        </w:numPr>
        <w:ind w:left="567" w:hanging="425"/>
        <w:rPr>
          <w:bCs/>
        </w:rPr>
      </w:pPr>
      <w:bookmarkStart w:id="325" w:name="_Toc114495255"/>
      <w:bookmarkStart w:id="326" w:name="_Toc144114387"/>
      <w:r w:rsidRPr="009D188B">
        <w:rPr>
          <w:bCs/>
        </w:rPr>
        <w:t xml:space="preserve">Análisis de </w:t>
      </w:r>
      <w:r w:rsidR="00910096">
        <w:rPr>
          <w:bCs/>
        </w:rPr>
        <w:t>l</w:t>
      </w:r>
      <w:r w:rsidRPr="009D188B">
        <w:rPr>
          <w:bCs/>
        </w:rPr>
        <w:t xml:space="preserve">argo </w:t>
      </w:r>
      <w:r w:rsidR="00910096">
        <w:rPr>
          <w:bCs/>
        </w:rPr>
        <w:t>p</w:t>
      </w:r>
      <w:r w:rsidRPr="009D188B">
        <w:rPr>
          <w:bCs/>
        </w:rPr>
        <w:t>lazo</w:t>
      </w:r>
      <w:bookmarkEnd w:id="325"/>
      <w:bookmarkEnd w:id="326"/>
      <w:r w:rsidRPr="009D188B">
        <w:rPr>
          <w:bCs/>
        </w:rPr>
        <w:t xml:space="preserve">   </w:t>
      </w:r>
    </w:p>
    <w:p w14:paraId="4C4F318E" w14:textId="77777777" w:rsidR="005F38A6" w:rsidRPr="002846D1" w:rsidRDefault="005F38A6" w:rsidP="005F38A6">
      <w:pPr>
        <w:ind w:left="567" w:right="49"/>
        <w:jc w:val="both"/>
        <w:rPr>
          <w:color w:val="FF0000"/>
          <w:lang w:val="es-MX"/>
        </w:rPr>
      </w:pPr>
    </w:p>
    <w:p w14:paraId="152D00DC" w14:textId="77777777" w:rsidR="005F38A6" w:rsidRPr="00A62664" w:rsidRDefault="005F38A6" w:rsidP="005F38A6">
      <w:pPr>
        <w:ind w:right="49"/>
        <w:jc w:val="both"/>
        <w:rPr>
          <w:lang w:val="es-MX"/>
        </w:rPr>
      </w:pPr>
      <w:r w:rsidRPr="00A62664">
        <w:rPr>
          <w:lang w:val="es-MX"/>
        </w:rPr>
        <w:t>Para evaluar el comportamiento y posible trayectoria de la deuda pública en el largo plazo, es decir en un horizonte de 20 años, se realizó un análisis simplificado de choques a los principales determinantes de la deuda pública que podría</w:t>
      </w:r>
      <w:r>
        <w:rPr>
          <w:lang w:val="es-MX"/>
        </w:rPr>
        <w:t>n</w:t>
      </w:r>
      <w:r w:rsidRPr="00A62664">
        <w:rPr>
          <w:lang w:val="es-MX"/>
        </w:rPr>
        <w:t xml:space="preserve"> generarse a partir de </w:t>
      </w:r>
      <w:r>
        <w:rPr>
          <w:lang w:val="es-MX"/>
        </w:rPr>
        <w:t>2029</w:t>
      </w:r>
      <w:r w:rsidRPr="00A62664">
        <w:rPr>
          <w:lang w:val="es-MX"/>
        </w:rPr>
        <w:t xml:space="preserve"> tomando como referencia el escenario base de mediano plazo (</w:t>
      </w:r>
      <w:r>
        <w:rPr>
          <w:lang w:val="es-MX"/>
        </w:rPr>
        <w:t>2024</w:t>
      </w:r>
      <w:r w:rsidRPr="00A62664">
        <w:rPr>
          <w:lang w:val="es-MX"/>
        </w:rPr>
        <w:t>-</w:t>
      </w:r>
      <w:r>
        <w:rPr>
          <w:lang w:val="es-MX"/>
        </w:rPr>
        <w:t>2028</w:t>
      </w:r>
      <w:r w:rsidRPr="00A62664">
        <w:rPr>
          <w:lang w:val="es-MX"/>
        </w:rPr>
        <w:t xml:space="preserve">) de la sección anterior. </w:t>
      </w:r>
    </w:p>
    <w:p w14:paraId="7A86BD74" w14:textId="77777777" w:rsidR="005F38A6" w:rsidRPr="00A62664" w:rsidRDefault="005F38A6" w:rsidP="005F38A6">
      <w:pPr>
        <w:ind w:right="49"/>
        <w:jc w:val="both"/>
        <w:rPr>
          <w:lang w:val="es-MX"/>
        </w:rPr>
      </w:pPr>
    </w:p>
    <w:p w14:paraId="1E1EFA90" w14:textId="51422B7F" w:rsidR="005F38A6" w:rsidRPr="00A62664" w:rsidRDefault="005F38A6" w:rsidP="005F38A6">
      <w:pPr>
        <w:ind w:right="49"/>
        <w:jc w:val="both"/>
        <w:rPr>
          <w:lang w:val="es-MX"/>
        </w:rPr>
      </w:pPr>
      <w:r w:rsidRPr="00A62664">
        <w:rPr>
          <w:lang w:val="es-MX"/>
        </w:rPr>
        <w:t xml:space="preserve">En ese sentido, de mantenerse las condiciones previstas en </w:t>
      </w:r>
      <w:r>
        <w:rPr>
          <w:lang w:val="es-MX"/>
        </w:rPr>
        <w:t>2028</w:t>
      </w:r>
      <w:r w:rsidRPr="00A62664">
        <w:rPr>
          <w:lang w:val="es-MX"/>
        </w:rPr>
        <w:t xml:space="preserve"> y que estas se extiendan en el largo plazo (</w:t>
      </w:r>
      <w:r>
        <w:rPr>
          <w:lang w:val="es-MX"/>
        </w:rPr>
        <w:t>hasta 2043</w:t>
      </w:r>
      <w:r w:rsidRPr="00A62664">
        <w:rPr>
          <w:lang w:val="es-MX"/>
        </w:rPr>
        <w:t>), es decir un resultado primario deficitario que se ubique en torno al 0.5% PIB;  el crecimiento económico promedio se ubique en 3</w:t>
      </w:r>
      <w:r>
        <w:rPr>
          <w:lang w:val="es-MX"/>
        </w:rPr>
        <w:t>.7</w:t>
      </w:r>
      <w:r w:rsidR="00CD61D4">
        <w:rPr>
          <w:lang w:val="es-MX"/>
        </w:rPr>
        <w:t>%</w:t>
      </w:r>
      <w:r>
        <w:rPr>
          <w:lang w:val="es-MX"/>
        </w:rPr>
        <w:t xml:space="preserve"> cerca de su estado estacionario;</w:t>
      </w:r>
      <w:r w:rsidRPr="00A62664">
        <w:rPr>
          <w:lang w:val="es-MX"/>
        </w:rPr>
        <w:t xml:space="preserve"> la tasa de interés real se estima por abajo del crecimiento económico  y el tipo de cambio nominal se prevé que en promedio se mantenga relativamente constante como se ha observado en los últimos quince años</w:t>
      </w:r>
      <w:r>
        <w:rPr>
          <w:lang w:val="es-MX"/>
        </w:rPr>
        <w:t>, c</w:t>
      </w:r>
      <w:r w:rsidRPr="00A62664">
        <w:rPr>
          <w:lang w:val="es-MX"/>
        </w:rPr>
        <w:t>on dichos supuestos la proporción Deuda / PIB, si bien muestra un comportamiento creciente, será moderad</w:t>
      </w:r>
      <w:r>
        <w:rPr>
          <w:lang w:val="es-MX"/>
        </w:rPr>
        <w:t>a</w:t>
      </w:r>
      <w:r w:rsidRPr="00A62664">
        <w:rPr>
          <w:lang w:val="es-MX"/>
        </w:rPr>
        <w:t xml:space="preserve"> y se prevé que dicho indicador alcance al final del período indicado un </w:t>
      </w:r>
      <w:r w:rsidR="00CB3CDE">
        <w:rPr>
          <w:lang w:val="es-MX"/>
        </w:rPr>
        <w:t>23.6</w:t>
      </w:r>
      <w:r w:rsidRPr="00A62664">
        <w:rPr>
          <w:lang w:val="es-MX"/>
        </w:rPr>
        <w:t>%.</w:t>
      </w:r>
    </w:p>
    <w:p w14:paraId="257F1DB0" w14:textId="77777777" w:rsidR="005F38A6" w:rsidRPr="00A62664" w:rsidRDefault="005F38A6" w:rsidP="005F38A6">
      <w:pPr>
        <w:ind w:right="49"/>
        <w:jc w:val="both"/>
        <w:rPr>
          <w:lang w:val="es-MX"/>
        </w:rPr>
      </w:pPr>
    </w:p>
    <w:p w14:paraId="18A2A555" w14:textId="24151611" w:rsidR="005F38A6" w:rsidRPr="00A62664" w:rsidRDefault="005F38A6" w:rsidP="005F38A6">
      <w:pPr>
        <w:ind w:right="49"/>
        <w:jc w:val="both"/>
        <w:rPr>
          <w:lang w:val="es-MX"/>
        </w:rPr>
      </w:pPr>
      <w:r w:rsidRPr="00A62664">
        <w:rPr>
          <w:lang w:val="es-MX"/>
        </w:rPr>
        <w:t xml:space="preserve">Lo anterior muestra que hay margen suficiente para soportar choques de la economía, sin que esto repercuta severamente en la sostenibilidad fiscal. Para el efecto se aplicaron choques transitorios a los principales determinantes del comportamiento de la deuda y en el peor escenario de un choque combinado en el que se da una reducción del PIB real en los primeros </w:t>
      </w:r>
      <w:r w:rsidRPr="00A62664">
        <w:rPr>
          <w:lang w:val="es-MX"/>
        </w:rPr>
        <w:lastRenderedPageBreak/>
        <w:t xml:space="preserve">años (caída del </w:t>
      </w:r>
      <w:r>
        <w:rPr>
          <w:lang w:val="es-MX"/>
        </w:rPr>
        <w:t>1</w:t>
      </w:r>
      <w:r w:rsidRPr="00A62664">
        <w:rPr>
          <w:lang w:val="es-MX"/>
        </w:rPr>
        <w:t xml:space="preserve">.0% del valor estimado del crecimiento), incremento de la tasa de interés real en 50 puntos básicos y un aumento importante en el déficit primario en los primeros cinco años (aumentos en puntos porcentuales del PIB de 0.5 por 5 años). Con estos choques combinados la relación deuda / PIB para </w:t>
      </w:r>
      <w:r>
        <w:rPr>
          <w:lang w:val="es-MX"/>
        </w:rPr>
        <w:t>2043</w:t>
      </w:r>
      <w:r w:rsidRPr="00A62664">
        <w:rPr>
          <w:lang w:val="es-MX"/>
        </w:rPr>
        <w:t xml:space="preserve"> podría situarse hasta </w:t>
      </w:r>
      <w:r>
        <w:rPr>
          <w:lang w:val="es-MX"/>
        </w:rPr>
        <w:t xml:space="preserve">en </w:t>
      </w:r>
      <w:r w:rsidR="00CB3CDE">
        <w:rPr>
          <w:lang w:val="es-MX"/>
        </w:rPr>
        <w:t>28.6</w:t>
      </w:r>
      <w:r w:rsidRPr="00A62664">
        <w:rPr>
          <w:lang w:val="es-MX"/>
        </w:rPr>
        <w:t>%.</w:t>
      </w:r>
    </w:p>
    <w:p w14:paraId="42CCD717" w14:textId="77777777" w:rsidR="005F38A6" w:rsidRPr="002846D1" w:rsidRDefault="005F38A6" w:rsidP="005F38A6">
      <w:pPr>
        <w:ind w:right="49"/>
        <w:jc w:val="both"/>
        <w:rPr>
          <w:lang w:val="es-MX"/>
        </w:rPr>
      </w:pPr>
    </w:p>
    <w:tbl>
      <w:tblPr>
        <w:tblW w:w="9535" w:type="dxa"/>
        <w:jc w:val="center"/>
        <w:tblCellMar>
          <w:left w:w="70" w:type="dxa"/>
          <w:right w:w="70" w:type="dxa"/>
        </w:tblCellMar>
        <w:tblLook w:val="04A0" w:firstRow="1" w:lastRow="0" w:firstColumn="1" w:lastColumn="0" w:noHBand="0" w:noVBand="1"/>
      </w:tblPr>
      <w:tblGrid>
        <w:gridCol w:w="9535"/>
      </w:tblGrid>
      <w:tr w:rsidR="005F38A6" w:rsidRPr="002846D1" w14:paraId="20D7F9E6" w14:textId="77777777" w:rsidTr="006A7377">
        <w:trPr>
          <w:trHeight w:val="3326"/>
          <w:jc w:val="center"/>
        </w:trPr>
        <w:tc>
          <w:tcPr>
            <w:tcW w:w="9535" w:type="dxa"/>
          </w:tcPr>
          <w:p w14:paraId="1359D9FC" w14:textId="30BBE5F6" w:rsidR="002F0D44" w:rsidRPr="002F0D44" w:rsidRDefault="002F0D44" w:rsidP="002F0D44">
            <w:pPr>
              <w:pStyle w:val="Descripcin"/>
              <w:rPr>
                <w:color w:val="auto"/>
              </w:rPr>
            </w:pPr>
            <w:bookmarkStart w:id="327" w:name="_Toc143593598"/>
            <w:r w:rsidRPr="002F0D44">
              <w:rPr>
                <w:color w:val="auto"/>
              </w:rPr>
              <w:t xml:space="preserve">Gráfico </w:t>
            </w:r>
            <w:r w:rsidRPr="002F0D44">
              <w:rPr>
                <w:color w:val="auto"/>
              </w:rPr>
              <w:fldChar w:fldCharType="begin"/>
            </w:r>
            <w:r w:rsidRPr="002F0D44">
              <w:rPr>
                <w:color w:val="auto"/>
              </w:rPr>
              <w:instrText xml:space="preserve"> SEQ Gráfico \* ARABIC </w:instrText>
            </w:r>
            <w:r w:rsidRPr="002F0D44">
              <w:rPr>
                <w:color w:val="auto"/>
              </w:rPr>
              <w:fldChar w:fldCharType="separate"/>
            </w:r>
            <w:r w:rsidR="00A62AFA">
              <w:rPr>
                <w:noProof/>
                <w:color w:val="auto"/>
              </w:rPr>
              <w:t>40</w:t>
            </w:r>
            <w:r w:rsidRPr="002F0D44">
              <w:rPr>
                <w:color w:val="auto"/>
              </w:rPr>
              <w:fldChar w:fldCharType="end"/>
            </w:r>
            <w:r w:rsidRPr="002F0D44">
              <w:rPr>
                <w:color w:val="auto"/>
              </w:rPr>
              <w:t xml:space="preserve">. </w:t>
            </w:r>
            <w:bookmarkStart w:id="328" w:name="_Toc114493882"/>
            <w:r w:rsidRPr="002F0D44">
              <w:rPr>
                <w:bCs/>
                <w:color w:val="auto"/>
              </w:rPr>
              <w:t>Escenarios del comportamiento de la Deuda Pública en el Largo Plazo</w:t>
            </w:r>
            <w:bookmarkEnd w:id="327"/>
            <w:bookmarkEnd w:id="328"/>
          </w:p>
          <w:p w14:paraId="7108C425" w14:textId="77777777" w:rsidR="005F38A6" w:rsidRPr="004D1870" w:rsidRDefault="005F38A6" w:rsidP="002F0D44">
            <w:pPr>
              <w:ind w:left="567" w:right="49"/>
              <w:jc w:val="center"/>
              <w:rPr>
                <w:sz w:val="22"/>
              </w:rPr>
            </w:pPr>
            <w:r w:rsidRPr="004D1870">
              <w:rPr>
                <w:sz w:val="22"/>
              </w:rPr>
              <w:t>En porcentaje del PIB</w:t>
            </w:r>
          </w:p>
          <w:p w14:paraId="7859B500" w14:textId="1C4173FD" w:rsidR="005F38A6" w:rsidRPr="004D1870" w:rsidRDefault="005F38A6" w:rsidP="002F0D44">
            <w:pPr>
              <w:jc w:val="center"/>
              <w:rPr>
                <w:noProof/>
              </w:rPr>
            </w:pPr>
            <w:r>
              <w:rPr>
                <w:noProof/>
              </w:rPr>
              <w:drawing>
                <wp:inline distT="0" distB="0" distL="0" distR="0" wp14:anchorId="43742253" wp14:editId="75B2940F">
                  <wp:extent cx="5046980" cy="2027583"/>
                  <wp:effectExtent l="0" t="0" r="1270" b="0"/>
                  <wp:docPr id="61" name="Gráfico 61">
                    <a:extLst xmlns:a="http://schemas.openxmlformats.org/drawingml/2006/main">
                      <a:ext uri="{FF2B5EF4-FFF2-40B4-BE49-F238E27FC236}">
                        <a16:creationId xmlns:a16="http://schemas.microsoft.com/office/drawing/2014/main" id="{00000000-0008-0000-0800-00003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81C10E" w14:textId="77777777" w:rsidR="005F38A6" w:rsidRPr="002846D1" w:rsidRDefault="005F38A6" w:rsidP="006A7377">
            <w:pPr>
              <w:ind w:left="567" w:right="49"/>
              <w:rPr>
                <w:sz w:val="16"/>
                <w:szCs w:val="16"/>
              </w:rPr>
            </w:pPr>
            <w:r w:rsidRPr="004D1870">
              <w:rPr>
                <w:sz w:val="12"/>
                <w:szCs w:val="16"/>
              </w:rPr>
              <w:t xml:space="preserve">    </w:t>
            </w:r>
            <w:r w:rsidRPr="004D1870">
              <w:rPr>
                <w:sz w:val="16"/>
              </w:rPr>
              <w:t xml:space="preserve">Fuente: </w:t>
            </w:r>
            <w:r w:rsidRPr="004D1870">
              <w:rPr>
                <w:bCs/>
                <w:sz w:val="16"/>
                <w:szCs w:val="11"/>
              </w:rPr>
              <w:t>Ministerio de Finanzas Públicas</w:t>
            </w:r>
            <w:r w:rsidRPr="004D1870">
              <w:rPr>
                <w:sz w:val="16"/>
              </w:rPr>
              <w:t xml:space="preserve"> con el análisis del Índice de Blanchard</w:t>
            </w:r>
          </w:p>
        </w:tc>
      </w:tr>
    </w:tbl>
    <w:p w14:paraId="189AAECB" w14:textId="77777777" w:rsidR="005F38A6" w:rsidRDefault="005F38A6" w:rsidP="005F38A6">
      <w:pPr>
        <w:jc w:val="both"/>
        <w:rPr>
          <w:lang w:val="es-MX"/>
        </w:rPr>
      </w:pPr>
    </w:p>
    <w:p w14:paraId="01306B1B" w14:textId="6BB4E253" w:rsidR="005F38A6" w:rsidRPr="00A62664" w:rsidRDefault="005F38A6" w:rsidP="005F38A6">
      <w:pPr>
        <w:ind w:right="49"/>
        <w:jc w:val="both"/>
        <w:rPr>
          <w:lang w:val="es-MX"/>
        </w:rPr>
      </w:pPr>
      <w:r w:rsidRPr="00A62664">
        <w:rPr>
          <w:lang w:val="es-MX"/>
        </w:rPr>
        <w:t>Considerando los resultados mostrados, es importante indicar que la autoridad fiscal puede tomar medidas de política para evitar un deterioro de las cuentas fiscales y revertir así la tendencia de la deuda mediante ajustes en los ingresos o gastos del gobierno que pueden reducir o minimizar el impacto de los efectos adversos en el largo plazo. En ese sentido, se elaboraron dos escenarios adicionales que muestran dos tipos de ajustes fiscales</w:t>
      </w:r>
      <w:r>
        <w:rPr>
          <w:lang w:val="es-MX"/>
        </w:rPr>
        <w:t>,</w:t>
      </w:r>
      <w:r w:rsidRPr="00A62664">
        <w:rPr>
          <w:lang w:val="es-MX"/>
        </w:rPr>
        <w:t xml:space="preserve"> uno en el que se busca un equilibrio en el balance primario, después de los choques en la economía; y otro escenario en el que el ajuste fiscal es más severo y se logra un superávit primario de 0.2% del PIB posterior a los choques combinados. Con dichos ajustes la relación de deuda / PIB para </w:t>
      </w:r>
      <w:r>
        <w:rPr>
          <w:lang w:val="es-MX"/>
        </w:rPr>
        <w:t>2043</w:t>
      </w:r>
      <w:r w:rsidRPr="00A62664">
        <w:rPr>
          <w:lang w:val="es-MX"/>
        </w:rPr>
        <w:t xml:space="preserve"> pasaría de </w:t>
      </w:r>
      <w:r>
        <w:rPr>
          <w:lang w:val="es-MX"/>
        </w:rPr>
        <w:t>28.9</w:t>
      </w:r>
      <w:r w:rsidRPr="00A62664">
        <w:rPr>
          <w:lang w:val="es-MX"/>
        </w:rPr>
        <w:t xml:space="preserve">% a </w:t>
      </w:r>
      <w:r w:rsidR="00CB3CDE">
        <w:rPr>
          <w:lang w:val="es-MX"/>
        </w:rPr>
        <w:t>25.7</w:t>
      </w:r>
      <w:r w:rsidRPr="00A62664">
        <w:rPr>
          <w:lang w:val="es-MX"/>
        </w:rPr>
        <w:t xml:space="preserve">% del PIB, únicamente logrando un equilibrio en el resultado primario y con un ajuste un poco más fuerte se logra un mayor superávit primario, en donde la relación deuda/PIB disminuiría a </w:t>
      </w:r>
      <w:r>
        <w:rPr>
          <w:lang w:val="es-MX"/>
        </w:rPr>
        <w:t>23.</w:t>
      </w:r>
      <w:r w:rsidR="00CB3CDE">
        <w:rPr>
          <w:lang w:val="es-MX"/>
        </w:rPr>
        <w:t>3</w:t>
      </w:r>
      <w:r w:rsidRPr="00A62664">
        <w:rPr>
          <w:lang w:val="es-MX"/>
        </w:rPr>
        <w:t>% del PIB.</w:t>
      </w:r>
    </w:p>
    <w:p w14:paraId="3989979E" w14:textId="77777777" w:rsidR="005F38A6" w:rsidRPr="002846D1" w:rsidRDefault="005F38A6" w:rsidP="005F38A6">
      <w:pPr>
        <w:ind w:left="567" w:right="49"/>
        <w:jc w:val="both"/>
        <w:rPr>
          <w:lang w:val="es-MX"/>
        </w:rPr>
      </w:pPr>
    </w:p>
    <w:tbl>
      <w:tblPr>
        <w:tblW w:w="9069" w:type="dxa"/>
        <w:tblInd w:w="-142" w:type="dxa"/>
        <w:tblCellMar>
          <w:left w:w="70" w:type="dxa"/>
          <w:right w:w="70" w:type="dxa"/>
        </w:tblCellMar>
        <w:tblLook w:val="04A0" w:firstRow="1" w:lastRow="0" w:firstColumn="1" w:lastColumn="0" w:noHBand="0" w:noVBand="1"/>
      </w:tblPr>
      <w:tblGrid>
        <w:gridCol w:w="9069"/>
      </w:tblGrid>
      <w:tr w:rsidR="005F38A6" w:rsidRPr="002846D1" w14:paraId="0BF430D5" w14:textId="77777777" w:rsidTr="002F0D44">
        <w:trPr>
          <w:trHeight w:val="3540"/>
        </w:trPr>
        <w:tc>
          <w:tcPr>
            <w:tcW w:w="9069" w:type="dxa"/>
          </w:tcPr>
          <w:p w14:paraId="6E8A53B3" w14:textId="3CFBE997" w:rsidR="005F38A6" w:rsidRPr="002F0D44" w:rsidRDefault="002F0D44" w:rsidP="002F0D44">
            <w:pPr>
              <w:pStyle w:val="Descripcin"/>
              <w:rPr>
                <w:b w:val="0"/>
                <w:bCs/>
                <w:color w:val="auto"/>
              </w:rPr>
            </w:pPr>
            <w:bookmarkStart w:id="329" w:name="_Toc143593599"/>
            <w:r w:rsidRPr="002F0D44">
              <w:rPr>
                <w:color w:val="auto"/>
              </w:rPr>
              <w:t xml:space="preserve">Gráfico </w:t>
            </w:r>
            <w:r w:rsidRPr="002F0D44">
              <w:rPr>
                <w:color w:val="auto"/>
              </w:rPr>
              <w:fldChar w:fldCharType="begin"/>
            </w:r>
            <w:r w:rsidRPr="002F0D44">
              <w:rPr>
                <w:color w:val="auto"/>
              </w:rPr>
              <w:instrText xml:space="preserve"> SEQ Gráfico \* ARABIC </w:instrText>
            </w:r>
            <w:r w:rsidRPr="002F0D44">
              <w:rPr>
                <w:color w:val="auto"/>
              </w:rPr>
              <w:fldChar w:fldCharType="separate"/>
            </w:r>
            <w:r w:rsidR="00A62AFA">
              <w:rPr>
                <w:noProof/>
                <w:color w:val="auto"/>
              </w:rPr>
              <w:t>41</w:t>
            </w:r>
            <w:r w:rsidRPr="002F0D44">
              <w:rPr>
                <w:color w:val="auto"/>
              </w:rPr>
              <w:fldChar w:fldCharType="end"/>
            </w:r>
            <w:r w:rsidRPr="002F0D44">
              <w:rPr>
                <w:color w:val="auto"/>
              </w:rPr>
              <w:t xml:space="preserve">. </w:t>
            </w:r>
            <w:bookmarkStart w:id="330" w:name="_Toc114493883"/>
            <w:r w:rsidRPr="002F0D44">
              <w:rPr>
                <w:bCs/>
                <w:color w:val="auto"/>
              </w:rPr>
              <w:t>Escenarios de Ajuste Fiscal para Atenuar Choques Adversos en la Deuda Pública de Largo Plazo</w:t>
            </w:r>
            <w:bookmarkEnd w:id="329"/>
            <w:bookmarkEnd w:id="330"/>
          </w:p>
          <w:p w14:paraId="4BB9F463" w14:textId="77777777" w:rsidR="005F38A6" w:rsidRPr="00222798" w:rsidRDefault="005F38A6" w:rsidP="002F0D44">
            <w:pPr>
              <w:ind w:left="567" w:right="49"/>
              <w:jc w:val="center"/>
              <w:rPr>
                <w:sz w:val="22"/>
              </w:rPr>
            </w:pPr>
            <w:r w:rsidRPr="00222798">
              <w:rPr>
                <w:sz w:val="22"/>
              </w:rPr>
              <w:t>En porcentaje del PIB</w:t>
            </w:r>
          </w:p>
          <w:p w14:paraId="37E14545" w14:textId="77777777" w:rsidR="005F38A6" w:rsidRPr="00222798" w:rsidRDefault="005F38A6" w:rsidP="002F0D44">
            <w:pPr>
              <w:ind w:right="49"/>
              <w:jc w:val="center"/>
              <w:rPr>
                <w:noProof/>
              </w:rPr>
            </w:pPr>
            <w:r>
              <w:rPr>
                <w:noProof/>
              </w:rPr>
              <w:drawing>
                <wp:inline distT="0" distB="0" distL="0" distR="0" wp14:anchorId="4361D163" wp14:editId="5B791DF8">
                  <wp:extent cx="5046980" cy="1900361"/>
                  <wp:effectExtent l="0" t="0" r="1270" b="5080"/>
                  <wp:docPr id="62" name="Gráfico 62">
                    <a:extLst xmlns:a="http://schemas.openxmlformats.org/drawingml/2006/main">
                      <a:ext uri="{FF2B5EF4-FFF2-40B4-BE49-F238E27FC236}">
                        <a16:creationId xmlns:a16="http://schemas.microsoft.com/office/drawing/2014/main" id="{00000000-0008-0000-08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82B3099" w14:textId="77777777" w:rsidR="005F38A6" w:rsidRPr="002846D1" w:rsidRDefault="005F38A6" w:rsidP="006A7377">
            <w:pPr>
              <w:ind w:left="567" w:right="49"/>
            </w:pPr>
            <w:r w:rsidRPr="00222798">
              <w:t xml:space="preserve">    </w:t>
            </w:r>
            <w:r w:rsidRPr="00222798">
              <w:rPr>
                <w:sz w:val="16"/>
              </w:rPr>
              <w:t xml:space="preserve">Fuente: </w:t>
            </w:r>
            <w:r w:rsidRPr="00222798">
              <w:rPr>
                <w:bCs/>
                <w:sz w:val="16"/>
                <w:szCs w:val="11"/>
              </w:rPr>
              <w:t>Ministerio de Finanzas Públicas</w:t>
            </w:r>
            <w:r w:rsidRPr="00222798">
              <w:rPr>
                <w:sz w:val="16"/>
              </w:rPr>
              <w:t xml:space="preserve"> con el análisis del Índice de Blanchard</w:t>
            </w:r>
          </w:p>
        </w:tc>
      </w:tr>
    </w:tbl>
    <w:p w14:paraId="12DE664C" w14:textId="77777777" w:rsidR="005F38A6" w:rsidRDefault="005F38A6" w:rsidP="005F38A6">
      <w:pPr>
        <w:ind w:right="49"/>
        <w:jc w:val="both"/>
        <w:rPr>
          <w:lang w:val="es-MX"/>
        </w:rPr>
      </w:pPr>
      <w:r w:rsidRPr="00E3570F">
        <w:rPr>
          <w:lang w:val="es-MX"/>
        </w:rPr>
        <w:lastRenderedPageBreak/>
        <w:t>La disciplina en el manejo de las finanzas públicas y el historial de estabilidad macroeconómica en los últimos 25 años reflejan un perfil de la deuda bastante prudente y con un espacio fiscal suficiente para afrontar hasta cierto punto algunos choques económicos adversos. A pesar, de que la política fiscal expansiva de 2020 produjo un aumento en el indicador deuda/PIB de 5.1 puntos porcentuales con respecto al 2019, este indicador aún se encuentra en niveles bastantes conservadores con respecto a los límites recomendados para los países con acceso al mercado de capitales. Asimismo, en base al marco fiscal propuesto para los siguientes 5 años y al escenario macroeconómico del Banco de Guatemala para las principales variables</w:t>
      </w:r>
      <w:r>
        <w:rPr>
          <w:lang w:val="es-MX"/>
        </w:rPr>
        <w:t>,</w:t>
      </w:r>
      <w:r w:rsidRPr="00E3570F">
        <w:rPr>
          <w:lang w:val="es-MX"/>
        </w:rPr>
        <w:t xml:space="preserve"> se estima que los indicadores de la deuda pública estarán en valores muy por debajo de los máximos recomendados por el Fondo Monetario Internacional en el mediano plazo. Además, las pruebas de estrés al escenario base de la deuda y el análisis de probabilidad demuestran que es posible administrar la materialización de los riesgos como lo son choques al crecimiento económico, al tipo de cambio, entre otros. El análisis anterior y los hechos estilizados de la deuda pública descritos supra dan sustento para afirmar que la deuda pública de Guatemala es sostenible en el mediano y largo plazo.</w:t>
      </w:r>
    </w:p>
    <w:p w14:paraId="0C174017" w14:textId="6F90852A" w:rsidR="005F38A6" w:rsidRDefault="005F38A6" w:rsidP="005F38A6"/>
    <w:p w14:paraId="165196B2" w14:textId="5973177F" w:rsidR="005F38A6" w:rsidRPr="00AD5433" w:rsidRDefault="005F38A6" w:rsidP="007F19DF">
      <w:pPr>
        <w:pStyle w:val="Prrafodelista"/>
        <w:numPr>
          <w:ilvl w:val="0"/>
          <w:numId w:val="44"/>
        </w:numPr>
        <w:spacing w:line="259" w:lineRule="auto"/>
        <w:ind w:left="284" w:hanging="284"/>
        <w:jc w:val="both"/>
        <w:outlineLvl w:val="0"/>
        <w:rPr>
          <w:b/>
          <w:bCs/>
        </w:rPr>
      </w:pPr>
      <w:bookmarkStart w:id="331" w:name="_Toc144114388"/>
      <w:r w:rsidRPr="005F38A6">
        <w:rPr>
          <w:b/>
          <w:bCs/>
        </w:rPr>
        <w:t>Riesgos por sistemas previsionales</w:t>
      </w:r>
      <w:bookmarkEnd w:id="331"/>
    </w:p>
    <w:p w14:paraId="610FDB01" w14:textId="38519E7D" w:rsidR="005F38A6" w:rsidRDefault="005F38A6" w:rsidP="005F38A6"/>
    <w:p w14:paraId="4C4F2BEB" w14:textId="77777777" w:rsidR="00731104" w:rsidRPr="00A676AF" w:rsidRDefault="00731104" w:rsidP="00731104">
      <w:pPr>
        <w:jc w:val="both"/>
      </w:pPr>
      <w:r>
        <w:t xml:space="preserve">En las últimas décadas ha existido un aumento de la esperanza de vida debido al aumento de </w:t>
      </w:r>
      <w:r w:rsidRPr="00A676AF">
        <w:t>los ingresos, los avances en medicina y el incremento de cobertura de los sistemas de salud públicos. No obstante, dado que las tasas de fertilidad han disminuido, estos hechos combinados han generado presiones sobre los sistemas pensionarios de cada país, al aumentar la cantidad de beneficiarios y disminuir el número de los contribuyentes. Lo anterior se debe a que estos sistemas fueron diseñados en años en los cuales el bono demográfico era alto.</w:t>
      </w:r>
    </w:p>
    <w:p w14:paraId="1454AF2A" w14:textId="77777777" w:rsidR="00731104" w:rsidRPr="00A676AF" w:rsidRDefault="00731104" w:rsidP="00731104">
      <w:pPr>
        <w:jc w:val="both"/>
      </w:pPr>
    </w:p>
    <w:p w14:paraId="0FD09B1A" w14:textId="77777777" w:rsidR="00731104" w:rsidRPr="00A676AF" w:rsidRDefault="00731104" w:rsidP="00731104">
      <w:pPr>
        <w:jc w:val="both"/>
      </w:pPr>
      <w:r w:rsidRPr="00A676AF">
        <w:t>Guatemala es un país que tiene una población joven en comparación con otros países, la población mayor de 60 años representa el 7.1% del total. Sin embargo, se espera que para el 2042 esta proporción aumente a 11.5%, lo cual se traduce en un aumento en el pago de beneficios a esta población y el riesgo fiscal asociado al pasivo pensionario.</w:t>
      </w:r>
    </w:p>
    <w:p w14:paraId="50DAFACD" w14:textId="77777777" w:rsidR="00731104" w:rsidRPr="00A676AF" w:rsidRDefault="00731104" w:rsidP="00731104">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31104" w:rsidRPr="00A676AF" w14:paraId="21521D9F" w14:textId="77777777" w:rsidTr="006A7377">
        <w:tc>
          <w:tcPr>
            <w:tcW w:w="8828" w:type="dxa"/>
            <w:gridSpan w:val="2"/>
          </w:tcPr>
          <w:p w14:paraId="7BD479D0" w14:textId="56EC5B7A" w:rsidR="00731104" w:rsidRPr="00A676AF" w:rsidRDefault="002F0D44" w:rsidP="002F0D44">
            <w:pPr>
              <w:pStyle w:val="Descripcin"/>
            </w:pPr>
            <w:bookmarkStart w:id="332" w:name="_Toc143593600"/>
            <w:r w:rsidRPr="002F0D44">
              <w:rPr>
                <w:color w:val="auto"/>
              </w:rPr>
              <w:t xml:space="preserve">Gráfico </w:t>
            </w:r>
            <w:r w:rsidRPr="002F0D44">
              <w:rPr>
                <w:color w:val="auto"/>
              </w:rPr>
              <w:fldChar w:fldCharType="begin"/>
            </w:r>
            <w:r w:rsidRPr="002F0D44">
              <w:rPr>
                <w:color w:val="auto"/>
              </w:rPr>
              <w:instrText xml:space="preserve"> SEQ Gráfico \* ARABIC </w:instrText>
            </w:r>
            <w:r w:rsidRPr="002F0D44">
              <w:rPr>
                <w:color w:val="auto"/>
              </w:rPr>
              <w:fldChar w:fldCharType="separate"/>
            </w:r>
            <w:r w:rsidR="00A62AFA">
              <w:rPr>
                <w:noProof/>
                <w:color w:val="auto"/>
              </w:rPr>
              <w:t>42</w:t>
            </w:r>
            <w:r w:rsidRPr="002F0D44">
              <w:rPr>
                <w:color w:val="auto"/>
              </w:rPr>
              <w:fldChar w:fldCharType="end"/>
            </w:r>
            <w:r w:rsidRPr="002F0D44">
              <w:rPr>
                <w:color w:val="auto"/>
              </w:rPr>
              <w:t xml:space="preserve">. </w:t>
            </w:r>
            <w:bookmarkStart w:id="333" w:name="_Toc114493904"/>
            <w:r w:rsidRPr="002F0D44">
              <w:rPr>
                <w:bCs/>
                <w:color w:val="auto"/>
              </w:rPr>
              <w:t>Perspectivas de la estructura porcentual de la población por grupo etario.</w:t>
            </w:r>
            <w:bookmarkEnd w:id="332"/>
            <w:bookmarkEnd w:id="333"/>
          </w:p>
        </w:tc>
      </w:tr>
      <w:tr w:rsidR="00731104" w:rsidRPr="00A676AF" w14:paraId="3BAE40CE" w14:textId="77777777" w:rsidTr="006A7377">
        <w:tc>
          <w:tcPr>
            <w:tcW w:w="4414" w:type="dxa"/>
          </w:tcPr>
          <w:p w14:paraId="66471661" w14:textId="77777777" w:rsidR="00731104" w:rsidRPr="00A676AF" w:rsidRDefault="00731104" w:rsidP="006A7377">
            <w:pPr>
              <w:jc w:val="center"/>
              <w:rPr>
                <w:b/>
                <w:bCs/>
              </w:rPr>
            </w:pPr>
            <w:r w:rsidRPr="00A676AF">
              <w:rPr>
                <w:b/>
                <w:bCs/>
              </w:rPr>
              <w:t>2022</w:t>
            </w:r>
          </w:p>
        </w:tc>
        <w:tc>
          <w:tcPr>
            <w:tcW w:w="4414" w:type="dxa"/>
          </w:tcPr>
          <w:p w14:paraId="50327B3A" w14:textId="77777777" w:rsidR="00731104" w:rsidRPr="00A676AF" w:rsidRDefault="00731104" w:rsidP="006A7377">
            <w:pPr>
              <w:jc w:val="center"/>
              <w:rPr>
                <w:b/>
                <w:bCs/>
              </w:rPr>
            </w:pPr>
            <w:r w:rsidRPr="00A676AF">
              <w:rPr>
                <w:b/>
                <w:bCs/>
              </w:rPr>
              <w:t>2042</w:t>
            </w:r>
          </w:p>
        </w:tc>
      </w:tr>
      <w:tr w:rsidR="00731104" w:rsidRPr="00A676AF" w14:paraId="744A37CD" w14:textId="77777777" w:rsidTr="006A7377">
        <w:tblPrEx>
          <w:tblCellMar>
            <w:left w:w="70" w:type="dxa"/>
            <w:right w:w="70" w:type="dxa"/>
          </w:tblCellMar>
        </w:tblPrEx>
        <w:trPr>
          <w:trHeight w:val="2537"/>
        </w:trPr>
        <w:tc>
          <w:tcPr>
            <w:tcW w:w="4414" w:type="dxa"/>
          </w:tcPr>
          <w:p w14:paraId="26F8E56C" w14:textId="77777777" w:rsidR="00731104" w:rsidRPr="00A676AF" w:rsidRDefault="00731104" w:rsidP="006A7377">
            <w:pPr>
              <w:jc w:val="center"/>
            </w:pPr>
            <w:r w:rsidRPr="00A676AF">
              <w:rPr>
                <w:noProof/>
              </w:rPr>
              <w:drawing>
                <wp:inline distT="0" distB="0" distL="0" distR="0" wp14:anchorId="1A7302D1" wp14:editId="493FC46C">
                  <wp:extent cx="2519680" cy="1676400"/>
                  <wp:effectExtent l="0" t="0" r="0" b="0"/>
                  <wp:docPr id="1889938832" name="Gráfico 1889938832">
                    <a:extLst xmlns:a="http://schemas.openxmlformats.org/drawingml/2006/main">
                      <a:ext uri="{FF2B5EF4-FFF2-40B4-BE49-F238E27FC236}">
                        <a16:creationId xmlns:a16="http://schemas.microsoft.com/office/drawing/2014/main" id="{D93A5597-A871-486E-87CF-F3BDF1345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4414" w:type="dxa"/>
          </w:tcPr>
          <w:p w14:paraId="358617C2" w14:textId="77777777" w:rsidR="00731104" w:rsidRPr="00A676AF" w:rsidRDefault="00731104" w:rsidP="006A7377">
            <w:r w:rsidRPr="00A676AF">
              <w:rPr>
                <w:noProof/>
              </w:rPr>
              <w:drawing>
                <wp:inline distT="0" distB="0" distL="0" distR="0" wp14:anchorId="2E5F3B6D" wp14:editId="1677966C">
                  <wp:extent cx="2519680" cy="1676400"/>
                  <wp:effectExtent l="0" t="0" r="0" b="0"/>
                  <wp:docPr id="1889938833" name="Gráfico 1889938833">
                    <a:extLst xmlns:a="http://schemas.openxmlformats.org/drawingml/2006/main">
                      <a:ext uri="{FF2B5EF4-FFF2-40B4-BE49-F238E27FC236}">
                        <a16:creationId xmlns:a16="http://schemas.microsoft.com/office/drawing/2014/main" id="{5944B87A-C8EF-484A-88D9-47967A9B2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731104" w:rsidRPr="00A676AF" w14:paraId="0C68EE15" w14:textId="77777777" w:rsidTr="006A7377">
        <w:tc>
          <w:tcPr>
            <w:tcW w:w="8828" w:type="dxa"/>
            <w:gridSpan w:val="2"/>
          </w:tcPr>
          <w:p w14:paraId="5E4BBADE" w14:textId="77777777" w:rsidR="00731104" w:rsidRPr="00A676AF" w:rsidRDefault="00731104" w:rsidP="006A7377">
            <w:pPr>
              <w:rPr>
                <w:sz w:val="16"/>
              </w:rPr>
            </w:pPr>
            <w:r w:rsidRPr="00A676AF">
              <w:rPr>
                <w:sz w:val="16"/>
              </w:rPr>
              <w:t>Fuente: Naciones Unidas, Perspectivas de la población Mundial 2022</w:t>
            </w:r>
          </w:p>
          <w:p w14:paraId="1A4CB92F" w14:textId="77777777" w:rsidR="00731104" w:rsidRPr="00A676AF" w:rsidRDefault="00731104" w:rsidP="006A7377">
            <w:r w:rsidRPr="00A676AF">
              <w:rPr>
                <w:sz w:val="16"/>
              </w:rPr>
              <w:t>Nota: en 2022 fue la última actualización.</w:t>
            </w:r>
          </w:p>
        </w:tc>
      </w:tr>
    </w:tbl>
    <w:p w14:paraId="30826356" w14:textId="77777777" w:rsidR="00731104" w:rsidRPr="00A676AF" w:rsidRDefault="00731104" w:rsidP="00731104">
      <w:pPr>
        <w:pStyle w:val="Default"/>
        <w:jc w:val="both"/>
        <w:rPr>
          <w:rFonts w:ascii="Times New Roman" w:hAnsi="Times New Roman" w:cs="Times New Roman"/>
        </w:rPr>
      </w:pPr>
    </w:p>
    <w:p w14:paraId="7AF4468C" w14:textId="0864CE77" w:rsidR="00731104" w:rsidRDefault="00731104" w:rsidP="00037E1D">
      <w:pPr>
        <w:pStyle w:val="Default"/>
        <w:jc w:val="both"/>
        <w:rPr>
          <w:rFonts w:ascii="Times New Roman" w:hAnsi="Times New Roman" w:cs="Times New Roman"/>
        </w:rPr>
      </w:pPr>
      <w:r w:rsidRPr="00A676AF">
        <w:rPr>
          <w:rFonts w:ascii="Times New Roman" w:hAnsi="Times New Roman" w:cs="Times New Roman"/>
        </w:rPr>
        <w:t xml:space="preserve">Por lo que en este apartado se realizará un análisis situacional y se presentarán escenarios futuros de dos de los principales sistemas de pensionarios de Guatemala que incluyen al </w:t>
      </w:r>
      <w:r w:rsidRPr="00A676AF">
        <w:rPr>
          <w:rFonts w:ascii="Times New Roman" w:hAnsi="Times New Roman" w:cs="Times New Roman"/>
        </w:rPr>
        <w:lastRenderedPageBreak/>
        <w:t xml:space="preserve">Régimen de Clases Pasivas del </w:t>
      </w:r>
      <w:r w:rsidRPr="003A4C78">
        <w:rPr>
          <w:rFonts w:ascii="Times New Roman" w:hAnsi="Times New Roman" w:cs="Times New Roman"/>
        </w:rPr>
        <w:t>Estado de la Oficina Nacional de Servicio Civil -ONSEC- y el programa de Invalidez, Vejez y Sobrevivencia del Estado del IVS del Instituto Guatemalteco de Seguridad Social -IGSS-.</w:t>
      </w:r>
    </w:p>
    <w:p w14:paraId="0CFB267D" w14:textId="77777777" w:rsidR="004A12A1" w:rsidRPr="001353E7" w:rsidRDefault="004A12A1" w:rsidP="00731104">
      <w:pPr>
        <w:pStyle w:val="Default"/>
        <w:rPr>
          <w:rFonts w:ascii="Times New Roman" w:hAnsi="Times New Roman" w:cs="Times New Roman"/>
        </w:rPr>
      </w:pPr>
    </w:p>
    <w:p w14:paraId="2DDA7066" w14:textId="77777777" w:rsidR="0059173D" w:rsidRPr="0059173D" w:rsidRDefault="0059173D" w:rsidP="0059173D">
      <w:pPr>
        <w:pStyle w:val="Prrafodelista"/>
        <w:keepNext/>
        <w:widowControl w:val="0"/>
        <w:numPr>
          <w:ilvl w:val="0"/>
          <w:numId w:val="35"/>
        </w:numPr>
        <w:contextualSpacing w:val="0"/>
        <w:outlineLvl w:val="1"/>
        <w:rPr>
          <w:rFonts w:eastAsiaTheme="minorHAnsi"/>
          <w:b/>
          <w:bCs/>
          <w:vanish/>
          <w:color w:val="000000"/>
          <w:lang w:eastAsia="en-US"/>
        </w:rPr>
      </w:pPr>
      <w:bookmarkStart w:id="334" w:name="_Toc110522951"/>
      <w:bookmarkStart w:id="335" w:name="_Toc114066655"/>
      <w:bookmarkStart w:id="336" w:name="_Toc114473977"/>
      <w:bookmarkStart w:id="337" w:name="_Toc114476024"/>
      <w:bookmarkStart w:id="338" w:name="_Toc114476131"/>
      <w:bookmarkStart w:id="339" w:name="_Toc114476217"/>
      <w:bookmarkStart w:id="340" w:name="_Toc114476284"/>
      <w:bookmarkStart w:id="341" w:name="_Toc114476357"/>
      <w:bookmarkStart w:id="342" w:name="_Toc143252214"/>
      <w:bookmarkStart w:id="343" w:name="_Toc143252358"/>
      <w:bookmarkStart w:id="344" w:name="_Toc143252500"/>
      <w:bookmarkStart w:id="345" w:name="_Toc143874030"/>
      <w:bookmarkStart w:id="346" w:name="_Toc143874175"/>
      <w:bookmarkStart w:id="347" w:name="_Toc144113941"/>
      <w:bookmarkStart w:id="348" w:name="_Toc144114099"/>
      <w:bookmarkStart w:id="349" w:name="_Toc144114245"/>
      <w:bookmarkStart w:id="350" w:name="_Toc144114389"/>
      <w:bookmarkStart w:id="351" w:name="_Toc114495274"/>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084375E1" w14:textId="5E639866" w:rsidR="00731104" w:rsidRPr="00162DF6" w:rsidRDefault="00731104" w:rsidP="007F19DF">
      <w:pPr>
        <w:pStyle w:val="Ttulo2"/>
        <w:numPr>
          <w:ilvl w:val="1"/>
          <w:numId w:val="35"/>
        </w:numPr>
        <w:ind w:left="567" w:hanging="425"/>
        <w:rPr>
          <w:bCs/>
        </w:rPr>
      </w:pPr>
      <w:bookmarkStart w:id="352" w:name="_Toc144114390"/>
      <w:r w:rsidRPr="00162DF6">
        <w:rPr>
          <w:bCs/>
        </w:rPr>
        <w:t>Régimen de Clases Pasivas del Estado</w:t>
      </w:r>
      <w:bookmarkEnd w:id="351"/>
      <w:bookmarkEnd w:id="352"/>
    </w:p>
    <w:p w14:paraId="1F0DE686" w14:textId="77777777" w:rsidR="00731104" w:rsidRDefault="00731104" w:rsidP="00731104">
      <w:pPr>
        <w:jc w:val="both"/>
      </w:pPr>
    </w:p>
    <w:p w14:paraId="7351557A" w14:textId="4E2CB2DC" w:rsidR="00731104" w:rsidRDefault="00731104" w:rsidP="00731104">
      <w:pPr>
        <w:jc w:val="both"/>
      </w:pPr>
      <w:r>
        <w:t>Este régimen se administra en base a la Ley de Clases Pasivas Civiles del Estado (Decreto 63-88 y sus reformas) y a su Reglamento (Acuerdo Gubernativo 1220-88). El Régimen ofrece a sus afiliados pensiones por jubilación, invalidez y sobrevivencia (viudez, orfandad, etc.). El sistema de pensiones es de reparto dado que las pensiones son pagadas con los recursos generados de forma corriente por los contribuyentes y por el aporte patronal, y es un sistema de beneficios (prestaciones) definidos debido a que su tasa de reemplazo se fija a partir de derechos adquiridos, a través de los años de servicio prestados y con una base pensionaria por el historial salarial. Los beneficios del régimen actualmente tienen un tope máximo de Q5,907.0, mayor al del año anterior de (Q5,370) debido al aumento del 10.0% otorgado a los jubilados aprobado en el decreto.</w:t>
      </w:r>
    </w:p>
    <w:p w14:paraId="12492F5F" w14:textId="77777777" w:rsidR="00731104" w:rsidRDefault="00731104" w:rsidP="00731104">
      <w:pPr>
        <w:jc w:val="both"/>
      </w:pPr>
    </w:p>
    <w:p w14:paraId="1CAB0157" w14:textId="77777777" w:rsidR="00731104" w:rsidRDefault="00731104" w:rsidP="00731104">
      <w:pPr>
        <w:jc w:val="both"/>
      </w:pPr>
      <w:r>
        <w:t>La cobertura del régimen es de forma obligatoria para algunas entidades de gobierno central presupuestario y de forma opcional descentralizadas y autónomas, siempre que la entidad esté inscrita al régimen y realice un aporte patronal de al menos el 10% de las remuneraciones. Los requisitos para obtener el derecho voluntario son haber realizado 20 años de servicio a cualquier edad o 10 o más años de servicio a los 50 años de edad y el derecho obligatorio es haber cumplido 65 años y tener 10 años de servicio.</w:t>
      </w:r>
    </w:p>
    <w:p w14:paraId="675F386D" w14:textId="77777777" w:rsidR="00731104" w:rsidRDefault="00731104" w:rsidP="00731104">
      <w:pPr>
        <w:jc w:val="both"/>
      </w:pPr>
    </w:p>
    <w:p w14:paraId="4B0494EC" w14:textId="6A982128" w:rsidR="00731104" w:rsidRPr="00162DF6" w:rsidRDefault="00731104" w:rsidP="007F19DF">
      <w:pPr>
        <w:pStyle w:val="Ttulo2"/>
        <w:numPr>
          <w:ilvl w:val="2"/>
          <w:numId w:val="35"/>
        </w:numPr>
        <w:tabs>
          <w:tab w:val="left" w:pos="851"/>
        </w:tabs>
        <w:ind w:left="567" w:hanging="283"/>
        <w:rPr>
          <w:bCs/>
        </w:rPr>
      </w:pPr>
      <w:bookmarkStart w:id="353" w:name="_Toc114495275"/>
      <w:bookmarkStart w:id="354" w:name="_Toc144114391"/>
      <w:r w:rsidRPr="00162DF6">
        <w:rPr>
          <w:bCs/>
        </w:rPr>
        <w:t xml:space="preserve">Afiliados y beneficiarios del </w:t>
      </w:r>
      <w:r w:rsidR="00910096">
        <w:rPr>
          <w:bCs/>
        </w:rPr>
        <w:t>r</w:t>
      </w:r>
      <w:r w:rsidRPr="00162DF6">
        <w:rPr>
          <w:bCs/>
        </w:rPr>
        <w:t>égimen</w:t>
      </w:r>
      <w:bookmarkEnd w:id="353"/>
      <w:bookmarkEnd w:id="354"/>
      <w:r w:rsidRPr="00162DF6">
        <w:rPr>
          <w:bCs/>
        </w:rPr>
        <w:t xml:space="preserve"> </w:t>
      </w:r>
    </w:p>
    <w:p w14:paraId="09D20E16" w14:textId="77777777" w:rsidR="00731104" w:rsidRDefault="00731104" w:rsidP="00731104">
      <w:pPr>
        <w:jc w:val="both"/>
      </w:pPr>
    </w:p>
    <w:p w14:paraId="5A730821" w14:textId="38192A76" w:rsidR="00731104" w:rsidRPr="00F00DD2" w:rsidRDefault="00731104" w:rsidP="00731104">
      <w:pPr>
        <w:jc w:val="both"/>
      </w:pPr>
      <w:r w:rsidRPr="00F00DD2">
        <w:t xml:space="preserve">El Régimen de Clases pasivas no cuenta con una base de datos propia, por lo que se realizó una aproximación </w:t>
      </w:r>
      <w:r w:rsidR="00FF602C">
        <w:t xml:space="preserve">con </w:t>
      </w:r>
      <w:r w:rsidRPr="00F00DD2">
        <w:t>información de la nómina del MINFIN a mayo de 2023 y de otras instituciones</w:t>
      </w:r>
      <w:r w:rsidR="00FF602C">
        <w:t xml:space="preserve"> como</w:t>
      </w:r>
      <w:r w:rsidRPr="00F00DD2">
        <w:t xml:space="preserve"> la información proporcionada por el estudio actuarial de ONSEC</w:t>
      </w:r>
      <w:r>
        <w:t xml:space="preserve"> realizado en 2022</w:t>
      </w:r>
      <w:r w:rsidRPr="00F00DD2">
        <w:t>. En el caso de los afiliados por nómina se consideró su código de empleado como identificador único y</w:t>
      </w:r>
      <w:r w:rsidR="00FF602C">
        <w:t>,</w:t>
      </w:r>
      <w:r w:rsidRPr="00F00DD2">
        <w:t xml:space="preserve"> del personal de renglón 031</w:t>
      </w:r>
      <w:r w:rsidR="00FF602C">
        <w:t>,</w:t>
      </w:r>
      <w:r w:rsidRPr="00F00DD2">
        <w:t xml:space="preserve"> se tomó el 30% que se ha identificado que es promedio de jornales que contribuye</w:t>
      </w:r>
      <w:r w:rsidR="00FF602C">
        <w:t>n</w:t>
      </w:r>
      <w:r w:rsidRPr="00F00DD2">
        <w:t xml:space="preserve"> al Régimen.</w:t>
      </w:r>
    </w:p>
    <w:p w14:paraId="0A0BC54A" w14:textId="77777777" w:rsidR="00731104" w:rsidRPr="0059455B" w:rsidRDefault="00731104" w:rsidP="00731104">
      <w:pPr>
        <w:jc w:val="both"/>
        <w:rPr>
          <w:highlight w:val="yellow"/>
        </w:rPr>
      </w:pPr>
    </w:p>
    <w:p w14:paraId="009C5F8F" w14:textId="77777777" w:rsidR="00731104" w:rsidRPr="00730A50" w:rsidRDefault="00731104" w:rsidP="00731104">
      <w:pPr>
        <w:jc w:val="both"/>
      </w:pPr>
      <w:r w:rsidRPr="00730A50">
        <w:t xml:space="preserve">De lo anterior se aproxima que en 2023 los afiliados al régimen son 243,000 empleados, de los cuales el 52.5% pertenecen a MINEDUC, 18.4% a MINGOB, 12.6% a MSPAS, 7.9% de otros empleados registrados en nómina que corresponde a otras entidades de gobierno y 8.6% de los empleados que no están registrados en nóminas que incluyen personal de entidades descentralizadas y autónomas, como el Organismo Judicial, Tribunal Supremo Electoral, Comisiones, Secretarías, entre otras Entidades. </w:t>
      </w:r>
    </w:p>
    <w:p w14:paraId="0A0AA2DB" w14:textId="77777777" w:rsidR="00731104" w:rsidRPr="0059455B" w:rsidRDefault="00731104" w:rsidP="00731104">
      <w:pPr>
        <w:jc w:val="both"/>
        <w:rPr>
          <w:highlight w:val="yellow"/>
        </w:rPr>
      </w:pPr>
    </w:p>
    <w:p w14:paraId="55165DFC" w14:textId="77777777" w:rsidR="00731104" w:rsidRDefault="00731104" w:rsidP="00731104">
      <w:pPr>
        <w:jc w:val="both"/>
      </w:pPr>
      <w:r w:rsidRPr="00730A50">
        <w:t>La edad promedio ponderada de los afiliados que están registrados en la nómina es de 40.8 años, esto dado que el 9.6% se encuentra entre la edad mínima para trabajar hasta 29 años, el 68.8% de 30 a 49 años, 15.8% de 40 a 59 años y únicamente el 5.8% de 60 o más. Por otro lado, se observa que en promedio MINEDUC posee un mayor salario promedio y MINGOB el menor.</w:t>
      </w:r>
    </w:p>
    <w:p w14:paraId="56207B41" w14:textId="77777777" w:rsidR="00731104" w:rsidRDefault="00731104" w:rsidP="00731104">
      <w:pPr>
        <w:jc w:val="both"/>
      </w:pPr>
    </w:p>
    <w:p w14:paraId="4DABCD33" w14:textId="77777777" w:rsidR="002F0D44" w:rsidRDefault="002F0D44" w:rsidP="00731104">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947"/>
        <w:gridCol w:w="2947"/>
      </w:tblGrid>
      <w:tr w:rsidR="00731104" w14:paraId="7BC79F0E" w14:textId="77777777" w:rsidTr="006A7377">
        <w:trPr>
          <w:trHeight w:val="190"/>
        </w:trPr>
        <w:tc>
          <w:tcPr>
            <w:tcW w:w="8838" w:type="dxa"/>
            <w:gridSpan w:val="3"/>
          </w:tcPr>
          <w:p w14:paraId="37254195" w14:textId="21294DCE" w:rsidR="00731104" w:rsidRPr="002F0D44" w:rsidRDefault="002F0D44" w:rsidP="002F0D44">
            <w:pPr>
              <w:pStyle w:val="Descripcin"/>
              <w:rPr>
                <w:color w:val="auto"/>
              </w:rPr>
            </w:pPr>
            <w:bookmarkStart w:id="355" w:name="_Toc143593601"/>
            <w:r w:rsidRPr="002F0D44">
              <w:rPr>
                <w:color w:val="auto"/>
              </w:rPr>
              <w:lastRenderedPageBreak/>
              <w:t xml:space="preserve">Gráfico </w:t>
            </w:r>
            <w:r w:rsidRPr="002F0D44">
              <w:rPr>
                <w:color w:val="auto"/>
              </w:rPr>
              <w:fldChar w:fldCharType="begin"/>
            </w:r>
            <w:r w:rsidRPr="002F0D44">
              <w:rPr>
                <w:color w:val="auto"/>
              </w:rPr>
              <w:instrText xml:space="preserve"> SEQ Gráfico \* ARABIC </w:instrText>
            </w:r>
            <w:r w:rsidRPr="002F0D44">
              <w:rPr>
                <w:color w:val="auto"/>
              </w:rPr>
              <w:fldChar w:fldCharType="separate"/>
            </w:r>
            <w:r w:rsidR="00A62AFA">
              <w:rPr>
                <w:noProof/>
                <w:color w:val="auto"/>
              </w:rPr>
              <w:t>43</w:t>
            </w:r>
            <w:r w:rsidRPr="002F0D44">
              <w:rPr>
                <w:color w:val="auto"/>
              </w:rPr>
              <w:fldChar w:fldCharType="end"/>
            </w:r>
            <w:r w:rsidRPr="002F0D44">
              <w:rPr>
                <w:color w:val="auto"/>
              </w:rPr>
              <w:t xml:space="preserve">. </w:t>
            </w:r>
            <w:bookmarkStart w:id="356" w:name="_Toc114493905"/>
            <w:r w:rsidRPr="002F0D44">
              <w:rPr>
                <w:bCs/>
                <w:color w:val="auto"/>
              </w:rPr>
              <w:t xml:space="preserve">Afiliados al Régimen de Clases Pasivas en </w:t>
            </w:r>
            <w:bookmarkEnd w:id="356"/>
            <w:r w:rsidRPr="002F0D44">
              <w:rPr>
                <w:bCs/>
                <w:color w:val="auto"/>
              </w:rPr>
              <w:t>2023</w:t>
            </w:r>
            <w:bookmarkEnd w:id="355"/>
          </w:p>
          <w:p w14:paraId="2B51CA38" w14:textId="77777777" w:rsidR="00731104" w:rsidRPr="0016291F" w:rsidRDefault="00731104" w:rsidP="006A7377">
            <w:pPr>
              <w:jc w:val="center"/>
              <w:rPr>
                <w:b/>
                <w:bCs/>
                <w:sz w:val="10"/>
                <w:szCs w:val="10"/>
              </w:rPr>
            </w:pPr>
          </w:p>
        </w:tc>
      </w:tr>
      <w:tr w:rsidR="00731104" w14:paraId="0FFAC96E" w14:textId="77777777" w:rsidTr="006A7377">
        <w:tc>
          <w:tcPr>
            <w:tcW w:w="2972" w:type="dxa"/>
          </w:tcPr>
          <w:p w14:paraId="342DDEB0" w14:textId="77777777" w:rsidR="00731104" w:rsidRPr="002F0D44" w:rsidRDefault="00731104" w:rsidP="006A7377">
            <w:pPr>
              <w:jc w:val="center"/>
              <w:rPr>
                <w:b/>
                <w:bCs/>
                <w:color w:val="2F5496" w:themeColor="accent1" w:themeShade="BF"/>
                <w:sz w:val="22"/>
                <w:szCs w:val="22"/>
              </w:rPr>
            </w:pPr>
            <w:r w:rsidRPr="002F0D44">
              <w:rPr>
                <w:b/>
                <w:bCs/>
                <w:color w:val="2F5496" w:themeColor="accent1" w:themeShade="BF"/>
                <w:sz w:val="22"/>
                <w:szCs w:val="22"/>
              </w:rPr>
              <w:t>Afiliados por Entidad</w:t>
            </w:r>
          </w:p>
        </w:tc>
        <w:tc>
          <w:tcPr>
            <w:tcW w:w="2974" w:type="dxa"/>
          </w:tcPr>
          <w:p w14:paraId="5EC4D07D" w14:textId="77777777" w:rsidR="00731104" w:rsidRPr="002F0D44" w:rsidRDefault="00731104" w:rsidP="006A7377">
            <w:pPr>
              <w:jc w:val="center"/>
              <w:rPr>
                <w:b/>
                <w:bCs/>
                <w:color w:val="2F5496" w:themeColor="accent1" w:themeShade="BF"/>
                <w:sz w:val="22"/>
                <w:szCs w:val="22"/>
              </w:rPr>
            </w:pPr>
            <w:r w:rsidRPr="002F0D44">
              <w:rPr>
                <w:b/>
                <w:bCs/>
                <w:color w:val="2F5496" w:themeColor="accent1" w:themeShade="BF"/>
                <w:sz w:val="22"/>
                <w:szCs w:val="22"/>
              </w:rPr>
              <w:t>Estructura porcentual de los afiliados (porcentaje)</w:t>
            </w:r>
          </w:p>
        </w:tc>
        <w:tc>
          <w:tcPr>
            <w:tcW w:w="2892" w:type="dxa"/>
          </w:tcPr>
          <w:p w14:paraId="3F7F4159" w14:textId="77777777" w:rsidR="00731104" w:rsidRPr="002F0D44" w:rsidRDefault="00731104" w:rsidP="006A7377">
            <w:pPr>
              <w:jc w:val="center"/>
              <w:rPr>
                <w:b/>
                <w:bCs/>
                <w:color w:val="2F5496" w:themeColor="accent1" w:themeShade="BF"/>
                <w:sz w:val="22"/>
                <w:szCs w:val="22"/>
              </w:rPr>
            </w:pPr>
            <w:r w:rsidRPr="002F0D44">
              <w:rPr>
                <w:b/>
                <w:bCs/>
                <w:color w:val="2F5496" w:themeColor="accent1" w:themeShade="BF"/>
                <w:sz w:val="22"/>
                <w:szCs w:val="22"/>
              </w:rPr>
              <w:t>Salario promedio de los afiliados (miles)</w:t>
            </w:r>
          </w:p>
        </w:tc>
      </w:tr>
      <w:tr w:rsidR="00731104" w14:paraId="24B87352" w14:textId="77777777" w:rsidTr="006A7377">
        <w:tblPrEx>
          <w:tblCellMar>
            <w:left w:w="70" w:type="dxa"/>
            <w:right w:w="70" w:type="dxa"/>
          </w:tblCellMar>
        </w:tblPrEx>
        <w:tc>
          <w:tcPr>
            <w:tcW w:w="2972" w:type="dxa"/>
          </w:tcPr>
          <w:p w14:paraId="230E2920" w14:textId="77777777" w:rsidR="00731104" w:rsidRDefault="00731104" w:rsidP="006A7377">
            <w:pPr>
              <w:jc w:val="both"/>
            </w:pPr>
            <w:r>
              <w:rPr>
                <w:noProof/>
              </w:rPr>
              <w:drawing>
                <wp:inline distT="0" distB="0" distL="0" distR="0" wp14:anchorId="04D26E33" wp14:editId="17DA6083">
                  <wp:extent cx="1798686" cy="1440000"/>
                  <wp:effectExtent l="0" t="0" r="0" b="8255"/>
                  <wp:docPr id="1889938834" name="Gráfico 1889938834">
                    <a:extLst xmlns:a="http://schemas.openxmlformats.org/drawingml/2006/main">
                      <a:ext uri="{FF2B5EF4-FFF2-40B4-BE49-F238E27FC236}">
                        <a16:creationId xmlns:a16="http://schemas.microsoft.com/office/drawing/2014/main" id="{C8CEC34D-5339-4265-A763-6B2E8B11A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2974" w:type="dxa"/>
          </w:tcPr>
          <w:p w14:paraId="714C71E3" w14:textId="77777777" w:rsidR="00731104" w:rsidRDefault="00731104" w:rsidP="006A7377">
            <w:pPr>
              <w:jc w:val="both"/>
            </w:pPr>
            <w:r>
              <w:rPr>
                <w:noProof/>
              </w:rPr>
              <w:drawing>
                <wp:inline distT="0" distB="0" distL="0" distR="0" wp14:anchorId="2FB54E18" wp14:editId="42D3B36E">
                  <wp:extent cx="1800000" cy="1440000"/>
                  <wp:effectExtent l="0" t="0" r="0" b="8255"/>
                  <wp:docPr id="1889938835" name="Gráfico 1889938835">
                    <a:extLst xmlns:a="http://schemas.openxmlformats.org/drawingml/2006/main">
                      <a:ext uri="{FF2B5EF4-FFF2-40B4-BE49-F238E27FC236}">
                        <a16:creationId xmlns:a16="http://schemas.microsoft.com/office/drawing/2014/main" id="{829BD52C-D9D3-4A3B-9D20-B00C5832F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2892" w:type="dxa"/>
          </w:tcPr>
          <w:p w14:paraId="1CB9F353" w14:textId="77777777" w:rsidR="00731104" w:rsidRDefault="00731104" w:rsidP="006A7377">
            <w:pPr>
              <w:jc w:val="both"/>
            </w:pPr>
            <w:r>
              <w:rPr>
                <w:noProof/>
              </w:rPr>
              <w:drawing>
                <wp:inline distT="0" distB="0" distL="0" distR="0" wp14:anchorId="5FD5EBB4" wp14:editId="20FDC891">
                  <wp:extent cx="1800000" cy="1440000"/>
                  <wp:effectExtent l="0" t="0" r="0" b="8255"/>
                  <wp:docPr id="1889938836" name="Gráfico 1889938836">
                    <a:extLst xmlns:a="http://schemas.openxmlformats.org/drawingml/2006/main">
                      <a:ext uri="{FF2B5EF4-FFF2-40B4-BE49-F238E27FC236}">
                        <a16:creationId xmlns:a16="http://schemas.microsoft.com/office/drawing/2014/main" id="{06CDA044-C04F-4F1D-B5B9-BBB231DF7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731104" w14:paraId="0E5C7045" w14:textId="77777777" w:rsidTr="006A7377">
        <w:tc>
          <w:tcPr>
            <w:tcW w:w="8838" w:type="dxa"/>
            <w:gridSpan w:val="3"/>
          </w:tcPr>
          <w:p w14:paraId="532CE528" w14:textId="77777777" w:rsidR="00731104" w:rsidRPr="00FE367F" w:rsidRDefault="00731104" w:rsidP="006A7377">
            <w:pPr>
              <w:jc w:val="both"/>
              <w:rPr>
                <w:sz w:val="16"/>
                <w:szCs w:val="16"/>
              </w:rPr>
            </w:pPr>
            <w:r>
              <w:rPr>
                <w:sz w:val="16"/>
                <w:szCs w:val="16"/>
              </w:rPr>
              <w:t xml:space="preserve">Fuente: </w:t>
            </w:r>
            <w:r w:rsidRPr="00FE367F">
              <w:rPr>
                <w:sz w:val="16"/>
                <w:szCs w:val="16"/>
              </w:rPr>
              <w:t>Elaboración propia con información proporcionada por Servicio Civil</w:t>
            </w:r>
          </w:p>
          <w:p w14:paraId="7C601D99" w14:textId="77777777" w:rsidR="00731104" w:rsidRPr="000415B6" w:rsidRDefault="00731104" w:rsidP="006A7377">
            <w:pPr>
              <w:jc w:val="both"/>
            </w:pPr>
            <w:r w:rsidRPr="00FE367F">
              <w:rPr>
                <w:sz w:val="16"/>
                <w:szCs w:val="16"/>
              </w:rPr>
              <w:t>NM. es el personal del régimen registrado en la nómina de MINFIN y N.NM. son las</w:t>
            </w:r>
            <w:r>
              <w:rPr>
                <w:sz w:val="16"/>
                <w:szCs w:val="16"/>
              </w:rPr>
              <w:t xml:space="preserve"> descentralizadas y autónomas</w:t>
            </w:r>
            <w:r w:rsidRPr="00FE367F">
              <w:rPr>
                <w:sz w:val="16"/>
                <w:szCs w:val="16"/>
              </w:rPr>
              <w:t>.</w:t>
            </w:r>
          </w:p>
        </w:tc>
      </w:tr>
    </w:tbl>
    <w:p w14:paraId="0B4BB9F2" w14:textId="77777777" w:rsidR="00731104" w:rsidRDefault="00731104" w:rsidP="00731104">
      <w:pPr>
        <w:jc w:val="both"/>
        <w:rPr>
          <w:highlight w:val="yellow"/>
        </w:rPr>
      </w:pPr>
    </w:p>
    <w:p w14:paraId="6292F6C4" w14:textId="77777777" w:rsidR="00731104" w:rsidRPr="00223746" w:rsidRDefault="00731104" w:rsidP="00731104">
      <w:pPr>
        <w:jc w:val="both"/>
      </w:pPr>
      <w:r w:rsidRPr="003A54FD">
        <w:t xml:space="preserve">En lo que respecta a los pensionados se identifican 106,000 pensionados aproximadamente a mayo 2023 según su nómina, de los cuales el 74.1% tienen pensión civil por jubilación, el 20.6% por pensión civil por sobrevivencia, 1.2% por pensión civil por invalidez, 2.3% de pensiones militares y otro tipo de pensiones 1.7%, las cuales incluyen pensiones especiales, </w:t>
      </w:r>
      <w:r w:rsidRPr="00223746">
        <w:t>del Banco Nacional de la Vivienda y GUATEL.</w:t>
      </w:r>
    </w:p>
    <w:p w14:paraId="3B11AC19" w14:textId="77777777" w:rsidR="00731104" w:rsidRPr="00223746" w:rsidRDefault="00731104" w:rsidP="00731104">
      <w:pPr>
        <w:jc w:val="both"/>
      </w:pPr>
    </w:p>
    <w:p w14:paraId="30040E54" w14:textId="77777777" w:rsidR="00731104" w:rsidRDefault="00731104" w:rsidP="00731104">
      <w:pPr>
        <w:jc w:val="both"/>
      </w:pPr>
      <w:r w:rsidRPr="00223746">
        <w:t>Por otro lado, la edad promedio ponderada de los beneficiarios sin incluir la pensión por orfandad es de 68.1 años, esto se debe a que el 2.4% del total tiene 40 años o menos, 21.9% tienen de 41 a 59 años y 75.6% se encuentran entre los 60 años o más. En lo que respecta al salario promedio de la Pensión Civil por Jubilación se encuentra en Q4,200 aproximadamente</w:t>
      </w:r>
      <w:r>
        <w:t>.</w:t>
      </w:r>
    </w:p>
    <w:p w14:paraId="26A67ECA" w14:textId="77777777" w:rsidR="00731104" w:rsidRPr="00AC6A12" w:rsidRDefault="00731104" w:rsidP="00731104">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2941"/>
        <w:gridCol w:w="2957"/>
      </w:tblGrid>
      <w:tr w:rsidR="00731104" w14:paraId="644A4EE5" w14:textId="77777777" w:rsidTr="006A7377">
        <w:tc>
          <w:tcPr>
            <w:tcW w:w="8838" w:type="dxa"/>
            <w:gridSpan w:val="3"/>
          </w:tcPr>
          <w:p w14:paraId="5C5ACFCA" w14:textId="1F1957C2" w:rsidR="00731104" w:rsidRPr="002F0D44" w:rsidRDefault="002F0D44" w:rsidP="002F0D44">
            <w:pPr>
              <w:pStyle w:val="Descripcin"/>
              <w:rPr>
                <w:color w:val="auto"/>
              </w:rPr>
            </w:pPr>
            <w:bookmarkStart w:id="357" w:name="_Toc143593602"/>
            <w:r w:rsidRPr="002F0D44">
              <w:rPr>
                <w:color w:val="auto"/>
              </w:rPr>
              <w:t xml:space="preserve">Gráfico </w:t>
            </w:r>
            <w:r w:rsidRPr="002F0D44">
              <w:rPr>
                <w:color w:val="auto"/>
              </w:rPr>
              <w:fldChar w:fldCharType="begin"/>
            </w:r>
            <w:r w:rsidRPr="002F0D44">
              <w:rPr>
                <w:color w:val="auto"/>
              </w:rPr>
              <w:instrText xml:space="preserve"> SEQ Gráfico \* ARABIC </w:instrText>
            </w:r>
            <w:r w:rsidRPr="002F0D44">
              <w:rPr>
                <w:color w:val="auto"/>
              </w:rPr>
              <w:fldChar w:fldCharType="separate"/>
            </w:r>
            <w:r w:rsidR="00A62AFA">
              <w:rPr>
                <w:noProof/>
                <w:color w:val="auto"/>
              </w:rPr>
              <w:t>44</w:t>
            </w:r>
            <w:r w:rsidRPr="002F0D44">
              <w:rPr>
                <w:color w:val="auto"/>
              </w:rPr>
              <w:fldChar w:fldCharType="end"/>
            </w:r>
            <w:r w:rsidRPr="002F0D44">
              <w:rPr>
                <w:color w:val="auto"/>
              </w:rPr>
              <w:t xml:space="preserve">. </w:t>
            </w:r>
            <w:bookmarkStart w:id="358" w:name="_Toc114493906"/>
            <w:r w:rsidRPr="002F0D44">
              <w:rPr>
                <w:bCs/>
                <w:color w:val="auto"/>
              </w:rPr>
              <w:t xml:space="preserve">Beneficiarios del Régimen de Clases Pasivas en </w:t>
            </w:r>
            <w:bookmarkEnd w:id="358"/>
            <w:r w:rsidRPr="002F0D44">
              <w:rPr>
                <w:bCs/>
                <w:color w:val="auto"/>
              </w:rPr>
              <w:t>2023</w:t>
            </w:r>
            <w:bookmarkEnd w:id="357"/>
          </w:p>
          <w:p w14:paraId="22E2725E" w14:textId="77777777" w:rsidR="00731104" w:rsidRPr="00CE38CB" w:rsidRDefault="00731104" w:rsidP="006A7377">
            <w:pPr>
              <w:jc w:val="center"/>
              <w:rPr>
                <w:b/>
                <w:bCs/>
                <w:sz w:val="10"/>
                <w:szCs w:val="10"/>
              </w:rPr>
            </w:pPr>
          </w:p>
        </w:tc>
      </w:tr>
      <w:tr w:rsidR="00731104" w14:paraId="0C600EA4" w14:textId="77777777" w:rsidTr="006A7377">
        <w:tc>
          <w:tcPr>
            <w:tcW w:w="2974" w:type="dxa"/>
          </w:tcPr>
          <w:p w14:paraId="11C1A3BA" w14:textId="77777777" w:rsidR="00731104" w:rsidRPr="002F0D44" w:rsidRDefault="00731104" w:rsidP="006A7377">
            <w:pPr>
              <w:jc w:val="center"/>
              <w:rPr>
                <w:b/>
                <w:bCs/>
                <w:color w:val="2F5496" w:themeColor="accent1" w:themeShade="BF"/>
                <w:sz w:val="22"/>
                <w:szCs w:val="22"/>
              </w:rPr>
            </w:pPr>
            <w:r w:rsidRPr="002F0D44">
              <w:rPr>
                <w:b/>
                <w:bCs/>
                <w:color w:val="2F5496" w:themeColor="accent1" w:themeShade="BF"/>
                <w:sz w:val="22"/>
                <w:szCs w:val="22"/>
              </w:rPr>
              <w:t>Beneficiarios por tipo de pensión</w:t>
            </w:r>
          </w:p>
        </w:tc>
        <w:tc>
          <w:tcPr>
            <w:tcW w:w="2874" w:type="dxa"/>
          </w:tcPr>
          <w:p w14:paraId="4CB2C5B3" w14:textId="77777777" w:rsidR="00731104" w:rsidRPr="002F0D44" w:rsidRDefault="00731104" w:rsidP="006A7377">
            <w:pPr>
              <w:jc w:val="center"/>
              <w:rPr>
                <w:b/>
                <w:bCs/>
                <w:color w:val="2F5496" w:themeColor="accent1" w:themeShade="BF"/>
                <w:sz w:val="22"/>
                <w:szCs w:val="22"/>
              </w:rPr>
            </w:pPr>
            <w:r w:rsidRPr="002F0D44">
              <w:rPr>
                <w:b/>
                <w:bCs/>
                <w:color w:val="2F5496" w:themeColor="accent1" w:themeShade="BF"/>
                <w:sz w:val="22"/>
                <w:szCs w:val="22"/>
              </w:rPr>
              <w:t xml:space="preserve">Estructura porcentual por edad (porcentaje) </w:t>
            </w:r>
          </w:p>
        </w:tc>
        <w:tc>
          <w:tcPr>
            <w:tcW w:w="2990" w:type="dxa"/>
          </w:tcPr>
          <w:p w14:paraId="01574789" w14:textId="77777777" w:rsidR="00731104" w:rsidRPr="002F0D44" w:rsidRDefault="00731104" w:rsidP="006A7377">
            <w:pPr>
              <w:jc w:val="center"/>
              <w:rPr>
                <w:b/>
                <w:bCs/>
                <w:color w:val="2F5496" w:themeColor="accent1" w:themeShade="BF"/>
                <w:sz w:val="22"/>
                <w:szCs w:val="22"/>
              </w:rPr>
            </w:pPr>
            <w:r w:rsidRPr="002F0D44">
              <w:rPr>
                <w:b/>
                <w:bCs/>
                <w:color w:val="2F5496" w:themeColor="accent1" w:themeShade="BF"/>
                <w:sz w:val="22"/>
                <w:szCs w:val="22"/>
              </w:rPr>
              <w:t>Pensión promedio por tipo de pensión (miles)</w:t>
            </w:r>
          </w:p>
        </w:tc>
      </w:tr>
      <w:tr w:rsidR="00731104" w14:paraId="3234E89D" w14:textId="77777777" w:rsidTr="006A7377">
        <w:tblPrEx>
          <w:tblCellMar>
            <w:left w:w="70" w:type="dxa"/>
            <w:right w:w="70" w:type="dxa"/>
          </w:tblCellMar>
        </w:tblPrEx>
        <w:tc>
          <w:tcPr>
            <w:tcW w:w="2974" w:type="dxa"/>
          </w:tcPr>
          <w:p w14:paraId="5C1E6213" w14:textId="77777777" w:rsidR="00731104" w:rsidRDefault="00731104" w:rsidP="006A7377">
            <w:pPr>
              <w:jc w:val="both"/>
            </w:pPr>
            <w:r>
              <w:rPr>
                <w:noProof/>
              </w:rPr>
              <w:drawing>
                <wp:inline distT="0" distB="0" distL="0" distR="0" wp14:anchorId="641775D2" wp14:editId="56BB6362">
                  <wp:extent cx="1800000" cy="1440000"/>
                  <wp:effectExtent l="0" t="0" r="0" b="8255"/>
                  <wp:docPr id="1889938837" name="Gráfico 1889938837">
                    <a:extLst xmlns:a="http://schemas.openxmlformats.org/drawingml/2006/main">
                      <a:ext uri="{FF2B5EF4-FFF2-40B4-BE49-F238E27FC236}">
                        <a16:creationId xmlns:a16="http://schemas.microsoft.com/office/drawing/2014/main" id="{A24CAB98-14F0-48C8-9930-25A90CD2C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2874" w:type="dxa"/>
          </w:tcPr>
          <w:p w14:paraId="14A55699" w14:textId="77777777" w:rsidR="00731104" w:rsidRDefault="00731104" w:rsidP="006A7377">
            <w:pPr>
              <w:jc w:val="both"/>
            </w:pPr>
            <w:r>
              <w:rPr>
                <w:noProof/>
              </w:rPr>
              <w:drawing>
                <wp:inline distT="0" distB="0" distL="0" distR="0" wp14:anchorId="428ABA7F" wp14:editId="5C133989">
                  <wp:extent cx="1800000" cy="1440000"/>
                  <wp:effectExtent l="0" t="0" r="0" b="8255"/>
                  <wp:docPr id="1889938838" name="Gráfico 1889938838">
                    <a:extLst xmlns:a="http://schemas.openxmlformats.org/drawingml/2006/main">
                      <a:ext uri="{FF2B5EF4-FFF2-40B4-BE49-F238E27FC236}">
                        <a16:creationId xmlns:a16="http://schemas.microsoft.com/office/drawing/2014/main" id="{CA9D7FCA-7E41-4455-8620-07ECDA9C7A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2990" w:type="dxa"/>
          </w:tcPr>
          <w:p w14:paraId="25F7E5BA" w14:textId="77777777" w:rsidR="00731104" w:rsidRDefault="00731104" w:rsidP="006A7377">
            <w:pPr>
              <w:jc w:val="both"/>
            </w:pPr>
            <w:r>
              <w:rPr>
                <w:noProof/>
              </w:rPr>
              <w:drawing>
                <wp:inline distT="0" distB="0" distL="0" distR="0" wp14:anchorId="1EE72C77" wp14:editId="7060D31D">
                  <wp:extent cx="1809604" cy="1440000"/>
                  <wp:effectExtent l="0" t="0" r="635" b="8255"/>
                  <wp:docPr id="1889938839" name="Gráfico 1889938839">
                    <a:extLst xmlns:a="http://schemas.openxmlformats.org/drawingml/2006/main">
                      <a:ext uri="{FF2B5EF4-FFF2-40B4-BE49-F238E27FC236}">
                        <a16:creationId xmlns:a16="http://schemas.microsoft.com/office/drawing/2014/main" id="{ED1477DD-C52D-4CCE-A034-64E22E59F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731104" w14:paraId="79BB52C8" w14:textId="77777777" w:rsidTr="006A7377">
        <w:tc>
          <w:tcPr>
            <w:tcW w:w="8838" w:type="dxa"/>
            <w:gridSpan w:val="3"/>
          </w:tcPr>
          <w:p w14:paraId="32CC92EC" w14:textId="77777777" w:rsidR="00731104" w:rsidRPr="00FE367F" w:rsidRDefault="00731104" w:rsidP="006A7377">
            <w:pPr>
              <w:jc w:val="both"/>
              <w:rPr>
                <w:sz w:val="16"/>
                <w:szCs w:val="16"/>
              </w:rPr>
            </w:pPr>
            <w:r>
              <w:rPr>
                <w:sz w:val="16"/>
                <w:szCs w:val="16"/>
              </w:rPr>
              <w:t xml:space="preserve">Fuente: </w:t>
            </w:r>
            <w:r w:rsidRPr="00FE367F">
              <w:rPr>
                <w:sz w:val="16"/>
                <w:szCs w:val="16"/>
              </w:rPr>
              <w:t>Elaboración propia con información de la nómina del Régimen</w:t>
            </w:r>
          </w:p>
          <w:p w14:paraId="6D2D30F0" w14:textId="77777777" w:rsidR="00731104" w:rsidRPr="000415B6" w:rsidRDefault="00731104" w:rsidP="006A7377">
            <w:pPr>
              <w:jc w:val="both"/>
            </w:pPr>
            <w:r w:rsidRPr="00FE367F">
              <w:rPr>
                <w:sz w:val="16"/>
                <w:szCs w:val="16"/>
              </w:rPr>
              <w:t>PCJ se refiere a la pensión civil por jubilación, PCS a la pensión civil por sobrevivencia, PCI pensión civil por invalidez y PM son las pensiones militares.</w:t>
            </w:r>
          </w:p>
        </w:tc>
      </w:tr>
    </w:tbl>
    <w:p w14:paraId="2263BC91" w14:textId="77777777" w:rsidR="00731104" w:rsidRPr="00CE38CB" w:rsidRDefault="00731104" w:rsidP="00731104">
      <w:pPr>
        <w:jc w:val="both"/>
        <w:rPr>
          <w:sz w:val="8"/>
          <w:szCs w:val="8"/>
        </w:rPr>
      </w:pPr>
    </w:p>
    <w:p w14:paraId="6745CE88" w14:textId="77777777" w:rsidR="00731104" w:rsidRDefault="00731104" w:rsidP="00731104">
      <w:pPr>
        <w:jc w:val="both"/>
      </w:pPr>
    </w:p>
    <w:p w14:paraId="7C1118A9" w14:textId="77777777" w:rsidR="00731104" w:rsidRPr="00600EF0" w:rsidRDefault="00731104" w:rsidP="00731104">
      <w:pPr>
        <w:jc w:val="both"/>
      </w:pPr>
      <w:r w:rsidRPr="00600EF0">
        <w:t>Las prestaciones pagadas del régimen han aumentado en el tiempo, para 2021 estas se encontraron en Q5,012.3 millones, representando el 4.7% de los gastos del gobierno central presupuestario y 0.7% del PIB, esto se debe en parte a que los beneficiarios han aumentado con una tasa moderada</w:t>
      </w:r>
      <w:r>
        <w:t>,</w:t>
      </w:r>
      <w:r w:rsidRPr="00600EF0">
        <w:t xml:space="preserve"> dado que se han compensado los ingresos de nuevos beneficiarios con las salidas por fallecimientos o ceses de pensión, como es el caso de las pensiones por orfandad o trabajadores que reingresan como activos del régimen. Además, de los </w:t>
      </w:r>
      <w:r w:rsidRPr="00600EF0">
        <w:lastRenderedPageBreak/>
        <w:t>incrementos a las pensiones a lo largo del tiempo, destacando en los últimos años los realizados en 2016, 2018 y 2022.</w:t>
      </w:r>
    </w:p>
    <w:p w14:paraId="36EC02C2" w14:textId="77777777" w:rsidR="00731104" w:rsidRPr="00600EF0" w:rsidRDefault="00731104" w:rsidP="00731104">
      <w:pPr>
        <w:jc w:val="both"/>
      </w:pPr>
    </w:p>
    <w:p w14:paraId="17328D98" w14:textId="77777777" w:rsidR="00731104" w:rsidRDefault="00731104" w:rsidP="00731104">
      <w:pPr>
        <w:jc w:val="both"/>
      </w:pPr>
      <w:r w:rsidRPr="00600EF0">
        <w:t xml:space="preserve">En lo que respecta a la tasa promedio ponderada de los afiliados de contribución ha aumentado en el tiempo, para el año 2022 esta se aproximó en 13.0%, esto debido a que estos han obtenido incrementos salariales que los llevan a pagar una mayor tasa de contribución, como es el caso de las clases escalafonarias de MINEDUC que son en función del tiempo de servicio, o los incrementos de Salud y Gobernación del </w:t>
      </w:r>
      <w:r w:rsidRPr="00600EF0">
        <w:rPr>
          <w:color w:val="000000" w:themeColor="text1"/>
        </w:rPr>
        <w:t>año 2016</w:t>
      </w:r>
      <w:r w:rsidRPr="00600EF0">
        <w:t>.</w:t>
      </w:r>
    </w:p>
    <w:p w14:paraId="096EADC7" w14:textId="77777777" w:rsidR="00731104" w:rsidRDefault="00731104" w:rsidP="00731104">
      <w:pPr>
        <w:jc w:val="both"/>
      </w:pP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330"/>
      </w:tblGrid>
      <w:tr w:rsidR="00731104" w14:paraId="70E30E35" w14:textId="77777777" w:rsidTr="006A7377">
        <w:tc>
          <w:tcPr>
            <w:tcW w:w="4700" w:type="dxa"/>
          </w:tcPr>
          <w:p w14:paraId="68ED9BC1" w14:textId="49731F26" w:rsidR="002C7BFB" w:rsidRPr="002C7BFB" w:rsidRDefault="002C7BFB" w:rsidP="002C7BFB">
            <w:pPr>
              <w:pStyle w:val="Descripcin"/>
              <w:rPr>
                <w:color w:val="auto"/>
              </w:rPr>
            </w:pPr>
            <w:bookmarkStart w:id="359" w:name="_Toc143593603"/>
            <w:bookmarkStart w:id="360" w:name="_Toc114493907"/>
            <w:r w:rsidRPr="002C7BFB">
              <w:rPr>
                <w:color w:val="auto"/>
              </w:rPr>
              <w:t xml:space="preserve">Gráfico </w:t>
            </w:r>
            <w:r w:rsidRPr="002C7BFB">
              <w:rPr>
                <w:color w:val="auto"/>
              </w:rPr>
              <w:fldChar w:fldCharType="begin"/>
            </w:r>
            <w:r w:rsidRPr="002C7BFB">
              <w:rPr>
                <w:color w:val="auto"/>
              </w:rPr>
              <w:instrText xml:space="preserve"> SEQ Gráfico \* ARABIC </w:instrText>
            </w:r>
            <w:r w:rsidRPr="002C7BFB">
              <w:rPr>
                <w:color w:val="auto"/>
              </w:rPr>
              <w:fldChar w:fldCharType="separate"/>
            </w:r>
            <w:r w:rsidR="00A62AFA">
              <w:rPr>
                <w:noProof/>
                <w:color w:val="auto"/>
              </w:rPr>
              <w:t>45</w:t>
            </w:r>
            <w:r w:rsidRPr="002C7BFB">
              <w:rPr>
                <w:color w:val="auto"/>
              </w:rPr>
              <w:fldChar w:fldCharType="end"/>
            </w:r>
            <w:r w:rsidRPr="002C7BFB">
              <w:rPr>
                <w:color w:val="auto"/>
              </w:rPr>
              <w:t xml:space="preserve">. </w:t>
            </w:r>
            <w:r w:rsidRPr="002C7BFB">
              <w:rPr>
                <w:bCs/>
                <w:color w:val="auto"/>
              </w:rPr>
              <w:t>Financiamiento del régimen</w:t>
            </w:r>
            <w:bookmarkEnd w:id="359"/>
          </w:p>
          <w:p w14:paraId="760D6F8D" w14:textId="320C925D" w:rsidR="00731104" w:rsidRPr="00030099" w:rsidRDefault="00731104" w:rsidP="006A7377">
            <w:pPr>
              <w:pStyle w:val="Descripcin"/>
              <w:keepNext/>
            </w:pPr>
            <w:r w:rsidRPr="00030099">
              <w:rPr>
                <w:bCs/>
                <w:color w:val="auto"/>
              </w:rPr>
              <w:t xml:space="preserve"> </w:t>
            </w:r>
            <w:r w:rsidRPr="00030099">
              <w:rPr>
                <w:b w:val="0"/>
                <w:bCs/>
                <w:color w:val="auto"/>
              </w:rPr>
              <w:t>(</w:t>
            </w:r>
            <w:r>
              <w:rPr>
                <w:b w:val="0"/>
                <w:bCs/>
                <w:color w:val="auto"/>
              </w:rPr>
              <w:t>millardos</w:t>
            </w:r>
            <w:r w:rsidRPr="00030099">
              <w:rPr>
                <w:b w:val="0"/>
                <w:bCs/>
                <w:color w:val="auto"/>
              </w:rPr>
              <w:t xml:space="preserve"> de Q.)</w:t>
            </w:r>
            <w:bookmarkEnd w:id="360"/>
          </w:p>
        </w:tc>
        <w:tc>
          <w:tcPr>
            <w:tcW w:w="4138" w:type="dxa"/>
          </w:tcPr>
          <w:p w14:paraId="7C7D6044" w14:textId="7D04A764" w:rsidR="00731104" w:rsidRPr="002C7BFB" w:rsidRDefault="002C7BFB" w:rsidP="002C7BFB">
            <w:pPr>
              <w:pStyle w:val="Descripcin"/>
              <w:rPr>
                <w:color w:val="auto"/>
              </w:rPr>
            </w:pPr>
            <w:bookmarkStart w:id="361" w:name="_Toc114493908"/>
            <w:bookmarkStart w:id="362" w:name="_Toc143593604"/>
            <w:r w:rsidRPr="002C7BFB">
              <w:rPr>
                <w:color w:val="auto"/>
              </w:rPr>
              <w:t xml:space="preserve">Gráfico </w:t>
            </w:r>
            <w:r w:rsidRPr="002C7BFB">
              <w:rPr>
                <w:color w:val="auto"/>
              </w:rPr>
              <w:fldChar w:fldCharType="begin"/>
            </w:r>
            <w:r w:rsidRPr="002C7BFB">
              <w:rPr>
                <w:color w:val="auto"/>
              </w:rPr>
              <w:instrText xml:space="preserve"> SEQ Gráfico \* ARABIC </w:instrText>
            </w:r>
            <w:r w:rsidRPr="002C7BFB">
              <w:rPr>
                <w:color w:val="auto"/>
              </w:rPr>
              <w:fldChar w:fldCharType="separate"/>
            </w:r>
            <w:r w:rsidR="00A62AFA">
              <w:rPr>
                <w:noProof/>
                <w:color w:val="auto"/>
              </w:rPr>
              <w:t>46</w:t>
            </w:r>
            <w:r w:rsidRPr="002C7BFB">
              <w:rPr>
                <w:color w:val="auto"/>
              </w:rPr>
              <w:fldChar w:fldCharType="end"/>
            </w:r>
            <w:r w:rsidRPr="002C7BFB">
              <w:rPr>
                <w:color w:val="auto"/>
              </w:rPr>
              <w:t xml:space="preserve">. </w:t>
            </w:r>
            <w:r w:rsidRPr="002C7BFB">
              <w:rPr>
                <w:bCs/>
                <w:color w:val="auto"/>
              </w:rPr>
              <w:t>Tasa promedio ponderada en base a la masa salarial</w:t>
            </w:r>
            <w:bookmarkEnd w:id="361"/>
            <w:bookmarkEnd w:id="362"/>
          </w:p>
        </w:tc>
      </w:tr>
      <w:tr w:rsidR="00731104" w14:paraId="3697D298" w14:textId="77777777" w:rsidTr="006A7377">
        <w:tblPrEx>
          <w:tblCellMar>
            <w:left w:w="70" w:type="dxa"/>
            <w:right w:w="70" w:type="dxa"/>
          </w:tblCellMar>
        </w:tblPrEx>
        <w:tc>
          <w:tcPr>
            <w:tcW w:w="4700" w:type="dxa"/>
          </w:tcPr>
          <w:p w14:paraId="51A4EAAF" w14:textId="77777777" w:rsidR="00731104" w:rsidRDefault="00731104" w:rsidP="006A7377">
            <w:pPr>
              <w:jc w:val="both"/>
            </w:pPr>
            <w:r>
              <w:rPr>
                <w:noProof/>
              </w:rPr>
              <w:drawing>
                <wp:inline distT="0" distB="0" distL="0" distR="0" wp14:anchorId="40B7A210" wp14:editId="408E870F">
                  <wp:extent cx="2879725" cy="1542553"/>
                  <wp:effectExtent l="0" t="0" r="0" b="635"/>
                  <wp:docPr id="1889938840" name="Gráfico 1889938840">
                    <a:extLst xmlns:a="http://schemas.openxmlformats.org/drawingml/2006/main">
                      <a:ext uri="{FF2B5EF4-FFF2-40B4-BE49-F238E27FC236}">
                        <a16:creationId xmlns:a16="http://schemas.microsoft.com/office/drawing/2014/main" id="{8BDAE68A-8DEB-442F-B7C2-01BCEF109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4138" w:type="dxa"/>
          </w:tcPr>
          <w:p w14:paraId="3ECC16EA" w14:textId="1B98911A" w:rsidR="00731104" w:rsidRDefault="00731104" w:rsidP="006A7377">
            <w:pPr>
              <w:jc w:val="both"/>
            </w:pPr>
            <w:r>
              <w:rPr>
                <w:noProof/>
              </w:rPr>
              <w:drawing>
                <wp:inline distT="0" distB="0" distL="0" distR="0" wp14:anchorId="74F16068" wp14:editId="75DEB969">
                  <wp:extent cx="2759103" cy="1439545"/>
                  <wp:effectExtent l="0" t="0" r="3175" b="8255"/>
                  <wp:docPr id="1889938841" name="Gráfico 1889938841">
                    <a:extLst xmlns:a="http://schemas.openxmlformats.org/drawingml/2006/main">
                      <a:ext uri="{FF2B5EF4-FFF2-40B4-BE49-F238E27FC236}">
                        <a16:creationId xmlns:a16="http://schemas.microsoft.com/office/drawing/2014/main" id="{B6E18B93-32DA-4C9E-814E-0E375CCDD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731104" w:rsidRPr="002C7BFB" w14:paraId="6138BAB9" w14:textId="77777777" w:rsidTr="006A7377">
        <w:tc>
          <w:tcPr>
            <w:tcW w:w="8838" w:type="dxa"/>
            <w:gridSpan w:val="2"/>
          </w:tcPr>
          <w:p w14:paraId="7976E4E9" w14:textId="77777777" w:rsidR="00731104" w:rsidRPr="002C7BFB" w:rsidRDefault="00731104" w:rsidP="006A7377">
            <w:pPr>
              <w:jc w:val="both"/>
              <w:rPr>
                <w:sz w:val="16"/>
                <w:szCs w:val="16"/>
              </w:rPr>
            </w:pPr>
            <w:r w:rsidRPr="002C7BFB">
              <w:rPr>
                <w:sz w:val="16"/>
                <w:szCs w:val="16"/>
              </w:rPr>
              <w:t xml:space="preserve">Fuente: SICOIN, información obtenida a través de Business </w:t>
            </w:r>
            <w:proofErr w:type="spellStart"/>
            <w:r w:rsidRPr="002C7BFB">
              <w:rPr>
                <w:sz w:val="16"/>
                <w:szCs w:val="16"/>
              </w:rPr>
              <w:t>Intelligence</w:t>
            </w:r>
            <w:proofErr w:type="spellEnd"/>
          </w:p>
        </w:tc>
      </w:tr>
    </w:tbl>
    <w:p w14:paraId="5860439E" w14:textId="77777777" w:rsidR="00731104" w:rsidRPr="002C7BFB" w:rsidRDefault="00731104" w:rsidP="00731104">
      <w:pPr>
        <w:jc w:val="both"/>
      </w:pPr>
    </w:p>
    <w:p w14:paraId="000EDA45" w14:textId="77777777" w:rsidR="00731104" w:rsidRDefault="00731104" w:rsidP="00731104">
      <w:pPr>
        <w:jc w:val="both"/>
      </w:pPr>
      <w:r w:rsidRPr="00600EF0">
        <w:t xml:space="preserve">La tasa promedio ponderada </w:t>
      </w:r>
      <w:r>
        <w:t xml:space="preserve">estimada </w:t>
      </w:r>
      <w:r w:rsidRPr="00600EF0">
        <w:t xml:space="preserve">de las contribuciones del patrono ha disminuido en el tiempo pasando de 24.3% en el 2005, generado por la reforma a la ley de clases pasivas y el alza en el techo de las pensiones que se dio en 2001, a 10.6% en el 2022, esto se debe a que el patrono (el gobierno) financia la diferencia entre el total del pago de nómina de jubilados y las contribuciones recibidas de los afiliados, y esta diferencia se ha reducido dado al incremento de la masa salarial en el tiempo, que ha llevado a mayores contribuciones y a que los beneficios de los pensionados </w:t>
      </w:r>
      <w:r>
        <w:t>tienen</w:t>
      </w:r>
      <w:r w:rsidRPr="00600EF0">
        <w:t xml:space="preserve"> un límite superior</w:t>
      </w:r>
      <w:r>
        <w:t xml:space="preserve"> y han mostrado pocas variaciones en más de 20 años. </w:t>
      </w:r>
    </w:p>
    <w:p w14:paraId="54D842AF" w14:textId="77777777" w:rsidR="00731104" w:rsidRPr="00B21CC5" w:rsidRDefault="00731104" w:rsidP="00731104">
      <w:pPr>
        <w:jc w:val="both"/>
      </w:pPr>
    </w:p>
    <w:p w14:paraId="07832792" w14:textId="77777777" w:rsidR="00731104" w:rsidRPr="00162DF6" w:rsidRDefault="00731104" w:rsidP="007F19DF">
      <w:pPr>
        <w:pStyle w:val="Ttulo2"/>
        <w:numPr>
          <w:ilvl w:val="2"/>
          <w:numId w:val="35"/>
        </w:numPr>
        <w:tabs>
          <w:tab w:val="left" w:pos="851"/>
        </w:tabs>
        <w:ind w:left="567" w:hanging="283"/>
        <w:rPr>
          <w:bCs/>
        </w:rPr>
      </w:pPr>
      <w:bookmarkStart w:id="363" w:name="_Toc114495276"/>
      <w:bookmarkStart w:id="364" w:name="_Toc144114392"/>
      <w:r w:rsidRPr="00162DF6">
        <w:rPr>
          <w:bCs/>
        </w:rPr>
        <w:t>Proyecciones de ingresos y egresos del régimen</w:t>
      </w:r>
      <w:bookmarkEnd w:id="363"/>
      <w:bookmarkEnd w:id="364"/>
    </w:p>
    <w:p w14:paraId="4D91ADAE" w14:textId="77777777" w:rsidR="00731104" w:rsidRDefault="00731104" w:rsidP="00731104">
      <w:pPr>
        <w:jc w:val="both"/>
      </w:pPr>
    </w:p>
    <w:p w14:paraId="68C0DB67" w14:textId="77777777" w:rsidR="00731104" w:rsidRDefault="00731104" w:rsidP="00731104">
      <w:pPr>
        <w:jc w:val="both"/>
      </w:pPr>
      <w:r>
        <w:t>Las proyecciones que se presentarán a continuación tienen como fin aproximar la tendencia de mediano plazo de los ingresos y egresos del régimen, para lo cual se utilizaron una serie de supuestos demográficos de los afiliados y los beneficiarios, supuestos sobre la evolución de los salarios promedio en el futuro, entre otros.  No obstante, metodologías más complejas como las utilizadas para realizar proyecciones en un estudio actuarial pueden producir resultados más acertados.</w:t>
      </w:r>
    </w:p>
    <w:p w14:paraId="49ADED89" w14:textId="77777777" w:rsidR="00731104" w:rsidRDefault="00731104" w:rsidP="00731104">
      <w:pPr>
        <w:jc w:val="both"/>
      </w:pPr>
    </w:p>
    <w:p w14:paraId="307E88EC" w14:textId="77777777" w:rsidR="00731104" w:rsidRDefault="00731104" w:rsidP="00731104">
      <w:pPr>
        <w:jc w:val="both"/>
      </w:pPr>
      <w:r>
        <w:t xml:space="preserve">Para la evolución demográfica se consideraron las hipótesis sobre las tasas de mortalidad y de invalidez presentadas en el estudio actuarial de ONSEC de 2022, además, se realizaron supuestos sobre la jubilación y retiro del régimen tomando en consideración información de las nóminas del personal activo del MINFIN y de las Clases Pasivas del Estado. </w:t>
      </w:r>
    </w:p>
    <w:p w14:paraId="01578BA6" w14:textId="77777777" w:rsidR="00731104" w:rsidRDefault="00731104" w:rsidP="00731104">
      <w:pPr>
        <w:jc w:val="both"/>
      </w:pPr>
    </w:p>
    <w:p w14:paraId="1694FE7A" w14:textId="77777777" w:rsidR="00731104" w:rsidRDefault="00731104" w:rsidP="00731104">
      <w:pPr>
        <w:jc w:val="both"/>
      </w:pPr>
      <w:r>
        <w:t xml:space="preserve">De lo resultados, se observa que el personal activo actual del régimen tendrá para el 2032 una edad promedio ponderada alrededor de 47 años y para 2044 de 55 años, por lo que, cerca </w:t>
      </w:r>
      <w:r>
        <w:lastRenderedPageBreak/>
        <w:t>de esos años la cantidad de activos que se jubilan aumentarán gradualmente, siendo consistente con edad promedio ponderada de jubilación observada de 52 años.</w:t>
      </w:r>
    </w:p>
    <w:p w14:paraId="6CF35760" w14:textId="77777777" w:rsidR="00731104" w:rsidRDefault="00731104" w:rsidP="00731104">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31104" w14:paraId="228D0D23" w14:textId="77777777" w:rsidTr="006A7377">
        <w:tc>
          <w:tcPr>
            <w:tcW w:w="4414" w:type="dxa"/>
          </w:tcPr>
          <w:p w14:paraId="4E6BE709" w14:textId="219AF443" w:rsidR="00731104" w:rsidRPr="00535E3B" w:rsidRDefault="002C7BFB" w:rsidP="002C7BFB">
            <w:pPr>
              <w:pStyle w:val="Descripcin"/>
              <w:keepNext/>
            </w:pPr>
            <w:bookmarkStart w:id="365" w:name="_Toc143593605"/>
            <w:r w:rsidRPr="002C7BFB">
              <w:rPr>
                <w:color w:val="auto"/>
              </w:rPr>
              <w:t xml:space="preserve">Gráfico </w:t>
            </w:r>
            <w:r w:rsidRPr="002C7BFB">
              <w:rPr>
                <w:color w:val="auto"/>
              </w:rPr>
              <w:fldChar w:fldCharType="begin"/>
            </w:r>
            <w:r w:rsidRPr="002C7BFB">
              <w:rPr>
                <w:color w:val="auto"/>
              </w:rPr>
              <w:instrText xml:space="preserve"> SEQ Gráfico \* ARABIC </w:instrText>
            </w:r>
            <w:r w:rsidRPr="002C7BFB">
              <w:rPr>
                <w:color w:val="auto"/>
              </w:rPr>
              <w:fldChar w:fldCharType="separate"/>
            </w:r>
            <w:r w:rsidR="00A62AFA">
              <w:rPr>
                <w:noProof/>
                <w:color w:val="auto"/>
              </w:rPr>
              <w:t>47</w:t>
            </w:r>
            <w:r w:rsidRPr="002C7BFB">
              <w:rPr>
                <w:color w:val="auto"/>
              </w:rPr>
              <w:fldChar w:fldCharType="end"/>
            </w:r>
            <w:r w:rsidRPr="002C7BFB">
              <w:rPr>
                <w:color w:val="auto"/>
              </w:rPr>
              <w:t xml:space="preserve">. </w:t>
            </w:r>
            <w:bookmarkStart w:id="366" w:name="_Toc114493909"/>
            <w:r w:rsidRPr="002C7BFB">
              <w:rPr>
                <w:color w:val="auto"/>
              </w:rPr>
              <w:t>Proyección de la f</w:t>
            </w:r>
            <w:r w:rsidRPr="002C7BFB">
              <w:rPr>
                <w:bCs/>
                <w:color w:val="auto"/>
              </w:rPr>
              <w:t>recuencia de la edad de los activos actuales</w:t>
            </w:r>
            <w:bookmarkEnd w:id="365"/>
            <w:bookmarkEnd w:id="366"/>
          </w:p>
        </w:tc>
        <w:tc>
          <w:tcPr>
            <w:tcW w:w="4414" w:type="dxa"/>
          </w:tcPr>
          <w:p w14:paraId="1C8B2EBF" w14:textId="7A1426B9" w:rsidR="00731104" w:rsidRPr="00535E3B" w:rsidRDefault="002C7BFB" w:rsidP="002C7BFB">
            <w:pPr>
              <w:pStyle w:val="Descripcin"/>
              <w:keepNext/>
            </w:pPr>
            <w:bookmarkStart w:id="367" w:name="_Toc143593606"/>
            <w:r w:rsidRPr="002C7BFB">
              <w:rPr>
                <w:color w:val="auto"/>
              </w:rPr>
              <w:t xml:space="preserve">Gráfico </w:t>
            </w:r>
            <w:r w:rsidRPr="002C7BFB">
              <w:rPr>
                <w:color w:val="auto"/>
              </w:rPr>
              <w:fldChar w:fldCharType="begin"/>
            </w:r>
            <w:r w:rsidRPr="002C7BFB">
              <w:rPr>
                <w:color w:val="auto"/>
              </w:rPr>
              <w:instrText xml:space="preserve"> SEQ Gráfico \* ARABIC </w:instrText>
            </w:r>
            <w:r w:rsidRPr="002C7BFB">
              <w:rPr>
                <w:color w:val="auto"/>
              </w:rPr>
              <w:fldChar w:fldCharType="separate"/>
            </w:r>
            <w:r w:rsidR="00A62AFA">
              <w:rPr>
                <w:noProof/>
                <w:color w:val="auto"/>
              </w:rPr>
              <w:t>48</w:t>
            </w:r>
            <w:r w:rsidRPr="002C7BFB">
              <w:rPr>
                <w:color w:val="auto"/>
              </w:rPr>
              <w:fldChar w:fldCharType="end"/>
            </w:r>
            <w:r w:rsidRPr="002C7BFB">
              <w:rPr>
                <w:color w:val="auto"/>
              </w:rPr>
              <w:t xml:space="preserve">. </w:t>
            </w:r>
            <w:bookmarkStart w:id="368" w:name="_Toc114493910"/>
            <w:r w:rsidRPr="002C7BFB">
              <w:rPr>
                <w:bCs/>
                <w:color w:val="auto"/>
              </w:rPr>
              <w:t>Cantidad de activos que ingresan al régimen y pasivos que fallecen.</w:t>
            </w:r>
            <w:bookmarkEnd w:id="367"/>
            <w:bookmarkEnd w:id="368"/>
          </w:p>
        </w:tc>
      </w:tr>
      <w:tr w:rsidR="00731104" w14:paraId="17FFEB7A" w14:textId="77777777" w:rsidTr="006A7377">
        <w:tblPrEx>
          <w:tblCellMar>
            <w:left w:w="70" w:type="dxa"/>
            <w:right w:w="70" w:type="dxa"/>
          </w:tblCellMar>
        </w:tblPrEx>
        <w:tc>
          <w:tcPr>
            <w:tcW w:w="4414" w:type="dxa"/>
          </w:tcPr>
          <w:p w14:paraId="183DB097" w14:textId="77777777" w:rsidR="00731104" w:rsidRDefault="00731104" w:rsidP="006A7377">
            <w:pPr>
              <w:tabs>
                <w:tab w:val="left" w:pos="1304"/>
              </w:tabs>
              <w:jc w:val="both"/>
            </w:pPr>
            <w:r>
              <w:rPr>
                <w:noProof/>
              </w:rPr>
              <w:drawing>
                <wp:inline distT="0" distB="0" distL="0" distR="0" wp14:anchorId="53C18836" wp14:editId="7DC97D4C">
                  <wp:extent cx="2533642" cy="1440000"/>
                  <wp:effectExtent l="0" t="0" r="635" b="8255"/>
                  <wp:docPr id="1889938842" name="Gráfico 1889938842">
                    <a:extLst xmlns:a="http://schemas.openxmlformats.org/drawingml/2006/main">
                      <a:ext uri="{FF2B5EF4-FFF2-40B4-BE49-F238E27FC236}">
                        <a16:creationId xmlns:a16="http://schemas.microsoft.com/office/drawing/2014/main" id="{7C04B9E0-1C46-4F5C-B922-5B652B0AB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4414" w:type="dxa"/>
          </w:tcPr>
          <w:p w14:paraId="11AC3F2A" w14:textId="77777777" w:rsidR="00731104" w:rsidRDefault="00731104" w:rsidP="006A7377">
            <w:pPr>
              <w:jc w:val="both"/>
            </w:pPr>
            <w:r>
              <w:rPr>
                <w:noProof/>
              </w:rPr>
              <w:drawing>
                <wp:inline distT="0" distB="0" distL="0" distR="0" wp14:anchorId="2D84C504" wp14:editId="6A4CC920">
                  <wp:extent cx="2560320" cy="1439545"/>
                  <wp:effectExtent l="0" t="0" r="0" b="8255"/>
                  <wp:docPr id="1889938843" name="Gráfico 1889938843">
                    <a:extLst xmlns:a="http://schemas.openxmlformats.org/drawingml/2006/main">
                      <a:ext uri="{FF2B5EF4-FFF2-40B4-BE49-F238E27FC236}">
                        <a16:creationId xmlns:a16="http://schemas.microsoft.com/office/drawing/2014/main" id="{BDC9AA5C-A691-4AF3-A838-9169B74DC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731104" w14:paraId="413C3EA2" w14:textId="77777777" w:rsidTr="006A7377">
        <w:tc>
          <w:tcPr>
            <w:tcW w:w="8828" w:type="dxa"/>
            <w:gridSpan w:val="2"/>
          </w:tcPr>
          <w:p w14:paraId="4FF96A28" w14:textId="77777777" w:rsidR="00731104" w:rsidRPr="00535E3B" w:rsidRDefault="00731104" w:rsidP="006A7377">
            <w:pPr>
              <w:jc w:val="both"/>
              <w:rPr>
                <w:sz w:val="16"/>
                <w:szCs w:val="18"/>
              </w:rPr>
            </w:pPr>
            <w:r w:rsidRPr="00535E3B">
              <w:rPr>
                <w:sz w:val="16"/>
                <w:szCs w:val="18"/>
              </w:rPr>
              <w:t>Fuente: Elaboración propia con los resultados de las proyecciones</w:t>
            </w:r>
          </w:p>
          <w:p w14:paraId="2E6A5B45" w14:textId="77777777" w:rsidR="00731104" w:rsidRDefault="00731104" w:rsidP="006A7377">
            <w:pPr>
              <w:jc w:val="both"/>
            </w:pPr>
            <w:r w:rsidRPr="00535E3B">
              <w:rPr>
                <w:sz w:val="16"/>
                <w:szCs w:val="18"/>
              </w:rPr>
              <w:t>Nota: En el gráfico de frecuencias las líneas verticales corresponden a la edad promedio ponderada y disminuye el nivel del 2031 debido a las personas que se retiraron por jubilación, invalidez, muerte o retiro del régimen.</w:t>
            </w:r>
          </w:p>
        </w:tc>
      </w:tr>
    </w:tbl>
    <w:p w14:paraId="3F3B9B27" w14:textId="77777777" w:rsidR="00731104" w:rsidRDefault="00731104" w:rsidP="00731104">
      <w:pPr>
        <w:jc w:val="both"/>
      </w:pPr>
    </w:p>
    <w:p w14:paraId="6CBBF9E3" w14:textId="77777777" w:rsidR="00731104" w:rsidRPr="00D573E9" w:rsidRDefault="00731104" w:rsidP="00731104">
      <w:pPr>
        <w:jc w:val="both"/>
      </w:pPr>
      <w:r w:rsidRPr="00D573E9">
        <w:t xml:space="preserve">Por lo que de la dinámica esperada de personas que entran como beneficiarios por pensión civil por jubilación e invalidez y salen por fallecimiento, se proyecta que para 2032 las prestaciones pagadas se encuentren alrededor de Q8,000 millones, y que para </w:t>
      </w:r>
      <w:r>
        <w:t>2044</w:t>
      </w:r>
      <w:r w:rsidRPr="00D573E9">
        <w:t xml:space="preserve"> estas se incrementen a </w:t>
      </w:r>
      <w:r>
        <w:t>12,300</w:t>
      </w:r>
      <w:r w:rsidRPr="00D573E9">
        <w:t xml:space="preserve"> millones</w:t>
      </w:r>
      <w:r>
        <w:t>, siempre y cuando no haya un aumento en las pensiones como la ocurrida en 2022 o un cambio en el límite de la pensión máxima como la observada en 2021.</w:t>
      </w:r>
      <w:r w:rsidRPr="00D573E9">
        <w:t xml:space="preserve"> </w:t>
      </w:r>
    </w:p>
    <w:p w14:paraId="026E67B0" w14:textId="77777777" w:rsidR="00731104" w:rsidRPr="00124669" w:rsidRDefault="00731104" w:rsidP="00731104">
      <w:pPr>
        <w:jc w:val="both"/>
        <w:rPr>
          <w:highlight w:val="yellow"/>
        </w:rPr>
      </w:pPr>
    </w:p>
    <w:p w14:paraId="608C85E8" w14:textId="77777777" w:rsidR="00731104" w:rsidRPr="00D573E9" w:rsidRDefault="00731104" w:rsidP="00731104">
      <w:pPr>
        <w:jc w:val="both"/>
      </w:pPr>
      <w:r w:rsidRPr="00D573E9">
        <w:t>En lo que respecta al financiamiento, se prevé que las contribuciones de los trabajadores activos</w:t>
      </w:r>
      <w:r>
        <w:t>,</w:t>
      </w:r>
      <w:r w:rsidRPr="00D573E9">
        <w:t xml:space="preserve"> sean alrededor del 53.0% del total para 2032 y de </w:t>
      </w:r>
      <w:r>
        <w:t>61.15</w:t>
      </w:r>
      <w:r w:rsidRPr="00D573E9">
        <w:t xml:space="preserve">% para </w:t>
      </w:r>
      <w:r>
        <w:t>2044</w:t>
      </w:r>
      <w:r w:rsidRPr="00D573E9">
        <w:t>, debido a que se asume una tasa de incremento del personal total activo del régimen del 2.0% y un incremento de su salario promedio del 2.5%. En lo que respecta a la tasa promedio ponderada de los contribuyentes se espera que aumente a 13.0% y que tenga un crecimiento estable en el largo plazo y para la tasa del patrono esta aumentará también cerca del 13.0% para 2023, debido al aumento de las pensiones de 2022, y que luego disminuya levemente</w:t>
      </w:r>
      <w:r>
        <w:t xml:space="preserve"> en el tiempo</w:t>
      </w:r>
      <w:r w:rsidRPr="00D573E9">
        <w:t>.</w:t>
      </w:r>
    </w:p>
    <w:p w14:paraId="09F9ED41" w14:textId="77777777" w:rsidR="00731104" w:rsidRDefault="00731104" w:rsidP="00731104">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164"/>
      </w:tblGrid>
      <w:tr w:rsidR="00731104" w14:paraId="41694692" w14:textId="77777777" w:rsidTr="006A7377">
        <w:tc>
          <w:tcPr>
            <w:tcW w:w="4940" w:type="dxa"/>
          </w:tcPr>
          <w:p w14:paraId="6E7048FB" w14:textId="0BE90B26" w:rsidR="002C7BFB" w:rsidRPr="002C7BFB" w:rsidRDefault="002C7BFB" w:rsidP="002C7BFB">
            <w:pPr>
              <w:pStyle w:val="Descripcin"/>
              <w:rPr>
                <w:color w:val="auto"/>
              </w:rPr>
            </w:pPr>
            <w:bookmarkStart w:id="369" w:name="_Toc143593607"/>
            <w:bookmarkStart w:id="370" w:name="_Toc114493911"/>
            <w:r w:rsidRPr="002C7BFB">
              <w:rPr>
                <w:color w:val="auto"/>
              </w:rPr>
              <w:t xml:space="preserve">Gráfico </w:t>
            </w:r>
            <w:r w:rsidRPr="002C7BFB">
              <w:rPr>
                <w:color w:val="auto"/>
              </w:rPr>
              <w:fldChar w:fldCharType="begin"/>
            </w:r>
            <w:r w:rsidRPr="002C7BFB">
              <w:rPr>
                <w:color w:val="auto"/>
              </w:rPr>
              <w:instrText xml:space="preserve"> SEQ Gráfico \* ARABIC </w:instrText>
            </w:r>
            <w:r w:rsidRPr="002C7BFB">
              <w:rPr>
                <w:color w:val="auto"/>
              </w:rPr>
              <w:fldChar w:fldCharType="separate"/>
            </w:r>
            <w:r w:rsidR="00A62AFA">
              <w:rPr>
                <w:noProof/>
                <w:color w:val="auto"/>
              </w:rPr>
              <w:t>49</w:t>
            </w:r>
            <w:r w:rsidRPr="002C7BFB">
              <w:rPr>
                <w:color w:val="auto"/>
              </w:rPr>
              <w:fldChar w:fldCharType="end"/>
            </w:r>
            <w:r w:rsidRPr="002C7BFB">
              <w:rPr>
                <w:color w:val="auto"/>
              </w:rPr>
              <w:t xml:space="preserve">. </w:t>
            </w:r>
            <w:r w:rsidRPr="002C7BFB">
              <w:rPr>
                <w:bCs/>
                <w:color w:val="auto"/>
              </w:rPr>
              <w:t>Proyección del financiamiento del régimen</w:t>
            </w:r>
            <w:bookmarkEnd w:id="369"/>
          </w:p>
          <w:p w14:paraId="540F842B" w14:textId="70FA04FD" w:rsidR="00731104" w:rsidRPr="00535E3B" w:rsidRDefault="00731104" w:rsidP="006A7377">
            <w:pPr>
              <w:pStyle w:val="Descripcin"/>
              <w:keepNext/>
              <w:rPr>
                <w:color w:val="auto"/>
              </w:rPr>
            </w:pPr>
            <w:r w:rsidRPr="00535E3B">
              <w:rPr>
                <w:b w:val="0"/>
                <w:bCs/>
                <w:color w:val="auto"/>
              </w:rPr>
              <w:t xml:space="preserve">                     (miles de millones de Q.)</w:t>
            </w:r>
            <w:bookmarkEnd w:id="370"/>
          </w:p>
        </w:tc>
        <w:tc>
          <w:tcPr>
            <w:tcW w:w="3898" w:type="dxa"/>
          </w:tcPr>
          <w:p w14:paraId="3839AB00" w14:textId="2C8F3230" w:rsidR="002C7BFB" w:rsidRDefault="002C7BFB" w:rsidP="002C7BFB">
            <w:pPr>
              <w:pStyle w:val="Descripcin"/>
              <w:keepNext/>
            </w:pPr>
            <w:bookmarkStart w:id="371" w:name="_Toc143593608"/>
            <w:bookmarkStart w:id="372" w:name="_Toc114493912"/>
            <w:r w:rsidRPr="002C7BFB">
              <w:rPr>
                <w:color w:val="auto"/>
              </w:rPr>
              <w:t xml:space="preserve">Gráfico </w:t>
            </w:r>
            <w:r w:rsidRPr="002C7BFB">
              <w:rPr>
                <w:color w:val="auto"/>
              </w:rPr>
              <w:fldChar w:fldCharType="begin"/>
            </w:r>
            <w:r w:rsidRPr="002C7BFB">
              <w:rPr>
                <w:color w:val="auto"/>
              </w:rPr>
              <w:instrText xml:space="preserve"> SEQ Gráfico \* ARABIC </w:instrText>
            </w:r>
            <w:r w:rsidRPr="002C7BFB">
              <w:rPr>
                <w:color w:val="auto"/>
              </w:rPr>
              <w:fldChar w:fldCharType="separate"/>
            </w:r>
            <w:r w:rsidR="00A62AFA">
              <w:rPr>
                <w:noProof/>
                <w:color w:val="auto"/>
              </w:rPr>
              <w:t>50</w:t>
            </w:r>
            <w:r w:rsidRPr="002C7BFB">
              <w:rPr>
                <w:color w:val="auto"/>
              </w:rPr>
              <w:fldChar w:fldCharType="end"/>
            </w:r>
            <w:r w:rsidRPr="002C7BFB">
              <w:rPr>
                <w:color w:val="auto"/>
              </w:rPr>
              <w:t xml:space="preserve">.  </w:t>
            </w:r>
            <w:r w:rsidRPr="002C7BFB">
              <w:rPr>
                <w:bCs/>
                <w:color w:val="auto"/>
              </w:rPr>
              <w:t xml:space="preserve">Proyección de las tasas promedio ponderadas </w:t>
            </w:r>
            <w:r w:rsidRPr="00535E3B">
              <w:rPr>
                <w:bCs/>
                <w:color w:val="auto"/>
              </w:rPr>
              <w:t>de contribución</w:t>
            </w:r>
            <w:bookmarkEnd w:id="371"/>
          </w:p>
          <w:p w14:paraId="724E503E" w14:textId="108330E3" w:rsidR="00731104" w:rsidRPr="00535E3B" w:rsidRDefault="00731104" w:rsidP="006A7377">
            <w:pPr>
              <w:pStyle w:val="Descripcin"/>
              <w:keepNext/>
            </w:pPr>
            <w:r w:rsidRPr="00535E3B">
              <w:rPr>
                <w:b w:val="0"/>
                <w:bCs/>
                <w:color w:val="auto"/>
              </w:rPr>
              <w:t xml:space="preserve"> (porcentaje)</w:t>
            </w:r>
            <w:bookmarkEnd w:id="372"/>
          </w:p>
        </w:tc>
      </w:tr>
      <w:tr w:rsidR="00731104" w14:paraId="50C7DE9F" w14:textId="77777777" w:rsidTr="006A7377">
        <w:tblPrEx>
          <w:tblCellMar>
            <w:left w:w="70" w:type="dxa"/>
            <w:right w:w="70" w:type="dxa"/>
          </w:tblCellMar>
        </w:tblPrEx>
        <w:tc>
          <w:tcPr>
            <w:tcW w:w="4940" w:type="dxa"/>
          </w:tcPr>
          <w:p w14:paraId="7EC5262D" w14:textId="77777777" w:rsidR="00731104" w:rsidRDefault="00731104" w:rsidP="006A7377">
            <w:pPr>
              <w:tabs>
                <w:tab w:val="left" w:pos="3111"/>
              </w:tabs>
              <w:jc w:val="both"/>
            </w:pPr>
            <w:r>
              <w:rPr>
                <w:noProof/>
              </w:rPr>
              <w:drawing>
                <wp:inline distT="0" distB="0" distL="0" distR="0" wp14:anchorId="2B8E84FD" wp14:editId="332A1FFC">
                  <wp:extent cx="3047365" cy="1622066"/>
                  <wp:effectExtent l="0" t="0" r="635" b="0"/>
                  <wp:docPr id="1889938844" name="Gráfico 1889938844">
                    <a:extLst xmlns:a="http://schemas.openxmlformats.org/drawingml/2006/main">
                      <a:ext uri="{FF2B5EF4-FFF2-40B4-BE49-F238E27FC236}">
                        <a16:creationId xmlns:a16="http://schemas.microsoft.com/office/drawing/2014/main" id="{F9F00A3F-C2D6-4D22-B1BB-0ABD18BA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3898" w:type="dxa"/>
          </w:tcPr>
          <w:p w14:paraId="6C569610" w14:textId="77777777" w:rsidR="00731104" w:rsidRDefault="00731104" w:rsidP="006A7377">
            <w:pPr>
              <w:jc w:val="both"/>
            </w:pPr>
            <w:r>
              <w:rPr>
                <w:noProof/>
              </w:rPr>
              <w:drawing>
                <wp:inline distT="0" distB="0" distL="0" distR="0" wp14:anchorId="6A36E5D2" wp14:editId="285DD2EB">
                  <wp:extent cx="2699385" cy="1542415"/>
                  <wp:effectExtent l="0" t="0" r="5715" b="635"/>
                  <wp:docPr id="1889938845" name="Gráfico 1889938845">
                    <a:extLst xmlns:a="http://schemas.openxmlformats.org/drawingml/2006/main">
                      <a:ext uri="{FF2B5EF4-FFF2-40B4-BE49-F238E27FC236}">
                        <a16:creationId xmlns:a16="http://schemas.microsoft.com/office/drawing/2014/main" id="{3FAE0742-8B4C-469B-8135-11E1336E1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731104" w14:paraId="054E9FC3" w14:textId="77777777" w:rsidTr="006A7377">
        <w:tc>
          <w:tcPr>
            <w:tcW w:w="8838" w:type="dxa"/>
            <w:gridSpan w:val="2"/>
          </w:tcPr>
          <w:p w14:paraId="1EB44884" w14:textId="77777777" w:rsidR="00731104" w:rsidRPr="00535E3B" w:rsidRDefault="00731104" w:rsidP="006A7377">
            <w:pPr>
              <w:jc w:val="both"/>
              <w:rPr>
                <w:sz w:val="16"/>
              </w:rPr>
            </w:pPr>
            <w:r w:rsidRPr="00535E3B">
              <w:rPr>
                <w:sz w:val="16"/>
                <w:szCs w:val="18"/>
              </w:rPr>
              <w:t>Fuente: Elaboración propia con los resultados de las proyecciones</w:t>
            </w:r>
          </w:p>
        </w:tc>
      </w:tr>
    </w:tbl>
    <w:p w14:paraId="3453AAF9" w14:textId="77777777" w:rsidR="00731104" w:rsidRDefault="00731104" w:rsidP="00731104">
      <w:pPr>
        <w:jc w:val="both"/>
      </w:pPr>
    </w:p>
    <w:p w14:paraId="08D2CF9A" w14:textId="77777777" w:rsidR="00731104" w:rsidRDefault="00731104" w:rsidP="00731104">
      <w:pPr>
        <w:jc w:val="both"/>
      </w:pPr>
      <w:r>
        <w:lastRenderedPageBreak/>
        <w:t>De lo anterior, se observa que la situación financiera del régimen permanecerá estable en el largo plazo, esto debido principalmente al límite superior de los beneficios, a los incrementos del personal activo y al aumento de la masa salarial sujeta a contribuciones. No obstante, es importante indicar que el incremento del personal afiliado y los salarios dependerán de las políticas de la administración pública de las instituciones. Además, que aumentos en los pagos de pensiones que sobrepasen el límite de jubilación actual de Q5,907.0 podría inducir a un aumento de las personas jubiladas que cumplan actualmente con las condiciones necesarias, pero que no lo hacen porque la pensión máxima actual la consideran baja, por lo que, estos incrementos tendrían un efecto en el aumentó en los beneficios pagados promedio y un efecto por el incremento de jubilados que causarán presiones en el gasto de las prestaciones a la seguridad social y a su financiamiento respectivo.</w:t>
      </w:r>
    </w:p>
    <w:p w14:paraId="2E39F52E" w14:textId="007FC267" w:rsidR="005F38A6" w:rsidRDefault="005F38A6" w:rsidP="005F38A6"/>
    <w:p w14:paraId="3B59E35B" w14:textId="52DE2AE4" w:rsidR="00B86D82" w:rsidRPr="00162DF6" w:rsidRDefault="00B86D82" w:rsidP="007F19DF">
      <w:pPr>
        <w:pStyle w:val="Ttulo2"/>
        <w:numPr>
          <w:ilvl w:val="1"/>
          <w:numId w:val="35"/>
        </w:numPr>
        <w:tabs>
          <w:tab w:val="left" w:pos="426"/>
        </w:tabs>
        <w:ind w:left="284" w:hanging="284"/>
        <w:rPr>
          <w:bCs/>
        </w:rPr>
      </w:pPr>
      <w:bookmarkStart w:id="373" w:name="_Toc114495277"/>
      <w:bookmarkStart w:id="374" w:name="_Toc144114393"/>
      <w:r w:rsidRPr="00162DF6">
        <w:rPr>
          <w:bCs/>
        </w:rPr>
        <w:t>Programas del Instituto Guatemalteco de Seguridad Social -IGSS-</w:t>
      </w:r>
      <w:bookmarkEnd w:id="373"/>
      <w:bookmarkEnd w:id="374"/>
    </w:p>
    <w:p w14:paraId="0273F6E6" w14:textId="77777777" w:rsidR="00B86D82" w:rsidRPr="002E7C6D" w:rsidRDefault="00B86D82" w:rsidP="00B86D82"/>
    <w:p w14:paraId="35D38B0E" w14:textId="77777777" w:rsidR="00B86D82" w:rsidRPr="00162DF6" w:rsidRDefault="00B86D82" w:rsidP="007F19DF">
      <w:pPr>
        <w:pStyle w:val="Ttulo2"/>
        <w:numPr>
          <w:ilvl w:val="2"/>
          <w:numId w:val="35"/>
        </w:numPr>
        <w:tabs>
          <w:tab w:val="left" w:pos="851"/>
        </w:tabs>
        <w:ind w:left="567" w:hanging="283"/>
        <w:rPr>
          <w:bCs/>
        </w:rPr>
      </w:pPr>
      <w:bookmarkStart w:id="375" w:name="_Toc114495278"/>
      <w:bookmarkStart w:id="376" w:name="_Toc144114394"/>
      <w:r w:rsidRPr="00162DF6">
        <w:rPr>
          <w:bCs/>
        </w:rPr>
        <w:t>Programa sobre Protección relativa a Invalidez, Vejez y Sobrevivencia -IVS-</w:t>
      </w:r>
      <w:bookmarkEnd w:id="375"/>
      <w:bookmarkEnd w:id="376"/>
      <w:r w:rsidRPr="00162DF6">
        <w:rPr>
          <w:bCs/>
        </w:rPr>
        <w:t xml:space="preserve"> </w:t>
      </w:r>
    </w:p>
    <w:p w14:paraId="0F8A6618" w14:textId="77777777" w:rsidR="00B86D82" w:rsidRDefault="00B86D82" w:rsidP="00B86D82">
      <w:pPr>
        <w:ind w:right="72"/>
        <w:rPr>
          <w:b/>
          <w:lang w:val="es-MX"/>
        </w:rPr>
      </w:pPr>
    </w:p>
    <w:p w14:paraId="4B7B4E35" w14:textId="5B2299C2" w:rsidR="00B86D82" w:rsidRPr="00BC572D" w:rsidRDefault="00B86D82" w:rsidP="00B86D82">
      <w:pPr>
        <w:jc w:val="both"/>
      </w:pPr>
      <w:r w:rsidRPr="00BC572D">
        <w:t>Este programa IVS es un régimen obligatorio para todos los trabajadores dependientes que trabajan en empresas</w:t>
      </w:r>
      <w:r>
        <w:rPr>
          <w:rStyle w:val="Refdenotaalpie"/>
        </w:rPr>
        <w:footnoteReference w:id="5"/>
      </w:r>
      <w:r w:rsidRPr="00BC572D">
        <w:t xml:space="preserve">, con excepción de los trabajadores presupuestados por el Estado quienes no cotizan al régimen de seguridad social por tener su propio régimen de jubilación, según la ley orgánica del </w:t>
      </w:r>
      <w:r>
        <w:t>Instituto Guatemalteco de Seguridad Social -</w:t>
      </w:r>
      <w:r w:rsidRPr="00BC572D">
        <w:t>IGSS</w:t>
      </w:r>
      <w:r>
        <w:t>-</w:t>
      </w:r>
      <w:r w:rsidRPr="00BC572D">
        <w:t xml:space="preserve"> (Decreto 295). El programa otorga beneficios por </w:t>
      </w:r>
      <w:r w:rsidR="00B707F1">
        <w:t>i</w:t>
      </w:r>
      <w:r w:rsidRPr="00BC572D">
        <w:t xml:space="preserve">nvalidez, </w:t>
      </w:r>
      <w:r w:rsidR="00B707F1">
        <w:t>v</w:t>
      </w:r>
      <w:r w:rsidRPr="00BC572D">
        <w:t xml:space="preserve">ejez, </w:t>
      </w:r>
      <w:r w:rsidR="00B707F1">
        <w:t>v</w:t>
      </w:r>
      <w:r w:rsidRPr="00BC572D">
        <w:t xml:space="preserve">iudedad, orfandad y gastos de entierro y se rigen por el acuerdo 1124 de su Junta Directiva y sus cambios en los acuerdos 1291 y 1432. </w:t>
      </w:r>
    </w:p>
    <w:p w14:paraId="54741687" w14:textId="77777777" w:rsidR="00B86D82" w:rsidRPr="00BC572D" w:rsidRDefault="00B86D82" w:rsidP="00B86D82">
      <w:pPr>
        <w:jc w:val="both"/>
      </w:pPr>
    </w:p>
    <w:p w14:paraId="049119A1" w14:textId="77777777" w:rsidR="00B86D82" w:rsidRPr="00BC572D" w:rsidRDefault="00B86D82" w:rsidP="00B86D82">
      <w:pPr>
        <w:jc w:val="both"/>
      </w:pPr>
      <w:r w:rsidRPr="00BC572D">
        <w:t>Dicho régimen tripartito está integrado por aporte patronal (3.67%), aporte laboral (1.83</w:t>
      </w:r>
      <w:r>
        <w:t>%</w:t>
      </w:r>
      <w:r w:rsidRPr="00BC572D">
        <w:t xml:space="preserve">) y del </w:t>
      </w:r>
      <w:r>
        <w:t>E</w:t>
      </w:r>
      <w:r w:rsidRPr="00BC572D">
        <w:t>stado con 25% del gasto de prestaciones</w:t>
      </w:r>
      <w:r w:rsidRPr="00D76471">
        <w:rPr>
          <w:vertAlign w:val="superscript"/>
        </w:rPr>
        <w:footnoteReference w:id="6"/>
      </w:r>
      <w:r w:rsidRPr="00BC572D">
        <w:t>, además de los aportes de los rendimientos de la reserva técnica; los aportes cubren los gastos de pensiones, la administración del programa y la formación de reserva.</w:t>
      </w:r>
    </w:p>
    <w:p w14:paraId="4D90EE22" w14:textId="77777777" w:rsidR="00B86D82" w:rsidRPr="00BC572D" w:rsidRDefault="00B86D82" w:rsidP="00B86D82">
      <w:pPr>
        <w:jc w:val="both"/>
      </w:pPr>
    </w:p>
    <w:p w14:paraId="4C0C747A" w14:textId="5CBD7AC8" w:rsidR="00B86D82" w:rsidRPr="00BC572D" w:rsidRDefault="00B86D82" w:rsidP="00B86D82">
      <w:pPr>
        <w:jc w:val="both"/>
      </w:pPr>
      <w:r w:rsidRPr="00BC572D">
        <w:t>Los requisitos necesarios para optar a una pensión por vejez por medio del programa IVS son: haber cumplido la edad mínima de 60 años y tener 240 cuotas aportadas al régimen de seguridad social</w:t>
      </w:r>
      <w:r w:rsidRPr="00D76471">
        <w:rPr>
          <w:vertAlign w:val="superscript"/>
        </w:rPr>
        <w:footnoteReference w:id="7"/>
      </w:r>
      <w:r w:rsidRPr="00BC572D">
        <w:t>. El monto de los beneficios se determina con base a un porcentaje el cual es aplicado a los últimos 60 meses de salarios devengados por el trabajador antes de la ocurrencia</w:t>
      </w:r>
      <w:r>
        <w:t xml:space="preserve"> del riesgo (vejez o invalidez)</w:t>
      </w:r>
      <w:r w:rsidRPr="00D76471">
        <w:rPr>
          <w:vertAlign w:val="superscript"/>
        </w:rPr>
        <w:footnoteReference w:id="8"/>
      </w:r>
      <w:r w:rsidRPr="00BC572D">
        <w:t xml:space="preserve">.  Dicho cálculo es de 50% del salario medio del trabajador, 10% para cada una de las cargas familiares y 0.5% de la remuneración base por cada 6 meses de contribución al seguro, la pensión máxima es de </w:t>
      </w:r>
      <w:r w:rsidRPr="009D45E5">
        <w:t>80% de los ingresos del trabajador</w:t>
      </w:r>
      <w:r w:rsidR="009D45E5" w:rsidRPr="009D45E5">
        <w:t xml:space="preserve"> hasta Q9,000.00</w:t>
      </w:r>
      <w:r w:rsidRPr="009D45E5">
        <w:t>.</w:t>
      </w:r>
    </w:p>
    <w:p w14:paraId="14DD5C44" w14:textId="77777777" w:rsidR="00B86D82" w:rsidRPr="00BC572D" w:rsidRDefault="00B86D82" w:rsidP="00B86D82">
      <w:pPr>
        <w:jc w:val="both"/>
      </w:pPr>
    </w:p>
    <w:p w14:paraId="0B295E6B" w14:textId="1B0AA38D" w:rsidR="00B86D82" w:rsidRPr="00BC572D" w:rsidRDefault="00B86D82" w:rsidP="00B86D82">
      <w:pPr>
        <w:jc w:val="both"/>
      </w:pPr>
      <w:r w:rsidRPr="00BC572D">
        <w:lastRenderedPageBreak/>
        <w:t>El Estado reconoce y garantiza el derecho a la seguridad social brindado por el IGSS, además, esta es una institución perteneciente al Gobierno General, por lo que, de existir presiones financieras en el régimen en el futuro, se deberán destinar recursos para su sostenibilidad que tendrán su impacto en el gasto, déficit y deuda pública</w:t>
      </w:r>
      <w:r w:rsidR="00B707F1">
        <w:t>, p</w:t>
      </w:r>
      <w:r w:rsidRPr="00BC572D">
        <w:t xml:space="preserve">or lo que </w:t>
      </w:r>
      <w:r w:rsidR="00B707F1">
        <w:t xml:space="preserve">a continuación </w:t>
      </w:r>
      <w:r w:rsidRPr="00BC572D">
        <w:t>se procederá a realizar un breve análisis de la situación actual y de las proyecciones financieras realizadas por el IGSS en 202</w:t>
      </w:r>
      <w:r>
        <w:t>2</w:t>
      </w:r>
      <w:r w:rsidRPr="00BC572D">
        <w:t>.</w:t>
      </w:r>
    </w:p>
    <w:p w14:paraId="4D17EDCF" w14:textId="77777777" w:rsidR="00B86D82" w:rsidRPr="00B47ABD" w:rsidRDefault="00B86D82" w:rsidP="00B86D82">
      <w:pPr>
        <w:ind w:right="72"/>
        <w:jc w:val="both"/>
        <w:rPr>
          <w:bCs/>
        </w:rPr>
      </w:pPr>
    </w:p>
    <w:p w14:paraId="2A0B0E38" w14:textId="77777777" w:rsidR="00B86D82" w:rsidRPr="00162DF6" w:rsidRDefault="00B86D82" w:rsidP="007F19DF">
      <w:pPr>
        <w:pStyle w:val="Ttulo2"/>
        <w:numPr>
          <w:ilvl w:val="3"/>
          <w:numId w:val="35"/>
        </w:numPr>
        <w:tabs>
          <w:tab w:val="left" w:pos="993"/>
        </w:tabs>
        <w:ind w:left="567" w:hanging="283"/>
        <w:rPr>
          <w:bCs/>
        </w:rPr>
      </w:pPr>
      <w:bookmarkStart w:id="377" w:name="_Toc144114395"/>
      <w:r w:rsidRPr="00162DF6">
        <w:rPr>
          <w:bCs/>
        </w:rPr>
        <w:t>Situación actual:</w:t>
      </w:r>
      <w:bookmarkEnd w:id="377"/>
      <w:r w:rsidRPr="00162DF6">
        <w:rPr>
          <w:bCs/>
        </w:rPr>
        <w:t xml:space="preserve"> </w:t>
      </w:r>
    </w:p>
    <w:p w14:paraId="052D4307" w14:textId="77777777" w:rsidR="00B86D82" w:rsidRDefault="00B86D82" w:rsidP="00B86D82">
      <w:pPr>
        <w:ind w:right="72"/>
        <w:jc w:val="both"/>
        <w:rPr>
          <w:b/>
          <w:lang w:val="es-MX"/>
        </w:rPr>
      </w:pPr>
    </w:p>
    <w:p w14:paraId="34711E5D" w14:textId="77777777" w:rsidR="00B86D82" w:rsidRDefault="00B86D82" w:rsidP="00B86D82">
      <w:pPr>
        <w:ind w:right="72"/>
        <w:jc w:val="both"/>
        <w:rPr>
          <w:bCs/>
          <w:lang w:val="es-MX"/>
        </w:rPr>
      </w:pPr>
      <w:r>
        <w:rPr>
          <w:bCs/>
          <w:lang w:val="es-MX"/>
        </w:rPr>
        <w:t>Según datos proporcionados en julio de 2023, por parte del IGSS.  En 2022 se registraron 1,251,458 cotizantes al programa IVS, el cual fue mayor a los 1,207,262 del 2021, representado un crecimiento de 3.7% es decir 44,196 cotizantes más, de estos el 64.9% corresponde a hombres y el 35.1% a mujeres. El 84.0% de la población se concentra entre 20 y 49 años de edad, el 9.8 % se concentran entre 50 y 59 años, mientras que solo el 4.1% se concentra en personas mayores o iguales a 60 años, es importante hacer ver que estos últimos trabajadores tienen potencial para optar a una pensión por riesgo de vejez</w:t>
      </w:r>
      <w:r>
        <w:rPr>
          <w:rStyle w:val="Refdenotaalpie"/>
          <w:bCs/>
          <w:lang w:val="es-MX"/>
        </w:rPr>
        <w:footnoteReference w:id="9"/>
      </w:r>
      <w:r>
        <w:rPr>
          <w:bCs/>
          <w:lang w:val="es-MX"/>
        </w:rPr>
        <w:t xml:space="preserve">. </w:t>
      </w:r>
    </w:p>
    <w:p w14:paraId="72A69FD0" w14:textId="77777777" w:rsidR="00B86D82" w:rsidRDefault="00B86D82" w:rsidP="00B86D82">
      <w:pPr>
        <w:ind w:right="72"/>
        <w:jc w:val="both"/>
        <w:rPr>
          <w:bCs/>
          <w:lang w:val="es-MX"/>
        </w:rPr>
      </w:pPr>
    </w:p>
    <w:p w14:paraId="7D4DDA15" w14:textId="0C082E0A" w:rsidR="00B86D82" w:rsidRPr="00BC572D" w:rsidRDefault="00B86D82" w:rsidP="00B86D82">
      <w:pPr>
        <w:ind w:right="72"/>
        <w:jc w:val="both"/>
      </w:pPr>
      <w:r>
        <w:rPr>
          <w:bCs/>
          <w:lang w:val="es-MX"/>
        </w:rPr>
        <w:t>Los pensionados pasaron de 171,706 a 180,709 de 2021 a 2022 en el programa IVS, creciendo 5.2%, es decir mayor en 5.4 puntos porcentuales, representando 9,003 pensionados más, cuando en el 2021 habían descendido 279 respecto del 2020 (en el gráfico 2 se muestra la tendencia negativa que traía anteriormente); además se muestra en dicho grafico que se registró 8.4, 94.2 y 78.2 miles de pensionados por invalidez, vejez y sobrevivencia, sobresalen los dos últimos en cantidad de pensionados.  Asimismo, ellos representaron una erogación de Q4,367.2 millones en 2022, que corresponden a 4.5%, 76.5% y 18.9%, respectivamente.</w:t>
      </w:r>
    </w:p>
    <w:p w14:paraId="2EB44AA5" w14:textId="77777777" w:rsidR="00B86D82" w:rsidRPr="00BC572D" w:rsidRDefault="00B86D82" w:rsidP="00B86D82">
      <w:pPr>
        <w:jc w:val="both"/>
      </w:pPr>
    </w:p>
    <w:tbl>
      <w:tblPr>
        <w:tblStyle w:val="Tablaconcuadrcula"/>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746"/>
      </w:tblGrid>
      <w:tr w:rsidR="00B86D82" w14:paraId="22BEF5DB" w14:textId="77777777" w:rsidTr="00037E1D">
        <w:trPr>
          <w:trHeight w:val="824"/>
        </w:trPr>
        <w:tc>
          <w:tcPr>
            <w:tcW w:w="4894" w:type="dxa"/>
          </w:tcPr>
          <w:p w14:paraId="40A33467" w14:textId="2F01B3E4" w:rsidR="00737DC2" w:rsidRDefault="00737DC2" w:rsidP="00737DC2">
            <w:pPr>
              <w:pStyle w:val="Descripcin"/>
              <w:keepNext/>
            </w:pPr>
            <w:bookmarkStart w:id="378" w:name="_Toc143593609"/>
            <w:r w:rsidRPr="00737DC2">
              <w:rPr>
                <w:color w:val="auto"/>
              </w:rPr>
              <w:t xml:space="preserve">Gráfico </w:t>
            </w:r>
            <w:r w:rsidRPr="00737DC2">
              <w:rPr>
                <w:color w:val="auto"/>
              </w:rPr>
              <w:fldChar w:fldCharType="begin"/>
            </w:r>
            <w:r w:rsidRPr="00737DC2">
              <w:rPr>
                <w:color w:val="auto"/>
              </w:rPr>
              <w:instrText xml:space="preserve"> SEQ Gráfico \* ARABIC </w:instrText>
            </w:r>
            <w:r w:rsidRPr="00737DC2">
              <w:rPr>
                <w:color w:val="auto"/>
              </w:rPr>
              <w:fldChar w:fldCharType="separate"/>
            </w:r>
            <w:r w:rsidR="00A62AFA">
              <w:rPr>
                <w:noProof/>
                <w:color w:val="auto"/>
              </w:rPr>
              <w:t>51</w:t>
            </w:r>
            <w:r w:rsidRPr="00737DC2">
              <w:rPr>
                <w:color w:val="auto"/>
              </w:rPr>
              <w:fldChar w:fldCharType="end"/>
            </w:r>
            <w:r w:rsidRPr="00737DC2">
              <w:rPr>
                <w:color w:val="auto"/>
              </w:rPr>
              <w:t xml:space="preserve">. </w:t>
            </w:r>
            <w:bookmarkStart w:id="379" w:name="_Toc114493913"/>
            <w:r w:rsidRPr="00737DC2">
              <w:rPr>
                <w:color w:val="auto"/>
                <w:lang w:val="es-MX"/>
              </w:rPr>
              <w:t>Afiliados al Programa IVS por sexo y gr</w:t>
            </w:r>
            <w:r w:rsidRPr="00535E3B">
              <w:rPr>
                <w:color w:val="auto"/>
                <w:lang w:val="es-MX"/>
              </w:rPr>
              <w:t>upo de edad, año 202</w:t>
            </w:r>
            <w:bookmarkEnd w:id="379"/>
            <w:r>
              <w:rPr>
                <w:color w:val="auto"/>
                <w:lang w:val="es-MX"/>
              </w:rPr>
              <w:t>2</w:t>
            </w:r>
            <w:bookmarkEnd w:id="378"/>
          </w:p>
          <w:p w14:paraId="06CAD73B" w14:textId="77777777" w:rsidR="00B86D82" w:rsidRPr="00535E3B" w:rsidRDefault="00B86D82" w:rsidP="006A7377">
            <w:pPr>
              <w:ind w:left="540" w:right="72"/>
              <w:jc w:val="center"/>
              <w:rPr>
                <w:bCs/>
                <w:lang w:val="es-MX" w:eastAsia="en-US"/>
              </w:rPr>
            </w:pPr>
            <w:r>
              <w:rPr>
                <w:lang w:val="es-MX"/>
              </w:rPr>
              <w:t>(T</w:t>
            </w:r>
            <w:r w:rsidRPr="00535E3B">
              <w:rPr>
                <w:lang w:val="es-MX"/>
              </w:rPr>
              <w:t xml:space="preserve">otal de personas) </w:t>
            </w:r>
          </w:p>
        </w:tc>
        <w:tc>
          <w:tcPr>
            <w:tcW w:w="4746" w:type="dxa"/>
          </w:tcPr>
          <w:p w14:paraId="2EAFA0F7" w14:textId="536A45C5" w:rsidR="00B86D82" w:rsidRPr="00535E3B" w:rsidRDefault="00411D33" w:rsidP="00411D33">
            <w:pPr>
              <w:pStyle w:val="Descripcin"/>
            </w:pPr>
            <w:bookmarkStart w:id="380" w:name="_Toc114493914"/>
            <w:bookmarkStart w:id="381" w:name="_Toc143593610"/>
            <w:r w:rsidRPr="00411D33">
              <w:rPr>
                <w:color w:val="auto"/>
              </w:rPr>
              <w:t xml:space="preserve">Gráfico </w:t>
            </w:r>
            <w:r w:rsidRPr="00411D33">
              <w:rPr>
                <w:color w:val="auto"/>
              </w:rPr>
              <w:fldChar w:fldCharType="begin"/>
            </w:r>
            <w:r w:rsidRPr="00411D33">
              <w:rPr>
                <w:color w:val="auto"/>
              </w:rPr>
              <w:instrText xml:space="preserve"> SEQ Gráfico \* ARABIC </w:instrText>
            </w:r>
            <w:r w:rsidRPr="00411D33">
              <w:rPr>
                <w:color w:val="auto"/>
              </w:rPr>
              <w:fldChar w:fldCharType="separate"/>
            </w:r>
            <w:r w:rsidR="00A62AFA">
              <w:rPr>
                <w:noProof/>
                <w:color w:val="auto"/>
              </w:rPr>
              <w:t>52</w:t>
            </w:r>
            <w:r w:rsidRPr="00411D33">
              <w:rPr>
                <w:color w:val="auto"/>
              </w:rPr>
              <w:fldChar w:fldCharType="end"/>
            </w:r>
            <w:r w:rsidRPr="00411D33">
              <w:rPr>
                <w:color w:val="auto"/>
              </w:rPr>
              <w:t xml:space="preserve">. </w:t>
            </w:r>
            <w:r w:rsidRPr="00411D33">
              <w:rPr>
                <w:color w:val="auto"/>
                <w:lang w:val="es-MX"/>
              </w:rPr>
              <w:t xml:space="preserve">Pensionados </w:t>
            </w:r>
            <w:r w:rsidRPr="009701B8">
              <w:rPr>
                <w:color w:val="auto"/>
                <w:lang w:val="es-MX"/>
              </w:rPr>
              <w:t xml:space="preserve">al Programa </w:t>
            </w:r>
            <w:r>
              <w:rPr>
                <w:color w:val="auto"/>
                <w:lang w:val="es-MX"/>
              </w:rPr>
              <w:t xml:space="preserve">      </w:t>
            </w:r>
            <w:r w:rsidRPr="009701B8">
              <w:rPr>
                <w:color w:val="auto"/>
                <w:lang w:val="es-MX"/>
              </w:rPr>
              <w:t xml:space="preserve">IVS </w:t>
            </w:r>
            <w:r>
              <w:rPr>
                <w:color w:val="auto"/>
                <w:lang w:val="es-MX"/>
              </w:rPr>
              <w:t>según</w:t>
            </w:r>
            <w:r w:rsidRPr="009701B8">
              <w:rPr>
                <w:color w:val="auto"/>
                <w:lang w:val="es-MX"/>
              </w:rPr>
              <w:t xml:space="preserve"> riesgo y variación interanual</w:t>
            </w:r>
            <w:r w:rsidR="00B86D82" w:rsidRPr="009701B8">
              <w:rPr>
                <w:color w:val="auto"/>
                <w:lang w:val="es-MX"/>
              </w:rPr>
              <w:t>,</w:t>
            </w:r>
            <w:r w:rsidR="00B86D82">
              <w:rPr>
                <w:color w:val="auto"/>
                <w:lang w:val="es-MX"/>
              </w:rPr>
              <w:t xml:space="preserve"> </w:t>
            </w:r>
            <w:r w:rsidR="00B86D82" w:rsidRPr="009701B8">
              <w:rPr>
                <w:color w:val="auto"/>
                <w:lang w:val="es-MX"/>
              </w:rPr>
              <w:t>años 2011-202</w:t>
            </w:r>
            <w:bookmarkEnd w:id="380"/>
            <w:r w:rsidR="00B86D82">
              <w:rPr>
                <w:color w:val="auto"/>
                <w:lang w:val="es-MX"/>
              </w:rPr>
              <w:t>2</w:t>
            </w:r>
            <w:bookmarkEnd w:id="381"/>
          </w:p>
        </w:tc>
      </w:tr>
      <w:tr w:rsidR="00B86D82" w14:paraId="3DA3FA91" w14:textId="77777777" w:rsidTr="00037E1D">
        <w:trPr>
          <w:trHeight w:val="2947"/>
        </w:trPr>
        <w:tc>
          <w:tcPr>
            <w:tcW w:w="4894" w:type="dxa"/>
            <w:shd w:val="clear" w:color="auto" w:fill="FFFFFF" w:themeFill="background1"/>
          </w:tcPr>
          <w:p w14:paraId="12EA8909" w14:textId="77777777" w:rsidR="00B86D82" w:rsidRDefault="00B86D82" w:rsidP="006A7377">
            <w:pPr>
              <w:ind w:right="72"/>
              <w:jc w:val="both"/>
              <w:rPr>
                <w:bCs/>
                <w:lang w:val="es-MX" w:eastAsia="en-US"/>
              </w:rPr>
            </w:pPr>
            <w:r>
              <w:rPr>
                <w:noProof/>
              </w:rPr>
              <w:drawing>
                <wp:inline distT="0" distB="0" distL="0" distR="0" wp14:anchorId="11F08204" wp14:editId="457C95AE">
                  <wp:extent cx="2876550" cy="1910080"/>
                  <wp:effectExtent l="0" t="0" r="0" b="0"/>
                  <wp:docPr id="1889938846" name="Gráfico 1889938846">
                    <a:extLst xmlns:a="http://schemas.openxmlformats.org/drawingml/2006/main">
                      <a:ext uri="{FF2B5EF4-FFF2-40B4-BE49-F238E27FC236}">
                        <a16:creationId xmlns:a16="http://schemas.microsoft.com/office/drawing/2014/main" id="{00000000-0008-0000-2F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4746" w:type="dxa"/>
          </w:tcPr>
          <w:p w14:paraId="4A97D3C5" w14:textId="77777777" w:rsidR="00B86D82" w:rsidRDefault="00B86D82" w:rsidP="006A7377">
            <w:pPr>
              <w:ind w:right="72"/>
              <w:jc w:val="both"/>
              <w:rPr>
                <w:bCs/>
                <w:lang w:val="es-MX" w:eastAsia="en-US"/>
              </w:rPr>
            </w:pPr>
            <w:r>
              <w:rPr>
                <w:noProof/>
              </w:rPr>
              <w:drawing>
                <wp:inline distT="0" distB="0" distL="0" distR="0" wp14:anchorId="0AD29902" wp14:editId="030ADF78">
                  <wp:extent cx="2800350" cy="1910687"/>
                  <wp:effectExtent l="0" t="0" r="0" b="0"/>
                  <wp:docPr id="1889938847" name="Gráfico 1889938847">
                    <a:extLst xmlns:a="http://schemas.openxmlformats.org/drawingml/2006/main">
                      <a:ext uri="{FF2B5EF4-FFF2-40B4-BE49-F238E27FC236}">
                        <a16:creationId xmlns:a16="http://schemas.microsoft.com/office/drawing/2014/main" id="{01F240C9-5803-4F9E-82A9-68B5FEBF8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B86D82" w:rsidRPr="00FF3DC4" w14:paraId="147B01CF" w14:textId="77777777" w:rsidTr="00037E1D">
        <w:trPr>
          <w:trHeight w:val="221"/>
        </w:trPr>
        <w:tc>
          <w:tcPr>
            <w:tcW w:w="9640" w:type="dxa"/>
            <w:gridSpan w:val="2"/>
          </w:tcPr>
          <w:p w14:paraId="56D069E3" w14:textId="77777777" w:rsidR="00B86D82" w:rsidRPr="00FF3DC4" w:rsidRDefault="00B86D82" w:rsidP="006A7377">
            <w:pPr>
              <w:rPr>
                <w:bCs/>
                <w:sz w:val="12"/>
                <w:szCs w:val="20"/>
                <w:lang w:eastAsia="en-US"/>
              </w:rPr>
            </w:pPr>
            <w:r w:rsidRPr="00FF3DC4">
              <w:rPr>
                <w:sz w:val="12"/>
                <w:szCs w:val="14"/>
              </w:rPr>
              <w:t>Fuente: Elaborado por DAPF de MINFIN, con información de la tabla de contenido del IGSS en cifras de 2022</w:t>
            </w:r>
          </w:p>
        </w:tc>
      </w:tr>
    </w:tbl>
    <w:p w14:paraId="4E011B98" w14:textId="77777777" w:rsidR="00B86D82" w:rsidRPr="00FF3DC4" w:rsidRDefault="00B86D82" w:rsidP="00B86D82">
      <w:pPr>
        <w:rPr>
          <w:sz w:val="12"/>
          <w:szCs w:val="14"/>
        </w:rPr>
      </w:pPr>
      <w:r w:rsidRPr="00FF3DC4">
        <w:rPr>
          <w:sz w:val="12"/>
          <w:szCs w:val="14"/>
        </w:rPr>
        <w:t>Nota: Los cotizantes al IVS tienen un comportamiento muy similar a afiliados totales al IGSS</w:t>
      </w:r>
    </w:p>
    <w:p w14:paraId="767CF811" w14:textId="77777777" w:rsidR="00B86D82" w:rsidRDefault="00B86D82" w:rsidP="00B86D82">
      <w:pPr>
        <w:jc w:val="both"/>
        <w:rPr>
          <w:noProof/>
        </w:rPr>
      </w:pPr>
      <w:r w:rsidRPr="00194805">
        <w:rPr>
          <w:noProof/>
        </w:rPr>
        <w:t xml:space="preserve"> </w:t>
      </w:r>
      <w:r w:rsidRPr="002712FB">
        <w:rPr>
          <w:noProof/>
        </w:rPr>
        <w:t xml:space="preserve"> </w:t>
      </w:r>
      <w:bookmarkStart w:id="382" w:name="_Toc114495279"/>
    </w:p>
    <w:bookmarkEnd w:id="382"/>
    <w:p w14:paraId="33459000" w14:textId="77777777" w:rsidR="00B86D82" w:rsidRDefault="00B86D82" w:rsidP="00B86D82">
      <w:pPr>
        <w:jc w:val="both"/>
      </w:pPr>
      <w:r>
        <w:t xml:space="preserve">Los ingresos del programa IVS crecieron 7.5% en 2022 respecto al 2021,  es decir experimentaron un aumento nominal de Q407.3 millones, los aportes representaron el 5.4% de dichos ingresos, mientras que los intereses y otros ingresos fueron los 2.1% restantes; para </w:t>
      </w:r>
      <w:r>
        <w:lastRenderedPageBreak/>
        <w:t xml:space="preserve">el caso de los gastos, estos crecieron 15.5% en el mismo periodo, con un aumento de Q616.9 millones, principalmente por el aumento de las prestaciones que representaron el 14.7% del crecimiento y 0.8% en gastos de administración y otros. </w:t>
      </w:r>
    </w:p>
    <w:p w14:paraId="0EB2122A" w14:textId="77777777" w:rsidR="00B86D82" w:rsidRDefault="00B86D82" w:rsidP="00B86D82">
      <w:pPr>
        <w:jc w:val="both"/>
      </w:pPr>
    </w:p>
    <w:p w14:paraId="606F97A5" w14:textId="77777777" w:rsidR="00B86D82" w:rsidRDefault="00B86D82" w:rsidP="00B86D82">
      <w:pPr>
        <w:jc w:val="both"/>
      </w:pPr>
      <w:r>
        <w:t xml:space="preserve">Por lo anterior, se tuvo un excedente, el cual aumentó las reservas del programa en Q1.280.9 millones, equivalente a un crecimiento interanual de 4.5%. Es importante hacer notar la ralentización del crecimiento de los fondos de reserva, así como también que la relación de gastos contra ingresos que alcanzó el 78.3%, el cual es superior al observado en el 2021 que fue 72.8%. </w:t>
      </w:r>
    </w:p>
    <w:p w14:paraId="34196C3C" w14:textId="77777777" w:rsidR="00B86D82" w:rsidRPr="00B119CB" w:rsidRDefault="00B86D82" w:rsidP="00B86D82">
      <w:pPr>
        <w:ind w:left="540"/>
        <w:jc w:val="both"/>
        <w:rPr>
          <w:bCs/>
        </w:rPr>
      </w:pPr>
    </w:p>
    <w:p w14:paraId="4E5A04BA" w14:textId="4A9F4CFF" w:rsidR="00B86D82" w:rsidRPr="00E94376" w:rsidRDefault="002D5363" w:rsidP="002D5363">
      <w:pPr>
        <w:pStyle w:val="Descripcin"/>
        <w:keepNext/>
      </w:pPr>
      <w:bookmarkStart w:id="383" w:name="_Toc114493936"/>
      <w:bookmarkStart w:id="384" w:name="_Toc143593532"/>
      <w:r w:rsidRPr="002D5363">
        <w:rPr>
          <w:color w:val="auto"/>
        </w:rPr>
        <w:t xml:space="preserve">Tabla </w:t>
      </w:r>
      <w:r w:rsidRPr="002D5363">
        <w:rPr>
          <w:color w:val="auto"/>
        </w:rPr>
        <w:fldChar w:fldCharType="begin"/>
      </w:r>
      <w:r w:rsidRPr="002D5363">
        <w:rPr>
          <w:color w:val="auto"/>
        </w:rPr>
        <w:instrText xml:space="preserve"> SEQ Tabla \* ARABIC </w:instrText>
      </w:r>
      <w:r w:rsidRPr="002D5363">
        <w:rPr>
          <w:color w:val="auto"/>
        </w:rPr>
        <w:fldChar w:fldCharType="separate"/>
      </w:r>
      <w:r w:rsidR="00A62AFA">
        <w:rPr>
          <w:noProof/>
          <w:color w:val="auto"/>
        </w:rPr>
        <w:t>30</w:t>
      </w:r>
      <w:r w:rsidRPr="002D5363">
        <w:rPr>
          <w:color w:val="auto"/>
        </w:rPr>
        <w:fldChar w:fldCharType="end"/>
      </w:r>
      <w:r w:rsidRPr="002D5363">
        <w:rPr>
          <w:color w:val="auto"/>
        </w:rPr>
        <w:t xml:space="preserve">.  </w:t>
      </w:r>
      <w:r w:rsidR="00411D33" w:rsidRPr="002D5363">
        <w:rPr>
          <w:color w:val="auto"/>
          <w:lang w:val="es-MX"/>
        </w:rPr>
        <w:t>Ingresos, gastos y Fondo de Reserva del Programa IVS</w:t>
      </w:r>
      <w:r w:rsidR="00B86D82" w:rsidRPr="002D5363">
        <w:rPr>
          <w:color w:val="auto"/>
          <w:lang w:val="es-MX"/>
        </w:rPr>
        <w:t>, periodo 2016-2022</w:t>
      </w:r>
      <w:r w:rsidR="00B86D82" w:rsidRPr="002D5363">
        <w:rPr>
          <w:b w:val="0"/>
          <w:color w:val="auto"/>
          <w:sz w:val="22"/>
          <w:szCs w:val="22"/>
          <w:lang w:val="es-MX"/>
        </w:rPr>
        <w:t xml:space="preserve"> </w:t>
      </w:r>
      <w:r w:rsidR="00B86D82" w:rsidRPr="00E94376">
        <w:rPr>
          <w:b w:val="0"/>
          <w:color w:val="auto"/>
          <w:sz w:val="22"/>
          <w:szCs w:val="22"/>
          <w:lang w:val="es-MX"/>
        </w:rPr>
        <w:t>(cifras en millones de Quetzales)</w:t>
      </w:r>
      <w:bookmarkEnd w:id="383"/>
      <w:bookmarkEnd w:id="384"/>
    </w:p>
    <w:p w14:paraId="6E741F9F" w14:textId="77777777" w:rsidR="00B86D82" w:rsidRPr="00E94376" w:rsidRDefault="00B86D82" w:rsidP="00B86D82">
      <w:pPr>
        <w:rPr>
          <w:sz w:val="16"/>
          <w:szCs w:val="18"/>
        </w:rPr>
      </w:pPr>
    </w:p>
    <w:tbl>
      <w:tblPr>
        <w:tblW w:w="7863" w:type="dxa"/>
        <w:jc w:val="center"/>
        <w:tblCellMar>
          <w:left w:w="70" w:type="dxa"/>
          <w:right w:w="70" w:type="dxa"/>
        </w:tblCellMar>
        <w:tblLook w:val="04A0" w:firstRow="1" w:lastRow="0" w:firstColumn="1" w:lastColumn="0" w:noHBand="0" w:noVBand="1"/>
      </w:tblPr>
      <w:tblGrid>
        <w:gridCol w:w="1449"/>
        <w:gridCol w:w="917"/>
        <w:gridCol w:w="914"/>
        <w:gridCol w:w="914"/>
        <w:gridCol w:w="914"/>
        <w:gridCol w:w="914"/>
        <w:gridCol w:w="914"/>
        <w:gridCol w:w="927"/>
      </w:tblGrid>
      <w:tr w:rsidR="00B86D82" w:rsidRPr="0005279C" w14:paraId="3EEC8251" w14:textId="77777777" w:rsidTr="00411D33">
        <w:trPr>
          <w:trHeight w:val="216"/>
          <w:jc w:val="center"/>
        </w:trPr>
        <w:tc>
          <w:tcPr>
            <w:tcW w:w="1449" w:type="dxa"/>
            <w:tcBorders>
              <w:top w:val="single" w:sz="8" w:space="0" w:color="auto"/>
              <w:left w:val="single" w:sz="8" w:space="0" w:color="auto"/>
              <w:bottom w:val="single" w:sz="8" w:space="0" w:color="auto"/>
              <w:right w:val="single" w:sz="8" w:space="0" w:color="auto"/>
            </w:tcBorders>
            <w:shd w:val="clear" w:color="000000" w:fill="0070C0"/>
            <w:noWrap/>
            <w:vAlign w:val="center"/>
            <w:hideMark/>
          </w:tcPr>
          <w:p w14:paraId="77EDFE9C" w14:textId="77777777" w:rsidR="00B86D82" w:rsidRPr="0005279C" w:rsidRDefault="00B86D82" w:rsidP="006A7377">
            <w:pPr>
              <w:jc w:val="center"/>
              <w:rPr>
                <w:b/>
                <w:bCs/>
                <w:color w:val="FFFFFF"/>
                <w:sz w:val="16"/>
                <w:szCs w:val="16"/>
              </w:rPr>
            </w:pPr>
            <w:r w:rsidRPr="0005279C">
              <w:rPr>
                <w:b/>
                <w:bCs/>
                <w:color w:val="FFFFFF"/>
                <w:sz w:val="16"/>
                <w:szCs w:val="16"/>
              </w:rPr>
              <w:t>Concepto</w:t>
            </w:r>
          </w:p>
        </w:tc>
        <w:tc>
          <w:tcPr>
            <w:tcW w:w="916" w:type="dxa"/>
            <w:tcBorders>
              <w:top w:val="single" w:sz="8" w:space="0" w:color="auto"/>
              <w:left w:val="nil"/>
              <w:bottom w:val="single" w:sz="8" w:space="0" w:color="auto"/>
              <w:right w:val="single" w:sz="8" w:space="0" w:color="auto"/>
            </w:tcBorders>
            <w:shd w:val="clear" w:color="000000" w:fill="0070C0"/>
            <w:noWrap/>
            <w:vAlign w:val="center"/>
            <w:hideMark/>
          </w:tcPr>
          <w:p w14:paraId="004D9D96" w14:textId="77777777" w:rsidR="00B86D82" w:rsidRPr="0005279C" w:rsidRDefault="00B86D82" w:rsidP="006A7377">
            <w:pPr>
              <w:jc w:val="center"/>
              <w:rPr>
                <w:b/>
                <w:bCs/>
                <w:color w:val="FFFFFF"/>
                <w:sz w:val="16"/>
                <w:szCs w:val="16"/>
              </w:rPr>
            </w:pPr>
            <w:r w:rsidRPr="0005279C">
              <w:rPr>
                <w:b/>
                <w:bCs/>
                <w:color w:val="FFFFFF"/>
                <w:sz w:val="16"/>
                <w:szCs w:val="16"/>
              </w:rPr>
              <w:t>2016</w:t>
            </w:r>
          </w:p>
        </w:tc>
        <w:tc>
          <w:tcPr>
            <w:tcW w:w="914" w:type="dxa"/>
            <w:tcBorders>
              <w:top w:val="single" w:sz="8" w:space="0" w:color="auto"/>
              <w:left w:val="nil"/>
              <w:bottom w:val="single" w:sz="8" w:space="0" w:color="auto"/>
              <w:right w:val="single" w:sz="8" w:space="0" w:color="auto"/>
            </w:tcBorders>
            <w:shd w:val="clear" w:color="000000" w:fill="0070C0"/>
            <w:noWrap/>
            <w:vAlign w:val="center"/>
            <w:hideMark/>
          </w:tcPr>
          <w:p w14:paraId="3CA34129" w14:textId="77777777" w:rsidR="00B86D82" w:rsidRPr="0005279C" w:rsidRDefault="00B86D82" w:rsidP="006A7377">
            <w:pPr>
              <w:jc w:val="center"/>
              <w:rPr>
                <w:b/>
                <w:bCs/>
                <w:color w:val="FFFFFF"/>
                <w:sz w:val="16"/>
                <w:szCs w:val="16"/>
              </w:rPr>
            </w:pPr>
            <w:r w:rsidRPr="0005279C">
              <w:rPr>
                <w:b/>
                <w:bCs/>
                <w:color w:val="FFFFFF"/>
                <w:sz w:val="16"/>
                <w:szCs w:val="16"/>
              </w:rPr>
              <w:t>2017</w:t>
            </w:r>
          </w:p>
        </w:tc>
        <w:tc>
          <w:tcPr>
            <w:tcW w:w="914" w:type="dxa"/>
            <w:tcBorders>
              <w:top w:val="single" w:sz="8" w:space="0" w:color="auto"/>
              <w:left w:val="nil"/>
              <w:bottom w:val="single" w:sz="8" w:space="0" w:color="auto"/>
              <w:right w:val="single" w:sz="8" w:space="0" w:color="auto"/>
            </w:tcBorders>
            <w:shd w:val="clear" w:color="000000" w:fill="0070C0"/>
            <w:noWrap/>
            <w:vAlign w:val="center"/>
            <w:hideMark/>
          </w:tcPr>
          <w:p w14:paraId="5E07882D" w14:textId="77777777" w:rsidR="00B86D82" w:rsidRPr="0005279C" w:rsidRDefault="00B86D82" w:rsidP="006A7377">
            <w:pPr>
              <w:jc w:val="center"/>
              <w:rPr>
                <w:b/>
                <w:bCs/>
                <w:color w:val="FFFFFF"/>
                <w:sz w:val="16"/>
                <w:szCs w:val="16"/>
              </w:rPr>
            </w:pPr>
            <w:r w:rsidRPr="0005279C">
              <w:rPr>
                <w:b/>
                <w:bCs/>
                <w:color w:val="FFFFFF"/>
                <w:sz w:val="16"/>
                <w:szCs w:val="16"/>
              </w:rPr>
              <w:t>2018</w:t>
            </w:r>
          </w:p>
        </w:tc>
        <w:tc>
          <w:tcPr>
            <w:tcW w:w="914" w:type="dxa"/>
            <w:tcBorders>
              <w:top w:val="single" w:sz="8" w:space="0" w:color="auto"/>
              <w:left w:val="nil"/>
              <w:bottom w:val="single" w:sz="8" w:space="0" w:color="auto"/>
              <w:right w:val="single" w:sz="8" w:space="0" w:color="auto"/>
            </w:tcBorders>
            <w:shd w:val="clear" w:color="000000" w:fill="0070C0"/>
            <w:noWrap/>
            <w:vAlign w:val="center"/>
            <w:hideMark/>
          </w:tcPr>
          <w:p w14:paraId="62001D1B" w14:textId="77777777" w:rsidR="00B86D82" w:rsidRPr="0005279C" w:rsidRDefault="00B86D82" w:rsidP="006A7377">
            <w:pPr>
              <w:jc w:val="center"/>
              <w:rPr>
                <w:b/>
                <w:bCs/>
                <w:color w:val="FFFFFF"/>
                <w:sz w:val="16"/>
                <w:szCs w:val="16"/>
              </w:rPr>
            </w:pPr>
            <w:r w:rsidRPr="0005279C">
              <w:rPr>
                <w:b/>
                <w:bCs/>
                <w:color w:val="FFFFFF"/>
                <w:sz w:val="16"/>
                <w:szCs w:val="16"/>
              </w:rPr>
              <w:t>2019</w:t>
            </w:r>
          </w:p>
        </w:tc>
        <w:tc>
          <w:tcPr>
            <w:tcW w:w="914" w:type="dxa"/>
            <w:tcBorders>
              <w:top w:val="single" w:sz="8" w:space="0" w:color="auto"/>
              <w:left w:val="nil"/>
              <w:bottom w:val="single" w:sz="8" w:space="0" w:color="auto"/>
              <w:right w:val="single" w:sz="8" w:space="0" w:color="auto"/>
            </w:tcBorders>
            <w:shd w:val="clear" w:color="000000" w:fill="0070C0"/>
            <w:noWrap/>
            <w:vAlign w:val="center"/>
            <w:hideMark/>
          </w:tcPr>
          <w:p w14:paraId="39699131" w14:textId="77777777" w:rsidR="00B86D82" w:rsidRPr="0005279C" w:rsidRDefault="00B86D82" w:rsidP="006A7377">
            <w:pPr>
              <w:jc w:val="center"/>
              <w:rPr>
                <w:b/>
                <w:bCs/>
                <w:color w:val="FFFFFF"/>
                <w:sz w:val="16"/>
                <w:szCs w:val="16"/>
              </w:rPr>
            </w:pPr>
            <w:r w:rsidRPr="0005279C">
              <w:rPr>
                <w:b/>
                <w:bCs/>
                <w:color w:val="FFFFFF"/>
                <w:sz w:val="16"/>
                <w:szCs w:val="16"/>
              </w:rPr>
              <w:t>2020</w:t>
            </w:r>
          </w:p>
        </w:tc>
        <w:tc>
          <w:tcPr>
            <w:tcW w:w="914" w:type="dxa"/>
            <w:tcBorders>
              <w:top w:val="single" w:sz="8" w:space="0" w:color="auto"/>
              <w:left w:val="nil"/>
              <w:bottom w:val="single" w:sz="8" w:space="0" w:color="auto"/>
              <w:right w:val="single" w:sz="8" w:space="0" w:color="auto"/>
            </w:tcBorders>
            <w:shd w:val="clear" w:color="000000" w:fill="0070C0"/>
            <w:noWrap/>
            <w:vAlign w:val="center"/>
            <w:hideMark/>
          </w:tcPr>
          <w:p w14:paraId="21F3CC5C" w14:textId="77777777" w:rsidR="00B86D82" w:rsidRPr="0005279C" w:rsidRDefault="00B86D82" w:rsidP="006A7377">
            <w:pPr>
              <w:jc w:val="center"/>
              <w:rPr>
                <w:b/>
                <w:bCs/>
                <w:color w:val="FFFFFF"/>
                <w:sz w:val="16"/>
                <w:szCs w:val="16"/>
              </w:rPr>
            </w:pPr>
            <w:r w:rsidRPr="0005279C">
              <w:rPr>
                <w:b/>
                <w:bCs/>
                <w:color w:val="FFFFFF"/>
                <w:sz w:val="16"/>
                <w:szCs w:val="16"/>
              </w:rPr>
              <w:t>2021</w:t>
            </w:r>
          </w:p>
        </w:tc>
        <w:tc>
          <w:tcPr>
            <w:tcW w:w="926" w:type="dxa"/>
            <w:tcBorders>
              <w:top w:val="single" w:sz="8" w:space="0" w:color="auto"/>
              <w:left w:val="nil"/>
              <w:bottom w:val="single" w:sz="8" w:space="0" w:color="auto"/>
              <w:right w:val="single" w:sz="8" w:space="0" w:color="auto"/>
            </w:tcBorders>
            <w:shd w:val="clear" w:color="000000" w:fill="0070C0"/>
            <w:noWrap/>
            <w:vAlign w:val="center"/>
            <w:hideMark/>
          </w:tcPr>
          <w:p w14:paraId="20F3AACF" w14:textId="77777777" w:rsidR="00B86D82" w:rsidRPr="0005279C" w:rsidRDefault="00B86D82" w:rsidP="006A7377">
            <w:pPr>
              <w:jc w:val="center"/>
              <w:rPr>
                <w:b/>
                <w:bCs/>
                <w:color w:val="FFFFFF"/>
                <w:sz w:val="16"/>
                <w:szCs w:val="16"/>
              </w:rPr>
            </w:pPr>
            <w:r w:rsidRPr="0005279C">
              <w:rPr>
                <w:b/>
                <w:bCs/>
                <w:color w:val="FFFFFF"/>
                <w:sz w:val="16"/>
                <w:szCs w:val="16"/>
              </w:rPr>
              <w:t>2022</w:t>
            </w:r>
          </w:p>
        </w:tc>
      </w:tr>
      <w:tr w:rsidR="00B86D82" w:rsidRPr="0005279C" w14:paraId="2C33C88E" w14:textId="77777777" w:rsidTr="00411D33">
        <w:trPr>
          <w:trHeight w:val="259"/>
          <w:jc w:val="center"/>
        </w:trPr>
        <w:tc>
          <w:tcPr>
            <w:tcW w:w="7863" w:type="dxa"/>
            <w:gridSpan w:val="8"/>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2504355" w14:textId="77777777" w:rsidR="00B86D82" w:rsidRPr="0005279C" w:rsidRDefault="00B86D82" w:rsidP="006A7377">
            <w:pPr>
              <w:jc w:val="center"/>
              <w:rPr>
                <w:b/>
                <w:bCs/>
                <w:color w:val="000000"/>
                <w:sz w:val="16"/>
                <w:szCs w:val="16"/>
              </w:rPr>
            </w:pPr>
            <w:r w:rsidRPr="0005279C">
              <w:rPr>
                <w:b/>
                <w:bCs/>
                <w:color w:val="000000"/>
                <w:sz w:val="16"/>
                <w:szCs w:val="16"/>
              </w:rPr>
              <w:t>Ingresos</w:t>
            </w:r>
          </w:p>
        </w:tc>
      </w:tr>
      <w:tr w:rsidR="00B86D82" w:rsidRPr="0005279C" w14:paraId="7AD826DD" w14:textId="77777777" w:rsidTr="00411D33">
        <w:trPr>
          <w:trHeight w:val="259"/>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59A1BDA9" w14:textId="77777777" w:rsidR="00B86D82" w:rsidRPr="0005279C" w:rsidRDefault="00B86D82" w:rsidP="006A7377">
            <w:pPr>
              <w:rPr>
                <w:b/>
                <w:bCs/>
                <w:color w:val="000000"/>
                <w:sz w:val="16"/>
                <w:szCs w:val="16"/>
              </w:rPr>
            </w:pPr>
            <w:r w:rsidRPr="0005279C">
              <w:rPr>
                <w:b/>
                <w:bCs/>
                <w:color w:val="000000"/>
                <w:sz w:val="16"/>
                <w:szCs w:val="16"/>
              </w:rPr>
              <w:t>Aportes</w:t>
            </w:r>
          </w:p>
        </w:tc>
        <w:tc>
          <w:tcPr>
            <w:tcW w:w="916" w:type="dxa"/>
            <w:tcBorders>
              <w:top w:val="nil"/>
              <w:left w:val="nil"/>
              <w:bottom w:val="single" w:sz="8" w:space="0" w:color="auto"/>
              <w:right w:val="single" w:sz="8" w:space="0" w:color="auto"/>
            </w:tcBorders>
            <w:shd w:val="clear" w:color="000000" w:fill="FFFFFF"/>
            <w:noWrap/>
            <w:vAlign w:val="center"/>
            <w:hideMark/>
          </w:tcPr>
          <w:p w14:paraId="2CF5E093" w14:textId="77777777" w:rsidR="00B86D82" w:rsidRPr="0005279C" w:rsidRDefault="00B86D82" w:rsidP="006A7377">
            <w:pPr>
              <w:jc w:val="center"/>
              <w:rPr>
                <w:color w:val="000000"/>
                <w:sz w:val="16"/>
                <w:szCs w:val="16"/>
              </w:rPr>
            </w:pPr>
            <w:r w:rsidRPr="0005279C">
              <w:rPr>
                <w:color w:val="000000"/>
                <w:sz w:val="16"/>
                <w:szCs w:val="16"/>
              </w:rPr>
              <w:t>Q3,010.82</w:t>
            </w:r>
          </w:p>
        </w:tc>
        <w:tc>
          <w:tcPr>
            <w:tcW w:w="914" w:type="dxa"/>
            <w:tcBorders>
              <w:top w:val="nil"/>
              <w:left w:val="nil"/>
              <w:bottom w:val="single" w:sz="8" w:space="0" w:color="auto"/>
              <w:right w:val="single" w:sz="8" w:space="0" w:color="auto"/>
            </w:tcBorders>
            <w:shd w:val="clear" w:color="000000" w:fill="FFFFFF"/>
            <w:noWrap/>
            <w:vAlign w:val="center"/>
            <w:hideMark/>
          </w:tcPr>
          <w:p w14:paraId="6FB53B9F" w14:textId="77777777" w:rsidR="00B86D82" w:rsidRPr="0005279C" w:rsidRDefault="00B86D82" w:rsidP="006A7377">
            <w:pPr>
              <w:jc w:val="center"/>
              <w:rPr>
                <w:color w:val="000000"/>
                <w:sz w:val="16"/>
                <w:szCs w:val="16"/>
              </w:rPr>
            </w:pPr>
            <w:r w:rsidRPr="0005279C">
              <w:rPr>
                <w:color w:val="000000"/>
                <w:sz w:val="16"/>
                <w:szCs w:val="16"/>
              </w:rPr>
              <w:t>Q3,255.15</w:t>
            </w:r>
          </w:p>
        </w:tc>
        <w:tc>
          <w:tcPr>
            <w:tcW w:w="914" w:type="dxa"/>
            <w:tcBorders>
              <w:top w:val="nil"/>
              <w:left w:val="nil"/>
              <w:bottom w:val="single" w:sz="8" w:space="0" w:color="auto"/>
              <w:right w:val="single" w:sz="8" w:space="0" w:color="auto"/>
            </w:tcBorders>
            <w:shd w:val="clear" w:color="000000" w:fill="FFFFFF"/>
            <w:noWrap/>
            <w:vAlign w:val="center"/>
            <w:hideMark/>
          </w:tcPr>
          <w:p w14:paraId="16BD22E6" w14:textId="77777777" w:rsidR="00B86D82" w:rsidRPr="0005279C" w:rsidRDefault="00B86D82" w:rsidP="006A7377">
            <w:pPr>
              <w:jc w:val="center"/>
              <w:rPr>
                <w:color w:val="000000"/>
                <w:sz w:val="16"/>
                <w:szCs w:val="16"/>
              </w:rPr>
            </w:pPr>
            <w:r w:rsidRPr="0005279C">
              <w:rPr>
                <w:color w:val="000000"/>
                <w:sz w:val="16"/>
                <w:szCs w:val="16"/>
              </w:rPr>
              <w:t>Q3,409.22</w:t>
            </w:r>
          </w:p>
        </w:tc>
        <w:tc>
          <w:tcPr>
            <w:tcW w:w="914" w:type="dxa"/>
            <w:tcBorders>
              <w:top w:val="nil"/>
              <w:left w:val="nil"/>
              <w:bottom w:val="single" w:sz="8" w:space="0" w:color="auto"/>
              <w:right w:val="single" w:sz="8" w:space="0" w:color="auto"/>
            </w:tcBorders>
            <w:shd w:val="clear" w:color="000000" w:fill="FFFFFF"/>
            <w:noWrap/>
            <w:vAlign w:val="center"/>
            <w:hideMark/>
          </w:tcPr>
          <w:p w14:paraId="70F086D3" w14:textId="77777777" w:rsidR="00B86D82" w:rsidRPr="0005279C" w:rsidRDefault="00B86D82" w:rsidP="006A7377">
            <w:pPr>
              <w:jc w:val="center"/>
              <w:rPr>
                <w:color w:val="000000"/>
                <w:sz w:val="16"/>
                <w:szCs w:val="16"/>
              </w:rPr>
            </w:pPr>
            <w:r w:rsidRPr="0005279C">
              <w:rPr>
                <w:color w:val="000000"/>
                <w:sz w:val="16"/>
                <w:szCs w:val="16"/>
              </w:rPr>
              <w:t>Q3,540.64</w:t>
            </w:r>
          </w:p>
        </w:tc>
        <w:tc>
          <w:tcPr>
            <w:tcW w:w="914" w:type="dxa"/>
            <w:tcBorders>
              <w:top w:val="nil"/>
              <w:left w:val="nil"/>
              <w:bottom w:val="single" w:sz="8" w:space="0" w:color="auto"/>
              <w:right w:val="single" w:sz="8" w:space="0" w:color="auto"/>
            </w:tcBorders>
            <w:shd w:val="clear" w:color="000000" w:fill="FFFFFF"/>
            <w:noWrap/>
            <w:vAlign w:val="center"/>
            <w:hideMark/>
          </w:tcPr>
          <w:p w14:paraId="56715279" w14:textId="77777777" w:rsidR="00B86D82" w:rsidRPr="0005279C" w:rsidRDefault="00B86D82" w:rsidP="006A7377">
            <w:pPr>
              <w:jc w:val="center"/>
              <w:rPr>
                <w:color w:val="000000"/>
                <w:sz w:val="16"/>
                <w:szCs w:val="16"/>
              </w:rPr>
            </w:pPr>
            <w:r w:rsidRPr="0005279C">
              <w:rPr>
                <w:color w:val="000000"/>
                <w:sz w:val="16"/>
                <w:szCs w:val="16"/>
              </w:rPr>
              <w:t>Q3,353.89</w:t>
            </w:r>
          </w:p>
        </w:tc>
        <w:tc>
          <w:tcPr>
            <w:tcW w:w="914" w:type="dxa"/>
            <w:tcBorders>
              <w:top w:val="nil"/>
              <w:left w:val="nil"/>
              <w:bottom w:val="single" w:sz="8" w:space="0" w:color="auto"/>
              <w:right w:val="single" w:sz="8" w:space="0" w:color="auto"/>
            </w:tcBorders>
            <w:shd w:val="clear" w:color="000000" w:fill="FFFFFF"/>
            <w:noWrap/>
            <w:vAlign w:val="center"/>
            <w:hideMark/>
          </w:tcPr>
          <w:p w14:paraId="5475D5AE" w14:textId="77777777" w:rsidR="00B86D82" w:rsidRPr="0005279C" w:rsidRDefault="00B86D82" w:rsidP="006A7377">
            <w:pPr>
              <w:jc w:val="center"/>
              <w:rPr>
                <w:color w:val="000000"/>
                <w:sz w:val="16"/>
                <w:szCs w:val="16"/>
              </w:rPr>
            </w:pPr>
            <w:r w:rsidRPr="0005279C">
              <w:rPr>
                <w:color w:val="000000"/>
                <w:sz w:val="16"/>
                <w:szCs w:val="16"/>
              </w:rPr>
              <w:t>Q3,760.22</w:t>
            </w:r>
          </w:p>
        </w:tc>
        <w:tc>
          <w:tcPr>
            <w:tcW w:w="926" w:type="dxa"/>
            <w:tcBorders>
              <w:top w:val="nil"/>
              <w:left w:val="nil"/>
              <w:bottom w:val="single" w:sz="8" w:space="0" w:color="auto"/>
              <w:right w:val="single" w:sz="8" w:space="0" w:color="auto"/>
            </w:tcBorders>
            <w:shd w:val="clear" w:color="000000" w:fill="FFFFFF"/>
            <w:noWrap/>
            <w:vAlign w:val="center"/>
            <w:hideMark/>
          </w:tcPr>
          <w:p w14:paraId="4793595D" w14:textId="77777777" w:rsidR="00B86D82" w:rsidRPr="0005279C" w:rsidRDefault="00B86D82" w:rsidP="006A7377">
            <w:pPr>
              <w:jc w:val="center"/>
              <w:rPr>
                <w:color w:val="000000"/>
                <w:sz w:val="16"/>
                <w:szCs w:val="16"/>
              </w:rPr>
            </w:pPr>
            <w:r w:rsidRPr="0005279C">
              <w:rPr>
                <w:color w:val="000000"/>
                <w:sz w:val="16"/>
                <w:szCs w:val="16"/>
              </w:rPr>
              <w:t>Q4,223.61</w:t>
            </w:r>
          </w:p>
        </w:tc>
      </w:tr>
      <w:tr w:rsidR="00B86D82" w:rsidRPr="0005279C" w14:paraId="4D262518" w14:textId="77777777" w:rsidTr="00411D33">
        <w:trPr>
          <w:trHeight w:val="259"/>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5157E392" w14:textId="77777777" w:rsidR="00B86D82" w:rsidRPr="0005279C" w:rsidRDefault="00B86D82" w:rsidP="006A7377">
            <w:pPr>
              <w:rPr>
                <w:b/>
                <w:bCs/>
                <w:color w:val="000000"/>
                <w:sz w:val="16"/>
                <w:szCs w:val="16"/>
              </w:rPr>
            </w:pPr>
            <w:r w:rsidRPr="0005279C">
              <w:rPr>
                <w:b/>
                <w:bCs/>
                <w:color w:val="000000"/>
                <w:sz w:val="16"/>
                <w:szCs w:val="16"/>
              </w:rPr>
              <w:t>Intereses</w:t>
            </w:r>
          </w:p>
        </w:tc>
        <w:tc>
          <w:tcPr>
            <w:tcW w:w="916" w:type="dxa"/>
            <w:tcBorders>
              <w:top w:val="nil"/>
              <w:left w:val="nil"/>
              <w:bottom w:val="single" w:sz="8" w:space="0" w:color="auto"/>
              <w:right w:val="single" w:sz="8" w:space="0" w:color="auto"/>
            </w:tcBorders>
            <w:shd w:val="clear" w:color="000000" w:fill="FFFFFF"/>
            <w:noWrap/>
            <w:vAlign w:val="center"/>
            <w:hideMark/>
          </w:tcPr>
          <w:p w14:paraId="33C23879" w14:textId="77777777" w:rsidR="00B86D82" w:rsidRPr="0005279C" w:rsidRDefault="00B86D82" w:rsidP="006A7377">
            <w:pPr>
              <w:jc w:val="center"/>
              <w:rPr>
                <w:color w:val="000000"/>
                <w:sz w:val="16"/>
                <w:szCs w:val="16"/>
              </w:rPr>
            </w:pPr>
            <w:r w:rsidRPr="0005279C">
              <w:rPr>
                <w:color w:val="000000"/>
                <w:sz w:val="16"/>
                <w:szCs w:val="16"/>
              </w:rPr>
              <w:t>Q1,478.43</w:t>
            </w:r>
          </w:p>
        </w:tc>
        <w:tc>
          <w:tcPr>
            <w:tcW w:w="914" w:type="dxa"/>
            <w:tcBorders>
              <w:top w:val="nil"/>
              <w:left w:val="nil"/>
              <w:bottom w:val="single" w:sz="8" w:space="0" w:color="auto"/>
              <w:right w:val="single" w:sz="8" w:space="0" w:color="auto"/>
            </w:tcBorders>
            <w:shd w:val="clear" w:color="000000" w:fill="FFFFFF"/>
            <w:noWrap/>
            <w:vAlign w:val="center"/>
            <w:hideMark/>
          </w:tcPr>
          <w:p w14:paraId="3CFD4B08" w14:textId="77777777" w:rsidR="00B86D82" w:rsidRPr="0005279C" w:rsidRDefault="00B86D82" w:rsidP="006A7377">
            <w:pPr>
              <w:jc w:val="center"/>
              <w:rPr>
                <w:color w:val="000000"/>
                <w:sz w:val="16"/>
                <w:szCs w:val="16"/>
              </w:rPr>
            </w:pPr>
            <w:r w:rsidRPr="0005279C">
              <w:rPr>
                <w:color w:val="000000"/>
                <w:sz w:val="16"/>
                <w:szCs w:val="16"/>
              </w:rPr>
              <w:t>Q1,562.19</w:t>
            </w:r>
          </w:p>
        </w:tc>
        <w:tc>
          <w:tcPr>
            <w:tcW w:w="914" w:type="dxa"/>
            <w:tcBorders>
              <w:top w:val="nil"/>
              <w:left w:val="nil"/>
              <w:bottom w:val="single" w:sz="8" w:space="0" w:color="auto"/>
              <w:right w:val="single" w:sz="8" w:space="0" w:color="auto"/>
            </w:tcBorders>
            <w:shd w:val="clear" w:color="000000" w:fill="FFFFFF"/>
            <w:noWrap/>
            <w:vAlign w:val="center"/>
            <w:hideMark/>
          </w:tcPr>
          <w:p w14:paraId="5C3439E9" w14:textId="77777777" w:rsidR="00B86D82" w:rsidRPr="0005279C" w:rsidRDefault="00B86D82" w:rsidP="006A7377">
            <w:pPr>
              <w:jc w:val="center"/>
              <w:rPr>
                <w:color w:val="000000"/>
                <w:sz w:val="16"/>
                <w:szCs w:val="16"/>
              </w:rPr>
            </w:pPr>
            <w:r w:rsidRPr="0005279C">
              <w:rPr>
                <w:color w:val="000000"/>
                <w:sz w:val="16"/>
                <w:szCs w:val="16"/>
              </w:rPr>
              <w:t>Q1,619.40</w:t>
            </w:r>
          </w:p>
        </w:tc>
        <w:tc>
          <w:tcPr>
            <w:tcW w:w="914" w:type="dxa"/>
            <w:tcBorders>
              <w:top w:val="nil"/>
              <w:left w:val="nil"/>
              <w:bottom w:val="single" w:sz="8" w:space="0" w:color="auto"/>
              <w:right w:val="single" w:sz="8" w:space="0" w:color="auto"/>
            </w:tcBorders>
            <w:shd w:val="clear" w:color="000000" w:fill="FFFFFF"/>
            <w:noWrap/>
            <w:vAlign w:val="center"/>
            <w:hideMark/>
          </w:tcPr>
          <w:p w14:paraId="5A9E8ED6" w14:textId="77777777" w:rsidR="00B86D82" w:rsidRPr="0005279C" w:rsidRDefault="00B86D82" w:rsidP="006A7377">
            <w:pPr>
              <w:jc w:val="center"/>
              <w:rPr>
                <w:color w:val="000000"/>
                <w:sz w:val="16"/>
                <w:szCs w:val="16"/>
              </w:rPr>
            </w:pPr>
            <w:r w:rsidRPr="0005279C">
              <w:rPr>
                <w:color w:val="000000"/>
                <w:sz w:val="16"/>
                <w:szCs w:val="16"/>
              </w:rPr>
              <w:t>Q1,654.83</w:t>
            </w:r>
          </w:p>
        </w:tc>
        <w:tc>
          <w:tcPr>
            <w:tcW w:w="914" w:type="dxa"/>
            <w:tcBorders>
              <w:top w:val="nil"/>
              <w:left w:val="nil"/>
              <w:bottom w:val="single" w:sz="8" w:space="0" w:color="auto"/>
              <w:right w:val="single" w:sz="8" w:space="0" w:color="auto"/>
            </w:tcBorders>
            <w:shd w:val="clear" w:color="000000" w:fill="FFFFFF"/>
            <w:noWrap/>
            <w:vAlign w:val="center"/>
            <w:hideMark/>
          </w:tcPr>
          <w:p w14:paraId="0FDA96DD" w14:textId="77777777" w:rsidR="00B86D82" w:rsidRPr="0005279C" w:rsidRDefault="00B86D82" w:rsidP="006A7377">
            <w:pPr>
              <w:jc w:val="center"/>
              <w:rPr>
                <w:color w:val="000000"/>
                <w:sz w:val="16"/>
                <w:szCs w:val="16"/>
              </w:rPr>
            </w:pPr>
            <w:r w:rsidRPr="0005279C">
              <w:rPr>
                <w:color w:val="000000"/>
                <w:sz w:val="16"/>
                <w:szCs w:val="16"/>
              </w:rPr>
              <w:t>Q1,619.80</w:t>
            </w:r>
          </w:p>
        </w:tc>
        <w:tc>
          <w:tcPr>
            <w:tcW w:w="914" w:type="dxa"/>
            <w:tcBorders>
              <w:top w:val="nil"/>
              <w:left w:val="nil"/>
              <w:bottom w:val="single" w:sz="8" w:space="0" w:color="auto"/>
              <w:right w:val="single" w:sz="8" w:space="0" w:color="auto"/>
            </w:tcBorders>
            <w:shd w:val="clear" w:color="000000" w:fill="FFFFFF"/>
            <w:noWrap/>
            <w:vAlign w:val="center"/>
            <w:hideMark/>
          </w:tcPr>
          <w:p w14:paraId="4FDA5E12" w14:textId="77777777" w:rsidR="00B86D82" w:rsidRPr="0005279C" w:rsidRDefault="00B86D82" w:rsidP="006A7377">
            <w:pPr>
              <w:jc w:val="center"/>
              <w:rPr>
                <w:color w:val="000000"/>
                <w:sz w:val="16"/>
                <w:szCs w:val="16"/>
              </w:rPr>
            </w:pPr>
            <w:r w:rsidRPr="0005279C">
              <w:rPr>
                <w:color w:val="000000"/>
                <w:sz w:val="16"/>
                <w:szCs w:val="16"/>
              </w:rPr>
              <w:t>Q1,573.91</w:t>
            </w:r>
          </w:p>
        </w:tc>
        <w:tc>
          <w:tcPr>
            <w:tcW w:w="926" w:type="dxa"/>
            <w:tcBorders>
              <w:top w:val="nil"/>
              <w:left w:val="nil"/>
              <w:bottom w:val="single" w:sz="8" w:space="0" w:color="auto"/>
              <w:right w:val="single" w:sz="8" w:space="0" w:color="auto"/>
            </w:tcBorders>
            <w:shd w:val="clear" w:color="000000" w:fill="FFFFFF"/>
            <w:noWrap/>
            <w:vAlign w:val="center"/>
            <w:hideMark/>
          </w:tcPr>
          <w:p w14:paraId="0757C4D0" w14:textId="77777777" w:rsidR="00B86D82" w:rsidRPr="0005279C" w:rsidRDefault="00B86D82" w:rsidP="006A7377">
            <w:pPr>
              <w:jc w:val="center"/>
              <w:rPr>
                <w:color w:val="000000"/>
                <w:sz w:val="16"/>
                <w:szCs w:val="16"/>
              </w:rPr>
            </w:pPr>
            <w:r w:rsidRPr="0005279C">
              <w:rPr>
                <w:color w:val="000000"/>
                <w:sz w:val="16"/>
                <w:szCs w:val="16"/>
              </w:rPr>
              <w:t>Q1,643.09</w:t>
            </w:r>
          </w:p>
        </w:tc>
      </w:tr>
      <w:tr w:rsidR="00B86D82" w:rsidRPr="0005279C" w14:paraId="484E0B91" w14:textId="77777777" w:rsidTr="00411D33">
        <w:trPr>
          <w:trHeight w:val="259"/>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4B69F923" w14:textId="77777777" w:rsidR="00B86D82" w:rsidRPr="0005279C" w:rsidRDefault="00B86D82" w:rsidP="006A7377">
            <w:pPr>
              <w:rPr>
                <w:b/>
                <w:bCs/>
                <w:color w:val="000000"/>
                <w:sz w:val="16"/>
                <w:szCs w:val="16"/>
              </w:rPr>
            </w:pPr>
            <w:r w:rsidRPr="0005279C">
              <w:rPr>
                <w:b/>
                <w:bCs/>
                <w:color w:val="000000"/>
                <w:sz w:val="16"/>
                <w:szCs w:val="16"/>
              </w:rPr>
              <w:t>Otros</w:t>
            </w:r>
          </w:p>
        </w:tc>
        <w:tc>
          <w:tcPr>
            <w:tcW w:w="916" w:type="dxa"/>
            <w:tcBorders>
              <w:top w:val="nil"/>
              <w:left w:val="nil"/>
              <w:bottom w:val="single" w:sz="8" w:space="0" w:color="auto"/>
              <w:right w:val="single" w:sz="8" w:space="0" w:color="auto"/>
            </w:tcBorders>
            <w:shd w:val="clear" w:color="000000" w:fill="FFFFFF"/>
            <w:noWrap/>
            <w:vAlign w:val="center"/>
            <w:hideMark/>
          </w:tcPr>
          <w:p w14:paraId="3B879160" w14:textId="77777777" w:rsidR="00B86D82" w:rsidRPr="0005279C" w:rsidRDefault="00B86D82" w:rsidP="006A7377">
            <w:pPr>
              <w:jc w:val="center"/>
              <w:rPr>
                <w:color w:val="000000"/>
                <w:sz w:val="16"/>
                <w:szCs w:val="16"/>
              </w:rPr>
            </w:pPr>
            <w:r w:rsidRPr="0005279C">
              <w:rPr>
                <w:color w:val="000000"/>
                <w:sz w:val="16"/>
                <w:szCs w:val="16"/>
              </w:rPr>
              <w:t>Q7.14</w:t>
            </w:r>
          </w:p>
        </w:tc>
        <w:tc>
          <w:tcPr>
            <w:tcW w:w="914" w:type="dxa"/>
            <w:tcBorders>
              <w:top w:val="nil"/>
              <w:left w:val="nil"/>
              <w:bottom w:val="single" w:sz="8" w:space="0" w:color="auto"/>
              <w:right w:val="single" w:sz="8" w:space="0" w:color="auto"/>
            </w:tcBorders>
            <w:shd w:val="clear" w:color="000000" w:fill="FFFFFF"/>
            <w:noWrap/>
            <w:vAlign w:val="center"/>
            <w:hideMark/>
          </w:tcPr>
          <w:p w14:paraId="5AE0EBA9" w14:textId="77777777" w:rsidR="00B86D82" w:rsidRPr="0005279C" w:rsidRDefault="00B86D82" w:rsidP="006A7377">
            <w:pPr>
              <w:jc w:val="center"/>
              <w:rPr>
                <w:color w:val="000000"/>
                <w:sz w:val="16"/>
                <w:szCs w:val="16"/>
              </w:rPr>
            </w:pPr>
            <w:r w:rsidRPr="0005279C">
              <w:rPr>
                <w:color w:val="000000"/>
                <w:sz w:val="16"/>
                <w:szCs w:val="16"/>
              </w:rPr>
              <w:t>Q4.20</w:t>
            </w:r>
          </w:p>
        </w:tc>
        <w:tc>
          <w:tcPr>
            <w:tcW w:w="914" w:type="dxa"/>
            <w:tcBorders>
              <w:top w:val="nil"/>
              <w:left w:val="nil"/>
              <w:bottom w:val="single" w:sz="8" w:space="0" w:color="auto"/>
              <w:right w:val="single" w:sz="8" w:space="0" w:color="auto"/>
            </w:tcBorders>
            <w:shd w:val="clear" w:color="000000" w:fill="FFFFFF"/>
            <w:noWrap/>
            <w:vAlign w:val="center"/>
            <w:hideMark/>
          </w:tcPr>
          <w:p w14:paraId="01BD9FCB" w14:textId="77777777" w:rsidR="00B86D82" w:rsidRPr="0005279C" w:rsidRDefault="00B86D82" w:rsidP="006A7377">
            <w:pPr>
              <w:jc w:val="center"/>
              <w:rPr>
                <w:color w:val="000000"/>
                <w:sz w:val="16"/>
                <w:szCs w:val="16"/>
              </w:rPr>
            </w:pPr>
            <w:r w:rsidRPr="0005279C">
              <w:rPr>
                <w:color w:val="000000"/>
                <w:sz w:val="16"/>
                <w:szCs w:val="16"/>
              </w:rPr>
              <w:t>Q10.35</w:t>
            </w:r>
          </w:p>
        </w:tc>
        <w:tc>
          <w:tcPr>
            <w:tcW w:w="914" w:type="dxa"/>
            <w:tcBorders>
              <w:top w:val="nil"/>
              <w:left w:val="nil"/>
              <w:bottom w:val="single" w:sz="8" w:space="0" w:color="auto"/>
              <w:right w:val="single" w:sz="8" w:space="0" w:color="auto"/>
            </w:tcBorders>
            <w:shd w:val="clear" w:color="000000" w:fill="FFFFFF"/>
            <w:noWrap/>
            <w:vAlign w:val="center"/>
            <w:hideMark/>
          </w:tcPr>
          <w:p w14:paraId="62A7E9B6" w14:textId="77777777" w:rsidR="00B86D82" w:rsidRPr="0005279C" w:rsidRDefault="00B86D82" w:rsidP="006A7377">
            <w:pPr>
              <w:jc w:val="center"/>
              <w:rPr>
                <w:color w:val="000000"/>
                <w:sz w:val="16"/>
                <w:szCs w:val="16"/>
              </w:rPr>
            </w:pPr>
            <w:r w:rsidRPr="0005279C">
              <w:rPr>
                <w:color w:val="000000"/>
                <w:sz w:val="16"/>
                <w:szCs w:val="16"/>
              </w:rPr>
              <w:t>Q9.90</w:t>
            </w:r>
          </w:p>
        </w:tc>
        <w:tc>
          <w:tcPr>
            <w:tcW w:w="914" w:type="dxa"/>
            <w:tcBorders>
              <w:top w:val="nil"/>
              <w:left w:val="nil"/>
              <w:bottom w:val="single" w:sz="8" w:space="0" w:color="auto"/>
              <w:right w:val="single" w:sz="8" w:space="0" w:color="auto"/>
            </w:tcBorders>
            <w:shd w:val="clear" w:color="000000" w:fill="FFFFFF"/>
            <w:noWrap/>
            <w:vAlign w:val="center"/>
            <w:hideMark/>
          </w:tcPr>
          <w:p w14:paraId="5EBDE972" w14:textId="77777777" w:rsidR="00B86D82" w:rsidRPr="0005279C" w:rsidRDefault="00B86D82" w:rsidP="006A7377">
            <w:pPr>
              <w:jc w:val="center"/>
              <w:rPr>
                <w:color w:val="000000"/>
                <w:sz w:val="16"/>
                <w:szCs w:val="16"/>
              </w:rPr>
            </w:pPr>
            <w:r w:rsidRPr="0005279C">
              <w:rPr>
                <w:color w:val="000000"/>
                <w:sz w:val="16"/>
                <w:szCs w:val="16"/>
              </w:rPr>
              <w:t>Q9.33</w:t>
            </w:r>
          </w:p>
        </w:tc>
        <w:tc>
          <w:tcPr>
            <w:tcW w:w="914" w:type="dxa"/>
            <w:tcBorders>
              <w:top w:val="nil"/>
              <w:left w:val="nil"/>
              <w:bottom w:val="single" w:sz="8" w:space="0" w:color="auto"/>
              <w:right w:val="single" w:sz="8" w:space="0" w:color="auto"/>
            </w:tcBorders>
            <w:shd w:val="clear" w:color="000000" w:fill="FFFFFF"/>
            <w:noWrap/>
            <w:vAlign w:val="center"/>
            <w:hideMark/>
          </w:tcPr>
          <w:p w14:paraId="36B1B4B3" w14:textId="77777777" w:rsidR="00B86D82" w:rsidRPr="0005279C" w:rsidRDefault="00B86D82" w:rsidP="006A7377">
            <w:pPr>
              <w:jc w:val="center"/>
              <w:rPr>
                <w:color w:val="000000"/>
                <w:sz w:val="16"/>
                <w:szCs w:val="16"/>
              </w:rPr>
            </w:pPr>
            <w:r w:rsidRPr="0005279C">
              <w:rPr>
                <w:color w:val="000000"/>
                <w:sz w:val="16"/>
                <w:szCs w:val="16"/>
              </w:rPr>
              <w:t>Q131.80</w:t>
            </w:r>
          </w:p>
        </w:tc>
        <w:tc>
          <w:tcPr>
            <w:tcW w:w="926" w:type="dxa"/>
            <w:tcBorders>
              <w:top w:val="nil"/>
              <w:left w:val="nil"/>
              <w:bottom w:val="single" w:sz="8" w:space="0" w:color="auto"/>
              <w:right w:val="single" w:sz="8" w:space="0" w:color="auto"/>
            </w:tcBorders>
            <w:shd w:val="clear" w:color="000000" w:fill="FFFFFF"/>
            <w:noWrap/>
            <w:vAlign w:val="center"/>
            <w:hideMark/>
          </w:tcPr>
          <w:p w14:paraId="5A6DFB49" w14:textId="77777777" w:rsidR="00B86D82" w:rsidRPr="0005279C" w:rsidRDefault="00B86D82" w:rsidP="006A7377">
            <w:pPr>
              <w:jc w:val="center"/>
              <w:rPr>
                <w:color w:val="000000"/>
                <w:sz w:val="16"/>
                <w:szCs w:val="16"/>
              </w:rPr>
            </w:pPr>
            <w:r w:rsidRPr="0005279C">
              <w:rPr>
                <w:color w:val="000000"/>
                <w:sz w:val="16"/>
                <w:szCs w:val="16"/>
              </w:rPr>
              <w:t>Q6.49</w:t>
            </w:r>
          </w:p>
        </w:tc>
      </w:tr>
      <w:tr w:rsidR="00B86D82" w:rsidRPr="0005279C" w14:paraId="09D6CE21" w14:textId="77777777" w:rsidTr="00411D33">
        <w:trPr>
          <w:trHeight w:val="216"/>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751E90AA" w14:textId="77777777" w:rsidR="00B86D82" w:rsidRPr="0005279C" w:rsidRDefault="00B86D82" w:rsidP="006A7377">
            <w:pPr>
              <w:rPr>
                <w:b/>
                <w:bCs/>
                <w:color w:val="000000"/>
                <w:sz w:val="16"/>
                <w:szCs w:val="16"/>
              </w:rPr>
            </w:pPr>
            <w:r w:rsidRPr="0005279C">
              <w:rPr>
                <w:b/>
                <w:bCs/>
                <w:color w:val="000000"/>
                <w:sz w:val="16"/>
                <w:szCs w:val="16"/>
              </w:rPr>
              <w:t>Total, de Ingresos</w:t>
            </w:r>
          </w:p>
        </w:tc>
        <w:tc>
          <w:tcPr>
            <w:tcW w:w="916" w:type="dxa"/>
            <w:tcBorders>
              <w:top w:val="nil"/>
              <w:left w:val="nil"/>
              <w:bottom w:val="single" w:sz="8" w:space="0" w:color="auto"/>
              <w:right w:val="single" w:sz="8" w:space="0" w:color="auto"/>
            </w:tcBorders>
            <w:shd w:val="clear" w:color="000000" w:fill="FFFFFF"/>
            <w:noWrap/>
            <w:vAlign w:val="center"/>
            <w:hideMark/>
          </w:tcPr>
          <w:p w14:paraId="30A0C58A" w14:textId="77777777" w:rsidR="00B86D82" w:rsidRPr="0005279C" w:rsidRDefault="00B86D82" w:rsidP="006A7377">
            <w:pPr>
              <w:jc w:val="center"/>
              <w:rPr>
                <w:b/>
                <w:bCs/>
                <w:color w:val="000000"/>
                <w:sz w:val="16"/>
                <w:szCs w:val="16"/>
              </w:rPr>
            </w:pPr>
            <w:r w:rsidRPr="0005279C">
              <w:rPr>
                <w:b/>
                <w:bCs/>
                <w:color w:val="000000"/>
                <w:sz w:val="16"/>
                <w:szCs w:val="16"/>
              </w:rPr>
              <w:t>Q4,496.39</w:t>
            </w:r>
          </w:p>
        </w:tc>
        <w:tc>
          <w:tcPr>
            <w:tcW w:w="914" w:type="dxa"/>
            <w:tcBorders>
              <w:top w:val="nil"/>
              <w:left w:val="nil"/>
              <w:bottom w:val="single" w:sz="8" w:space="0" w:color="auto"/>
              <w:right w:val="single" w:sz="8" w:space="0" w:color="auto"/>
            </w:tcBorders>
            <w:shd w:val="clear" w:color="000000" w:fill="FFFFFF"/>
            <w:noWrap/>
            <w:vAlign w:val="center"/>
            <w:hideMark/>
          </w:tcPr>
          <w:p w14:paraId="22C71BAC" w14:textId="77777777" w:rsidR="00B86D82" w:rsidRPr="0005279C" w:rsidRDefault="00B86D82" w:rsidP="006A7377">
            <w:pPr>
              <w:jc w:val="center"/>
              <w:rPr>
                <w:b/>
                <w:bCs/>
                <w:color w:val="000000"/>
                <w:sz w:val="16"/>
                <w:szCs w:val="16"/>
              </w:rPr>
            </w:pPr>
            <w:r w:rsidRPr="0005279C">
              <w:rPr>
                <w:b/>
                <w:bCs/>
                <w:color w:val="000000"/>
                <w:sz w:val="16"/>
                <w:szCs w:val="16"/>
              </w:rPr>
              <w:t>Q4,821.54</w:t>
            </w:r>
          </w:p>
        </w:tc>
        <w:tc>
          <w:tcPr>
            <w:tcW w:w="914" w:type="dxa"/>
            <w:tcBorders>
              <w:top w:val="nil"/>
              <w:left w:val="nil"/>
              <w:bottom w:val="single" w:sz="8" w:space="0" w:color="auto"/>
              <w:right w:val="single" w:sz="8" w:space="0" w:color="auto"/>
            </w:tcBorders>
            <w:shd w:val="clear" w:color="000000" w:fill="FFFFFF"/>
            <w:noWrap/>
            <w:vAlign w:val="center"/>
            <w:hideMark/>
          </w:tcPr>
          <w:p w14:paraId="4B7D5579" w14:textId="77777777" w:rsidR="00B86D82" w:rsidRPr="0005279C" w:rsidRDefault="00B86D82" w:rsidP="006A7377">
            <w:pPr>
              <w:jc w:val="center"/>
              <w:rPr>
                <w:b/>
                <w:bCs/>
                <w:color w:val="000000"/>
                <w:sz w:val="16"/>
                <w:szCs w:val="16"/>
              </w:rPr>
            </w:pPr>
            <w:r w:rsidRPr="0005279C">
              <w:rPr>
                <w:b/>
                <w:bCs/>
                <w:color w:val="000000"/>
                <w:sz w:val="16"/>
                <w:szCs w:val="16"/>
              </w:rPr>
              <w:t>Q5,038.97</w:t>
            </w:r>
          </w:p>
        </w:tc>
        <w:tc>
          <w:tcPr>
            <w:tcW w:w="914" w:type="dxa"/>
            <w:tcBorders>
              <w:top w:val="nil"/>
              <w:left w:val="nil"/>
              <w:bottom w:val="single" w:sz="8" w:space="0" w:color="auto"/>
              <w:right w:val="single" w:sz="8" w:space="0" w:color="auto"/>
            </w:tcBorders>
            <w:shd w:val="clear" w:color="000000" w:fill="FFFFFF"/>
            <w:noWrap/>
            <w:vAlign w:val="center"/>
            <w:hideMark/>
          </w:tcPr>
          <w:p w14:paraId="2244E172" w14:textId="77777777" w:rsidR="00B86D82" w:rsidRPr="0005279C" w:rsidRDefault="00B86D82" w:rsidP="006A7377">
            <w:pPr>
              <w:jc w:val="center"/>
              <w:rPr>
                <w:b/>
                <w:bCs/>
                <w:color w:val="000000"/>
                <w:sz w:val="16"/>
                <w:szCs w:val="16"/>
              </w:rPr>
            </w:pPr>
            <w:r w:rsidRPr="0005279C">
              <w:rPr>
                <w:b/>
                <w:bCs/>
                <w:color w:val="000000"/>
                <w:sz w:val="16"/>
                <w:szCs w:val="16"/>
              </w:rPr>
              <w:t>Q5,205.37</w:t>
            </w:r>
          </w:p>
        </w:tc>
        <w:tc>
          <w:tcPr>
            <w:tcW w:w="914" w:type="dxa"/>
            <w:tcBorders>
              <w:top w:val="nil"/>
              <w:left w:val="nil"/>
              <w:bottom w:val="single" w:sz="8" w:space="0" w:color="auto"/>
              <w:right w:val="single" w:sz="8" w:space="0" w:color="auto"/>
            </w:tcBorders>
            <w:shd w:val="clear" w:color="000000" w:fill="FFFFFF"/>
            <w:noWrap/>
            <w:vAlign w:val="center"/>
            <w:hideMark/>
          </w:tcPr>
          <w:p w14:paraId="478987C3" w14:textId="77777777" w:rsidR="00B86D82" w:rsidRPr="0005279C" w:rsidRDefault="00B86D82" w:rsidP="006A7377">
            <w:pPr>
              <w:jc w:val="center"/>
              <w:rPr>
                <w:b/>
                <w:bCs/>
                <w:color w:val="000000"/>
                <w:sz w:val="16"/>
                <w:szCs w:val="16"/>
              </w:rPr>
            </w:pPr>
            <w:r w:rsidRPr="0005279C">
              <w:rPr>
                <w:b/>
                <w:bCs/>
                <w:color w:val="000000"/>
                <w:sz w:val="16"/>
                <w:szCs w:val="16"/>
              </w:rPr>
              <w:t>Q4,983.02</w:t>
            </w:r>
          </w:p>
        </w:tc>
        <w:tc>
          <w:tcPr>
            <w:tcW w:w="914" w:type="dxa"/>
            <w:tcBorders>
              <w:top w:val="nil"/>
              <w:left w:val="nil"/>
              <w:bottom w:val="single" w:sz="8" w:space="0" w:color="auto"/>
              <w:right w:val="single" w:sz="8" w:space="0" w:color="auto"/>
            </w:tcBorders>
            <w:shd w:val="clear" w:color="000000" w:fill="FFFFFF"/>
            <w:noWrap/>
            <w:vAlign w:val="center"/>
            <w:hideMark/>
          </w:tcPr>
          <w:p w14:paraId="022A2A45" w14:textId="77777777" w:rsidR="00B86D82" w:rsidRPr="0005279C" w:rsidRDefault="00B86D82" w:rsidP="006A7377">
            <w:pPr>
              <w:jc w:val="center"/>
              <w:rPr>
                <w:b/>
                <w:bCs/>
                <w:color w:val="000000"/>
                <w:sz w:val="16"/>
                <w:szCs w:val="16"/>
              </w:rPr>
            </w:pPr>
            <w:r w:rsidRPr="0005279C">
              <w:rPr>
                <w:b/>
                <w:bCs/>
                <w:color w:val="000000"/>
                <w:sz w:val="16"/>
                <w:szCs w:val="16"/>
              </w:rPr>
              <w:t>Q5,465.93</w:t>
            </w:r>
          </w:p>
        </w:tc>
        <w:tc>
          <w:tcPr>
            <w:tcW w:w="926" w:type="dxa"/>
            <w:tcBorders>
              <w:top w:val="nil"/>
              <w:left w:val="nil"/>
              <w:bottom w:val="single" w:sz="8" w:space="0" w:color="auto"/>
              <w:right w:val="single" w:sz="8" w:space="0" w:color="auto"/>
            </w:tcBorders>
            <w:shd w:val="clear" w:color="000000" w:fill="FFFFFF"/>
            <w:noWrap/>
            <w:vAlign w:val="center"/>
            <w:hideMark/>
          </w:tcPr>
          <w:p w14:paraId="26A45828" w14:textId="77777777" w:rsidR="00B86D82" w:rsidRPr="0005279C" w:rsidRDefault="00B86D82" w:rsidP="006A7377">
            <w:pPr>
              <w:jc w:val="center"/>
              <w:rPr>
                <w:b/>
                <w:bCs/>
                <w:color w:val="000000"/>
                <w:sz w:val="16"/>
                <w:szCs w:val="16"/>
              </w:rPr>
            </w:pPr>
            <w:r w:rsidRPr="0005279C">
              <w:rPr>
                <w:b/>
                <w:bCs/>
                <w:color w:val="000000"/>
                <w:sz w:val="16"/>
                <w:szCs w:val="16"/>
              </w:rPr>
              <w:t>Q5,873.19</w:t>
            </w:r>
          </w:p>
        </w:tc>
      </w:tr>
      <w:tr w:rsidR="00B86D82" w:rsidRPr="0005279C" w14:paraId="78EA295E" w14:textId="77777777" w:rsidTr="00411D33">
        <w:trPr>
          <w:trHeight w:val="290"/>
          <w:jc w:val="center"/>
        </w:trPr>
        <w:tc>
          <w:tcPr>
            <w:tcW w:w="236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0AE7912" w14:textId="77777777" w:rsidR="00B86D82" w:rsidRPr="0005279C" w:rsidRDefault="00B86D82" w:rsidP="006A7377">
            <w:pPr>
              <w:rPr>
                <w:b/>
                <w:bCs/>
                <w:color w:val="000000"/>
                <w:sz w:val="16"/>
                <w:szCs w:val="16"/>
              </w:rPr>
            </w:pPr>
            <w:r w:rsidRPr="0005279C">
              <w:rPr>
                <w:b/>
                <w:bCs/>
                <w:color w:val="000000"/>
                <w:sz w:val="16"/>
                <w:szCs w:val="16"/>
              </w:rPr>
              <w:t>Variación interanual de ingresos</w:t>
            </w:r>
          </w:p>
        </w:tc>
        <w:tc>
          <w:tcPr>
            <w:tcW w:w="914" w:type="dxa"/>
            <w:tcBorders>
              <w:top w:val="nil"/>
              <w:left w:val="nil"/>
              <w:bottom w:val="single" w:sz="8" w:space="0" w:color="auto"/>
              <w:right w:val="single" w:sz="8" w:space="0" w:color="auto"/>
            </w:tcBorders>
            <w:shd w:val="clear" w:color="000000" w:fill="FFFFFF"/>
            <w:noWrap/>
            <w:vAlign w:val="center"/>
            <w:hideMark/>
          </w:tcPr>
          <w:p w14:paraId="10675A0B" w14:textId="77777777" w:rsidR="00B86D82" w:rsidRPr="0005279C" w:rsidRDefault="00B86D82" w:rsidP="006A7377">
            <w:pPr>
              <w:jc w:val="center"/>
              <w:rPr>
                <w:color w:val="000000"/>
                <w:sz w:val="16"/>
                <w:szCs w:val="16"/>
              </w:rPr>
            </w:pPr>
            <w:r w:rsidRPr="0005279C">
              <w:rPr>
                <w:color w:val="000000"/>
                <w:sz w:val="16"/>
                <w:szCs w:val="16"/>
              </w:rPr>
              <w:t>7.20%</w:t>
            </w:r>
          </w:p>
        </w:tc>
        <w:tc>
          <w:tcPr>
            <w:tcW w:w="914" w:type="dxa"/>
            <w:tcBorders>
              <w:top w:val="nil"/>
              <w:left w:val="nil"/>
              <w:bottom w:val="single" w:sz="8" w:space="0" w:color="auto"/>
              <w:right w:val="single" w:sz="8" w:space="0" w:color="auto"/>
            </w:tcBorders>
            <w:shd w:val="clear" w:color="000000" w:fill="FFFFFF"/>
            <w:noWrap/>
            <w:vAlign w:val="center"/>
            <w:hideMark/>
          </w:tcPr>
          <w:p w14:paraId="67F61BCE" w14:textId="77777777" w:rsidR="00B86D82" w:rsidRPr="0005279C" w:rsidRDefault="00B86D82" w:rsidP="006A7377">
            <w:pPr>
              <w:jc w:val="center"/>
              <w:rPr>
                <w:color w:val="000000"/>
                <w:sz w:val="16"/>
                <w:szCs w:val="16"/>
              </w:rPr>
            </w:pPr>
            <w:r w:rsidRPr="0005279C">
              <w:rPr>
                <w:color w:val="000000"/>
                <w:sz w:val="16"/>
                <w:szCs w:val="16"/>
              </w:rPr>
              <w:t>4.50%</w:t>
            </w:r>
          </w:p>
        </w:tc>
        <w:tc>
          <w:tcPr>
            <w:tcW w:w="914" w:type="dxa"/>
            <w:tcBorders>
              <w:top w:val="nil"/>
              <w:left w:val="nil"/>
              <w:bottom w:val="single" w:sz="8" w:space="0" w:color="auto"/>
              <w:right w:val="single" w:sz="8" w:space="0" w:color="auto"/>
            </w:tcBorders>
            <w:shd w:val="clear" w:color="000000" w:fill="FFFFFF"/>
            <w:noWrap/>
            <w:vAlign w:val="center"/>
            <w:hideMark/>
          </w:tcPr>
          <w:p w14:paraId="6795966F" w14:textId="77777777" w:rsidR="00B86D82" w:rsidRPr="0005279C" w:rsidRDefault="00B86D82" w:rsidP="006A7377">
            <w:pPr>
              <w:jc w:val="center"/>
              <w:rPr>
                <w:color w:val="000000"/>
                <w:sz w:val="16"/>
                <w:szCs w:val="16"/>
              </w:rPr>
            </w:pPr>
            <w:r w:rsidRPr="0005279C">
              <w:rPr>
                <w:color w:val="000000"/>
                <w:sz w:val="16"/>
                <w:szCs w:val="16"/>
              </w:rPr>
              <w:t>3.30%</w:t>
            </w:r>
          </w:p>
        </w:tc>
        <w:tc>
          <w:tcPr>
            <w:tcW w:w="914" w:type="dxa"/>
            <w:tcBorders>
              <w:top w:val="nil"/>
              <w:left w:val="nil"/>
              <w:bottom w:val="single" w:sz="8" w:space="0" w:color="auto"/>
              <w:right w:val="single" w:sz="8" w:space="0" w:color="auto"/>
            </w:tcBorders>
            <w:shd w:val="clear" w:color="000000" w:fill="FFFFFF"/>
            <w:noWrap/>
            <w:vAlign w:val="center"/>
            <w:hideMark/>
          </w:tcPr>
          <w:p w14:paraId="70B9100A" w14:textId="77777777" w:rsidR="00B86D82" w:rsidRPr="0005279C" w:rsidRDefault="00B86D82" w:rsidP="006A7377">
            <w:pPr>
              <w:jc w:val="center"/>
              <w:rPr>
                <w:color w:val="000000"/>
                <w:sz w:val="16"/>
                <w:szCs w:val="16"/>
              </w:rPr>
            </w:pPr>
            <w:r w:rsidRPr="0005279C">
              <w:rPr>
                <w:sz w:val="16"/>
                <w:szCs w:val="16"/>
              </w:rPr>
              <w:t>-4.30%</w:t>
            </w:r>
          </w:p>
        </w:tc>
        <w:tc>
          <w:tcPr>
            <w:tcW w:w="914" w:type="dxa"/>
            <w:tcBorders>
              <w:top w:val="nil"/>
              <w:left w:val="nil"/>
              <w:bottom w:val="single" w:sz="8" w:space="0" w:color="auto"/>
              <w:right w:val="single" w:sz="8" w:space="0" w:color="auto"/>
            </w:tcBorders>
            <w:shd w:val="clear" w:color="000000" w:fill="FFFFFF"/>
            <w:noWrap/>
            <w:vAlign w:val="center"/>
            <w:hideMark/>
          </w:tcPr>
          <w:p w14:paraId="06A9492C" w14:textId="77777777" w:rsidR="00B86D82" w:rsidRPr="0005279C" w:rsidRDefault="00B86D82" w:rsidP="006A7377">
            <w:pPr>
              <w:jc w:val="center"/>
              <w:rPr>
                <w:color w:val="000000"/>
                <w:sz w:val="16"/>
                <w:szCs w:val="16"/>
              </w:rPr>
            </w:pPr>
            <w:r w:rsidRPr="0005279C">
              <w:rPr>
                <w:color w:val="000000"/>
                <w:sz w:val="16"/>
                <w:szCs w:val="16"/>
              </w:rPr>
              <w:t>9.70%</w:t>
            </w:r>
          </w:p>
        </w:tc>
        <w:tc>
          <w:tcPr>
            <w:tcW w:w="926" w:type="dxa"/>
            <w:tcBorders>
              <w:top w:val="nil"/>
              <w:left w:val="nil"/>
              <w:bottom w:val="single" w:sz="8" w:space="0" w:color="auto"/>
              <w:right w:val="single" w:sz="8" w:space="0" w:color="auto"/>
            </w:tcBorders>
            <w:shd w:val="clear" w:color="000000" w:fill="FFFFFF"/>
            <w:noWrap/>
            <w:vAlign w:val="center"/>
            <w:hideMark/>
          </w:tcPr>
          <w:p w14:paraId="2768C213" w14:textId="77777777" w:rsidR="00B86D82" w:rsidRPr="0005279C" w:rsidRDefault="00B86D82" w:rsidP="006A7377">
            <w:pPr>
              <w:jc w:val="center"/>
              <w:rPr>
                <w:color w:val="000000"/>
                <w:sz w:val="16"/>
                <w:szCs w:val="16"/>
              </w:rPr>
            </w:pPr>
            <w:r w:rsidRPr="0005279C">
              <w:rPr>
                <w:color w:val="000000"/>
                <w:sz w:val="16"/>
                <w:szCs w:val="16"/>
              </w:rPr>
              <w:t>7.50%</w:t>
            </w:r>
          </w:p>
        </w:tc>
      </w:tr>
      <w:tr w:rsidR="00B86D82" w:rsidRPr="0005279C" w14:paraId="5E1B570C" w14:textId="77777777" w:rsidTr="00411D33">
        <w:trPr>
          <w:trHeight w:val="216"/>
          <w:jc w:val="center"/>
        </w:trPr>
        <w:tc>
          <w:tcPr>
            <w:tcW w:w="7863" w:type="dxa"/>
            <w:gridSpan w:val="8"/>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A41EC84" w14:textId="77777777" w:rsidR="00B86D82" w:rsidRPr="0005279C" w:rsidRDefault="00B86D82" w:rsidP="006A7377">
            <w:pPr>
              <w:jc w:val="center"/>
              <w:rPr>
                <w:b/>
                <w:bCs/>
                <w:color w:val="000000"/>
                <w:sz w:val="16"/>
                <w:szCs w:val="16"/>
              </w:rPr>
            </w:pPr>
            <w:r w:rsidRPr="0005279C">
              <w:rPr>
                <w:b/>
                <w:bCs/>
                <w:color w:val="000000"/>
                <w:sz w:val="16"/>
                <w:szCs w:val="16"/>
              </w:rPr>
              <w:t>Gastos</w:t>
            </w:r>
          </w:p>
        </w:tc>
      </w:tr>
      <w:tr w:rsidR="00B86D82" w:rsidRPr="0005279C" w14:paraId="47252FE7" w14:textId="77777777" w:rsidTr="00411D33">
        <w:trPr>
          <w:trHeight w:val="216"/>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59E7520E" w14:textId="77777777" w:rsidR="00B86D82" w:rsidRPr="0005279C" w:rsidRDefault="00B86D82" w:rsidP="006A7377">
            <w:pPr>
              <w:rPr>
                <w:b/>
                <w:bCs/>
                <w:color w:val="000000"/>
                <w:sz w:val="16"/>
                <w:szCs w:val="16"/>
              </w:rPr>
            </w:pPr>
            <w:r w:rsidRPr="0005279C">
              <w:rPr>
                <w:b/>
                <w:bCs/>
                <w:color w:val="000000"/>
                <w:sz w:val="16"/>
                <w:szCs w:val="16"/>
              </w:rPr>
              <w:t>Prestaciones</w:t>
            </w:r>
          </w:p>
        </w:tc>
        <w:tc>
          <w:tcPr>
            <w:tcW w:w="916" w:type="dxa"/>
            <w:tcBorders>
              <w:top w:val="nil"/>
              <w:left w:val="nil"/>
              <w:bottom w:val="single" w:sz="8" w:space="0" w:color="auto"/>
              <w:right w:val="single" w:sz="8" w:space="0" w:color="auto"/>
            </w:tcBorders>
            <w:shd w:val="clear" w:color="000000" w:fill="FFFFFF"/>
            <w:noWrap/>
            <w:vAlign w:val="center"/>
            <w:hideMark/>
          </w:tcPr>
          <w:p w14:paraId="1A43D61A" w14:textId="77777777" w:rsidR="00B86D82" w:rsidRPr="0005279C" w:rsidRDefault="00B86D82" w:rsidP="006A7377">
            <w:pPr>
              <w:jc w:val="center"/>
              <w:rPr>
                <w:color w:val="000000"/>
                <w:sz w:val="16"/>
                <w:szCs w:val="16"/>
              </w:rPr>
            </w:pPr>
            <w:r w:rsidRPr="0005279C">
              <w:rPr>
                <w:color w:val="000000"/>
                <w:sz w:val="16"/>
                <w:szCs w:val="16"/>
              </w:rPr>
              <w:t>Q2,447.37</w:t>
            </w:r>
          </w:p>
        </w:tc>
        <w:tc>
          <w:tcPr>
            <w:tcW w:w="914" w:type="dxa"/>
            <w:tcBorders>
              <w:top w:val="nil"/>
              <w:left w:val="nil"/>
              <w:bottom w:val="single" w:sz="8" w:space="0" w:color="auto"/>
              <w:right w:val="single" w:sz="8" w:space="0" w:color="auto"/>
            </w:tcBorders>
            <w:shd w:val="clear" w:color="000000" w:fill="FFFFFF"/>
            <w:noWrap/>
            <w:vAlign w:val="center"/>
            <w:hideMark/>
          </w:tcPr>
          <w:p w14:paraId="37797651" w14:textId="77777777" w:rsidR="00B86D82" w:rsidRPr="0005279C" w:rsidRDefault="00B86D82" w:rsidP="006A7377">
            <w:pPr>
              <w:jc w:val="center"/>
              <w:rPr>
                <w:color w:val="000000"/>
                <w:sz w:val="16"/>
                <w:szCs w:val="16"/>
              </w:rPr>
            </w:pPr>
            <w:r w:rsidRPr="0005279C">
              <w:rPr>
                <w:color w:val="000000"/>
                <w:sz w:val="16"/>
                <w:szCs w:val="16"/>
              </w:rPr>
              <w:t>Q2,642.54</w:t>
            </w:r>
          </w:p>
        </w:tc>
        <w:tc>
          <w:tcPr>
            <w:tcW w:w="914" w:type="dxa"/>
            <w:tcBorders>
              <w:top w:val="nil"/>
              <w:left w:val="nil"/>
              <w:bottom w:val="single" w:sz="8" w:space="0" w:color="auto"/>
              <w:right w:val="single" w:sz="8" w:space="0" w:color="auto"/>
            </w:tcBorders>
            <w:shd w:val="clear" w:color="000000" w:fill="FFFFFF"/>
            <w:noWrap/>
            <w:vAlign w:val="center"/>
            <w:hideMark/>
          </w:tcPr>
          <w:p w14:paraId="49BCD738" w14:textId="77777777" w:rsidR="00B86D82" w:rsidRPr="0005279C" w:rsidRDefault="00B86D82" w:rsidP="006A7377">
            <w:pPr>
              <w:jc w:val="center"/>
              <w:rPr>
                <w:color w:val="000000"/>
                <w:sz w:val="16"/>
                <w:szCs w:val="16"/>
              </w:rPr>
            </w:pPr>
            <w:r w:rsidRPr="0005279C">
              <w:rPr>
                <w:color w:val="000000"/>
                <w:sz w:val="16"/>
                <w:szCs w:val="16"/>
              </w:rPr>
              <w:t>Q2,872.14</w:t>
            </w:r>
          </w:p>
        </w:tc>
        <w:tc>
          <w:tcPr>
            <w:tcW w:w="914" w:type="dxa"/>
            <w:tcBorders>
              <w:top w:val="nil"/>
              <w:left w:val="nil"/>
              <w:bottom w:val="single" w:sz="8" w:space="0" w:color="auto"/>
              <w:right w:val="single" w:sz="8" w:space="0" w:color="auto"/>
            </w:tcBorders>
            <w:shd w:val="clear" w:color="000000" w:fill="FFFFFF"/>
            <w:noWrap/>
            <w:vAlign w:val="center"/>
            <w:hideMark/>
          </w:tcPr>
          <w:p w14:paraId="6C99585B" w14:textId="77777777" w:rsidR="00B86D82" w:rsidRPr="0005279C" w:rsidRDefault="00B86D82" w:rsidP="006A7377">
            <w:pPr>
              <w:jc w:val="center"/>
              <w:rPr>
                <w:color w:val="000000"/>
                <w:sz w:val="16"/>
                <w:szCs w:val="16"/>
              </w:rPr>
            </w:pPr>
            <w:r w:rsidRPr="0005279C">
              <w:rPr>
                <w:color w:val="000000"/>
                <w:sz w:val="16"/>
                <w:szCs w:val="16"/>
              </w:rPr>
              <w:t>Q3,162.03</w:t>
            </w:r>
          </w:p>
        </w:tc>
        <w:tc>
          <w:tcPr>
            <w:tcW w:w="914" w:type="dxa"/>
            <w:tcBorders>
              <w:top w:val="nil"/>
              <w:left w:val="nil"/>
              <w:bottom w:val="single" w:sz="8" w:space="0" w:color="auto"/>
              <w:right w:val="single" w:sz="8" w:space="0" w:color="auto"/>
            </w:tcBorders>
            <w:shd w:val="clear" w:color="000000" w:fill="FFFFFF"/>
            <w:noWrap/>
            <w:vAlign w:val="center"/>
            <w:hideMark/>
          </w:tcPr>
          <w:p w14:paraId="51DF932B" w14:textId="77777777" w:rsidR="00B86D82" w:rsidRPr="0005279C" w:rsidRDefault="00B86D82" w:rsidP="006A7377">
            <w:pPr>
              <w:jc w:val="center"/>
              <w:rPr>
                <w:color w:val="000000"/>
                <w:sz w:val="16"/>
                <w:szCs w:val="16"/>
              </w:rPr>
            </w:pPr>
            <w:r w:rsidRPr="0005279C">
              <w:rPr>
                <w:color w:val="000000"/>
                <w:sz w:val="16"/>
                <w:szCs w:val="16"/>
              </w:rPr>
              <w:t>Q3,357.89</w:t>
            </w:r>
          </w:p>
        </w:tc>
        <w:tc>
          <w:tcPr>
            <w:tcW w:w="914" w:type="dxa"/>
            <w:tcBorders>
              <w:top w:val="nil"/>
              <w:left w:val="nil"/>
              <w:bottom w:val="single" w:sz="8" w:space="0" w:color="auto"/>
              <w:right w:val="single" w:sz="8" w:space="0" w:color="auto"/>
            </w:tcBorders>
            <w:shd w:val="clear" w:color="000000" w:fill="FFFFFF"/>
            <w:noWrap/>
            <w:vAlign w:val="center"/>
            <w:hideMark/>
          </w:tcPr>
          <w:p w14:paraId="091DB90F" w14:textId="77777777" w:rsidR="00B86D82" w:rsidRPr="0005279C" w:rsidRDefault="00B86D82" w:rsidP="006A7377">
            <w:pPr>
              <w:jc w:val="center"/>
              <w:rPr>
                <w:color w:val="000000"/>
                <w:sz w:val="16"/>
                <w:szCs w:val="16"/>
              </w:rPr>
            </w:pPr>
            <w:r w:rsidRPr="0005279C">
              <w:rPr>
                <w:color w:val="000000"/>
                <w:sz w:val="16"/>
                <w:szCs w:val="16"/>
              </w:rPr>
              <w:t>Q3,780.00</w:t>
            </w:r>
          </w:p>
        </w:tc>
        <w:tc>
          <w:tcPr>
            <w:tcW w:w="926" w:type="dxa"/>
            <w:tcBorders>
              <w:top w:val="nil"/>
              <w:left w:val="nil"/>
              <w:bottom w:val="single" w:sz="8" w:space="0" w:color="auto"/>
              <w:right w:val="single" w:sz="8" w:space="0" w:color="auto"/>
            </w:tcBorders>
            <w:shd w:val="clear" w:color="000000" w:fill="FFFFFF"/>
            <w:noWrap/>
            <w:vAlign w:val="center"/>
            <w:hideMark/>
          </w:tcPr>
          <w:p w14:paraId="54511F28" w14:textId="77777777" w:rsidR="00B86D82" w:rsidRPr="0005279C" w:rsidRDefault="00B86D82" w:rsidP="006A7377">
            <w:pPr>
              <w:jc w:val="center"/>
              <w:rPr>
                <w:color w:val="000000"/>
                <w:sz w:val="16"/>
                <w:szCs w:val="16"/>
              </w:rPr>
            </w:pPr>
            <w:r w:rsidRPr="0005279C">
              <w:rPr>
                <w:color w:val="000000"/>
                <w:sz w:val="16"/>
                <w:szCs w:val="16"/>
              </w:rPr>
              <w:t>Q4,367.15</w:t>
            </w:r>
          </w:p>
        </w:tc>
      </w:tr>
      <w:tr w:rsidR="00B86D82" w:rsidRPr="0005279C" w14:paraId="2B2A945A" w14:textId="77777777" w:rsidTr="00411D33">
        <w:trPr>
          <w:trHeight w:val="216"/>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78AB79BF" w14:textId="77777777" w:rsidR="00B86D82" w:rsidRPr="0005279C" w:rsidRDefault="00B86D82" w:rsidP="006A7377">
            <w:pPr>
              <w:rPr>
                <w:b/>
                <w:bCs/>
                <w:color w:val="000000"/>
                <w:sz w:val="16"/>
                <w:szCs w:val="16"/>
              </w:rPr>
            </w:pPr>
            <w:r w:rsidRPr="0005279C">
              <w:rPr>
                <w:b/>
                <w:bCs/>
                <w:color w:val="000000"/>
                <w:sz w:val="16"/>
                <w:szCs w:val="16"/>
              </w:rPr>
              <w:t>Administración y otros</w:t>
            </w:r>
          </w:p>
        </w:tc>
        <w:tc>
          <w:tcPr>
            <w:tcW w:w="916" w:type="dxa"/>
            <w:tcBorders>
              <w:top w:val="nil"/>
              <w:left w:val="nil"/>
              <w:bottom w:val="single" w:sz="8" w:space="0" w:color="auto"/>
              <w:right w:val="single" w:sz="8" w:space="0" w:color="auto"/>
            </w:tcBorders>
            <w:shd w:val="clear" w:color="000000" w:fill="FFFFFF"/>
            <w:noWrap/>
            <w:vAlign w:val="center"/>
            <w:hideMark/>
          </w:tcPr>
          <w:p w14:paraId="656A8381" w14:textId="77777777" w:rsidR="00B86D82" w:rsidRPr="0005279C" w:rsidRDefault="00B86D82" w:rsidP="006A7377">
            <w:pPr>
              <w:jc w:val="center"/>
              <w:rPr>
                <w:color w:val="000000"/>
                <w:sz w:val="16"/>
                <w:szCs w:val="16"/>
              </w:rPr>
            </w:pPr>
            <w:r w:rsidRPr="0005279C">
              <w:rPr>
                <w:color w:val="000000"/>
                <w:sz w:val="16"/>
                <w:szCs w:val="16"/>
              </w:rPr>
              <w:t>Q185.68</w:t>
            </w:r>
          </w:p>
        </w:tc>
        <w:tc>
          <w:tcPr>
            <w:tcW w:w="914" w:type="dxa"/>
            <w:tcBorders>
              <w:top w:val="nil"/>
              <w:left w:val="nil"/>
              <w:bottom w:val="single" w:sz="8" w:space="0" w:color="auto"/>
              <w:right w:val="single" w:sz="8" w:space="0" w:color="auto"/>
            </w:tcBorders>
            <w:shd w:val="clear" w:color="000000" w:fill="FFFFFF"/>
            <w:noWrap/>
            <w:vAlign w:val="center"/>
            <w:hideMark/>
          </w:tcPr>
          <w:p w14:paraId="4243D417" w14:textId="77777777" w:rsidR="00B86D82" w:rsidRPr="0005279C" w:rsidRDefault="00B86D82" w:rsidP="006A7377">
            <w:pPr>
              <w:jc w:val="center"/>
              <w:rPr>
                <w:color w:val="000000"/>
                <w:sz w:val="16"/>
                <w:szCs w:val="16"/>
              </w:rPr>
            </w:pPr>
            <w:r w:rsidRPr="0005279C">
              <w:rPr>
                <w:color w:val="000000"/>
                <w:sz w:val="16"/>
                <w:szCs w:val="16"/>
              </w:rPr>
              <w:t>Q176.37</w:t>
            </w:r>
          </w:p>
        </w:tc>
        <w:tc>
          <w:tcPr>
            <w:tcW w:w="914" w:type="dxa"/>
            <w:tcBorders>
              <w:top w:val="nil"/>
              <w:left w:val="nil"/>
              <w:bottom w:val="single" w:sz="8" w:space="0" w:color="auto"/>
              <w:right w:val="single" w:sz="8" w:space="0" w:color="auto"/>
            </w:tcBorders>
            <w:shd w:val="clear" w:color="000000" w:fill="FFFFFF"/>
            <w:noWrap/>
            <w:vAlign w:val="center"/>
            <w:hideMark/>
          </w:tcPr>
          <w:p w14:paraId="3F2C433B" w14:textId="77777777" w:rsidR="00B86D82" w:rsidRPr="0005279C" w:rsidRDefault="00B86D82" w:rsidP="006A7377">
            <w:pPr>
              <w:jc w:val="center"/>
              <w:rPr>
                <w:color w:val="000000"/>
                <w:sz w:val="16"/>
                <w:szCs w:val="16"/>
              </w:rPr>
            </w:pPr>
            <w:r w:rsidRPr="0005279C">
              <w:rPr>
                <w:color w:val="000000"/>
                <w:sz w:val="16"/>
                <w:szCs w:val="16"/>
              </w:rPr>
              <w:t>Q189.54</w:t>
            </w:r>
          </w:p>
        </w:tc>
        <w:tc>
          <w:tcPr>
            <w:tcW w:w="914" w:type="dxa"/>
            <w:tcBorders>
              <w:top w:val="nil"/>
              <w:left w:val="nil"/>
              <w:bottom w:val="single" w:sz="8" w:space="0" w:color="auto"/>
              <w:right w:val="single" w:sz="8" w:space="0" w:color="auto"/>
            </w:tcBorders>
            <w:shd w:val="clear" w:color="000000" w:fill="FFFFFF"/>
            <w:noWrap/>
            <w:vAlign w:val="center"/>
            <w:hideMark/>
          </w:tcPr>
          <w:p w14:paraId="201C1636" w14:textId="77777777" w:rsidR="00B86D82" w:rsidRPr="0005279C" w:rsidRDefault="00B86D82" w:rsidP="006A7377">
            <w:pPr>
              <w:jc w:val="center"/>
              <w:rPr>
                <w:color w:val="000000"/>
                <w:sz w:val="16"/>
                <w:szCs w:val="16"/>
              </w:rPr>
            </w:pPr>
            <w:r w:rsidRPr="0005279C">
              <w:rPr>
                <w:color w:val="000000"/>
                <w:sz w:val="16"/>
                <w:szCs w:val="16"/>
              </w:rPr>
              <w:t>Q197.19</w:t>
            </w:r>
          </w:p>
        </w:tc>
        <w:tc>
          <w:tcPr>
            <w:tcW w:w="914" w:type="dxa"/>
            <w:tcBorders>
              <w:top w:val="nil"/>
              <w:left w:val="nil"/>
              <w:bottom w:val="single" w:sz="8" w:space="0" w:color="auto"/>
              <w:right w:val="single" w:sz="8" w:space="0" w:color="auto"/>
            </w:tcBorders>
            <w:shd w:val="clear" w:color="000000" w:fill="FFFFFF"/>
            <w:noWrap/>
            <w:vAlign w:val="center"/>
            <w:hideMark/>
          </w:tcPr>
          <w:p w14:paraId="708CDF0B" w14:textId="77777777" w:rsidR="00B86D82" w:rsidRPr="0005279C" w:rsidRDefault="00B86D82" w:rsidP="006A7377">
            <w:pPr>
              <w:jc w:val="center"/>
              <w:rPr>
                <w:color w:val="000000"/>
                <w:sz w:val="16"/>
                <w:szCs w:val="16"/>
              </w:rPr>
            </w:pPr>
            <w:r w:rsidRPr="0005279C">
              <w:rPr>
                <w:color w:val="000000"/>
                <w:sz w:val="16"/>
                <w:szCs w:val="16"/>
              </w:rPr>
              <w:t>Q208.54</w:t>
            </w:r>
          </w:p>
        </w:tc>
        <w:tc>
          <w:tcPr>
            <w:tcW w:w="914" w:type="dxa"/>
            <w:tcBorders>
              <w:top w:val="nil"/>
              <w:left w:val="nil"/>
              <w:bottom w:val="single" w:sz="8" w:space="0" w:color="auto"/>
              <w:right w:val="single" w:sz="8" w:space="0" w:color="auto"/>
            </w:tcBorders>
            <w:shd w:val="clear" w:color="000000" w:fill="FFFFFF"/>
            <w:noWrap/>
            <w:vAlign w:val="center"/>
            <w:hideMark/>
          </w:tcPr>
          <w:p w14:paraId="6755A97F" w14:textId="77777777" w:rsidR="00B86D82" w:rsidRPr="0005279C" w:rsidRDefault="00B86D82" w:rsidP="006A7377">
            <w:pPr>
              <w:jc w:val="center"/>
              <w:rPr>
                <w:color w:val="000000"/>
                <w:sz w:val="16"/>
                <w:szCs w:val="16"/>
              </w:rPr>
            </w:pPr>
            <w:r w:rsidRPr="0005279C">
              <w:rPr>
                <w:color w:val="000000"/>
                <w:sz w:val="16"/>
                <w:szCs w:val="16"/>
              </w:rPr>
              <w:t>Q200.50</w:t>
            </w:r>
          </w:p>
        </w:tc>
        <w:tc>
          <w:tcPr>
            <w:tcW w:w="926" w:type="dxa"/>
            <w:tcBorders>
              <w:top w:val="nil"/>
              <w:left w:val="nil"/>
              <w:bottom w:val="single" w:sz="8" w:space="0" w:color="auto"/>
              <w:right w:val="single" w:sz="8" w:space="0" w:color="auto"/>
            </w:tcBorders>
            <w:shd w:val="clear" w:color="000000" w:fill="FFFFFF"/>
            <w:noWrap/>
            <w:vAlign w:val="center"/>
            <w:hideMark/>
          </w:tcPr>
          <w:p w14:paraId="5C545AC1" w14:textId="77777777" w:rsidR="00B86D82" w:rsidRPr="0005279C" w:rsidRDefault="00B86D82" w:rsidP="006A7377">
            <w:pPr>
              <w:jc w:val="center"/>
              <w:rPr>
                <w:color w:val="000000"/>
                <w:sz w:val="16"/>
                <w:szCs w:val="16"/>
              </w:rPr>
            </w:pPr>
            <w:r w:rsidRPr="0005279C">
              <w:rPr>
                <w:color w:val="000000"/>
                <w:sz w:val="16"/>
                <w:szCs w:val="16"/>
              </w:rPr>
              <w:t>Q230.25</w:t>
            </w:r>
          </w:p>
        </w:tc>
      </w:tr>
      <w:tr w:rsidR="00B86D82" w:rsidRPr="0005279C" w14:paraId="01F77F00" w14:textId="77777777" w:rsidTr="00411D33">
        <w:trPr>
          <w:trHeight w:val="216"/>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1B8A0C4D" w14:textId="77777777" w:rsidR="00B86D82" w:rsidRPr="0005279C" w:rsidRDefault="00B86D82" w:rsidP="006A7377">
            <w:pPr>
              <w:rPr>
                <w:b/>
                <w:bCs/>
                <w:color w:val="000000"/>
                <w:sz w:val="16"/>
                <w:szCs w:val="16"/>
              </w:rPr>
            </w:pPr>
            <w:r w:rsidRPr="0005279C">
              <w:rPr>
                <w:b/>
                <w:bCs/>
                <w:color w:val="000000"/>
                <w:sz w:val="16"/>
                <w:szCs w:val="16"/>
              </w:rPr>
              <w:t>Total, de Gastos</w:t>
            </w:r>
          </w:p>
        </w:tc>
        <w:tc>
          <w:tcPr>
            <w:tcW w:w="916" w:type="dxa"/>
            <w:tcBorders>
              <w:top w:val="nil"/>
              <w:left w:val="nil"/>
              <w:bottom w:val="single" w:sz="8" w:space="0" w:color="auto"/>
              <w:right w:val="single" w:sz="8" w:space="0" w:color="auto"/>
            </w:tcBorders>
            <w:shd w:val="clear" w:color="000000" w:fill="FFFFFF"/>
            <w:noWrap/>
            <w:vAlign w:val="center"/>
            <w:hideMark/>
          </w:tcPr>
          <w:p w14:paraId="1A06A404" w14:textId="77777777" w:rsidR="00B86D82" w:rsidRPr="0005279C" w:rsidRDefault="00B86D82" w:rsidP="006A7377">
            <w:pPr>
              <w:jc w:val="center"/>
              <w:rPr>
                <w:b/>
                <w:bCs/>
                <w:color w:val="000000"/>
                <w:sz w:val="16"/>
                <w:szCs w:val="16"/>
              </w:rPr>
            </w:pPr>
            <w:r w:rsidRPr="0005279C">
              <w:rPr>
                <w:b/>
                <w:bCs/>
                <w:color w:val="000000"/>
                <w:sz w:val="16"/>
                <w:szCs w:val="16"/>
              </w:rPr>
              <w:t>Q2,633.05</w:t>
            </w:r>
          </w:p>
        </w:tc>
        <w:tc>
          <w:tcPr>
            <w:tcW w:w="914" w:type="dxa"/>
            <w:tcBorders>
              <w:top w:val="nil"/>
              <w:left w:val="nil"/>
              <w:bottom w:val="single" w:sz="8" w:space="0" w:color="auto"/>
              <w:right w:val="single" w:sz="8" w:space="0" w:color="auto"/>
            </w:tcBorders>
            <w:shd w:val="clear" w:color="000000" w:fill="FFFFFF"/>
            <w:noWrap/>
            <w:vAlign w:val="center"/>
            <w:hideMark/>
          </w:tcPr>
          <w:p w14:paraId="0BCEF038" w14:textId="77777777" w:rsidR="00B86D82" w:rsidRPr="0005279C" w:rsidRDefault="00B86D82" w:rsidP="006A7377">
            <w:pPr>
              <w:jc w:val="center"/>
              <w:rPr>
                <w:b/>
                <w:bCs/>
                <w:color w:val="000000"/>
                <w:sz w:val="16"/>
                <w:szCs w:val="16"/>
              </w:rPr>
            </w:pPr>
            <w:r w:rsidRPr="0005279C">
              <w:rPr>
                <w:b/>
                <w:bCs/>
                <w:color w:val="000000"/>
                <w:sz w:val="16"/>
                <w:szCs w:val="16"/>
              </w:rPr>
              <w:t>Q2,818.91</w:t>
            </w:r>
          </w:p>
        </w:tc>
        <w:tc>
          <w:tcPr>
            <w:tcW w:w="914" w:type="dxa"/>
            <w:tcBorders>
              <w:top w:val="nil"/>
              <w:left w:val="nil"/>
              <w:bottom w:val="single" w:sz="8" w:space="0" w:color="auto"/>
              <w:right w:val="single" w:sz="8" w:space="0" w:color="auto"/>
            </w:tcBorders>
            <w:shd w:val="clear" w:color="000000" w:fill="FFFFFF"/>
            <w:noWrap/>
            <w:vAlign w:val="center"/>
            <w:hideMark/>
          </w:tcPr>
          <w:p w14:paraId="1CE241C1" w14:textId="77777777" w:rsidR="00B86D82" w:rsidRPr="0005279C" w:rsidRDefault="00B86D82" w:rsidP="006A7377">
            <w:pPr>
              <w:jc w:val="center"/>
              <w:rPr>
                <w:b/>
                <w:bCs/>
                <w:color w:val="000000"/>
                <w:sz w:val="16"/>
                <w:szCs w:val="16"/>
              </w:rPr>
            </w:pPr>
            <w:r w:rsidRPr="0005279C">
              <w:rPr>
                <w:b/>
                <w:bCs/>
                <w:color w:val="000000"/>
                <w:sz w:val="16"/>
                <w:szCs w:val="16"/>
              </w:rPr>
              <w:t>Q3,061.68</w:t>
            </w:r>
          </w:p>
        </w:tc>
        <w:tc>
          <w:tcPr>
            <w:tcW w:w="914" w:type="dxa"/>
            <w:tcBorders>
              <w:top w:val="nil"/>
              <w:left w:val="nil"/>
              <w:bottom w:val="single" w:sz="8" w:space="0" w:color="auto"/>
              <w:right w:val="single" w:sz="8" w:space="0" w:color="auto"/>
            </w:tcBorders>
            <w:shd w:val="clear" w:color="000000" w:fill="FFFFFF"/>
            <w:noWrap/>
            <w:vAlign w:val="center"/>
            <w:hideMark/>
          </w:tcPr>
          <w:p w14:paraId="2F013F70" w14:textId="77777777" w:rsidR="00B86D82" w:rsidRPr="0005279C" w:rsidRDefault="00B86D82" w:rsidP="006A7377">
            <w:pPr>
              <w:jc w:val="center"/>
              <w:rPr>
                <w:b/>
                <w:bCs/>
                <w:color w:val="000000"/>
                <w:sz w:val="16"/>
                <w:szCs w:val="16"/>
              </w:rPr>
            </w:pPr>
            <w:r w:rsidRPr="0005279C">
              <w:rPr>
                <w:b/>
                <w:bCs/>
                <w:color w:val="000000"/>
                <w:sz w:val="16"/>
                <w:szCs w:val="16"/>
              </w:rPr>
              <w:t>Q3,359.22</w:t>
            </w:r>
          </w:p>
        </w:tc>
        <w:tc>
          <w:tcPr>
            <w:tcW w:w="914" w:type="dxa"/>
            <w:tcBorders>
              <w:top w:val="nil"/>
              <w:left w:val="nil"/>
              <w:bottom w:val="single" w:sz="8" w:space="0" w:color="auto"/>
              <w:right w:val="single" w:sz="8" w:space="0" w:color="auto"/>
            </w:tcBorders>
            <w:shd w:val="clear" w:color="000000" w:fill="FFFFFF"/>
            <w:noWrap/>
            <w:vAlign w:val="center"/>
            <w:hideMark/>
          </w:tcPr>
          <w:p w14:paraId="5DEB799D" w14:textId="77777777" w:rsidR="00B86D82" w:rsidRPr="0005279C" w:rsidRDefault="00B86D82" w:rsidP="006A7377">
            <w:pPr>
              <w:jc w:val="center"/>
              <w:rPr>
                <w:b/>
                <w:bCs/>
                <w:color w:val="000000"/>
                <w:sz w:val="16"/>
                <w:szCs w:val="16"/>
              </w:rPr>
            </w:pPr>
            <w:r w:rsidRPr="0005279C">
              <w:rPr>
                <w:b/>
                <w:bCs/>
                <w:color w:val="000000"/>
                <w:sz w:val="16"/>
                <w:szCs w:val="16"/>
              </w:rPr>
              <w:t>Q3,566.43</w:t>
            </w:r>
          </w:p>
        </w:tc>
        <w:tc>
          <w:tcPr>
            <w:tcW w:w="914" w:type="dxa"/>
            <w:tcBorders>
              <w:top w:val="nil"/>
              <w:left w:val="nil"/>
              <w:bottom w:val="single" w:sz="8" w:space="0" w:color="auto"/>
              <w:right w:val="single" w:sz="8" w:space="0" w:color="auto"/>
            </w:tcBorders>
            <w:shd w:val="clear" w:color="000000" w:fill="FFFFFF"/>
            <w:noWrap/>
            <w:vAlign w:val="center"/>
            <w:hideMark/>
          </w:tcPr>
          <w:p w14:paraId="2DA55247" w14:textId="77777777" w:rsidR="00B86D82" w:rsidRPr="0005279C" w:rsidRDefault="00B86D82" w:rsidP="006A7377">
            <w:pPr>
              <w:jc w:val="center"/>
              <w:rPr>
                <w:b/>
                <w:bCs/>
                <w:color w:val="000000"/>
                <w:sz w:val="16"/>
                <w:szCs w:val="16"/>
              </w:rPr>
            </w:pPr>
            <w:r w:rsidRPr="0005279C">
              <w:rPr>
                <w:b/>
                <w:bCs/>
                <w:color w:val="000000"/>
                <w:sz w:val="16"/>
                <w:szCs w:val="16"/>
              </w:rPr>
              <w:t>Q3,980.50</w:t>
            </w:r>
          </w:p>
        </w:tc>
        <w:tc>
          <w:tcPr>
            <w:tcW w:w="926" w:type="dxa"/>
            <w:tcBorders>
              <w:top w:val="nil"/>
              <w:left w:val="nil"/>
              <w:bottom w:val="single" w:sz="8" w:space="0" w:color="auto"/>
              <w:right w:val="single" w:sz="8" w:space="0" w:color="auto"/>
            </w:tcBorders>
            <w:shd w:val="clear" w:color="000000" w:fill="FFFFFF"/>
            <w:noWrap/>
            <w:vAlign w:val="center"/>
            <w:hideMark/>
          </w:tcPr>
          <w:p w14:paraId="3A524A41" w14:textId="77777777" w:rsidR="00B86D82" w:rsidRPr="0005279C" w:rsidRDefault="00B86D82" w:rsidP="006A7377">
            <w:pPr>
              <w:jc w:val="center"/>
              <w:rPr>
                <w:b/>
                <w:bCs/>
                <w:color w:val="000000"/>
                <w:sz w:val="16"/>
                <w:szCs w:val="16"/>
              </w:rPr>
            </w:pPr>
            <w:r w:rsidRPr="0005279C">
              <w:rPr>
                <w:b/>
                <w:bCs/>
                <w:color w:val="000000"/>
                <w:sz w:val="16"/>
                <w:szCs w:val="16"/>
              </w:rPr>
              <w:t>Q4,597.40</w:t>
            </w:r>
          </w:p>
        </w:tc>
      </w:tr>
      <w:tr w:rsidR="00B86D82" w:rsidRPr="0005279C" w14:paraId="1BF8AFB3" w14:textId="77777777" w:rsidTr="00411D33">
        <w:trPr>
          <w:trHeight w:val="290"/>
          <w:jc w:val="center"/>
        </w:trPr>
        <w:tc>
          <w:tcPr>
            <w:tcW w:w="236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ECFDF3F" w14:textId="77777777" w:rsidR="00B86D82" w:rsidRPr="0005279C" w:rsidRDefault="00B86D82" w:rsidP="006A7377">
            <w:pPr>
              <w:rPr>
                <w:b/>
                <w:bCs/>
                <w:color w:val="000000"/>
                <w:sz w:val="16"/>
                <w:szCs w:val="16"/>
              </w:rPr>
            </w:pPr>
            <w:r w:rsidRPr="0005279C">
              <w:rPr>
                <w:b/>
                <w:bCs/>
                <w:color w:val="000000"/>
                <w:sz w:val="16"/>
                <w:szCs w:val="16"/>
              </w:rPr>
              <w:t>Variación interanual de gastos</w:t>
            </w:r>
          </w:p>
        </w:tc>
        <w:tc>
          <w:tcPr>
            <w:tcW w:w="914" w:type="dxa"/>
            <w:tcBorders>
              <w:top w:val="nil"/>
              <w:left w:val="nil"/>
              <w:bottom w:val="single" w:sz="8" w:space="0" w:color="auto"/>
              <w:right w:val="single" w:sz="8" w:space="0" w:color="auto"/>
            </w:tcBorders>
            <w:shd w:val="clear" w:color="000000" w:fill="FFFFFF"/>
            <w:noWrap/>
            <w:vAlign w:val="center"/>
            <w:hideMark/>
          </w:tcPr>
          <w:p w14:paraId="57B428DD" w14:textId="77777777" w:rsidR="00B86D82" w:rsidRPr="0005279C" w:rsidRDefault="00B86D82" w:rsidP="006A7377">
            <w:pPr>
              <w:jc w:val="center"/>
              <w:rPr>
                <w:color w:val="000000"/>
                <w:sz w:val="16"/>
                <w:szCs w:val="16"/>
              </w:rPr>
            </w:pPr>
            <w:r w:rsidRPr="0005279C">
              <w:rPr>
                <w:color w:val="000000"/>
                <w:sz w:val="16"/>
                <w:szCs w:val="16"/>
              </w:rPr>
              <w:t>7.10%</w:t>
            </w:r>
          </w:p>
        </w:tc>
        <w:tc>
          <w:tcPr>
            <w:tcW w:w="914" w:type="dxa"/>
            <w:tcBorders>
              <w:top w:val="nil"/>
              <w:left w:val="nil"/>
              <w:bottom w:val="single" w:sz="8" w:space="0" w:color="auto"/>
              <w:right w:val="single" w:sz="8" w:space="0" w:color="auto"/>
            </w:tcBorders>
            <w:shd w:val="clear" w:color="000000" w:fill="FFFFFF"/>
            <w:noWrap/>
            <w:vAlign w:val="center"/>
            <w:hideMark/>
          </w:tcPr>
          <w:p w14:paraId="359080E0" w14:textId="77777777" w:rsidR="00B86D82" w:rsidRPr="0005279C" w:rsidRDefault="00B86D82" w:rsidP="006A7377">
            <w:pPr>
              <w:jc w:val="center"/>
              <w:rPr>
                <w:color w:val="000000"/>
                <w:sz w:val="16"/>
                <w:szCs w:val="16"/>
              </w:rPr>
            </w:pPr>
            <w:r w:rsidRPr="0005279C">
              <w:rPr>
                <w:color w:val="000000"/>
                <w:sz w:val="16"/>
                <w:szCs w:val="16"/>
              </w:rPr>
              <w:t>8.60%</w:t>
            </w:r>
          </w:p>
        </w:tc>
        <w:tc>
          <w:tcPr>
            <w:tcW w:w="914" w:type="dxa"/>
            <w:tcBorders>
              <w:top w:val="nil"/>
              <w:left w:val="nil"/>
              <w:bottom w:val="single" w:sz="8" w:space="0" w:color="auto"/>
              <w:right w:val="single" w:sz="8" w:space="0" w:color="auto"/>
            </w:tcBorders>
            <w:shd w:val="clear" w:color="000000" w:fill="FFFFFF"/>
            <w:noWrap/>
            <w:vAlign w:val="center"/>
            <w:hideMark/>
          </w:tcPr>
          <w:p w14:paraId="03ACDC02" w14:textId="77777777" w:rsidR="00B86D82" w:rsidRPr="0005279C" w:rsidRDefault="00B86D82" w:rsidP="006A7377">
            <w:pPr>
              <w:jc w:val="center"/>
              <w:rPr>
                <w:color w:val="000000"/>
                <w:sz w:val="16"/>
                <w:szCs w:val="16"/>
              </w:rPr>
            </w:pPr>
            <w:r w:rsidRPr="0005279C">
              <w:rPr>
                <w:color w:val="000000"/>
                <w:sz w:val="16"/>
                <w:szCs w:val="16"/>
              </w:rPr>
              <w:t>9.70%</w:t>
            </w:r>
          </w:p>
        </w:tc>
        <w:tc>
          <w:tcPr>
            <w:tcW w:w="914" w:type="dxa"/>
            <w:tcBorders>
              <w:top w:val="nil"/>
              <w:left w:val="nil"/>
              <w:bottom w:val="single" w:sz="8" w:space="0" w:color="auto"/>
              <w:right w:val="single" w:sz="8" w:space="0" w:color="auto"/>
            </w:tcBorders>
            <w:shd w:val="clear" w:color="000000" w:fill="FFFFFF"/>
            <w:noWrap/>
            <w:vAlign w:val="center"/>
            <w:hideMark/>
          </w:tcPr>
          <w:p w14:paraId="1980E8E8" w14:textId="77777777" w:rsidR="00B86D82" w:rsidRPr="0005279C" w:rsidRDefault="00B86D82" w:rsidP="006A7377">
            <w:pPr>
              <w:jc w:val="center"/>
              <w:rPr>
                <w:color w:val="000000"/>
                <w:sz w:val="16"/>
                <w:szCs w:val="16"/>
              </w:rPr>
            </w:pPr>
            <w:r w:rsidRPr="0005279C">
              <w:rPr>
                <w:color w:val="000000"/>
                <w:sz w:val="16"/>
                <w:szCs w:val="16"/>
              </w:rPr>
              <w:t>6.20%</w:t>
            </w:r>
          </w:p>
        </w:tc>
        <w:tc>
          <w:tcPr>
            <w:tcW w:w="914" w:type="dxa"/>
            <w:tcBorders>
              <w:top w:val="nil"/>
              <w:left w:val="nil"/>
              <w:bottom w:val="single" w:sz="8" w:space="0" w:color="auto"/>
              <w:right w:val="single" w:sz="8" w:space="0" w:color="auto"/>
            </w:tcBorders>
            <w:shd w:val="clear" w:color="000000" w:fill="FFFFFF"/>
            <w:noWrap/>
            <w:vAlign w:val="center"/>
            <w:hideMark/>
          </w:tcPr>
          <w:p w14:paraId="0173DE42" w14:textId="77777777" w:rsidR="00B86D82" w:rsidRPr="0005279C" w:rsidRDefault="00B86D82" w:rsidP="006A7377">
            <w:pPr>
              <w:jc w:val="center"/>
              <w:rPr>
                <w:color w:val="000000"/>
                <w:sz w:val="16"/>
                <w:szCs w:val="16"/>
              </w:rPr>
            </w:pPr>
            <w:r w:rsidRPr="0005279C">
              <w:rPr>
                <w:color w:val="000000"/>
                <w:sz w:val="16"/>
                <w:szCs w:val="16"/>
              </w:rPr>
              <w:t>11.60%</w:t>
            </w:r>
          </w:p>
        </w:tc>
        <w:tc>
          <w:tcPr>
            <w:tcW w:w="926" w:type="dxa"/>
            <w:tcBorders>
              <w:top w:val="nil"/>
              <w:left w:val="nil"/>
              <w:bottom w:val="single" w:sz="8" w:space="0" w:color="auto"/>
              <w:right w:val="single" w:sz="8" w:space="0" w:color="auto"/>
            </w:tcBorders>
            <w:shd w:val="clear" w:color="000000" w:fill="FFFFFF"/>
            <w:noWrap/>
            <w:vAlign w:val="center"/>
            <w:hideMark/>
          </w:tcPr>
          <w:p w14:paraId="55223283" w14:textId="77777777" w:rsidR="00B86D82" w:rsidRPr="0005279C" w:rsidRDefault="00B86D82" w:rsidP="006A7377">
            <w:pPr>
              <w:jc w:val="center"/>
              <w:rPr>
                <w:color w:val="000000"/>
                <w:sz w:val="16"/>
                <w:szCs w:val="16"/>
              </w:rPr>
            </w:pPr>
            <w:r w:rsidRPr="0005279C">
              <w:rPr>
                <w:color w:val="000000"/>
                <w:sz w:val="16"/>
                <w:szCs w:val="16"/>
              </w:rPr>
              <w:t>15.50%</w:t>
            </w:r>
          </w:p>
        </w:tc>
      </w:tr>
      <w:tr w:rsidR="00B86D82" w:rsidRPr="0005279C" w14:paraId="76A91D79" w14:textId="77777777" w:rsidTr="00411D33">
        <w:trPr>
          <w:trHeight w:val="216"/>
          <w:jc w:val="center"/>
        </w:trPr>
        <w:tc>
          <w:tcPr>
            <w:tcW w:w="7863" w:type="dxa"/>
            <w:gridSpan w:val="8"/>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E791861" w14:textId="77777777" w:rsidR="00B86D82" w:rsidRPr="0005279C" w:rsidRDefault="00B86D82" w:rsidP="006A7377">
            <w:pPr>
              <w:jc w:val="center"/>
              <w:rPr>
                <w:b/>
                <w:bCs/>
                <w:color w:val="000000"/>
                <w:sz w:val="16"/>
                <w:szCs w:val="16"/>
              </w:rPr>
            </w:pPr>
            <w:r w:rsidRPr="0005279C">
              <w:rPr>
                <w:b/>
                <w:bCs/>
                <w:color w:val="000000"/>
                <w:sz w:val="16"/>
                <w:szCs w:val="16"/>
              </w:rPr>
              <w:t>Fondo de reserva</w:t>
            </w:r>
          </w:p>
        </w:tc>
      </w:tr>
      <w:tr w:rsidR="00B86D82" w:rsidRPr="0005279C" w14:paraId="0BDA2DE0" w14:textId="77777777" w:rsidTr="00411D33">
        <w:trPr>
          <w:trHeight w:val="216"/>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50DC9BCC" w14:textId="77777777" w:rsidR="00B86D82" w:rsidRPr="0005279C" w:rsidRDefault="00B86D82" w:rsidP="006A7377">
            <w:pPr>
              <w:rPr>
                <w:b/>
                <w:bCs/>
                <w:color w:val="000000"/>
                <w:sz w:val="16"/>
                <w:szCs w:val="16"/>
              </w:rPr>
            </w:pPr>
            <w:r w:rsidRPr="0005279C">
              <w:rPr>
                <w:b/>
                <w:bCs/>
                <w:color w:val="000000"/>
                <w:sz w:val="16"/>
                <w:szCs w:val="16"/>
              </w:rPr>
              <w:t>Reserva inicial</w:t>
            </w:r>
          </w:p>
        </w:tc>
        <w:tc>
          <w:tcPr>
            <w:tcW w:w="916" w:type="dxa"/>
            <w:tcBorders>
              <w:top w:val="nil"/>
              <w:left w:val="nil"/>
              <w:bottom w:val="single" w:sz="8" w:space="0" w:color="auto"/>
              <w:right w:val="single" w:sz="8" w:space="0" w:color="auto"/>
            </w:tcBorders>
            <w:shd w:val="clear" w:color="000000" w:fill="FFFFFF"/>
            <w:noWrap/>
            <w:vAlign w:val="center"/>
            <w:hideMark/>
          </w:tcPr>
          <w:p w14:paraId="3A51D03B" w14:textId="77777777" w:rsidR="00B86D82" w:rsidRPr="0005279C" w:rsidRDefault="00B86D82" w:rsidP="006A7377">
            <w:pPr>
              <w:jc w:val="center"/>
              <w:rPr>
                <w:color w:val="000000"/>
                <w:sz w:val="16"/>
                <w:szCs w:val="16"/>
              </w:rPr>
            </w:pPr>
            <w:r w:rsidRPr="0005279C">
              <w:rPr>
                <w:color w:val="000000"/>
                <w:sz w:val="16"/>
                <w:szCs w:val="16"/>
              </w:rPr>
              <w:t>Q17,513.61</w:t>
            </w:r>
          </w:p>
        </w:tc>
        <w:tc>
          <w:tcPr>
            <w:tcW w:w="914" w:type="dxa"/>
            <w:tcBorders>
              <w:top w:val="nil"/>
              <w:left w:val="nil"/>
              <w:bottom w:val="single" w:sz="8" w:space="0" w:color="auto"/>
              <w:right w:val="single" w:sz="8" w:space="0" w:color="auto"/>
            </w:tcBorders>
            <w:shd w:val="clear" w:color="000000" w:fill="FFFFFF"/>
            <w:noWrap/>
            <w:vAlign w:val="center"/>
            <w:hideMark/>
          </w:tcPr>
          <w:p w14:paraId="6FAE2938" w14:textId="77777777" w:rsidR="00B86D82" w:rsidRPr="0005279C" w:rsidRDefault="00B86D82" w:rsidP="006A7377">
            <w:pPr>
              <w:jc w:val="center"/>
              <w:rPr>
                <w:color w:val="000000"/>
                <w:sz w:val="16"/>
                <w:szCs w:val="16"/>
              </w:rPr>
            </w:pPr>
            <w:r w:rsidRPr="0005279C">
              <w:rPr>
                <w:color w:val="000000"/>
                <w:sz w:val="16"/>
                <w:szCs w:val="16"/>
              </w:rPr>
              <w:t>Q19,381.86</w:t>
            </w:r>
          </w:p>
        </w:tc>
        <w:tc>
          <w:tcPr>
            <w:tcW w:w="914" w:type="dxa"/>
            <w:tcBorders>
              <w:top w:val="nil"/>
              <w:left w:val="nil"/>
              <w:bottom w:val="single" w:sz="8" w:space="0" w:color="auto"/>
              <w:right w:val="single" w:sz="8" w:space="0" w:color="auto"/>
            </w:tcBorders>
            <w:shd w:val="clear" w:color="000000" w:fill="FFFFFF"/>
            <w:noWrap/>
            <w:vAlign w:val="center"/>
            <w:hideMark/>
          </w:tcPr>
          <w:p w14:paraId="0770359E" w14:textId="77777777" w:rsidR="00B86D82" w:rsidRPr="0005279C" w:rsidRDefault="00B86D82" w:rsidP="006A7377">
            <w:pPr>
              <w:jc w:val="center"/>
              <w:rPr>
                <w:color w:val="000000"/>
                <w:sz w:val="16"/>
                <w:szCs w:val="16"/>
              </w:rPr>
            </w:pPr>
            <w:r w:rsidRPr="0005279C">
              <w:rPr>
                <w:color w:val="000000"/>
                <w:sz w:val="16"/>
                <w:szCs w:val="16"/>
              </w:rPr>
              <w:t>Q21,390.27</w:t>
            </w:r>
          </w:p>
        </w:tc>
        <w:tc>
          <w:tcPr>
            <w:tcW w:w="914" w:type="dxa"/>
            <w:tcBorders>
              <w:top w:val="nil"/>
              <w:left w:val="nil"/>
              <w:bottom w:val="single" w:sz="8" w:space="0" w:color="auto"/>
              <w:right w:val="single" w:sz="8" w:space="0" w:color="auto"/>
            </w:tcBorders>
            <w:shd w:val="clear" w:color="000000" w:fill="FFFFFF"/>
            <w:noWrap/>
            <w:vAlign w:val="center"/>
            <w:hideMark/>
          </w:tcPr>
          <w:p w14:paraId="76C5B401" w14:textId="77777777" w:rsidR="00B86D82" w:rsidRPr="0005279C" w:rsidRDefault="00B86D82" w:rsidP="006A7377">
            <w:pPr>
              <w:jc w:val="center"/>
              <w:rPr>
                <w:color w:val="000000"/>
                <w:sz w:val="16"/>
                <w:szCs w:val="16"/>
              </w:rPr>
            </w:pPr>
            <w:r w:rsidRPr="0005279C">
              <w:rPr>
                <w:color w:val="000000"/>
                <w:sz w:val="16"/>
                <w:szCs w:val="16"/>
              </w:rPr>
              <w:t>Q23,370.60</w:t>
            </w:r>
          </w:p>
        </w:tc>
        <w:tc>
          <w:tcPr>
            <w:tcW w:w="914" w:type="dxa"/>
            <w:tcBorders>
              <w:top w:val="nil"/>
              <w:left w:val="nil"/>
              <w:bottom w:val="single" w:sz="8" w:space="0" w:color="auto"/>
              <w:right w:val="single" w:sz="8" w:space="0" w:color="auto"/>
            </w:tcBorders>
            <w:shd w:val="clear" w:color="000000" w:fill="FFFFFF"/>
            <w:noWrap/>
            <w:vAlign w:val="center"/>
            <w:hideMark/>
          </w:tcPr>
          <w:p w14:paraId="199780C1" w14:textId="77777777" w:rsidR="00B86D82" w:rsidRPr="0005279C" w:rsidRDefault="00B86D82" w:rsidP="006A7377">
            <w:pPr>
              <w:jc w:val="center"/>
              <w:rPr>
                <w:color w:val="000000"/>
                <w:sz w:val="16"/>
                <w:szCs w:val="16"/>
              </w:rPr>
            </w:pPr>
            <w:r w:rsidRPr="0005279C">
              <w:rPr>
                <w:color w:val="000000"/>
                <w:sz w:val="16"/>
                <w:szCs w:val="16"/>
              </w:rPr>
              <w:t>Q25,220.90</w:t>
            </w:r>
          </w:p>
        </w:tc>
        <w:tc>
          <w:tcPr>
            <w:tcW w:w="914" w:type="dxa"/>
            <w:tcBorders>
              <w:top w:val="nil"/>
              <w:left w:val="nil"/>
              <w:bottom w:val="single" w:sz="8" w:space="0" w:color="auto"/>
              <w:right w:val="single" w:sz="8" w:space="0" w:color="auto"/>
            </w:tcBorders>
            <w:shd w:val="clear" w:color="000000" w:fill="FFFFFF"/>
            <w:noWrap/>
            <w:vAlign w:val="center"/>
            <w:hideMark/>
          </w:tcPr>
          <w:p w14:paraId="64331F4A" w14:textId="77777777" w:rsidR="00B86D82" w:rsidRPr="0005279C" w:rsidRDefault="00B86D82" w:rsidP="006A7377">
            <w:pPr>
              <w:jc w:val="center"/>
              <w:rPr>
                <w:color w:val="000000"/>
                <w:sz w:val="16"/>
                <w:szCs w:val="16"/>
              </w:rPr>
            </w:pPr>
            <w:r w:rsidRPr="0005279C">
              <w:rPr>
                <w:color w:val="000000"/>
                <w:sz w:val="16"/>
                <w:szCs w:val="16"/>
              </w:rPr>
              <w:t>Q26,644.38</w:t>
            </w:r>
          </w:p>
        </w:tc>
        <w:tc>
          <w:tcPr>
            <w:tcW w:w="926" w:type="dxa"/>
            <w:tcBorders>
              <w:top w:val="nil"/>
              <w:left w:val="nil"/>
              <w:bottom w:val="single" w:sz="8" w:space="0" w:color="auto"/>
              <w:right w:val="single" w:sz="8" w:space="0" w:color="auto"/>
            </w:tcBorders>
            <w:shd w:val="clear" w:color="000000" w:fill="FFFFFF"/>
            <w:noWrap/>
            <w:vAlign w:val="center"/>
            <w:hideMark/>
          </w:tcPr>
          <w:p w14:paraId="1844360C" w14:textId="77777777" w:rsidR="00B86D82" w:rsidRPr="0005279C" w:rsidRDefault="00B86D82" w:rsidP="006A7377">
            <w:pPr>
              <w:jc w:val="center"/>
              <w:rPr>
                <w:color w:val="000000"/>
                <w:sz w:val="16"/>
                <w:szCs w:val="16"/>
              </w:rPr>
            </w:pPr>
            <w:r w:rsidRPr="0005279C">
              <w:rPr>
                <w:color w:val="000000"/>
                <w:sz w:val="16"/>
                <w:szCs w:val="16"/>
              </w:rPr>
              <w:t>Q28,133.31</w:t>
            </w:r>
          </w:p>
        </w:tc>
      </w:tr>
      <w:tr w:rsidR="00B86D82" w:rsidRPr="0005279C" w14:paraId="41CAA3A6" w14:textId="77777777" w:rsidTr="00411D33">
        <w:trPr>
          <w:trHeight w:val="216"/>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4C1E90BD" w14:textId="77777777" w:rsidR="00B86D82" w:rsidRPr="0005279C" w:rsidRDefault="00B86D82" w:rsidP="006A7377">
            <w:pPr>
              <w:rPr>
                <w:b/>
                <w:bCs/>
                <w:color w:val="000000"/>
                <w:sz w:val="16"/>
                <w:szCs w:val="16"/>
              </w:rPr>
            </w:pPr>
            <w:r w:rsidRPr="0005279C">
              <w:rPr>
                <w:b/>
                <w:bCs/>
                <w:color w:val="000000"/>
                <w:sz w:val="16"/>
                <w:szCs w:val="16"/>
              </w:rPr>
              <w:t>Fondo de Reserva</w:t>
            </w:r>
          </w:p>
        </w:tc>
        <w:tc>
          <w:tcPr>
            <w:tcW w:w="916" w:type="dxa"/>
            <w:tcBorders>
              <w:top w:val="nil"/>
              <w:left w:val="nil"/>
              <w:bottom w:val="single" w:sz="8" w:space="0" w:color="auto"/>
              <w:right w:val="single" w:sz="8" w:space="0" w:color="auto"/>
            </w:tcBorders>
            <w:shd w:val="clear" w:color="000000" w:fill="FFFFFF"/>
            <w:noWrap/>
            <w:vAlign w:val="center"/>
            <w:hideMark/>
          </w:tcPr>
          <w:p w14:paraId="4BA37C80" w14:textId="77777777" w:rsidR="00B86D82" w:rsidRPr="0005279C" w:rsidRDefault="00B86D82" w:rsidP="006A7377">
            <w:pPr>
              <w:jc w:val="center"/>
              <w:rPr>
                <w:color w:val="000000"/>
                <w:sz w:val="16"/>
                <w:szCs w:val="16"/>
              </w:rPr>
            </w:pPr>
            <w:r w:rsidRPr="0005279C">
              <w:rPr>
                <w:color w:val="000000"/>
                <w:sz w:val="16"/>
                <w:szCs w:val="16"/>
              </w:rPr>
              <w:t>Q1,863.34</w:t>
            </w:r>
          </w:p>
        </w:tc>
        <w:tc>
          <w:tcPr>
            <w:tcW w:w="914" w:type="dxa"/>
            <w:tcBorders>
              <w:top w:val="nil"/>
              <w:left w:val="nil"/>
              <w:bottom w:val="single" w:sz="8" w:space="0" w:color="auto"/>
              <w:right w:val="single" w:sz="8" w:space="0" w:color="auto"/>
            </w:tcBorders>
            <w:shd w:val="clear" w:color="000000" w:fill="FFFFFF"/>
            <w:noWrap/>
            <w:vAlign w:val="center"/>
            <w:hideMark/>
          </w:tcPr>
          <w:p w14:paraId="59EC0C2C" w14:textId="77777777" w:rsidR="00B86D82" w:rsidRPr="0005279C" w:rsidRDefault="00B86D82" w:rsidP="006A7377">
            <w:pPr>
              <w:jc w:val="center"/>
              <w:rPr>
                <w:color w:val="000000"/>
                <w:sz w:val="16"/>
                <w:szCs w:val="16"/>
              </w:rPr>
            </w:pPr>
            <w:r w:rsidRPr="0005279C">
              <w:rPr>
                <w:color w:val="000000"/>
                <w:sz w:val="16"/>
                <w:szCs w:val="16"/>
              </w:rPr>
              <w:t>Q2,002.62</w:t>
            </w:r>
          </w:p>
        </w:tc>
        <w:tc>
          <w:tcPr>
            <w:tcW w:w="914" w:type="dxa"/>
            <w:tcBorders>
              <w:top w:val="nil"/>
              <w:left w:val="nil"/>
              <w:bottom w:val="single" w:sz="8" w:space="0" w:color="auto"/>
              <w:right w:val="single" w:sz="8" w:space="0" w:color="auto"/>
            </w:tcBorders>
            <w:shd w:val="clear" w:color="000000" w:fill="FFFFFF"/>
            <w:noWrap/>
            <w:vAlign w:val="center"/>
            <w:hideMark/>
          </w:tcPr>
          <w:p w14:paraId="4F9BCD60" w14:textId="77777777" w:rsidR="00B86D82" w:rsidRPr="0005279C" w:rsidRDefault="00B86D82" w:rsidP="006A7377">
            <w:pPr>
              <w:jc w:val="center"/>
              <w:rPr>
                <w:color w:val="000000"/>
                <w:sz w:val="16"/>
                <w:szCs w:val="16"/>
              </w:rPr>
            </w:pPr>
            <w:r w:rsidRPr="0005279C">
              <w:rPr>
                <w:color w:val="000000"/>
                <w:sz w:val="16"/>
                <w:szCs w:val="16"/>
              </w:rPr>
              <w:t>Q1,977.30</w:t>
            </w:r>
          </w:p>
        </w:tc>
        <w:tc>
          <w:tcPr>
            <w:tcW w:w="914" w:type="dxa"/>
            <w:tcBorders>
              <w:top w:val="nil"/>
              <w:left w:val="nil"/>
              <w:bottom w:val="single" w:sz="8" w:space="0" w:color="auto"/>
              <w:right w:val="single" w:sz="8" w:space="0" w:color="auto"/>
            </w:tcBorders>
            <w:shd w:val="clear" w:color="000000" w:fill="FFFFFF"/>
            <w:noWrap/>
            <w:vAlign w:val="center"/>
            <w:hideMark/>
          </w:tcPr>
          <w:p w14:paraId="2722AA1A" w14:textId="77777777" w:rsidR="00B86D82" w:rsidRPr="0005279C" w:rsidRDefault="00B86D82" w:rsidP="006A7377">
            <w:pPr>
              <w:jc w:val="center"/>
              <w:rPr>
                <w:color w:val="000000"/>
                <w:sz w:val="16"/>
                <w:szCs w:val="16"/>
              </w:rPr>
            </w:pPr>
            <w:r w:rsidRPr="0005279C">
              <w:rPr>
                <w:color w:val="000000"/>
                <w:sz w:val="16"/>
                <w:szCs w:val="16"/>
              </w:rPr>
              <w:t>Q1,846.15</w:t>
            </w:r>
          </w:p>
        </w:tc>
        <w:tc>
          <w:tcPr>
            <w:tcW w:w="914" w:type="dxa"/>
            <w:tcBorders>
              <w:top w:val="nil"/>
              <w:left w:val="nil"/>
              <w:bottom w:val="single" w:sz="8" w:space="0" w:color="auto"/>
              <w:right w:val="single" w:sz="8" w:space="0" w:color="auto"/>
            </w:tcBorders>
            <w:shd w:val="clear" w:color="000000" w:fill="FFFFFF"/>
            <w:noWrap/>
            <w:vAlign w:val="center"/>
            <w:hideMark/>
          </w:tcPr>
          <w:p w14:paraId="77E47332" w14:textId="77777777" w:rsidR="00B86D82" w:rsidRPr="0005279C" w:rsidRDefault="00B86D82" w:rsidP="006A7377">
            <w:pPr>
              <w:jc w:val="center"/>
              <w:rPr>
                <w:color w:val="000000"/>
                <w:sz w:val="16"/>
                <w:szCs w:val="16"/>
              </w:rPr>
            </w:pPr>
            <w:r w:rsidRPr="0005279C">
              <w:rPr>
                <w:color w:val="000000"/>
                <w:sz w:val="16"/>
                <w:szCs w:val="16"/>
              </w:rPr>
              <w:t>Q1,416.60</w:t>
            </w:r>
          </w:p>
        </w:tc>
        <w:tc>
          <w:tcPr>
            <w:tcW w:w="914" w:type="dxa"/>
            <w:tcBorders>
              <w:top w:val="nil"/>
              <w:left w:val="nil"/>
              <w:bottom w:val="single" w:sz="8" w:space="0" w:color="auto"/>
              <w:right w:val="single" w:sz="8" w:space="0" w:color="auto"/>
            </w:tcBorders>
            <w:shd w:val="clear" w:color="000000" w:fill="FFFFFF"/>
            <w:noWrap/>
            <w:vAlign w:val="center"/>
            <w:hideMark/>
          </w:tcPr>
          <w:p w14:paraId="12243782" w14:textId="77777777" w:rsidR="00B86D82" w:rsidRPr="0005279C" w:rsidRDefault="00B86D82" w:rsidP="006A7377">
            <w:pPr>
              <w:jc w:val="center"/>
              <w:rPr>
                <w:color w:val="000000"/>
                <w:sz w:val="16"/>
                <w:szCs w:val="16"/>
              </w:rPr>
            </w:pPr>
            <w:r w:rsidRPr="0005279C">
              <w:rPr>
                <w:color w:val="000000"/>
                <w:sz w:val="16"/>
                <w:szCs w:val="16"/>
              </w:rPr>
              <w:t>Q1,485.68</w:t>
            </w:r>
          </w:p>
        </w:tc>
        <w:tc>
          <w:tcPr>
            <w:tcW w:w="926" w:type="dxa"/>
            <w:tcBorders>
              <w:top w:val="nil"/>
              <w:left w:val="nil"/>
              <w:bottom w:val="single" w:sz="8" w:space="0" w:color="auto"/>
              <w:right w:val="single" w:sz="8" w:space="0" w:color="auto"/>
            </w:tcBorders>
            <w:shd w:val="clear" w:color="000000" w:fill="FFFFFF"/>
            <w:noWrap/>
            <w:vAlign w:val="center"/>
            <w:hideMark/>
          </w:tcPr>
          <w:p w14:paraId="127230E6" w14:textId="77777777" w:rsidR="00B86D82" w:rsidRPr="0005279C" w:rsidRDefault="00B86D82" w:rsidP="006A7377">
            <w:pPr>
              <w:jc w:val="center"/>
              <w:rPr>
                <w:color w:val="000000"/>
                <w:sz w:val="16"/>
                <w:szCs w:val="16"/>
              </w:rPr>
            </w:pPr>
            <w:r w:rsidRPr="0005279C">
              <w:rPr>
                <w:color w:val="000000"/>
                <w:sz w:val="16"/>
                <w:szCs w:val="16"/>
              </w:rPr>
              <w:t>Q1,276.18</w:t>
            </w:r>
          </w:p>
        </w:tc>
      </w:tr>
      <w:tr w:rsidR="00B86D82" w:rsidRPr="0005279C" w14:paraId="2A72EF75" w14:textId="77777777" w:rsidTr="00411D33">
        <w:trPr>
          <w:trHeight w:val="216"/>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15F4E4B5" w14:textId="77777777" w:rsidR="00B86D82" w:rsidRPr="0005279C" w:rsidRDefault="00B86D82" w:rsidP="006A7377">
            <w:pPr>
              <w:rPr>
                <w:b/>
                <w:bCs/>
                <w:color w:val="000000"/>
                <w:sz w:val="16"/>
                <w:szCs w:val="16"/>
              </w:rPr>
            </w:pPr>
            <w:r w:rsidRPr="0005279C">
              <w:rPr>
                <w:b/>
                <w:bCs/>
                <w:color w:val="000000"/>
                <w:sz w:val="16"/>
                <w:szCs w:val="16"/>
              </w:rPr>
              <w:t>Ajuste años anteriores</w:t>
            </w:r>
          </w:p>
        </w:tc>
        <w:tc>
          <w:tcPr>
            <w:tcW w:w="916" w:type="dxa"/>
            <w:tcBorders>
              <w:top w:val="nil"/>
              <w:left w:val="nil"/>
              <w:bottom w:val="single" w:sz="8" w:space="0" w:color="auto"/>
              <w:right w:val="single" w:sz="8" w:space="0" w:color="auto"/>
            </w:tcBorders>
            <w:shd w:val="clear" w:color="000000" w:fill="FFFFFF"/>
            <w:noWrap/>
            <w:vAlign w:val="center"/>
            <w:hideMark/>
          </w:tcPr>
          <w:p w14:paraId="6EF6BF94" w14:textId="77777777" w:rsidR="00B86D82" w:rsidRPr="0005279C" w:rsidRDefault="00B86D82" w:rsidP="006A7377">
            <w:pPr>
              <w:jc w:val="center"/>
              <w:rPr>
                <w:color w:val="000000"/>
                <w:sz w:val="16"/>
                <w:szCs w:val="16"/>
              </w:rPr>
            </w:pPr>
            <w:r w:rsidRPr="0005279C">
              <w:rPr>
                <w:color w:val="000000"/>
                <w:sz w:val="16"/>
                <w:szCs w:val="16"/>
              </w:rPr>
              <w:t>Q4.91</w:t>
            </w:r>
          </w:p>
        </w:tc>
        <w:tc>
          <w:tcPr>
            <w:tcW w:w="914" w:type="dxa"/>
            <w:tcBorders>
              <w:top w:val="nil"/>
              <w:left w:val="nil"/>
              <w:bottom w:val="single" w:sz="8" w:space="0" w:color="auto"/>
              <w:right w:val="single" w:sz="8" w:space="0" w:color="auto"/>
            </w:tcBorders>
            <w:shd w:val="clear" w:color="000000" w:fill="FFFFFF"/>
            <w:noWrap/>
            <w:vAlign w:val="center"/>
            <w:hideMark/>
          </w:tcPr>
          <w:p w14:paraId="0B208A14" w14:textId="77777777" w:rsidR="00B86D82" w:rsidRPr="0005279C" w:rsidRDefault="00B86D82" w:rsidP="006A7377">
            <w:pPr>
              <w:jc w:val="center"/>
              <w:rPr>
                <w:color w:val="000000"/>
                <w:sz w:val="16"/>
                <w:szCs w:val="16"/>
              </w:rPr>
            </w:pPr>
            <w:r w:rsidRPr="0005279C">
              <w:rPr>
                <w:color w:val="000000"/>
                <w:sz w:val="16"/>
                <w:szCs w:val="16"/>
              </w:rPr>
              <w:t>Q5.79</w:t>
            </w:r>
          </w:p>
        </w:tc>
        <w:tc>
          <w:tcPr>
            <w:tcW w:w="914" w:type="dxa"/>
            <w:tcBorders>
              <w:top w:val="nil"/>
              <w:left w:val="nil"/>
              <w:bottom w:val="single" w:sz="8" w:space="0" w:color="auto"/>
              <w:right w:val="single" w:sz="8" w:space="0" w:color="auto"/>
            </w:tcBorders>
            <w:shd w:val="clear" w:color="000000" w:fill="FFFFFF"/>
            <w:noWrap/>
            <w:vAlign w:val="center"/>
            <w:hideMark/>
          </w:tcPr>
          <w:p w14:paraId="7A5DD7BC" w14:textId="77777777" w:rsidR="00B86D82" w:rsidRPr="0005279C" w:rsidRDefault="00B86D82" w:rsidP="006A7377">
            <w:pPr>
              <w:jc w:val="center"/>
              <w:rPr>
                <w:color w:val="000000"/>
                <w:sz w:val="16"/>
                <w:szCs w:val="16"/>
              </w:rPr>
            </w:pPr>
            <w:r w:rsidRPr="0005279C">
              <w:rPr>
                <w:color w:val="000000"/>
                <w:sz w:val="16"/>
                <w:szCs w:val="16"/>
              </w:rPr>
              <w:t>Q3.03</w:t>
            </w:r>
          </w:p>
        </w:tc>
        <w:tc>
          <w:tcPr>
            <w:tcW w:w="914" w:type="dxa"/>
            <w:tcBorders>
              <w:top w:val="nil"/>
              <w:left w:val="nil"/>
              <w:bottom w:val="single" w:sz="8" w:space="0" w:color="auto"/>
              <w:right w:val="single" w:sz="8" w:space="0" w:color="auto"/>
            </w:tcBorders>
            <w:shd w:val="clear" w:color="000000" w:fill="FFFFFF"/>
            <w:noWrap/>
            <w:vAlign w:val="center"/>
            <w:hideMark/>
          </w:tcPr>
          <w:p w14:paraId="7D2A4985" w14:textId="77777777" w:rsidR="00B86D82" w:rsidRPr="0005279C" w:rsidRDefault="00B86D82" w:rsidP="006A7377">
            <w:pPr>
              <w:jc w:val="center"/>
              <w:rPr>
                <w:color w:val="000000"/>
                <w:sz w:val="16"/>
                <w:szCs w:val="16"/>
              </w:rPr>
            </w:pPr>
            <w:r w:rsidRPr="0005279C">
              <w:rPr>
                <w:color w:val="000000"/>
                <w:sz w:val="16"/>
                <w:szCs w:val="16"/>
              </w:rPr>
              <w:t>Q4.15</w:t>
            </w:r>
          </w:p>
        </w:tc>
        <w:tc>
          <w:tcPr>
            <w:tcW w:w="914" w:type="dxa"/>
            <w:tcBorders>
              <w:top w:val="nil"/>
              <w:left w:val="nil"/>
              <w:bottom w:val="single" w:sz="8" w:space="0" w:color="auto"/>
              <w:right w:val="single" w:sz="8" w:space="0" w:color="auto"/>
            </w:tcBorders>
            <w:shd w:val="clear" w:color="000000" w:fill="FFFFFF"/>
            <w:noWrap/>
            <w:vAlign w:val="center"/>
            <w:hideMark/>
          </w:tcPr>
          <w:p w14:paraId="5A5367D4" w14:textId="77777777" w:rsidR="00B86D82" w:rsidRPr="0005279C" w:rsidRDefault="00B86D82" w:rsidP="006A7377">
            <w:pPr>
              <w:jc w:val="center"/>
              <w:rPr>
                <w:color w:val="000000"/>
                <w:sz w:val="16"/>
                <w:szCs w:val="16"/>
              </w:rPr>
            </w:pPr>
            <w:r w:rsidRPr="0005279C">
              <w:rPr>
                <w:color w:val="000000"/>
                <w:sz w:val="16"/>
                <w:szCs w:val="16"/>
              </w:rPr>
              <w:t>Q6.88</w:t>
            </w:r>
          </w:p>
        </w:tc>
        <w:tc>
          <w:tcPr>
            <w:tcW w:w="914" w:type="dxa"/>
            <w:tcBorders>
              <w:top w:val="nil"/>
              <w:left w:val="nil"/>
              <w:bottom w:val="single" w:sz="8" w:space="0" w:color="auto"/>
              <w:right w:val="single" w:sz="8" w:space="0" w:color="auto"/>
            </w:tcBorders>
            <w:shd w:val="clear" w:color="000000" w:fill="FFFFFF"/>
            <w:noWrap/>
            <w:vAlign w:val="center"/>
            <w:hideMark/>
          </w:tcPr>
          <w:p w14:paraId="4CC31B3D" w14:textId="77777777" w:rsidR="00B86D82" w:rsidRPr="0005279C" w:rsidRDefault="00B86D82" w:rsidP="006A7377">
            <w:pPr>
              <w:jc w:val="center"/>
              <w:rPr>
                <w:color w:val="000000"/>
                <w:sz w:val="16"/>
                <w:szCs w:val="16"/>
              </w:rPr>
            </w:pPr>
            <w:r w:rsidRPr="0005279C">
              <w:rPr>
                <w:color w:val="000000"/>
                <w:sz w:val="16"/>
                <w:szCs w:val="16"/>
              </w:rPr>
              <w:t>Q3.25</w:t>
            </w:r>
          </w:p>
        </w:tc>
        <w:tc>
          <w:tcPr>
            <w:tcW w:w="926" w:type="dxa"/>
            <w:tcBorders>
              <w:top w:val="nil"/>
              <w:left w:val="nil"/>
              <w:bottom w:val="single" w:sz="8" w:space="0" w:color="auto"/>
              <w:right w:val="single" w:sz="8" w:space="0" w:color="auto"/>
            </w:tcBorders>
            <w:shd w:val="clear" w:color="000000" w:fill="FFFFFF"/>
            <w:noWrap/>
            <w:vAlign w:val="center"/>
            <w:hideMark/>
          </w:tcPr>
          <w:p w14:paraId="73F8CA39" w14:textId="77777777" w:rsidR="00B86D82" w:rsidRPr="0005279C" w:rsidRDefault="00B86D82" w:rsidP="006A7377">
            <w:pPr>
              <w:jc w:val="center"/>
              <w:rPr>
                <w:color w:val="000000"/>
                <w:sz w:val="16"/>
                <w:szCs w:val="16"/>
              </w:rPr>
            </w:pPr>
            <w:r w:rsidRPr="0005279C">
              <w:rPr>
                <w:color w:val="000000"/>
                <w:sz w:val="16"/>
                <w:szCs w:val="16"/>
              </w:rPr>
              <w:t>Q4.67</w:t>
            </w:r>
          </w:p>
        </w:tc>
      </w:tr>
      <w:tr w:rsidR="00B86D82" w:rsidRPr="0005279C" w14:paraId="7B21F08E" w14:textId="77777777" w:rsidTr="00411D33">
        <w:trPr>
          <w:trHeight w:val="216"/>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165933FF" w14:textId="77777777" w:rsidR="00B86D82" w:rsidRPr="0005279C" w:rsidRDefault="00B86D82" w:rsidP="006A7377">
            <w:pPr>
              <w:rPr>
                <w:b/>
                <w:bCs/>
                <w:color w:val="000000"/>
                <w:sz w:val="16"/>
                <w:szCs w:val="16"/>
              </w:rPr>
            </w:pPr>
            <w:r w:rsidRPr="0005279C">
              <w:rPr>
                <w:b/>
                <w:bCs/>
                <w:color w:val="000000"/>
                <w:sz w:val="16"/>
                <w:szCs w:val="16"/>
              </w:rPr>
              <w:t>Reserva Acumulada</w:t>
            </w:r>
          </w:p>
        </w:tc>
        <w:tc>
          <w:tcPr>
            <w:tcW w:w="916" w:type="dxa"/>
            <w:tcBorders>
              <w:top w:val="nil"/>
              <w:left w:val="nil"/>
              <w:bottom w:val="single" w:sz="8" w:space="0" w:color="auto"/>
              <w:right w:val="single" w:sz="8" w:space="0" w:color="auto"/>
            </w:tcBorders>
            <w:shd w:val="clear" w:color="000000" w:fill="FFFFFF"/>
            <w:noWrap/>
            <w:vAlign w:val="center"/>
            <w:hideMark/>
          </w:tcPr>
          <w:p w14:paraId="772C84F7" w14:textId="77777777" w:rsidR="00B86D82" w:rsidRPr="0005279C" w:rsidRDefault="00B86D82" w:rsidP="006A7377">
            <w:pPr>
              <w:jc w:val="center"/>
              <w:rPr>
                <w:b/>
                <w:bCs/>
                <w:color w:val="000000"/>
                <w:sz w:val="16"/>
                <w:szCs w:val="16"/>
              </w:rPr>
            </w:pPr>
            <w:r w:rsidRPr="0005279C">
              <w:rPr>
                <w:b/>
                <w:bCs/>
                <w:color w:val="000000"/>
                <w:sz w:val="16"/>
                <w:szCs w:val="16"/>
              </w:rPr>
              <w:t>Q19,381.86</w:t>
            </w:r>
          </w:p>
        </w:tc>
        <w:tc>
          <w:tcPr>
            <w:tcW w:w="914" w:type="dxa"/>
            <w:tcBorders>
              <w:top w:val="nil"/>
              <w:left w:val="nil"/>
              <w:bottom w:val="single" w:sz="8" w:space="0" w:color="auto"/>
              <w:right w:val="single" w:sz="8" w:space="0" w:color="auto"/>
            </w:tcBorders>
            <w:shd w:val="clear" w:color="000000" w:fill="FFFFFF"/>
            <w:noWrap/>
            <w:vAlign w:val="center"/>
            <w:hideMark/>
          </w:tcPr>
          <w:p w14:paraId="01F5F4F1" w14:textId="77777777" w:rsidR="00B86D82" w:rsidRPr="0005279C" w:rsidRDefault="00B86D82" w:rsidP="006A7377">
            <w:pPr>
              <w:jc w:val="center"/>
              <w:rPr>
                <w:b/>
                <w:bCs/>
                <w:color w:val="000000"/>
                <w:sz w:val="16"/>
                <w:szCs w:val="16"/>
              </w:rPr>
            </w:pPr>
            <w:r w:rsidRPr="0005279C">
              <w:rPr>
                <w:b/>
                <w:bCs/>
                <w:color w:val="000000"/>
                <w:sz w:val="16"/>
                <w:szCs w:val="16"/>
              </w:rPr>
              <w:t>Q21,390.27</w:t>
            </w:r>
          </w:p>
        </w:tc>
        <w:tc>
          <w:tcPr>
            <w:tcW w:w="914" w:type="dxa"/>
            <w:tcBorders>
              <w:top w:val="nil"/>
              <w:left w:val="nil"/>
              <w:bottom w:val="single" w:sz="8" w:space="0" w:color="auto"/>
              <w:right w:val="single" w:sz="8" w:space="0" w:color="auto"/>
            </w:tcBorders>
            <w:shd w:val="clear" w:color="000000" w:fill="FFFFFF"/>
            <w:noWrap/>
            <w:vAlign w:val="center"/>
            <w:hideMark/>
          </w:tcPr>
          <w:p w14:paraId="53C262BE" w14:textId="77777777" w:rsidR="00B86D82" w:rsidRPr="0005279C" w:rsidRDefault="00B86D82" w:rsidP="006A7377">
            <w:pPr>
              <w:jc w:val="center"/>
              <w:rPr>
                <w:b/>
                <w:bCs/>
                <w:color w:val="000000"/>
                <w:sz w:val="16"/>
                <w:szCs w:val="16"/>
              </w:rPr>
            </w:pPr>
            <w:r w:rsidRPr="0005279C">
              <w:rPr>
                <w:b/>
                <w:bCs/>
                <w:color w:val="000000"/>
                <w:sz w:val="16"/>
                <w:szCs w:val="16"/>
              </w:rPr>
              <w:t>Q23,370.60</w:t>
            </w:r>
          </w:p>
        </w:tc>
        <w:tc>
          <w:tcPr>
            <w:tcW w:w="914" w:type="dxa"/>
            <w:tcBorders>
              <w:top w:val="nil"/>
              <w:left w:val="nil"/>
              <w:bottom w:val="single" w:sz="8" w:space="0" w:color="auto"/>
              <w:right w:val="single" w:sz="8" w:space="0" w:color="auto"/>
            </w:tcBorders>
            <w:shd w:val="clear" w:color="000000" w:fill="FFFFFF"/>
            <w:noWrap/>
            <w:vAlign w:val="center"/>
            <w:hideMark/>
          </w:tcPr>
          <w:p w14:paraId="6352FEC5" w14:textId="77777777" w:rsidR="00B86D82" w:rsidRPr="0005279C" w:rsidRDefault="00B86D82" w:rsidP="006A7377">
            <w:pPr>
              <w:jc w:val="center"/>
              <w:rPr>
                <w:b/>
                <w:bCs/>
                <w:color w:val="000000"/>
                <w:sz w:val="16"/>
                <w:szCs w:val="16"/>
              </w:rPr>
            </w:pPr>
            <w:r w:rsidRPr="0005279C">
              <w:rPr>
                <w:b/>
                <w:bCs/>
                <w:color w:val="000000"/>
                <w:sz w:val="16"/>
                <w:szCs w:val="16"/>
              </w:rPr>
              <w:t>Q25,220.90</w:t>
            </w:r>
          </w:p>
        </w:tc>
        <w:tc>
          <w:tcPr>
            <w:tcW w:w="914" w:type="dxa"/>
            <w:tcBorders>
              <w:top w:val="nil"/>
              <w:left w:val="nil"/>
              <w:bottom w:val="single" w:sz="8" w:space="0" w:color="auto"/>
              <w:right w:val="single" w:sz="8" w:space="0" w:color="auto"/>
            </w:tcBorders>
            <w:shd w:val="clear" w:color="000000" w:fill="FFFFFF"/>
            <w:noWrap/>
            <w:vAlign w:val="center"/>
            <w:hideMark/>
          </w:tcPr>
          <w:p w14:paraId="0204C40E" w14:textId="77777777" w:rsidR="00B86D82" w:rsidRPr="0005279C" w:rsidRDefault="00B86D82" w:rsidP="006A7377">
            <w:pPr>
              <w:jc w:val="center"/>
              <w:rPr>
                <w:b/>
                <w:bCs/>
                <w:color w:val="000000"/>
                <w:sz w:val="16"/>
                <w:szCs w:val="16"/>
              </w:rPr>
            </w:pPr>
            <w:r w:rsidRPr="0005279C">
              <w:rPr>
                <w:b/>
                <w:bCs/>
                <w:color w:val="000000"/>
                <w:sz w:val="16"/>
                <w:szCs w:val="16"/>
              </w:rPr>
              <w:t>Q26,644.38</w:t>
            </w:r>
          </w:p>
        </w:tc>
        <w:tc>
          <w:tcPr>
            <w:tcW w:w="914" w:type="dxa"/>
            <w:tcBorders>
              <w:top w:val="nil"/>
              <w:left w:val="nil"/>
              <w:bottom w:val="single" w:sz="8" w:space="0" w:color="auto"/>
              <w:right w:val="single" w:sz="8" w:space="0" w:color="auto"/>
            </w:tcBorders>
            <w:shd w:val="clear" w:color="000000" w:fill="FFFFFF"/>
            <w:noWrap/>
            <w:vAlign w:val="center"/>
            <w:hideMark/>
          </w:tcPr>
          <w:p w14:paraId="0BE20390" w14:textId="77777777" w:rsidR="00B86D82" w:rsidRPr="0005279C" w:rsidRDefault="00B86D82" w:rsidP="006A7377">
            <w:pPr>
              <w:jc w:val="center"/>
              <w:rPr>
                <w:b/>
                <w:bCs/>
                <w:color w:val="000000"/>
                <w:sz w:val="16"/>
                <w:szCs w:val="16"/>
              </w:rPr>
            </w:pPr>
            <w:r w:rsidRPr="0005279C">
              <w:rPr>
                <w:b/>
                <w:bCs/>
                <w:color w:val="000000"/>
                <w:sz w:val="16"/>
                <w:szCs w:val="16"/>
              </w:rPr>
              <w:t>Q28,133.31</w:t>
            </w:r>
          </w:p>
        </w:tc>
        <w:tc>
          <w:tcPr>
            <w:tcW w:w="926" w:type="dxa"/>
            <w:tcBorders>
              <w:top w:val="nil"/>
              <w:left w:val="nil"/>
              <w:bottom w:val="single" w:sz="8" w:space="0" w:color="auto"/>
              <w:right w:val="single" w:sz="8" w:space="0" w:color="auto"/>
            </w:tcBorders>
            <w:shd w:val="clear" w:color="000000" w:fill="FFFFFF"/>
            <w:noWrap/>
            <w:vAlign w:val="center"/>
            <w:hideMark/>
          </w:tcPr>
          <w:p w14:paraId="78AF60CF" w14:textId="77777777" w:rsidR="00B86D82" w:rsidRPr="0005279C" w:rsidRDefault="00B86D82" w:rsidP="006A7377">
            <w:pPr>
              <w:jc w:val="center"/>
              <w:rPr>
                <w:b/>
                <w:bCs/>
                <w:color w:val="000000"/>
                <w:sz w:val="16"/>
                <w:szCs w:val="16"/>
              </w:rPr>
            </w:pPr>
            <w:r w:rsidRPr="0005279C">
              <w:rPr>
                <w:b/>
                <w:bCs/>
                <w:color w:val="000000"/>
                <w:sz w:val="16"/>
                <w:szCs w:val="16"/>
              </w:rPr>
              <w:t>Q29,414.16</w:t>
            </w:r>
          </w:p>
        </w:tc>
      </w:tr>
      <w:tr w:rsidR="00B86D82" w:rsidRPr="0005279C" w14:paraId="651A9EC9" w14:textId="77777777" w:rsidTr="00411D33">
        <w:trPr>
          <w:trHeight w:val="290"/>
          <w:jc w:val="center"/>
        </w:trPr>
        <w:tc>
          <w:tcPr>
            <w:tcW w:w="236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01662F5" w14:textId="77777777" w:rsidR="00B86D82" w:rsidRPr="0005279C" w:rsidRDefault="00B86D82" w:rsidP="006A7377">
            <w:pPr>
              <w:rPr>
                <w:b/>
                <w:bCs/>
                <w:color w:val="000000"/>
                <w:sz w:val="16"/>
                <w:szCs w:val="16"/>
              </w:rPr>
            </w:pPr>
            <w:r w:rsidRPr="0005279C">
              <w:rPr>
                <w:b/>
                <w:bCs/>
                <w:color w:val="000000"/>
                <w:sz w:val="16"/>
                <w:szCs w:val="16"/>
              </w:rPr>
              <w:t>Variación interanual de la reserva acumulada</w:t>
            </w:r>
          </w:p>
        </w:tc>
        <w:tc>
          <w:tcPr>
            <w:tcW w:w="914" w:type="dxa"/>
            <w:tcBorders>
              <w:top w:val="nil"/>
              <w:left w:val="nil"/>
              <w:bottom w:val="single" w:sz="8" w:space="0" w:color="auto"/>
              <w:right w:val="single" w:sz="8" w:space="0" w:color="auto"/>
            </w:tcBorders>
            <w:shd w:val="clear" w:color="000000" w:fill="FFFFFF"/>
            <w:noWrap/>
            <w:vAlign w:val="center"/>
            <w:hideMark/>
          </w:tcPr>
          <w:p w14:paraId="55DF3615" w14:textId="77777777" w:rsidR="00B86D82" w:rsidRPr="0005279C" w:rsidRDefault="00B86D82" w:rsidP="006A7377">
            <w:pPr>
              <w:jc w:val="center"/>
              <w:rPr>
                <w:color w:val="000000"/>
                <w:sz w:val="16"/>
                <w:szCs w:val="16"/>
              </w:rPr>
            </w:pPr>
            <w:r w:rsidRPr="0005279C">
              <w:rPr>
                <w:color w:val="000000"/>
                <w:sz w:val="16"/>
                <w:szCs w:val="16"/>
              </w:rPr>
              <w:t>10.40%</w:t>
            </w:r>
          </w:p>
        </w:tc>
        <w:tc>
          <w:tcPr>
            <w:tcW w:w="914" w:type="dxa"/>
            <w:tcBorders>
              <w:top w:val="nil"/>
              <w:left w:val="nil"/>
              <w:bottom w:val="single" w:sz="8" w:space="0" w:color="auto"/>
              <w:right w:val="single" w:sz="8" w:space="0" w:color="auto"/>
            </w:tcBorders>
            <w:shd w:val="clear" w:color="000000" w:fill="FFFFFF"/>
            <w:noWrap/>
            <w:vAlign w:val="center"/>
            <w:hideMark/>
          </w:tcPr>
          <w:p w14:paraId="6F2A9EBD" w14:textId="77777777" w:rsidR="00B86D82" w:rsidRPr="0005279C" w:rsidRDefault="00B86D82" w:rsidP="006A7377">
            <w:pPr>
              <w:jc w:val="center"/>
              <w:rPr>
                <w:color w:val="000000"/>
                <w:sz w:val="16"/>
                <w:szCs w:val="16"/>
              </w:rPr>
            </w:pPr>
            <w:r w:rsidRPr="0005279C">
              <w:rPr>
                <w:color w:val="000000"/>
                <w:sz w:val="16"/>
                <w:szCs w:val="16"/>
              </w:rPr>
              <w:t>9.30%</w:t>
            </w:r>
          </w:p>
        </w:tc>
        <w:tc>
          <w:tcPr>
            <w:tcW w:w="914" w:type="dxa"/>
            <w:tcBorders>
              <w:top w:val="nil"/>
              <w:left w:val="nil"/>
              <w:bottom w:val="single" w:sz="8" w:space="0" w:color="auto"/>
              <w:right w:val="single" w:sz="8" w:space="0" w:color="auto"/>
            </w:tcBorders>
            <w:shd w:val="clear" w:color="000000" w:fill="FFFFFF"/>
            <w:noWrap/>
            <w:vAlign w:val="center"/>
            <w:hideMark/>
          </w:tcPr>
          <w:p w14:paraId="5118B411" w14:textId="77777777" w:rsidR="00B86D82" w:rsidRPr="0005279C" w:rsidRDefault="00B86D82" w:rsidP="006A7377">
            <w:pPr>
              <w:jc w:val="center"/>
              <w:rPr>
                <w:color w:val="000000"/>
                <w:sz w:val="16"/>
                <w:szCs w:val="16"/>
              </w:rPr>
            </w:pPr>
            <w:r w:rsidRPr="0005279C">
              <w:rPr>
                <w:color w:val="000000"/>
                <w:sz w:val="16"/>
                <w:szCs w:val="16"/>
              </w:rPr>
              <w:t>7.90%</w:t>
            </w:r>
          </w:p>
        </w:tc>
        <w:tc>
          <w:tcPr>
            <w:tcW w:w="914" w:type="dxa"/>
            <w:tcBorders>
              <w:top w:val="nil"/>
              <w:left w:val="nil"/>
              <w:bottom w:val="single" w:sz="8" w:space="0" w:color="auto"/>
              <w:right w:val="single" w:sz="8" w:space="0" w:color="auto"/>
            </w:tcBorders>
            <w:shd w:val="clear" w:color="000000" w:fill="FFFFFF"/>
            <w:noWrap/>
            <w:vAlign w:val="center"/>
            <w:hideMark/>
          </w:tcPr>
          <w:p w14:paraId="3BC0D04F" w14:textId="77777777" w:rsidR="00B86D82" w:rsidRPr="0005279C" w:rsidRDefault="00B86D82" w:rsidP="006A7377">
            <w:pPr>
              <w:jc w:val="center"/>
              <w:rPr>
                <w:color w:val="000000"/>
                <w:sz w:val="16"/>
                <w:szCs w:val="16"/>
              </w:rPr>
            </w:pPr>
            <w:r w:rsidRPr="0005279C">
              <w:rPr>
                <w:color w:val="000000"/>
                <w:sz w:val="16"/>
                <w:szCs w:val="16"/>
              </w:rPr>
              <w:t>5.60%</w:t>
            </w:r>
          </w:p>
        </w:tc>
        <w:tc>
          <w:tcPr>
            <w:tcW w:w="914" w:type="dxa"/>
            <w:tcBorders>
              <w:top w:val="nil"/>
              <w:left w:val="nil"/>
              <w:bottom w:val="single" w:sz="8" w:space="0" w:color="auto"/>
              <w:right w:val="single" w:sz="8" w:space="0" w:color="auto"/>
            </w:tcBorders>
            <w:shd w:val="clear" w:color="000000" w:fill="FFFFFF"/>
            <w:noWrap/>
            <w:vAlign w:val="center"/>
            <w:hideMark/>
          </w:tcPr>
          <w:p w14:paraId="6F044242" w14:textId="77777777" w:rsidR="00B86D82" w:rsidRPr="0005279C" w:rsidRDefault="00B86D82" w:rsidP="006A7377">
            <w:pPr>
              <w:jc w:val="center"/>
              <w:rPr>
                <w:color w:val="000000"/>
                <w:sz w:val="16"/>
                <w:szCs w:val="16"/>
              </w:rPr>
            </w:pPr>
            <w:r w:rsidRPr="0005279C">
              <w:rPr>
                <w:color w:val="000000"/>
                <w:sz w:val="16"/>
                <w:szCs w:val="16"/>
              </w:rPr>
              <w:t>5.60%</w:t>
            </w:r>
          </w:p>
        </w:tc>
        <w:tc>
          <w:tcPr>
            <w:tcW w:w="926" w:type="dxa"/>
            <w:tcBorders>
              <w:top w:val="nil"/>
              <w:left w:val="nil"/>
              <w:bottom w:val="single" w:sz="8" w:space="0" w:color="auto"/>
              <w:right w:val="single" w:sz="8" w:space="0" w:color="auto"/>
            </w:tcBorders>
            <w:shd w:val="clear" w:color="000000" w:fill="FFFFFF"/>
            <w:noWrap/>
            <w:vAlign w:val="center"/>
            <w:hideMark/>
          </w:tcPr>
          <w:p w14:paraId="116EDCD5" w14:textId="77777777" w:rsidR="00B86D82" w:rsidRPr="0005279C" w:rsidRDefault="00B86D82" w:rsidP="006A7377">
            <w:pPr>
              <w:jc w:val="center"/>
              <w:rPr>
                <w:color w:val="000000"/>
                <w:sz w:val="16"/>
                <w:szCs w:val="16"/>
              </w:rPr>
            </w:pPr>
            <w:r w:rsidRPr="0005279C">
              <w:rPr>
                <w:color w:val="000000"/>
                <w:sz w:val="16"/>
                <w:szCs w:val="16"/>
              </w:rPr>
              <w:t>4.50%</w:t>
            </w:r>
          </w:p>
        </w:tc>
      </w:tr>
    </w:tbl>
    <w:p w14:paraId="494A62D4" w14:textId="77777777" w:rsidR="00B86D82" w:rsidRPr="00CE09E6" w:rsidRDefault="00B86D82" w:rsidP="00B86D82">
      <w:pPr>
        <w:pStyle w:val="Sinespaciado"/>
        <w:ind w:left="426" w:right="49"/>
        <w:jc w:val="both"/>
        <w:rPr>
          <w:bCs/>
          <w:lang w:val="es-ES_tradnl"/>
        </w:rPr>
      </w:pPr>
      <w:r>
        <w:rPr>
          <w:sz w:val="16"/>
          <w:szCs w:val="18"/>
        </w:rPr>
        <w:t xml:space="preserve"> </w:t>
      </w:r>
      <w:r w:rsidRPr="00E94376">
        <w:rPr>
          <w:sz w:val="16"/>
          <w:szCs w:val="18"/>
        </w:rPr>
        <w:t xml:space="preserve">Fuente: Elaborado por DAPF con información </w:t>
      </w:r>
      <w:r>
        <w:rPr>
          <w:sz w:val="16"/>
          <w:szCs w:val="18"/>
        </w:rPr>
        <w:t>del I</w:t>
      </w:r>
      <w:r w:rsidRPr="00E94376">
        <w:rPr>
          <w:sz w:val="16"/>
          <w:szCs w:val="18"/>
        </w:rPr>
        <w:t xml:space="preserve">GSS en </w:t>
      </w:r>
      <w:r>
        <w:rPr>
          <w:sz w:val="16"/>
          <w:szCs w:val="18"/>
        </w:rPr>
        <w:t xml:space="preserve">BI de MINFIN y la tabla de contenido del IGSS en cifras de </w:t>
      </w:r>
      <w:r w:rsidRPr="00E94376">
        <w:rPr>
          <w:sz w:val="16"/>
          <w:szCs w:val="18"/>
        </w:rPr>
        <w:t>202</w:t>
      </w:r>
      <w:r>
        <w:rPr>
          <w:sz w:val="16"/>
          <w:szCs w:val="18"/>
        </w:rPr>
        <w:t>2</w:t>
      </w:r>
      <w:r w:rsidRPr="00E94376">
        <w:rPr>
          <w:sz w:val="16"/>
          <w:szCs w:val="18"/>
        </w:rPr>
        <w:t>.</w:t>
      </w:r>
    </w:p>
    <w:p w14:paraId="45BE48BD" w14:textId="77777777" w:rsidR="00B86D82" w:rsidRDefault="00B86D82" w:rsidP="00B86D82">
      <w:pPr>
        <w:jc w:val="both"/>
      </w:pPr>
    </w:p>
    <w:p w14:paraId="2FF95FD1" w14:textId="77777777" w:rsidR="00B86D82" w:rsidRDefault="00B86D82" w:rsidP="00B86D82">
      <w:pPr>
        <w:jc w:val="both"/>
      </w:pPr>
      <w:r w:rsidRPr="00BC572D">
        <w:t>Asimismo, según las proyecciones de ingresos y gastos esperados del programa según la evaluación actuarial del IVS del 202</w:t>
      </w:r>
      <w:r>
        <w:t>2</w:t>
      </w:r>
      <w:r w:rsidRPr="00BC572D">
        <w:t xml:space="preserve"> para los próximos años, se puede observar que el punto de equilibrio entre ingresos y gastos se encontrará alrededor del año 2024. </w:t>
      </w:r>
      <w:r>
        <w:t xml:space="preserve">Por lo que, según estimación del IGSS, cabría esperar que </w:t>
      </w:r>
      <w:r w:rsidRPr="00BC572D">
        <w:t>los gastos serán mayores que los ingresos a partir del 2025</w:t>
      </w:r>
      <w:r>
        <w:t xml:space="preserve">, por lo que </w:t>
      </w:r>
      <w:r w:rsidRPr="00BC572D">
        <w:t xml:space="preserve">la reserva acumulada empezará a </w:t>
      </w:r>
      <w:r>
        <w:t>reducirse gradualmente y probablemente en el 2033 ésta se agote, si no hay medidas para fortalecer los ingresos del IVS.</w:t>
      </w:r>
    </w:p>
    <w:p w14:paraId="0CDD90A6" w14:textId="2494F712" w:rsidR="00B86D82" w:rsidRDefault="00B86D82" w:rsidP="00B86D82">
      <w:pPr>
        <w:jc w:val="both"/>
      </w:pPr>
    </w:p>
    <w:p w14:paraId="01D72D15" w14:textId="36E9334E" w:rsidR="00411D33" w:rsidRDefault="00411D33" w:rsidP="00B86D82">
      <w:pPr>
        <w:jc w:val="both"/>
      </w:pPr>
    </w:p>
    <w:p w14:paraId="2B62056A" w14:textId="493D8614" w:rsidR="00411D33" w:rsidRDefault="00411D33" w:rsidP="00B86D82">
      <w:pPr>
        <w:jc w:val="both"/>
      </w:pPr>
    </w:p>
    <w:p w14:paraId="584D88C0" w14:textId="090DDB98" w:rsidR="00411D33" w:rsidRDefault="00411D33" w:rsidP="00B86D82">
      <w:pPr>
        <w:jc w:val="both"/>
      </w:pPr>
    </w:p>
    <w:p w14:paraId="73ADFADB" w14:textId="3FB8945F" w:rsidR="00411D33" w:rsidRDefault="00411D33" w:rsidP="00B86D82">
      <w:pPr>
        <w:jc w:val="both"/>
      </w:pPr>
    </w:p>
    <w:p w14:paraId="2720D9C1" w14:textId="77777777" w:rsidR="00411D33" w:rsidRPr="00BC572D" w:rsidRDefault="00411D33" w:rsidP="00B86D82">
      <w:pPr>
        <w:jc w:val="both"/>
      </w:pPr>
    </w:p>
    <w:p w14:paraId="39FBD98C" w14:textId="51A637E6" w:rsidR="002D5363" w:rsidRDefault="002D5363" w:rsidP="002D5363">
      <w:pPr>
        <w:pStyle w:val="Descripcin"/>
        <w:keepNext/>
      </w:pPr>
      <w:bookmarkStart w:id="385" w:name="_Toc143593611"/>
      <w:r w:rsidRPr="002D5363">
        <w:rPr>
          <w:color w:val="auto"/>
        </w:rPr>
        <w:lastRenderedPageBreak/>
        <w:t xml:space="preserve">Gráfico </w:t>
      </w:r>
      <w:r w:rsidRPr="002D5363">
        <w:rPr>
          <w:color w:val="auto"/>
        </w:rPr>
        <w:fldChar w:fldCharType="begin"/>
      </w:r>
      <w:r w:rsidRPr="002D5363">
        <w:rPr>
          <w:color w:val="auto"/>
        </w:rPr>
        <w:instrText xml:space="preserve"> SEQ Gráfico \* ARABIC </w:instrText>
      </w:r>
      <w:r w:rsidRPr="002D5363">
        <w:rPr>
          <w:color w:val="auto"/>
        </w:rPr>
        <w:fldChar w:fldCharType="separate"/>
      </w:r>
      <w:r w:rsidR="00A62AFA">
        <w:rPr>
          <w:noProof/>
          <w:color w:val="auto"/>
        </w:rPr>
        <w:t>53</w:t>
      </w:r>
      <w:r w:rsidRPr="002D5363">
        <w:rPr>
          <w:color w:val="auto"/>
        </w:rPr>
        <w:fldChar w:fldCharType="end"/>
      </w:r>
      <w:r w:rsidRPr="002D5363">
        <w:rPr>
          <w:color w:val="auto"/>
        </w:rPr>
        <w:t xml:space="preserve">.  </w:t>
      </w:r>
      <w:bookmarkStart w:id="386" w:name="_Toc114493915"/>
      <w:r w:rsidRPr="002D5363">
        <w:rPr>
          <w:color w:val="auto"/>
          <w:lang w:val="es-MX"/>
        </w:rPr>
        <w:t>Proye</w:t>
      </w:r>
      <w:r w:rsidRPr="00411D33">
        <w:rPr>
          <w:color w:val="auto"/>
          <w:lang w:val="es-MX"/>
        </w:rPr>
        <w:t>cción de ingresos, gastos y reservas del Programa -IVS-</w:t>
      </w:r>
      <w:bookmarkEnd w:id="385"/>
      <w:bookmarkEnd w:id="386"/>
    </w:p>
    <w:p w14:paraId="279330B8" w14:textId="77777777" w:rsidR="00B86D82" w:rsidRPr="00E26566" w:rsidRDefault="00B86D82" w:rsidP="00B86D82">
      <w:pPr>
        <w:ind w:left="540" w:right="72"/>
        <w:jc w:val="center"/>
        <w:rPr>
          <w:b/>
          <w:lang w:val="es-MX"/>
        </w:rPr>
      </w:pPr>
      <w:r w:rsidRPr="00E26566">
        <w:rPr>
          <w:b/>
          <w:lang w:val="es-MX"/>
        </w:rPr>
        <w:t>202</w:t>
      </w:r>
      <w:r>
        <w:rPr>
          <w:b/>
          <w:lang w:val="es-MX"/>
        </w:rPr>
        <w:t>3</w:t>
      </w:r>
      <w:r w:rsidRPr="00E26566">
        <w:rPr>
          <w:b/>
          <w:lang w:val="es-MX"/>
        </w:rPr>
        <w:t xml:space="preserve">-2033 </w:t>
      </w:r>
      <w:r w:rsidRPr="00E94376">
        <w:rPr>
          <w:lang w:val="es-MX"/>
        </w:rPr>
        <w:t>(cifras en millones de quetzales)</w:t>
      </w:r>
    </w:p>
    <w:p w14:paraId="54C0D3EA" w14:textId="77777777" w:rsidR="00B86D82" w:rsidRPr="00E94376" w:rsidRDefault="00B86D82" w:rsidP="00B86D82">
      <w:pPr>
        <w:ind w:left="540" w:right="72"/>
        <w:jc w:val="both"/>
        <w:rPr>
          <w:b/>
          <w:lang w:val="es-MX"/>
        </w:rPr>
      </w:pPr>
      <w:r w:rsidRPr="00E70BB3">
        <w:rPr>
          <w:noProof/>
        </w:rPr>
        <w:drawing>
          <wp:inline distT="0" distB="0" distL="0" distR="0" wp14:anchorId="0013C6EF" wp14:editId="457BA093">
            <wp:extent cx="5039995" cy="2333767"/>
            <wp:effectExtent l="0" t="0" r="8255" b="0"/>
            <wp:docPr id="1889938848" name="Gráfico 18899388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E94376">
        <w:rPr>
          <w:sz w:val="16"/>
          <w:szCs w:val="18"/>
        </w:rPr>
        <w:t>Fuente: IGSS, valuación actuarial de programa IVS 202</w:t>
      </w:r>
      <w:r>
        <w:rPr>
          <w:sz w:val="16"/>
          <w:szCs w:val="18"/>
        </w:rPr>
        <w:t>2</w:t>
      </w:r>
      <w:r w:rsidRPr="00E94376">
        <w:rPr>
          <w:sz w:val="16"/>
          <w:szCs w:val="18"/>
        </w:rPr>
        <w:t>.</w:t>
      </w:r>
    </w:p>
    <w:p w14:paraId="048EA662" w14:textId="77777777" w:rsidR="00B86D82" w:rsidRDefault="00B86D82" w:rsidP="00B86D82">
      <w:pPr>
        <w:jc w:val="both"/>
      </w:pPr>
    </w:p>
    <w:p w14:paraId="6F91A011" w14:textId="77777777" w:rsidR="00B86D82" w:rsidRDefault="00B86D82" w:rsidP="00B86D82">
      <w:pPr>
        <w:jc w:val="both"/>
      </w:pPr>
      <w:r>
        <w:t>La principal cobertura del IVS (riesgo) es por vejez, la cual representa las tres cuartas partes del programa, por lo que es relevante observar su comportamiento en el tiempo; hasta antes de la pandemia este riesgo venia decreciendo, pasando de 7.7% en 2011 a -0.6% en 2020.  Sin embargo, en 2021 y 2022, el crecimiento pasó de 2.8% a 4.6%, respectivamente, reflejando un aumento significativo en cuanto a las erogaciones que realiza el IGSS en dicho rubro dentro de este programa. Es de especial relevancia observar este cambio de tendencia, lo cual podría significar un elemento importante a tomar en cuenta para el análisis financiero de largo plazo.</w:t>
      </w:r>
    </w:p>
    <w:p w14:paraId="40B69B4B" w14:textId="77777777" w:rsidR="00B86D82" w:rsidRDefault="00B86D82" w:rsidP="00B86D82">
      <w:pPr>
        <w:jc w:val="both"/>
      </w:pPr>
    </w:p>
    <w:p w14:paraId="23496947" w14:textId="3907710B" w:rsidR="00411D33" w:rsidRDefault="00411D33" w:rsidP="00411D33">
      <w:pPr>
        <w:pStyle w:val="Descripcin"/>
      </w:pPr>
      <w:bookmarkStart w:id="387" w:name="_Toc143593612"/>
      <w:bookmarkStart w:id="388" w:name="_Toc114493916"/>
      <w:r w:rsidRPr="00411D33">
        <w:rPr>
          <w:color w:val="auto"/>
        </w:rPr>
        <w:t xml:space="preserve">Gráfico </w:t>
      </w:r>
      <w:r w:rsidRPr="00411D33">
        <w:rPr>
          <w:color w:val="auto"/>
        </w:rPr>
        <w:fldChar w:fldCharType="begin"/>
      </w:r>
      <w:r w:rsidRPr="00411D33">
        <w:rPr>
          <w:color w:val="auto"/>
        </w:rPr>
        <w:instrText xml:space="preserve"> SEQ Gráfico \* ARABIC </w:instrText>
      </w:r>
      <w:r w:rsidRPr="00411D33">
        <w:rPr>
          <w:color w:val="auto"/>
        </w:rPr>
        <w:fldChar w:fldCharType="separate"/>
      </w:r>
      <w:r w:rsidR="00A62AFA">
        <w:rPr>
          <w:noProof/>
          <w:color w:val="auto"/>
        </w:rPr>
        <w:t>54</w:t>
      </w:r>
      <w:r w:rsidRPr="00411D33">
        <w:rPr>
          <w:color w:val="auto"/>
        </w:rPr>
        <w:fldChar w:fldCharType="end"/>
      </w:r>
      <w:r w:rsidRPr="00411D33">
        <w:rPr>
          <w:color w:val="auto"/>
        </w:rPr>
        <w:t>. Número y variación interanual de</w:t>
      </w:r>
      <w:r>
        <w:rPr>
          <w:color w:val="auto"/>
        </w:rPr>
        <w:t xml:space="preserve"> los Pensionados por </w:t>
      </w:r>
      <w:r w:rsidRPr="00595C75">
        <w:rPr>
          <w:color w:val="auto"/>
          <w:lang w:val="es-MX"/>
        </w:rPr>
        <w:t xml:space="preserve">riesgos </w:t>
      </w:r>
      <w:r>
        <w:rPr>
          <w:color w:val="auto"/>
          <w:lang w:val="es-MX"/>
        </w:rPr>
        <w:t xml:space="preserve">de </w:t>
      </w:r>
      <w:r w:rsidRPr="00595C75">
        <w:rPr>
          <w:color w:val="auto"/>
          <w:lang w:val="es-MX"/>
        </w:rPr>
        <w:t xml:space="preserve">vejez </w:t>
      </w:r>
      <w:r>
        <w:rPr>
          <w:color w:val="auto"/>
          <w:lang w:val="es-MX"/>
        </w:rPr>
        <w:t xml:space="preserve">   </w:t>
      </w:r>
      <w:r w:rsidRPr="00595C75">
        <w:rPr>
          <w:color w:val="auto"/>
          <w:lang w:val="es-MX"/>
        </w:rPr>
        <w:t>del -IVS-</w:t>
      </w:r>
      <w:bookmarkEnd w:id="387"/>
    </w:p>
    <w:p w14:paraId="38707479" w14:textId="2CE82992" w:rsidR="00B86D82" w:rsidRPr="00595C75" w:rsidRDefault="00B86D82" w:rsidP="00B86D82">
      <w:pPr>
        <w:pStyle w:val="Descripcin"/>
        <w:keepNext/>
      </w:pPr>
      <w:r w:rsidRPr="00595C75">
        <w:rPr>
          <w:color w:val="auto"/>
          <w:lang w:val="es-MX"/>
        </w:rPr>
        <w:t xml:space="preserve"> 201</w:t>
      </w:r>
      <w:r>
        <w:rPr>
          <w:color w:val="auto"/>
          <w:lang w:val="es-MX"/>
        </w:rPr>
        <w:t>1</w:t>
      </w:r>
      <w:r w:rsidRPr="00595C75">
        <w:rPr>
          <w:color w:val="auto"/>
          <w:lang w:val="es-MX"/>
        </w:rPr>
        <w:t>-2022</w:t>
      </w:r>
      <w:bookmarkEnd w:id="388"/>
    </w:p>
    <w:p w14:paraId="4D3112D5" w14:textId="77777777" w:rsidR="00B86D82" w:rsidRPr="00411D33" w:rsidRDefault="00B86D82" w:rsidP="00B86D82">
      <w:pPr>
        <w:ind w:left="540" w:right="72"/>
        <w:jc w:val="center"/>
        <w:rPr>
          <w:sz w:val="22"/>
          <w:szCs w:val="22"/>
          <w:lang w:val="es-MX"/>
        </w:rPr>
      </w:pPr>
      <w:r w:rsidRPr="00411D33">
        <w:rPr>
          <w:sz w:val="22"/>
          <w:szCs w:val="22"/>
          <w:lang w:val="es-MX"/>
        </w:rPr>
        <w:t>(Número en miles de personas y variaciones en porcentajes)</w:t>
      </w:r>
    </w:p>
    <w:p w14:paraId="6EAC5D27" w14:textId="77777777" w:rsidR="00B86D82" w:rsidRPr="007F2A16" w:rsidRDefault="00B86D82" w:rsidP="00B86D82">
      <w:pPr>
        <w:ind w:left="540" w:right="72"/>
        <w:jc w:val="center"/>
        <w:rPr>
          <w:b/>
          <w:lang w:val="es-MX"/>
        </w:rPr>
      </w:pPr>
      <w:r>
        <w:rPr>
          <w:noProof/>
        </w:rPr>
        <w:drawing>
          <wp:inline distT="0" distB="0" distL="0" distR="0" wp14:anchorId="131B991B" wp14:editId="04C09BCF">
            <wp:extent cx="4580890" cy="2593074"/>
            <wp:effectExtent l="0" t="0" r="0" b="0"/>
            <wp:docPr id="1889938849" name="Gráfico 1889938849">
              <a:extLst xmlns:a="http://schemas.openxmlformats.org/drawingml/2006/main">
                <a:ext uri="{FF2B5EF4-FFF2-40B4-BE49-F238E27FC236}">
                  <a16:creationId xmlns:a16="http://schemas.microsoft.com/office/drawing/2014/main" id="{E1BF6F69-5144-45F5-89C5-19CF9B890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38C0782" w14:textId="77777777" w:rsidR="00B86D82" w:rsidRDefault="00B86D82" w:rsidP="00B86D82">
      <w:pPr>
        <w:jc w:val="center"/>
      </w:pPr>
      <w:r w:rsidRPr="007F2A16">
        <w:rPr>
          <w:sz w:val="16"/>
          <w:szCs w:val="18"/>
        </w:rPr>
        <w:t xml:space="preserve">Fuente: Elaborado por DAPF-MINFIN con Estadísticas publicadas por </w:t>
      </w:r>
      <w:r>
        <w:rPr>
          <w:sz w:val="16"/>
          <w:szCs w:val="18"/>
        </w:rPr>
        <w:t xml:space="preserve">la tabla de contenido del IGSS en cifras de </w:t>
      </w:r>
      <w:r w:rsidRPr="00E94376">
        <w:rPr>
          <w:sz w:val="16"/>
          <w:szCs w:val="18"/>
        </w:rPr>
        <w:t>202</w:t>
      </w:r>
      <w:r>
        <w:rPr>
          <w:sz w:val="16"/>
          <w:szCs w:val="18"/>
        </w:rPr>
        <w:t>2</w:t>
      </w:r>
    </w:p>
    <w:p w14:paraId="6E08CD68" w14:textId="77777777" w:rsidR="00B86D82" w:rsidRDefault="00B86D82" w:rsidP="00B86D82">
      <w:pPr>
        <w:jc w:val="both"/>
      </w:pPr>
    </w:p>
    <w:p w14:paraId="62BCFE0C" w14:textId="77777777" w:rsidR="00B86D82" w:rsidRPr="00BC572D" w:rsidRDefault="00B86D82" w:rsidP="00B86D82">
      <w:pPr>
        <w:jc w:val="both"/>
      </w:pPr>
      <w:r w:rsidRPr="00BC572D">
        <w:lastRenderedPageBreak/>
        <w:t>La información presentada en el análisis del IGSS indica que</w:t>
      </w:r>
      <w:r>
        <w:t>,</w:t>
      </w:r>
      <w:r w:rsidRPr="00BC572D">
        <w:t xml:space="preserve"> aún se puede mantener la prima de 5.5% para el IVS incluso hasta el 2024</w:t>
      </w:r>
      <w:r>
        <w:t xml:space="preserve">. </w:t>
      </w:r>
      <w:r w:rsidRPr="00BC572D">
        <w:t xml:space="preserve"> </w:t>
      </w:r>
      <w:r>
        <w:t>S</w:t>
      </w:r>
      <w:r w:rsidRPr="00BC572D">
        <w:t>in embargo, posterior a dicho año es necesario analizar posibles ajustes a dicha prima de financiamiento</w:t>
      </w:r>
      <w:r>
        <w:t xml:space="preserve">.  </w:t>
      </w:r>
      <w:r w:rsidRPr="00BC572D">
        <w:t xml:space="preserve"> </w:t>
      </w:r>
      <w:r>
        <w:t>Asi</w:t>
      </w:r>
      <w:r w:rsidRPr="00BC572D">
        <w:t>mismo</w:t>
      </w:r>
      <w:r>
        <w:t>,</w:t>
      </w:r>
      <w:r w:rsidRPr="00BC572D">
        <w:t xml:space="preserve"> dado que la situación financiera vislumbra un desequilibro en el corto </w:t>
      </w:r>
      <w:r w:rsidRPr="009E72DB">
        <w:t>plazo que sugiere la necesidad de aumentar o revalorizar las contribuciones</w:t>
      </w:r>
      <w:r>
        <w:t>.  P</w:t>
      </w:r>
      <w:r w:rsidRPr="009E72DB">
        <w:t>ara el efecto</w:t>
      </w:r>
      <w:r>
        <w:t>,</w:t>
      </w:r>
      <w:r w:rsidRPr="009E72DB">
        <w:t xml:space="preserve"> se deberá </w:t>
      </w:r>
      <w:r>
        <w:t xml:space="preserve">evaluar el comportamiento de 2023 y 2024 y </w:t>
      </w:r>
      <w:r w:rsidRPr="009E72DB">
        <w:t>contar con mejor información para la toma de decisiones previa al ajuste, con ello se evitaría poner en riesgo el equilibrio financiero del programa.</w:t>
      </w:r>
    </w:p>
    <w:p w14:paraId="076B0886" w14:textId="77777777" w:rsidR="00B86D82" w:rsidRPr="00BC572D" w:rsidRDefault="00B86D82" w:rsidP="00B86D82">
      <w:pPr>
        <w:jc w:val="both"/>
      </w:pPr>
    </w:p>
    <w:p w14:paraId="3032C151" w14:textId="77777777" w:rsidR="00B86D82" w:rsidRPr="00162DF6" w:rsidRDefault="00B86D82" w:rsidP="007F19DF">
      <w:pPr>
        <w:pStyle w:val="Ttulo2"/>
        <w:numPr>
          <w:ilvl w:val="2"/>
          <w:numId w:val="35"/>
        </w:numPr>
        <w:ind w:left="426" w:hanging="284"/>
        <w:rPr>
          <w:bCs/>
        </w:rPr>
      </w:pPr>
      <w:bookmarkStart w:id="389" w:name="_Toc114495280"/>
      <w:bookmarkStart w:id="390" w:name="_Toc144114396"/>
      <w:r w:rsidRPr="00162DF6">
        <w:rPr>
          <w:bCs/>
        </w:rPr>
        <w:t>Programa de Enfermedad, Maternidad y Accidentes -EMA- 202</w:t>
      </w:r>
      <w:bookmarkEnd w:id="389"/>
      <w:r w:rsidRPr="00162DF6">
        <w:rPr>
          <w:bCs/>
        </w:rPr>
        <w:t>2</w:t>
      </w:r>
      <w:bookmarkEnd w:id="390"/>
    </w:p>
    <w:p w14:paraId="262F0297" w14:textId="77777777" w:rsidR="00B86D82" w:rsidRPr="00366688" w:rsidRDefault="00B86D82" w:rsidP="00B86D82"/>
    <w:p w14:paraId="74831D3D" w14:textId="1B941EEF" w:rsidR="00B86D82" w:rsidRDefault="00B86D82" w:rsidP="00B86D82">
      <w:pPr>
        <w:jc w:val="both"/>
      </w:pPr>
      <w:r w:rsidRPr="00BC572D">
        <w:t>L</w:t>
      </w:r>
      <w:r>
        <w:t xml:space="preserve">os gastos que eroga el IGSS en </w:t>
      </w:r>
      <w:r w:rsidRPr="00BC572D">
        <w:t xml:space="preserve">los programas EMA son </w:t>
      </w:r>
      <w:r>
        <w:t xml:space="preserve">para la atención en salud  representada </w:t>
      </w:r>
      <w:r w:rsidRPr="00BC572D">
        <w:t xml:space="preserve">en servicio que incluyen asistencia médica con la finalidad de conservar, mejorar o restaurar y restablecer la capacidad de trabajo, dicha asistencia médica se brinda en las distintas unidades médicas y hospitales en el territorio nacional, dentro de los rubros también se incluyen hospedaje, alimentación, servicio social y transportes: por otro lado están las prestaciones en dinero los cuales incluyen subsidios por incapacidad temporal o permanente, gastos de entierro y pensiones a sobrevivientes, en el financiamiento del sistema participan el trabajador, el patrono y el </w:t>
      </w:r>
      <w:r>
        <w:t>E</w:t>
      </w:r>
      <w:r w:rsidRPr="00BC572D">
        <w:t>stado por medio de un sistema de reparto de corto plazo.</w:t>
      </w:r>
      <w:r>
        <w:t xml:space="preserve"> </w:t>
      </w:r>
      <w:r w:rsidRPr="009D57B5">
        <w:t>El financiamiento de las prestaciones otorgadas por el Programa EM</w:t>
      </w:r>
      <w:r>
        <w:t>A</w:t>
      </w:r>
      <w:r w:rsidRPr="009D57B5">
        <w:t xml:space="preserve"> se realiza mediante un sistema de reparto simple</w:t>
      </w:r>
      <w:r>
        <w:rPr>
          <w:rStyle w:val="Refdenotaalpie"/>
        </w:rPr>
        <w:footnoteReference w:id="10"/>
      </w:r>
      <w:r w:rsidRPr="009D57B5">
        <w:t xml:space="preserve"> de corto plazo, con contribución, en la cual contribuye el trabajador, el patrono</w:t>
      </w:r>
      <w:r>
        <w:t>.</w:t>
      </w:r>
    </w:p>
    <w:p w14:paraId="6505AAD0" w14:textId="77777777" w:rsidR="00B86D82" w:rsidRDefault="00B86D82" w:rsidP="00B86D82">
      <w:pPr>
        <w:jc w:val="both"/>
      </w:pPr>
    </w:p>
    <w:p w14:paraId="2576DEEE" w14:textId="77777777" w:rsidR="00B86D82" w:rsidRPr="00162DF6" w:rsidRDefault="00B86D82" w:rsidP="007F19DF">
      <w:pPr>
        <w:pStyle w:val="Ttulo2"/>
        <w:numPr>
          <w:ilvl w:val="3"/>
          <w:numId w:val="35"/>
        </w:numPr>
        <w:tabs>
          <w:tab w:val="left" w:pos="1134"/>
        </w:tabs>
        <w:ind w:left="567" w:hanging="283"/>
        <w:rPr>
          <w:bCs/>
        </w:rPr>
      </w:pPr>
      <w:bookmarkStart w:id="391" w:name="_Toc144114397"/>
      <w:r w:rsidRPr="00DB1169">
        <w:rPr>
          <w:bCs/>
        </w:rPr>
        <w:t>Programa de Enfermedad y Maternidad -EM- 2022</w:t>
      </w:r>
      <w:bookmarkEnd w:id="391"/>
    </w:p>
    <w:p w14:paraId="5C53237B" w14:textId="77777777" w:rsidR="00B86D82" w:rsidRDefault="00B86D82" w:rsidP="00411D33">
      <w:pPr>
        <w:jc w:val="both"/>
      </w:pPr>
    </w:p>
    <w:p w14:paraId="7C850969" w14:textId="5426D0C5" w:rsidR="00B86D82" w:rsidRDefault="00B86D82" w:rsidP="00411D33">
      <w:pPr>
        <w:jc w:val="both"/>
      </w:pPr>
      <w:r>
        <w:t>Derivado a que la información que proporciona el IGSS para el año 2021 y 2022, únicamente incluye Enfermedad y Maternidad, no así la parte gastos de Accidentes.   En general en 2021, se realiza el análisis separado, en</w:t>
      </w:r>
      <w:r w:rsidRPr="009D57B5">
        <w:t xml:space="preserve"> ese sentido, la valuación actuarial 2022 permitió verificar el nivel de solvencia financiera del Programa EM para cubrir las obligaciones adquiridas</w:t>
      </w:r>
      <w:r>
        <w:t xml:space="preserve">; los ingresos por cotizaciones de los programas de enfermedad y maternidad, fueron en este año Q5,215.9 mayor a los Q5,085.2 millones del año 2021, mostrando un crecimiento interanual de 2.6%. </w:t>
      </w:r>
    </w:p>
    <w:p w14:paraId="702408CE" w14:textId="77777777" w:rsidR="00411D33" w:rsidRDefault="00411D33" w:rsidP="00411D33">
      <w:pPr>
        <w:jc w:val="both"/>
      </w:pPr>
    </w:p>
    <w:p w14:paraId="16C6F849" w14:textId="1C736C07" w:rsidR="00B86D82" w:rsidRDefault="00B86D82" w:rsidP="00411D33">
      <w:pPr>
        <w:jc w:val="both"/>
      </w:pPr>
      <w:r>
        <w:t xml:space="preserve">En el caso de los gastos en 2022 registró por Enfermedad un total de Q6,613.3 millones, creciendo 10.1%, es decir, 1.3 puntos porcentuales más que en 2021, en el caso de Maternidad se registró una ejecución de Q409.7, creciendo 2.0%, es decir, 7.5 puntos porcentuales menos que el año anterior.   En total se tuvo un gasto en Enfermedad y Maternidad en dicho año por Q6,723.00 millones, lo cual representó un crecimiento de 9.6% o sea 0.7 puntos porcentuales menos que en el 2021.   Asimismo, es importante mostrar </w:t>
      </w:r>
      <w:r w:rsidR="00B707F1">
        <w:t>que,</w:t>
      </w:r>
      <w:r>
        <w:t xml:space="preserve"> en promedio de los últimos tres años, el 93.6% de los gastos fueron por enfermedad y de estos el 59.6% es por consultas, el 26.3% por hospitalización y únicamente el 7.7% por emergencias; por su parte la maternidad representa únicamente el 6.4% de los gastos en EM, siendo el mayor gasto en hospitalización. </w:t>
      </w:r>
    </w:p>
    <w:p w14:paraId="17A1868B" w14:textId="2963E8E1" w:rsidR="00411D33" w:rsidRDefault="00411D33" w:rsidP="00411D33">
      <w:pPr>
        <w:jc w:val="both"/>
      </w:pPr>
    </w:p>
    <w:p w14:paraId="78E9BAA1" w14:textId="77777777" w:rsidR="00411D33" w:rsidRDefault="00411D33" w:rsidP="00411D33">
      <w:pPr>
        <w:jc w:val="both"/>
      </w:pPr>
    </w:p>
    <w:p w14:paraId="6A2FB4CD" w14:textId="0D783109" w:rsidR="00B86D82" w:rsidRPr="00411D33" w:rsidRDefault="00411D33" w:rsidP="00411D33">
      <w:pPr>
        <w:pStyle w:val="Descripcin"/>
        <w:keepNext/>
      </w:pPr>
      <w:bookmarkStart w:id="392" w:name="_Toc143593533"/>
      <w:r w:rsidRPr="00411D33">
        <w:rPr>
          <w:color w:val="auto"/>
        </w:rPr>
        <w:lastRenderedPageBreak/>
        <w:t xml:space="preserve">Tabla </w:t>
      </w:r>
      <w:r w:rsidRPr="00411D33">
        <w:rPr>
          <w:color w:val="auto"/>
        </w:rPr>
        <w:fldChar w:fldCharType="begin"/>
      </w:r>
      <w:r w:rsidRPr="00411D33">
        <w:rPr>
          <w:color w:val="auto"/>
        </w:rPr>
        <w:instrText xml:space="preserve"> SEQ Tabla \* ARABIC </w:instrText>
      </w:r>
      <w:r w:rsidRPr="00411D33">
        <w:rPr>
          <w:color w:val="auto"/>
        </w:rPr>
        <w:fldChar w:fldCharType="separate"/>
      </w:r>
      <w:r w:rsidR="00A62AFA">
        <w:rPr>
          <w:noProof/>
          <w:color w:val="auto"/>
        </w:rPr>
        <w:t>31</w:t>
      </w:r>
      <w:r w:rsidRPr="00411D33">
        <w:rPr>
          <w:color w:val="auto"/>
        </w:rPr>
        <w:fldChar w:fldCharType="end"/>
      </w:r>
      <w:r w:rsidRPr="00411D33">
        <w:rPr>
          <w:color w:val="auto"/>
        </w:rPr>
        <w:t>. Distribución de los gastos de los programas EM</w:t>
      </w:r>
      <w:r w:rsidR="00B86D82">
        <w:rPr>
          <w:rStyle w:val="Refdenotaalpie"/>
          <w:color w:val="auto"/>
        </w:rPr>
        <w:footnoteReference w:id="11"/>
      </w:r>
      <w:bookmarkEnd w:id="392"/>
    </w:p>
    <w:p w14:paraId="433803B9" w14:textId="77777777" w:rsidR="00B86D82" w:rsidRPr="00411D33" w:rsidRDefault="00B86D82" w:rsidP="00B86D82">
      <w:pPr>
        <w:rPr>
          <w:sz w:val="12"/>
          <w:szCs w:val="12"/>
        </w:rPr>
      </w:pPr>
    </w:p>
    <w:tbl>
      <w:tblPr>
        <w:tblW w:w="8578" w:type="dxa"/>
        <w:tblInd w:w="211" w:type="dxa"/>
        <w:tblCellMar>
          <w:left w:w="70" w:type="dxa"/>
          <w:right w:w="70" w:type="dxa"/>
        </w:tblCellMar>
        <w:tblLook w:val="04A0" w:firstRow="1" w:lastRow="0" w:firstColumn="1" w:lastColumn="0" w:noHBand="0" w:noVBand="1"/>
      </w:tblPr>
      <w:tblGrid>
        <w:gridCol w:w="1468"/>
        <w:gridCol w:w="1190"/>
        <w:gridCol w:w="1076"/>
        <w:gridCol w:w="1076"/>
        <w:gridCol w:w="1086"/>
        <w:gridCol w:w="1086"/>
        <w:gridCol w:w="796"/>
        <w:gridCol w:w="800"/>
      </w:tblGrid>
      <w:tr w:rsidR="00B86D82" w:rsidRPr="005D4C76" w14:paraId="7C15A184" w14:textId="77777777" w:rsidTr="00831109">
        <w:trPr>
          <w:trHeight w:val="588"/>
        </w:trPr>
        <w:tc>
          <w:tcPr>
            <w:tcW w:w="1468" w:type="dxa"/>
            <w:tcBorders>
              <w:top w:val="single" w:sz="8" w:space="0" w:color="auto"/>
              <w:left w:val="single" w:sz="8" w:space="0" w:color="auto"/>
              <w:bottom w:val="single" w:sz="8" w:space="0" w:color="auto"/>
              <w:right w:val="single" w:sz="8" w:space="0" w:color="auto"/>
            </w:tcBorders>
            <w:shd w:val="clear" w:color="auto" w:fill="4472C4" w:themeFill="accent1"/>
            <w:vAlign w:val="center"/>
            <w:hideMark/>
          </w:tcPr>
          <w:p w14:paraId="56F3B595" w14:textId="77777777" w:rsidR="00B86D82" w:rsidRPr="00D51932" w:rsidRDefault="00B86D82" w:rsidP="006A7377">
            <w:pPr>
              <w:jc w:val="both"/>
              <w:rPr>
                <w:color w:val="FFFFFF" w:themeColor="background1"/>
                <w:sz w:val="16"/>
                <w:szCs w:val="16"/>
              </w:rPr>
            </w:pPr>
            <w:r w:rsidRPr="00D51932">
              <w:rPr>
                <w:color w:val="FFFFFF" w:themeColor="background1"/>
                <w:sz w:val="16"/>
                <w:szCs w:val="16"/>
              </w:rPr>
              <w:t> </w:t>
            </w:r>
          </w:p>
        </w:tc>
        <w:tc>
          <w:tcPr>
            <w:tcW w:w="1190" w:type="dxa"/>
            <w:tcBorders>
              <w:top w:val="single" w:sz="8" w:space="0" w:color="auto"/>
              <w:left w:val="nil"/>
              <w:bottom w:val="single" w:sz="8" w:space="0" w:color="auto"/>
              <w:right w:val="single" w:sz="8" w:space="0" w:color="auto"/>
            </w:tcBorders>
            <w:shd w:val="clear" w:color="auto" w:fill="4472C4" w:themeFill="accent1"/>
            <w:vAlign w:val="center"/>
            <w:hideMark/>
          </w:tcPr>
          <w:p w14:paraId="5E8A0C1D" w14:textId="77777777" w:rsidR="00B86D82" w:rsidRPr="00D51932" w:rsidRDefault="00B86D82" w:rsidP="006A7377">
            <w:pPr>
              <w:jc w:val="center"/>
              <w:rPr>
                <w:color w:val="FFFFFF" w:themeColor="background1"/>
                <w:sz w:val="16"/>
                <w:szCs w:val="16"/>
              </w:rPr>
            </w:pPr>
            <w:r w:rsidRPr="00D51932">
              <w:rPr>
                <w:color w:val="FFFFFF" w:themeColor="background1"/>
                <w:sz w:val="16"/>
                <w:szCs w:val="16"/>
              </w:rPr>
              <w:t>2020</w:t>
            </w:r>
          </w:p>
        </w:tc>
        <w:tc>
          <w:tcPr>
            <w:tcW w:w="1076" w:type="dxa"/>
            <w:tcBorders>
              <w:top w:val="single" w:sz="8" w:space="0" w:color="auto"/>
              <w:left w:val="nil"/>
              <w:bottom w:val="single" w:sz="8" w:space="0" w:color="auto"/>
              <w:right w:val="single" w:sz="8" w:space="0" w:color="auto"/>
            </w:tcBorders>
            <w:shd w:val="clear" w:color="auto" w:fill="4472C4" w:themeFill="accent1"/>
            <w:vAlign w:val="center"/>
            <w:hideMark/>
          </w:tcPr>
          <w:p w14:paraId="70FF9F75" w14:textId="77777777" w:rsidR="00B86D82" w:rsidRPr="00D51932" w:rsidRDefault="00B86D82" w:rsidP="006A7377">
            <w:pPr>
              <w:jc w:val="center"/>
              <w:rPr>
                <w:color w:val="FFFFFF" w:themeColor="background1"/>
                <w:sz w:val="16"/>
                <w:szCs w:val="16"/>
              </w:rPr>
            </w:pPr>
            <w:r w:rsidRPr="00D51932">
              <w:rPr>
                <w:color w:val="FFFFFF" w:themeColor="background1"/>
                <w:sz w:val="16"/>
                <w:szCs w:val="16"/>
              </w:rPr>
              <w:t>2021</w:t>
            </w:r>
          </w:p>
        </w:tc>
        <w:tc>
          <w:tcPr>
            <w:tcW w:w="1076" w:type="dxa"/>
            <w:tcBorders>
              <w:top w:val="single" w:sz="8" w:space="0" w:color="auto"/>
              <w:left w:val="nil"/>
              <w:bottom w:val="single" w:sz="8" w:space="0" w:color="auto"/>
              <w:right w:val="single" w:sz="8" w:space="0" w:color="auto"/>
            </w:tcBorders>
            <w:shd w:val="clear" w:color="auto" w:fill="4472C4" w:themeFill="accent1"/>
            <w:vAlign w:val="center"/>
            <w:hideMark/>
          </w:tcPr>
          <w:p w14:paraId="19952D10" w14:textId="77777777" w:rsidR="00B86D82" w:rsidRPr="00D51932" w:rsidRDefault="00B86D82" w:rsidP="006A7377">
            <w:pPr>
              <w:jc w:val="center"/>
              <w:rPr>
                <w:color w:val="FFFFFF" w:themeColor="background1"/>
                <w:sz w:val="16"/>
                <w:szCs w:val="16"/>
              </w:rPr>
            </w:pPr>
            <w:r w:rsidRPr="00D51932">
              <w:rPr>
                <w:color w:val="FFFFFF" w:themeColor="background1"/>
                <w:sz w:val="16"/>
                <w:szCs w:val="16"/>
              </w:rPr>
              <w:t>2022</w:t>
            </w:r>
          </w:p>
        </w:tc>
        <w:tc>
          <w:tcPr>
            <w:tcW w:w="1086" w:type="dxa"/>
            <w:tcBorders>
              <w:top w:val="single" w:sz="8" w:space="0" w:color="auto"/>
              <w:left w:val="nil"/>
              <w:bottom w:val="single" w:sz="8" w:space="0" w:color="auto"/>
              <w:right w:val="single" w:sz="8" w:space="0" w:color="auto"/>
            </w:tcBorders>
            <w:shd w:val="clear" w:color="auto" w:fill="4472C4" w:themeFill="accent1"/>
            <w:vAlign w:val="center"/>
            <w:hideMark/>
          </w:tcPr>
          <w:p w14:paraId="0AEE8579" w14:textId="77777777" w:rsidR="00B86D82" w:rsidRPr="00D51932" w:rsidRDefault="00B86D82" w:rsidP="006A7377">
            <w:pPr>
              <w:jc w:val="center"/>
              <w:rPr>
                <w:color w:val="FFFFFF" w:themeColor="background1"/>
                <w:sz w:val="16"/>
                <w:szCs w:val="16"/>
              </w:rPr>
            </w:pPr>
            <w:r w:rsidRPr="00D51932">
              <w:rPr>
                <w:color w:val="FFFFFF" w:themeColor="background1"/>
                <w:sz w:val="16"/>
                <w:szCs w:val="16"/>
              </w:rPr>
              <w:t>Diferencia interanual</w:t>
            </w:r>
          </w:p>
        </w:tc>
        <w:tc>
          <w:tcPr>
            <w:tcW w:w="1086" w:type="dxa"/>
            <w:tcBorders>
              <w:top w:val="single" w:sz="8" w:space="0" w:color="auto"/>
              <w:left w:val="nil"/>
              <w:bottom w:val="single" w:sz="8" w:space="0" w:color="auto"/>
              <w:right w:val="single" w:sz="8" w:space="0" w:color="auto"/>
            </w:tcBorders>
            <w:shd w:val="clear" w:color="auto" w:fill="4472C4" w:themeFill="accent1"/>
            <w:vAlign w:val="center"/>
            <w:hideMark/>
          </w:tcPr>
          <w:p w14:paraId="7B833172" w14:textId="77777777" w:rsidR="00B86D82" w:rsidRPr="00D51932" w:rsidRDefault="00B86D82" w:rsidP="006A7377">
            <w:pPr>
              <w:jc w:val="center"/>
              <w:rPr>
                <w:color w:val="FFFFFF" w:themeColor="background1"/>
                <w:sz w:val="16"/>
                <w:szCs w:val="16"/>
              </w:rPr>
            </w:pPr>
            <w:r w:rsidRPr="00D51932">
              <w:rPr>
                <w:color w:val="FFFFFF" w:themeColor="background1"/>
                <w:sz w:val="16"/>
                <w:szCs w:val="16"/>
              </w:rPr>
              <w:t>Diferencia interanual</w:t>
            </w:r>
          </w:p>
        </w:tc>
        <w:tc>
          <w:tcPr>
            <w:tcW w:w="796" w:type="dxa"/>
            <w:tcBorders>
              <w:top w:val="single" w:sz="8" w:space="0" w:color="auto"/>
              <w:left w:val="nil"/>
              <w:bottom w:val="single" w:sz="8" w:space="0" w:color="auto"/>
              <w:right w:val="single" w:sz="8" w:space="0" w:color="auto"/>
            </w:tcBorders>
            <w:shd w:val="clear" w:color="auto" w:fill="4472C4" w:themeFill="accent1"/>
            <w:vAlign w:val="center"/>
            <w:hideMark/>
          </w:tcPr>
          <w:p w14:paraId="730CCEFB" w14:textId="77777777" w:rsidR="00B86D82" w:rsidRPr="00D51932" w:rsidRDefault="00B86D82" w:rsidP="006A7377">
            <w:pPr>
              <w:jc w:val="center"/>
              <w:rPr>
                <w:color w:val="FFFFFF" w:themeColor="background1"/>
                <w:sz w:val="16"/>
                <w:szCs w:val="16"/>
              </w:rPr>
            </w:pPr>
            <w:r w:rsidRPr="00D51932">
              <w:rPr>
                <w:color w:val="FFFFFF" w:themeColor="background1"/>
                <w:sz w:val="16"/>
                <w:szCs w:val="16"/>
              </w:rPr>
              <w:t>Variación interanual 2021</w:t>
            </w:r>
          </w:p>
        </w:tc>
        <w:tc>
          <w:tcPr>
            <w:tcW w:w="799" w:type="dxa"/>
            <w:tcBorders>
              <w:top w:val="single" w:sz="8" w:space="0" w:color="auto"/>
              <w:left w:val="nil"/>
              <w:bottom w:val="single" w:sz="8" w:space="0" w:color="auto"/>
              <w:right w:val="single" w:sz="8" w:space="0" w:color="auto"/>
            </w:tcBorders>
            <w:shd w:val="clear" w:color="auto" w:fill="4472C4" w:themeFill="accent1"/>
            <w:vAlign w:val="center"/>
            <w:hideMark/>
          </w:tcPr>
          <w:p w14:paraId="4D6D7B07" w14:textId="77777777" w:rsidR="00B86D82" w:rsidRPr="00D51932" w:rsidRDefault="00B86D82" w:rsidP="006A7377">
            <w:pPr>
              <w:jc w:val="center"/>
              <w:rPr>
                <w:color w:val="FFFFFF" w:themeColor="background1"/>
                <w:sz w:val="16"/>
                <w:szCs w:val="16"/>
              </w:rPr>
            </w:pPr>
            <w:r w:rsidRPr="00D51932">
              <w:rPr>
                <w:color w:val="FFFFFF" w:themeColor="background1"/>
                <w:sz w:val="16"/>
                <w:szCs w:val="16"/>
              </w:rPr>
              <w:t>Variación interanual 2022</w:t>
            </w:r>
          </w:p>
        </w:tc>
      </w:tr>
      <w:tr w:rsidR="00B86D82" w:rsidRPr="005D4C76" w14:paraId="58BD331B" w14:textId="77777777" w:rsidTr="00831109">
        <w:trPr>
          <w:trHeight w:val="294"/>
        </w:trPr>
        <w:tc>
          <w:tcPr>
            <w:tcW w:w="857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4E24D52" w14:textId="77777777" w:rsidR="00B86D82" w:rsidRPr="005D4C76" w:rsidRDefault="00B86D82" w:rsidP="006A7377">
            <w:pPr>
              <w:jc w:val="center"/>
              <w:rPr>
                <w:color w:val="000000"/>
              </w:rPr>
            </w:pPr>
            <w:r>
              <w:rPr>
                <w:color w:val="000000"/>
                <w:sz w:val="20"/>
                <w:szCs w:val="20"/>
              </w:rPr>
              <w:t>GASTOS</w:t>
            </w:r>
          </w:p>
        </w:tc>
      </w:tr>
      <w:tr w:rsidR="00B86D82" w:rsidRPr="005D4C76" w14:paraId="5C3ABE5D" w14:textId="77777777" w:rsidTr="00831109">
        <w:trPr>
          <w:trHeight w:val="280"/>
        </w:trPr>
        <w:tc>
          <w:tcPr>
            <w:tcW w:w="1468" w:type="dxa"/>
            <w:tcBorders>
              <w:top w:val="nil"/>
              <w:left w:val="single" w:sz="8" w:space="0" w:color="auto"/>
              <w:bottom w:val="single" w:sz="8" w:space="0" w:color="auto"/>
              <w:right w:val="single" w:sz="8" w:space="0" w:color="auto"/>
            </w:tcBorders>
            <w:shd w:val="clear" w:color="000000" w:fill="F2F2F2"/>
            <w:vAlign w:val="center"/>
            <w:hideMark/>
          </w:tcPr>
          <w:p w14:paraId="6D5E775C" w14:textId="77777777" w:rsidR="00B86D82" w:rsidRPr="005D4C76" w:rsidRDefault="00B86D82" w:rsidP="006A7377">
            <w:pPr>
              <w:jc w:val="both"/>
              <w:rPr>
                <w:b/>
                <w:bCs/>
                <w:color w:val="000000"/>
                <w:sz w:val="14"/>
                <w:szCs w:val="14"/>
              </w:rPr>
            </w:pPr>
            <w:r w:rsidRPr="005D4C76">
              <w:rPr>
                <w:b/>
                <w:bCs/>
                <w:color w:val="000000"/>
                <w:sz w:val="14"/>
                <w:szCs w:val="14"/>
              </w:rPr>
              <w:t>Enfermedad (E)</w:t>
            </w:r>
          </w:p>
        </w:tc>
        <w:tc>
          <w:tcPr>
            <w:tcW w:w="1190" w:type="dxa"/>
            <w:tcBorders>
              <w:top w:val="nil"/>
              <w:left w:val="nil"/>
              <w:bottom w:val="single" w:sz="8" w:space="0" w:color="auto"/>
              <w:right w:val="single" w:sz="8" w:space="0" w:color="auto"/>
            </w:tcBorders>
            <w:shd w:val="clear" w:color="000000" w:fill="F2F2F2"/>
            <w:vAlign w:val="center"/>
            <w:hideMark/>
          </w:tcPr>
          <w:p w14:paraId="5C15FB7B" w14:textId="77777777" w:rsidR="00B86D82" w:rsidRPr="005D4C76" w:rsidRDefault="00B86D82" w:rsidP="006A7377">
            <w:pPr>
              <w:jc w:val="both"/>
              <w:rPr>
                <w:b/>
                <w:bCs/>
                <w:color w:val="000000"/>
                <w:sz w:val="14"/>
                <w:szCs w:val="14"/>
              </w:rPr>
            </w:pPr>
            <w:r w:rsidRPr="005D4C76">
              <w:rPr>
                <w:b/>
                <w:bCs/>
                <w:color w:val="000000"/>
                <w:sz w:val="14"/>
                <w:szCs w:val="14"/>
              </w:rPr>
              <w:t xml:space="preserve"> Q      5,267.50 </w:t>
            </w:r>
          </w:p>
        </w:tc>
        <w:tc>
          <w:tcPr>
            <w:tcW w:w="1076" w:type="dxa"/>
            <w:tcBorders>
              <w:top w:val="nil"/>
              <w:left w:val="nil"/>
              <w:bottom w:val="single" w:sz="8" w:space="0" w:color="auto"/>
              <w:right w:val="single" w:sz="8" w:space="0" w:color="auto"/>
            </w:tcBorders>
            <w:shd w:val="clear" w:color="000000" w:fill="F2F2F2"/>
            <w:vAlign w:val="center"/>
            <w:hideMark/>
          </w:tcPr>
          <w:p w14:paraId="525D8FA6" w14:textId="77777777" w:rsidR="00B86D82" w:rsidRPr="005D4C76" w:rsidRDefault="00B86D82" w:rsidP="006A7377">
            <w:pPr>
              <w:jc w:val="both"/>
              <w:rPr>
                <w:b/>
                <w:bCs/>
                <w:color w:val="000000"/>
                <w:sz w:val="14"/>
                <w:szCs w:val="14"/>
              </w:rPr>
            </w:pPr>
            <w:r w:rsidRPr="005D4C76">
              <w:rPr>
                <w:b/>
                <w:bCs/>
                <w:color w:val="000000"/>
                <w:sz w:val="14"/>
                <w:szCs w:val="14"/>
              </w:rPr>
              <w:t xml:space="preserve"> Q   5,732.65 </w:t>
            </w:r>
          </w:p>
        </w:tc>
        <w:tc>
          <w:tcPr>
            <w:tcW w:w="1076" w:type="dxa"/>
            <w:tcBorders>
              <w:top w:val="nil"/>
              <w:left w:val="nil"/>
              <w:bottom w:val="single" w:sz="8" w:space="0" w:color="auto"/>
              <w:right w:val="single" w:sz="8" w:space="0" w:color="auto"/>
            </w:tcBorders>
            <w:shd w:val="clear" w:color="000000" w:fill="F2F2F2"/>
            <w:vAlign w:val="center"/>
            <w:hideMark/>
          </w:tcPr>
          <w:p w14:paraId="6A5CB7B5" w14:textId="77777777" w:rsidR="00B86D82" w:rsidRPr="005D4C76" w:rsidRDefault="00B86D82" w:rsidP="006A7377">
            <w:pPr>
              <w:jc w:val="both"/>
              <w:rPr>
                <w:b/>
                <w:bCs/>
                <w:color w:val="000000"/>
                <w:sz w:val="14"/>
                <w:szCs w:val="14"/>
              </w:rPr>
            </w:pPr>
            <w:r w:rsidRPr="005D4C76">
              <w:rPr>
                <w:b/>
                <w:bCs/>
                <w:color w:val="000000"/>
                <w:sz w:val="14"/>
                <w:szCs w:val="14"/>
              </w:rPr>
              <w:t xml:space="preserve"> Q    6,313.30 </w:t>
            </w:r>
          </w:p>
        </w:tc>
        <w:tc>
          <w:tcPr>
            <w:tcW w:w="1086" w:type="dxa"/>
            <w:tcBorders>
              <w:top w:val="nil"/>
              <w:left w:val="nil"/>
              <w:bottom w:val="single" w:sz="8" w:space="0" w:color="auto"/>
              <w:right w:val="single" w:sz="8" w:space="0" w:color="auto"/>
            </w:tcBorders>
            <w:shd w:val="clear" w:color="000000" w:fill="F2F2F2"/>
            <w:vAlign w:val="center"/>
            <w:hideMark/>
          </w:tcPr>
          <w:p w14:paraId="020083E2" w14:textId="77777777" w:rsidR="00B86D82" w:rsidRPr="005D4C76" w:rsidRDefault="00B86D82" w:rsidP="006A7377">
            <w:pPr>
              <w:jc w:val="both"/>
              <w:rPr>
                <w:b/>
                <w:bCs/>
                <w:color w:val="000000"/>
                <w:sz w:val="14"/>
                <w:szCs w:val="14"/>
              </w:rPr>
            </w:pPr>
            <w:r w:rsidRPr="005D4C76">
              <w:rPr>
                <w:b/>
                <w:bCs/>
                <w:color w:val="000000"/>
                <w:sz w:val="14"/>
                <w:szCs w:val="14"/>
              </w:rPr>
              <w:t xml:space="preserve"> Q       465.15 </w:t>
            </w:r>
          </w:p>
        </w:tc>
        <w:tc>
          <w:tcPr>
            <w:tcW w:w="1086" w:type="dxa"/>
            <w:tcBorders>
              <w:top w:val="nil"/>
              <w:left w:val="nil"/>
              <w:bottom w:val="single" w:sz="8" w:space="0" w:color="auto"/>
              <w:right w:val="single" w:sz="8" w:space="0" w:color="auto"/>
            </w:tcBorders>
            <w:shd w:val="clear" w:color="000000" w:fill="F2F2F2"/>
            <w:vAlign w:val="center"/>
            <w:hideMark/>
          </w:tcPr>
          <w:p w14:paraId="68D02282" w14:textId="77777777" w:rsidR="00B86D82" w:rsidRPr="005D4C76" w:rsidRDefault="00B86D82" w:rsidP="006A7377">
            <w:pPr>
              <w:jc w:val="both"/>
              <w:rPr>
                <w:b/>
                <w:bCs/>
                <w:color w:val="000000"/>
                <w:sz w:val="14"/>
                <w:szCs w:val="14"/>
              </w:rPr>
            </w:pPr>
            <w:r w:rsidRPr="005D4C76">
              <w:rPr>
                <w:b/>
                <w:bCs/>
                <w:color w:val="000000"/>
                <w:sz w:val="14"/>
                <w:szCs w:val="14"/>
              </w:rPr>
              <w:t xml:space="preserve"> Q      580.65 </w:t>
            </w:r>
          </w:p>
        </w:tc>
        <w:tc>
          <w:tcPr>
            <w:tcW w:w="796" w:type="dxa"/>
            <w:tcBorders>
              <w:top w:val="nil"/>
              <w:left w:val="nil"/>
              <w:bottom w:val="single" w:sz="8" w:space="0" w:color="auto"/>
              <w:right w:val="single" w:sz="8" w:space="0" w:color="auto"/>
            </w:tcBorders>
            <w:shd w:val="clear" w:color="000000" w:fill="F2F2F2"/>
            <w:vAlign w:val="center"/>
            <w:hideMark/>
          </w:tcPr>
          <w:p w14:paraId="13C8B1EB" w14:textId="77777777" w:rsidR="00B86D82" w:rsidRPr="005D4C76" w:rsidRDefault="00B86D82" w:rsidP="006A7377">
            <w:pPr>
              <w:jc w:val="both"/>
              <w:rPr>
                <w:b/>
                <w:bCs/>
                <w:color w:val="000000"/>
                <w:sz w:val="14"/>
                <w:szCs w:val="14"/>
              </w:rPr>
            </w:pPr>
            <w:r w:rsidRPr="005D4C76">
              <w:rPr>
                <w:b/>
                <w:bCs/>
                <w:color w:val="000000"/>
                <w:sz w:val="14"/>
                <w:szCs w:val="14"/>
              </w:rPr>
              <w:t>8.8%</w:t>
            </w:r>
          </w:p>
        </w:tc>
        <w:tc>
          <w:tcPr>
            <w:tcW w:w="799" w:type="dxa"/>
            <w:tcBorders>
              <w:top w:val="nil"/>
              <w:left w:val="nil"/>
              <w:bottom w:val="single" w:sz="8" w:space="0" w:color="auto"/>
              <w:right w:val="single" w:sz="8" w:space="0" w:color="auto"/>
            </w:tcBorders>
            <w:shd w:val="clear" w:color="000000" w:fill="F2F2F2"/>
            <w:vAlign w:val="center"/>
            <w:hideMark/>
          </w:tcPr>
          <w:p w14:paraId="155E42F0" w14:textId="77777777" w:rsidR="00B86D82" w:rsidRPr="005D4C76" w:rsidRDefault="00B86D82" w:rsidP="006A7377">
            <w:pPr>
              <w:jc w:val="both"/>
              <w:rPr>
                <w:b/>
                <w:bCs/>
                <w:color w:val="000000"/>
                <w:sz w:val="14"/>
                <w:szCs w:val="14"/>
              </w:rPr>
            </w:pPr>
            <w:r w:rsidRPr="005D4C76">
              <w:rPr>
                <w:b/>
                <w:bCs/>
                <w:color w:val="000000"/>
                <w:sz w:val="14"/>
                <w:szCs w:val="14"/>
              </w:rPr>
              <w:t>10.1%</w:t>
            </w:r>
          </w:p>
        </w:tc>
      </w:tr>
      <w:tr w:rsidR="00B86D82" w:rsidRPr="005D4C76" w14:paraId="4938E5A8" w14:textId="77777777" w:rsidTr="00831109">
        <w:trPr>
          <w:trHeight w:val="280"/>
        </w:trPr>
        <w:tc>
          <w:tcPr>
            <w:tcW w:w="1468" w:type="dxa"/>
            <w:tcBorders>
              <w:top w:val="nil"/>
              <w:left w:val="single" w:sz="8" w:space="0" w:color="auto"/>
              <w:bottom w:val="single" w:sz="8" w:space="0" w:color="auto"/>
              <w:right w:val="single" w:sz="8" w:space="0" w:color="auto"/>
            </w:tcBorders>
            <w:shd w:val="clear" w:color="auto" w:fill="auto"/>
            <w:vAlign w:val="center"/>
            <w:hideMark/>
          </w:tcPr>
          <w:p w14:paraId="54A5D312" w14:textId="77777777" w:rsidR="00B86D82" w:rsidRPr="005D4C76" w:rsidRDefault="00B86D82" w:rsidP="006A7377">
            <w:pPr>
              <w:ind w:firstLineChars="200" w:firstLine="280"/>
              <w:rPr>
                <w:color w:val="000000"/>
                <w:sz w:val="14"/>
                <w:szCs w:val="14"/>
              </w:rPr>
            </w:pPr>
            <w:r w:rsidRPr="005D4C76">
              <w:rPr>
                <w:color w:val="000000"/>
                <w:sz w:val="14"/>
                <w:szCs w:val="14"/>
              </w:rPr>
              <w:t>Consultas</w:t>
            </w:r>
          </w:p>
        </w:tc>
        <w:tc>
          <w:tcPr>
            <w:tcW w:w="1190" w:type="dxa"/>
            <w:tcBorders>
              <w:top w:val="nil"/>
              <w:left w:val="nil"/>
              <w:bottom w:val="single" w:sz="8" w:space="0" w:color="auto"/>
              <w:right w:val="single" w:sz="8" w:space="0" w:color="auto"/>
            </w:tcBorders>
            <w:shd w:val="clear" w:color="auto" w:fill="auto"/>
            <w:vAlign w:val="center"/>
            <w:hideMark/>
          </w:tcPr>
          <w:p w14:paraId="789F38D8" w14:textId="77777777" w:rsidR="00B86D82" w:rsidRPr="005D4C76" w:rsidRDefault="00B86D82" w:rsidP="006A7377">
            <w:pPr>
              <w:jc w:val="both"/>
              <w:rPr>
                <w:color w:val="000000"/>
                <w:sz w:val="14"/>
                <w:szCs w:val="14"/>
              </w:rPr>
            </w:pPr>
            <w:r w:rsidRPr="005D4C76">
              <w:rPr>
                <w:color w:val="000000"/>
                <w:sz w:val="14"/>
                <w:szCs w:val="14"/>
              </w:rPr>
              <w:t xml:space="preserve"> Q               3,403.30 </w:t>
            </w:r>
          </w:p>
        </w:tc>
        <w:tc>
          <w:tcPr>
            <w:tcW w:w="1076" w:type="dxa"/>
            <w:tcBorders>
              <w:top w:val="nil"/>
              <w:left w:val="nil"/>
              <w:bottom w:val="single" w:sz="8" w:space="0" w:color="auto"/>
              <w:right w:val="single" w:sz="8" w:space="0" w:color="auto"/>
            </w:tcBorders>
            <w:shd w:val="clear" w:color="auto" w:fill="auto"/>
            <w:vAlign w:val="center"/>
            <w:hideMark/>
          </w:tcPr>
          <w:p w14:paraId="0F54B879" w14:textId="77777777" w:rsidR="00B86D82" w:rsidRPr="005D4C76" w:rsidRDefault="00B86D82" w:rsidP="006A7377">
            <w:pPr>
              <w:jc w:val="both"/>
              <w:rPr>
                <w:color w:val="000000"/>
                <w:sz w:val="14"/>
                <w:szCs w:val="14"/>
              </w:rPr>
            </w:pPr>
            <w:r w:rsidRPr="005D4C76">
              <w:rPr>
                <w:color w:val="000000"/>
                <w:sz w:val="14"/>
                <w:szCs w:val="14"/>
              </w:rPr>
              <w:t xml:space="preserve"> Q          3,579.85 </w:t>
            </w:r>
          </w:p>
        </w:tc>
        <w:tc>
          <w:tcPr>
            <w:tcW w:w="1076" w:type="dxa"/>
            <w:tcBorders>
              <w:top w:val="nil"/>
              <w:left w:val="nil"/>
              <w:bottom w:val="single" w:sz="8" w:space="0" w:color="auto"/>
              <w:right w:val="single" w:sz="8" w:space="0" w:color="auto"/>
            </w:tcBorders>
            <w:shd w:val="clear" w:color="auto" w:fill="auto"/>
            <w:vAlign w:val="center"/>
            <w:hideMark/>
          </w:tcPr>
          <w:p w14:paraId="4035B321" w14:textId="77777777" w:rsidR="00B86D82" w:rsidRPr="005D4C76" w:rsidRDefault="00B86D82" w:rsidP="006A7377">
            <w:pPr>
              <w:jc w:val="both"/>
              <w:rPr>
                <w:color w:val="000000"/>
                <w:sz w:val="14"/>
                <w:szCs w:val="14"/>
              </w:rPr>
            </w:pPr>
            <w:r w:rsidRPr="005D4C76">
              <w:rPr>
                <w:color w:val="000000"/>
                <w:sz w:val="14"/>
                <w:szCs w:val="14"/>
              </w:rPr>
              <w:t xml:space="preserve"> Q          4,041.70 </w:t>
            </w:r>
          </w:p>
        </w:tc>
        <w:tc>
          <w:tcPr>
            <w:tcW w:w="1086" w:type="dxa"/>
            <w:tcBorders>
              <w:top w:val="nil"/>
              <w:left w:val="nil"/>
              <w:bottom w:val="single" w:sz="8" w:space="0" w:color="auto"/>
              <w:right w:val="single" w:sz="8" w:space="0" w:color="auto"/>
            </w:tcBorders>
            <w:shd w:val="clear" w:color="000000" w:fill="FFFFFF"/>
            <w:vAlign w:val="center"/>
            <w:hideMark/>
          </w:tcPr>
          <w:p w14:paraId="6725C32A" w14:textId="77777777" w:rsidR="00B86D82" w:rsidRPr="005D4C76" w:rsidRDefault="00B86D82" w:rsidP="006A7377">
            <w:pPr>
              <w:jc w:val="both"/>
              <w:rPr>
                <w:color w:val="000000"/>
                <w:sz w:val="14"/>
                <w:szCs w:val="14"/>
              </w:rPr>
            </w:pPr>
            <w:r w:rsidRPr="005D4C76">
              <w:rPr>
                <w:color w:val="000000"/>
                <w:sz w:val="14"/>
                <w:szCs w:val="14"/>
              </w:rPr>
              <w:t xml:space="preserve"> Q               176.55 </w:t>
            </w:r>
          </w:p>
        </w:tc>
        <w:tc>
          <w:tcPr>
            <w:tcW w:w="1086" w:type="dxa"/>
            <w:tcBorders>
              <w:top w:val="nil"/>
              <w:left w:val="nil"/>
              <w:bottom w:val="single" w:sz="8" w:space="0" w:color="auto"/>
              <w:right w:val="single" w:sz="8" w:space="0" w:color="auto"/>
            </w:tcBorders>
            <w:shd w:val="clear" w:color="000000" w:fill="FFFFFF"/>
            <w:vAlign w:val="center"/>
            <w:hideMark/>
          </w:tcPr>
          <w:p w14:paraId="2EBD1BB8" w14:textId="77777777" w:rsidR="00B86D82" w:rsidRPr="005D4C76" w:rsidRDefault="00B86D82" w:rsidP="006A7377">
            <w:pPr>
              <w:jc w:val="both"/>
              <w:rPr>
                <w:color w:val="000000"/>
                <w:sz w:val="14"/>
                <w:szCs w:val="14"/>
              </w:rPr>
            </w:pPr>
            <w:r w:rsidRPr="005D4C76">
              <w:rPr>
                <w:color w:val="000000"/>
                <w:sz w:val="14"/>
                <w:szCs w:val="14"/>
              </w:rPr>
              <w:t xml:space="preserve"> Q               461.85 </w:t>
            </w:r>
          </w:p>
        </w:tc>
        <w:tc>
          <w:tcPr>
            <w:tcW w:w="796" w:type="dxa"/>
            <w:tcBorders>
              <w:top w:val="nil"/>
              <w:left w:val="nil"/>
              <w:bottom w:val="single" w:sz="8" w:space="0" w:color="auto"/>
              <w:right w:val="single" w:sz="8" w:space="0" w:color="auto"/>
            </w:tcBorders>
            <w:shd w:val="clear" w:color="000000" w:fill="FFFFFF"/>
            <w:vAlign w:val="center"/>
            <w:hideMark/>
          </w:tcPr>
          <w:p w14:paraId="27DD262E" w14:textId="77777777" w:rsidR="00B86D82" w:rsidRPr="005D4C76" w:rsidRDefault="00B86D82" w:rsidP="006A7377">
            <w:pPr>
              <w:jc w:val="both"/>
              <w:rPr>
                <w:color w:val="000000"/>
                <w:sz w:val="14"/>
                <w:szCs w:val="14"/>
              </w:rPr>
            </w:pPr>
            <w:r w:rsidRPr="005D4C76">
              <w:rPr>
                <w:color w:val="000000"/>
                <w:sz w:val="14"/>
                <w:szCs w:val="14"/>
              </w:rPr>
              <w:t>5.2%</w:t>
            </w:r>
          </w:p>
        </w:tc>
        <w:tc>
          <w:tcPr>
            <w:tcW w:w="799" w:type="dxa"/>
            <w:tcBorders>
              <w:top w:val="nil"/>
              <w:left w:val="nil"/>
              <w:bottom w:val="single" w:sz="8" w:space="0" w:color="auto"/>
              <w:right w:val="single" w:sz="8" w:space="0" w:color="auto"/>
            </w:tcBorders>
            <w:shd w:val="clear" w:color="000000" w:fill="FFFFFF"/>
            <w:vAlign w:val="center"/>
            <w:hideMark/>
          </w:tcPr>
          <w:p w14:paraId="6A0E7F5C" w14:textId="77777777" w:rsidR="00B86D82" w:rsidRPr="005D4C76" w:rsidRDefault="00B86D82" w:rsidP="006A7377">
            <w:pPr>
              <w:jc w:val="both"/>
              <w:rPr>
                <w:color w:val="000000"/>
                <w:sz w:val="14"/>
                <w:szCs w:val="14"/>
              </w:rPr>
            </w:pPr>
            <w:r w:rsidRPr="005D4C76">
              <w:rPr>
                <w:color w:val="000000"/>
                <w:sz w:val="14"/>
                <w:szCs w:val="14"/>
              </w:rPr>
              <w:t>12.9%</w:t>
            </w:r>
          </w:p>
        </w:tc>
      </w:tr>
      <w:tr w:rsidR="00B86D82" w:rsidRPr="005D4C76" w14:paraId="3FD5D97F" w14:textId="77777777" w:rsidTr="00831109">
        <w:trPr>
          <w:trHeight w:val="280"/>
        </w:trPr>
        <w:tc>
          <w:tcPr>
            <w:tcW w:w="1468" w:type="dxa"/>
            <w:tcBorders>
              <w:top w:val="nil"/>
              <w:left w:val="single" w:sz="8" w:space="0" w:color="auto"/>
              <w:bottom w:val="single" w:sz="8" w:space="0" w:color="auto"/>
              <w:right w:val="single" w:sz="8" w:space="0" w:color="auto"/>
            </w:tcBorders>
            <w:shd w:val="clear" w:color="auto" w:fill="auto"/>
            <w:vAlign w:val="center"/>
            <w:hideMark/>
          </w:tcPr>
          <w:p w14:paraId="26CF33D3" w14:textId="77777777" w:rsidR="00B86D82" w:rsidRPr="005D4C76" w:rsidRDefault="00B86D82" w:rsidP="006A7377">
            <w:pPr>
              <w:ind w:firstLineChars="200" w:firstLine="280"/>
              <w:rPr>
                <w:color w:val="000000"/>
                <w:sz w:val="14"/>
                <w:szCs w:val="14"/>
              </w:rPr>
            </w:pPr>
            <w:r w:rsidRPr="005D4C76">
              <w:rPr>
                <w:color w:val="000000"/>
                <w:sz w:val="14"/>
                <w:szCs w:val="14"/>
              </w:rPr>
              <w:t>Emergencias</w:t>
            </w:r>
          </w:p>
        </w:tc>
        <w:tc>
          <w:tcPr>
            <w:tcW w:w="1190" w:type="dxa"/>
            <w:tcBorders>
              <w:top w:val="nil"/>
              <w:left w:val="nil"/>
              <w:bottom w:val="single" w:sz="8" w:space="0" w:color="auto"/>
              <w:right w:val="single" w:sz="8" w:space="0" w:color="auto"/>
            </w:tcBorders>
            <w:shd w:val="clear" w:color="auto" w:fill="auto"/>
            <w:vAlign w:val="center"/>
            <w:hideMark/>
          </w:tcPr>
          <w:p w14:paraId="7603FEAA" w14:textId="77777777" w:rsidR="00B86D82" w:rsidRPr="005D4C76" w:rsidRDefault="00B86D82" w:rsidP="006A7377">
            <w:pPr>
              <w:jc w:val="both"/>
              <w:rPr>
                <w:color w:val="000000"/>
                <w:sz w:val="14"/>
                <w:szCs w:val="14"/>
              </w:rPr>
            </w:pPr>
            <w:r w:rsidRPr="005D4C76">
              <w:rPr>
                <w:color w:val="000000"/>
                <w:sz w:val="14"/>
                <w:szCs w:val="14"/>
              </w:rPr>
              <w:t xml:space="preserve"> Q                  357.20 </w:t>
            </w:r>
          </w:p>
        </w:tc>
        <w:tc>
          <w:tcPr>
            <w:tcW w:w="1076" w:type="dxa"/>
            <w:tcBorders>
              <w:top w:val="nil"/>
              <w:left w:val="nil"/>
              <w:bottom w:val="single" w:sz="8" w:space="0" w:color="auto"/>
              <w:right w:val="single" w:sz="8" w:space="0" w:color="auto"/>
            </w:tcBorders>
            <w:shd w:val="clear" w:color="auto" w:fill="auto"/>
            <w:vAlign w:val="center"/>
            <w:hideMark/>
          </w:tcPr>
          <w:p w14:paraId="124DB7DF" w14:textId="77777777" w:rsidR="00B86D82" w:rsidRPr="005D4C76" w:rsidRDefault="00B86D82" w:rsidP="006A7377">
            <w:pPr>
              <w:jc w:val="both"/>
              <w:rPr>
                <w:color w:val="000000"/>
                <w:sz w:val="14"/>
                <w:szCs w:val="14"/>
              </w:rPr>
            </w:pPr>
            <w:r w:rsidRPr="005D4C76">
              <w:rPr>
                <w:color w:val="000000"/>
                <w:sz w:val="14"/>
                <w:szCs w:val="14"/>
              </w:rPr>
              <w:t xml:space="preserve"> Q              466.70 </w:t>
            </w:r>
          </w:p>
        </w:tc>
        <w:tc>
          <w:tcPr>
            <w:tcW w:w="1076" w:type="dxa"/>
            <w:tcBorders>
              <w:top w:val="nil"/>
              <w:left w:val="nil"/>
              <w:bottom w:val="single" w:sz="8" w:space="0" w:color="auto"/>
              <w:right w:val="single" w:sz="8" w:space="0" w:color="auto"/>
            </w:tcBorders>
            <w:shd w:val="clear" w:color="auto" w:fill="auto"/>
            <w:vAlign w:val="center"/>
            <w:hideMark/>
          </w:tcPr>
          <w:p w14:paraId="4A93A015" w14:textId="77777777" w:rsidR="00B86D82" w:rsidRPr="005D4C76" w:rsidRDefault="00B86D82" w:rsidP="006A7377">
            <w:pPr>
              <w:jc w:val="both"/>
              <w:rPr>
                <w:color w:val="000000"/>
                <w:sz w:val="14"/>
                <w:szCs w:val="14"/>
              </w:rPr>
            </w:pPr>
            <w:r w:rsidRPr="005D4C76">
              <w:rPr>
                <w:color w:val="000000"/>
                <w:sz w:val="14"/>
                <w:szCs w:val="14"/>
              </w:rPr>
              <w:t xml:space="preserve"> Q              603.10 </w:t>
            </w:r>
          </w:p>
        </w:tc>
        <w:tc>
          <w:tcPr>
            <w:tcW w:w="1086" w:type="dxa"/>
            <w:tcBorders>
              <w:top w:val="nil"/>
              <w:left w:val="nil"/>
              <w:bottom w:val="single" w:sz="8" w:space="0" w:color="auto"/>
              <w:right w:val="single" w:sz="8" w:space="0" w:color="auto"/>
            </w:tcBorders>
            <w:shd w:val="clear" w:color="000000" w:fill="FFFFFF"/>
            <w:vAlign w:val="center"/>
            <w:hideMark/>
          </w:tcPr>
          <w:p w14:paraId="1C7116B4" w14:textId="77777777" w:rsidR="00B86D82" w:rsidRPr="005D4C76" w:rsidRDefault="00B86D82" w:rsidP="006A7377">
            <w:pPr>
              <w:jc w:val="both"/>
              <w:rPr>
                <w:color w:val="000000"/>
                <w:sz w:val="14"/>
                <w:szCs w:val="14"/>
              </w:rPr>
            </w:pPr>
            <w:r w:rsidRPr="005D4C76">
              <w:rPr>
                <w:color w:val="000000"/>
                <w:sz w:val="14"/>
                <w:szCs w:val="14"/>
              </w:rPr>
              <w:t xml:space="preserve"> Q               109.50 </w:t>
            </w:r>
          </w:p>
        </w:tc>
        <w:tc>
          <w:tcPr>
            <w:tcW w:w="1086" w:type="dxa"/>
            <w:tcBorders>
              <w:top w:val="nil"/>
              <w:left w:val="nil"/>
              <w:bottom w:val="single" w:sz="8" w:space="0" w:color="auto"/>
              <w:right w:val="single" w:sz="8" w:space="0" w:color="auto"/>
            </w:tcBorders>
            <w:shd w:val="clear" w:color="000000" w:fill="FFFFFF"/>
            <w:vAlign w:val="center"/>
            <w:hideMark/>
          </w:tcPr>
          <w:p w14:paraId="3980BF66" w14:textId="77777777" w:rsidR="00B86D82" w:rsidRPr="005D4C76" w:rsidRDefault="00B86D82" w:rsidP="006A7377">
            <w:pPr>
              <w:jc w:val="both"/>
              <w:rPr>
                <w:color w:val="000000"/>
                <w:sz w:val="14"/>
                <w:szCs w:val="14"/>
              </w:rPr>
            </w:pPr>
            <w:r w:rsidRPr="005D4C76">
              <w:rPr>
                <w:color w:val="000000"/>
                <w:sz w:val="14"/>
                <w:szCs w:val="14"/>
              </w:rPr>
              <w:t xml:space="preserve"> Q               136.40 </w:t>
            </w:r>
          </w:p>
        </w:tc>
        <w:tc>
          <w:tcPr>
            <w:tcW w:w="796" w:type="dxa"/>
            <w:tcBorders>
              <w:top w:val="nil"/>
              <w:left w:val="nil"/>
              <w:bottom w:val="single" w:sz="8" w:space="0" w:color="auto"/>
              <w:right w:val="single" w:sz="8" w:space="0" w:color="auto"/>
            </w:tcBorders>
            <w:shd w:val="clear" w:color="000000" w:fill="FFFFFF"/>
            <w:vAlign w:val="center"/>
            <w:hideMark/>
          </w:tcPr>
          <w:p w14:paraId="1B3B74E3" w14:textId="77777777" w:rsidR="00B86D82" w:rsidRPr="005D4C76" w:rsidRDefault="00B86D82" w:rsidP="006A7377">
            <w:pPr>
              <w:jc w:val="both"/>
              <w:rPr>
                <w:color w:val="000000"/>
                <w:sz w:val="14"/>
                <w:szCs w:val="14"/>
              </w:rPr>
            </w:pPr>
            <w:r w:rsidRPr="005D4C76">
              <w:rPr>
                <w:color w:val="000000"/>
                <w:sz w:val="14"/>
                <w:szCs w:val="14"/>
              </w:rPr>
              <w:t>30.7%</w:t>
            </w:r>
          </w:p>
        </w:tc>
        <w:tc>
          <w:tcPr>
            <w:tcW w:w="799" w:type="dxa"/>
            <w:tcBorders>
              <w:top w:val="nil"/>
              <w:left w:val="nil"/>
              <w:bottom w:val="single" w:sz="8" w:space="0" w:color="auto"/>
              <w:right w:val="single" w:sz="8" w:space="0" w:color="auto"/>
            </w:tcBorders>
            <w:shd w:val="clear" w:color="000000" w:fill="FFFFFF"/>
            <w:vAlign w:val="center"/>
            <w:hideMark/>
          </w:tcPr>
          <w:p w14:paraId="52FFF138" w14:textId="77777777" w:rsidR="00B86D82" w:rsidRPr="005D4C76" w:rsidRDefault="00B86D82" w:rsidP="006A7377">
            <w:pPr>
              <w:jc w:val="both"/>
              <w:rPr>
                <w:color w:val="000000"/>
                <w:sz w:val="14"/>
                <w:szCs w:val="14"/>
              </w:rPr>
            </w:pPr>
            <w:r w:rsidRPr="005D4C76">
              <w:rPr>
                <w:color w:val="000000"/>
                <w:sz w:val="14"/>
                <w:szCs w:val="14"/>
              </w:rPr>
              <w:t>29.2%</w:t>
            </w:r>
          </w:p>
        </w:tc>
      </w:tr>
      <w:tr w:rsidR="00B86D82" w:rsidRPr="005D4C76" w14:paraId="206BE14D" w14:textId="77777777" w:rsidTr="00831109">
        <w:trPr>
          <w:trHeight w:val="280"/>
        </w:trPr>
        <w:tc>
          <w:tcPr>
            <w:tcW w:w="1468" w:type="dxa"/>
            <w:tcBorders>
              <w:top w:val="nil"/>
              <w:left w:val="single" w:sz="8" w:space="0" w:color="auto"/>
              <w:bottom w:val="single" w:sz="8" w:space="0" w:color="auto"/>
              <w:right w:val="single" w:sz="8" w:space="0" w:color="auto"/>
            </w:tcBorders>
            <w:shd w:val="clear" w:color="auto" w:fill="auto"/>
            <w:vAlign w:val="center"/>
            <w:hideMark/>
          </w:tcPr>
          <w:p w14:paraId="0A05A30C" w14:textId="77777777" w:rsidR="00B86D82" w:rsidRPr="005D4C76" w:rsidRDefault="00B86D82" w:rsidP="006A7377">
            <w:pPr>
              <w:ind w:firstLineChars="200" w:firstLine="280"/>
              <w:rPr>
                <w:color w:val="000000"/>
                <w:sz w:val="14"/>
                <w:szCs w:val="14"/>
              </w:rPr>
            </w:pPr>
            <w:r w:rsidRPr="005D4C76">
              <w:rPr>
                <w:color w:val="000000"/>
                <w:sz w:val="14"/>
                <w:szCs w:val="14"/>
              </w:rPr>
              <w:t>Hospitalización</w:t>
            </w:r>
          </w:p>
        </w:tc>
        <w:tc>
          <w:tcPr>
            <w:tcW w:w="1190" w:type="dxa"/>
            <w:tcBorders>
              <w:top w:val="nil"/>
              <w:left w:val="nil"/>
              <w:bottom w:val="single" w:sz="8" w:space="0" w:color="auto"/>
              <w:right w:val="single" w:sz="8" w:space="0" w:color="auto"/>
            </w:tcBorders>
            <w:shd w:val="clear" w:color="auto" w:fill="auto"/>
            <w:vAlign w:val="center"/>
            <w:hideMark/>
          </w:tcPr>
          <w:p w14:paraId="154CC8E5" w14:textId="77777777" w:rsidR="00B86D82" w:rsidRPr="005D4C76" w:rsidRDefault="00B86D82" w:rsidP="006A7377">
            <w:pPr>
              <w:jc w:val="both"/>
              <w:rPr>
                <w:color w:val="000000"/>
                <w:sz w:val="14"/>
                <w:szCs w:val="14"/>
              </w:rPr>
            </w:pPr>
            <w:r w:rsidRPr="005D4C76">
              <w:rPr>
                <w:color w:val="000000"/>
                <w:sz w:val="14"/>
                <w:szCs w:val="14"/>
              </w:rPr>
              <w:t xml:space="preserve"> Q               1,507.00 </w:t>
            </w:r>
          </w:p>
        </w:tc>
        <w:tc>
          <w:tcPr>
            <w:tcW w:w="1076" w:type="dxa"/>
            <w:tcBorders>
              <w:top w:val="nil"/>
              <w:left w:val="nil"/>
              <w:bottom w:val="single" w:sz="8" w:space="0" w:color="auto"/>
              <w:right w:val="single" w:sz="8" w:space="0" w:color="auto"/>
            </w:tcBorders>
            <w:shd w:val="clear" w:color="auto" w:fill="auto"/>
            <w:vAlign w:val="center"/>
            <w:hideMark/>
          </w:tcPr>
          <w:p w14:paraId="3DC3C23F" w14:textId="77777777" w:rsidR="00B86D82" w:rsidRPr="005D4C76" w:rsidRDefault="00B86D82" w:rsidP="006A7377">
            <w:pPr>
              <w:jc w:val="both"/>
              <w:rPr>
                <w:color w:val="000000"/>
                <w:sz w:val="14"/>
                <w:szCs w:val="14"/>
              </w:rPr>
            </w:pPr>
            <w:r w:rsidRPr="005D4C76">
              <w:rPr>
                <w:color w:val="000000"/>
                <w:sz w:val="14"/>
                <w:szCs w:val="14"/>
              </w:rPr>
              <w:t xml:space="preserve"> Q          1,686.10 </w:t>
            </w:r>
          </w:p>
        </w:tc>
        <w:tc>
          <w:tcPr>
            <w:tcW w:w="1076" w:type="dxa"/>
            <w:tcBorders>
              <w:top w:val="nil"/>
              <w:left w:val="nil"/>
              <w:bottom w:val="single" w:sz="8" w:space="0" w:color="auto"/>
              <w:right w:val="single" w:sz="8" w:space="0" w:color="auto"/>
            </w:tcBorders>
            <w:shd w:val="clear" w:color="auto" w:fill="auto"/>
            <w:vAlign w:val="center"/>
            <w:hideMark/>
          </w:tcPr>
          <w:p w14:paraId="19FFC88D" w14:textId="77777777" w:rsidR="00B86D82" w:rsidRPr="005D4C76" w:rsidRDefault="00B86D82" w:rsidP="006A7377">
            <w:pPr>
              <w:jc w:val="both"/>
              <w:rPr>
                <w:color w:val="000000"/>
                <w:sz w:val="14"/>
                <w:szCs w:val="14"/>
              </w:rPr>
            </w:pPr>
            <w:r w:rsidRPr="005D4C76">
              <w:rPr>
                <w:color w:val="000000"/>
                <w:sz w:val="14"/>
                <w:szCs w:val="14"/>
              </w:rPr>
              <w:t xml:space="preserve"> Q          1,668.50 </w:t>
            </w:r>
          </w:p>
        </w:tc>
        <w:tc>
          <w:tcPr>
            <w:tcW w:w="1086" w:type="dxa"/>
            <w:tcBorders>
              <w:top w:val="nil"/>
              <w:left w:val="nil"/>
              <w:bottom w:val="single" w:sz="8" w:space="0" w:color="auto"/>
              <w:right w:val="single" w:sz="8" w:space="0" w:color="auto"/>
            </w:tcBorders>
            <w:shd w:val="clear" w:color="000000" w:fill="FFFFFF"/>
            <w:vAlign w:val="center"/>
            <w:hideMark/>
          </w:tcPr>
          <w:p w14:paraId="04BD7EA7" w14:textId="77777777" w:rsidR="00B86D82" w:rsidRPr="005D4C76" w:rsidRDefault="00B86D82" w:rsidP="006A7377">
            <w:pPr>
              <w:jc w:val="both"/>
              <w:rPr>
                <w:color w:val="000000"/>
                <w:sz w:val="14"/>
                <w:szCs w:val="14"/>
              </w:rPr>
            </w:pPr>
            <w:r w:rsidRPr="005D4C76">
              <w:rPr>
                <w:color w:val="000000"/>
                <w:sz w:val="14"/>
                <w:szCs w:val="14"/>
              </w:rPr>
              <w:t xml:space="preserve"> Q               179.10 </w:t>
            </w:r>
          </w:p>
        </w:tc>
        <w:tc>
          <w:tcPr>
            <w:tcW w:w="1086" w:type="dxa"/>
            <w:tcBorders>
              <w:top w:val="nil"/>
              <w:left w:val="nil"/>
              <w:bottom w:val="single" w:sz="8" w:space="0" w:color="auto"/>
              <w:right w:val="single" w:sz="8" w:space="0" w:color="auto"/>
            </w:tcBorders>
            <w:shd w:val="clear" w:color="000000" w:fill="FFFFFF"/>
            <w:vAlign w:val="center"/>
            <w:hideMark/>
          </w:tcPr>
          <w:p w14:paraId="74B06D55" w14:textId="77777777" w:rsidR="00B86D82" w:rsidRPr="005D4C76" w:rsidRDefault="00B86D82" w:rsidP="006A7377">
            <w:pPr>
              <w:jc w:val="both"/>
              <w:rPr>
                <w:color w:val="000000"/>
                <w:sz w:val="14"/>
                <w:szCs w:val="14"/>
              </w:rPr>
            </w:pPr>
            <w:r w:rsidRPr="005D4C76">
              <w:rPr>
                <w:color w:val="000000"/>
                <w:sz w:val="14"/>
                <w:szCs w:val="14"/>
              </w:rPr>
              <w:t xml:space="preserve">-Q                 17.60 </w:t>
            </w:r>
          </w:p>
        </w:tc>
        <w:tc>
          <w:tcPr>
            <w:tcW w:w="796" w:type="dxa"/>
            <w:tcBorders>
              <w:top w:val="nil"/>
              <w:left w:val="nil"/>
              <w:bottom w:val="single" w:sz="8" w:space="0" w:color="auto"/>
              <w:right w:val="single" w:sz="8" w:space="0" w:color="auto"/>
            </w:tcBorders>
            <w:shd w:val="clear" w:color="000000" w:fill="FFFFFF"/>
            <w:vAlign w:val="center"/>
            <w:hideMark/>
          </w:tcPr>
          <w:p w14:paraId="2F5F5D93" w14:textId="77777777" w:rsidR="00B86D82" w:rsidRPr="005D4C76" w:rsidRDefault="00B86D82" w:rsidP="006A7377">
            <w:pPr>
              <w:jc w:val="both"/>
              <w:rPr>
                <w:color w:val="000000"/>
                <w:sz w:val="14"/>
                <w:szCs w:val="14"/>
              </w:rPr>
            </w:pPr>
            <w:r w:rsidRPr="005D4C76">
              <w:rPr>
                <w:color w:val="000000"/>
                <w:sz w:val="14"/>
                <w:szCs w:val="14"/>
              </w:rPr>
              <w:t>11.9%</w:t>
            </w:r>
          </w:p>
        </w:tc>
        <w:tc>
          <w:tcPr>
            <w:tcW w:w="799" w:type="dxa"/>
            <w:tcBorders>
              <w:top w:val="nil"/>
              <w:left w:val="nil"/>
              <w:bottom w:val="single" w:sz="8" w:space="0" w:color="auto"/>
              <w:right w:val="single" w:sz="8" w:space="0" w:color="auto"/>
            </w:tcBorders>
            <w:shd w:val="clear" w:color="000000" w:fill="FFFFFF"/>
            <w:vAlign w:val="center"/>
            <w:hideMark/>
          </w:tcPr>
          <w:p w14:paraId="7895A871" w14:textId="77777777" w:rsidR="00B86D82" w:rsidRPr="005D4C76" w:rsidRDefault="00B86D82" w:rsidP="006A7377">
            <w:pPr>
              <w:jc w:val="both"/>
              <w:rPr>
                <w:color w:val="000000"/>
                <w:sz w:val="14"/>
                <w:szCs w:val="14"/>
              </w:rPr>
            </w:pPr>
            <w:r w:rsidRPr="005D4C76">
              <w:rPr>
                <w:color w:val="000000"/>
                <w:sz w:val="14"/>
                <w:szCs w:val="14"/>
              </w:rPr>
              <w:t>-1.0%</w:t>
            </w:r>
          </w:p>
        </w:tc>
      </w:tr>
      <w:tr w:rsidR="00B86D82" w:rsidRPr="005D4C76" w14:paraId="4D5882CB" w14:textId="77777777" w:rsidTr="00831109">
        <w:trPr>
          <w:trHeight w:val="280"/>
        </w:trPr>
        <w:tc>
          <w:tcPr>
            <w:tcW w:w="1468" w:type="dxa"/>
            <w:tcBorders>
              <w:top w:val="nil"/>
              <w:left w:val="single" w:sz="8" w:space="0" w:color="auto"/>
              <w:bottom w:val="single" w:sz="8" w:space="0" w:color="auto"/>
              <w:right w:val="single" w:sz="8" w:space="0" w:color="auto"/>
            </w:tcBorders>
            <w:shd w:val="clear" w:color="000000" w:fill="F2F2F2"/>
            <w:vAlign w:val="center"/>
            <w:hideMark/>
          </w:tcPr>
          <w:p w14:paraId="65AF1053" w14:textId="77777777" w:rsidR="00B86D82" w:rsidRPr="005D4C76" w:rsidRDefault="00B86D82" w:rsidP="006A7377">
            <w:pPr>
              <w:jc w:val="both"/>
              <w:rPr>
                <w:b/>
                <w:bCs/>
                <w:color w:val="000000"/>
                <w:sz w:val="14"/>
                <w:szCs w:val="14"/>
              </w:rPr>
            </w:pPr>
            <w:r w:rsidRPr="005D4C76">
              <w:rPr>
                <w:b/>
                <w:bCs/>
                <w:color w:val="000000"/>
                <w:sz w:val="14"/>
                <w:szCs w:val="14"/>
              </w:rPr>
              <w:t>Maternidad (M)</w:t>
            </w:r>
          </w:p>
        </w:tc>
        <w:tc>
          <w:tcPr>
            <w:tcW w:w="1190" w:type="dxa"/>
            <w:tcBorders>
              <w:top w:val="nil"/>
              <w:left w:val="nil"/>
              <w:bottom w:val="single" w:sz="8" w:space="0" w:color="auto"/>
              <w:right w:val="single" w:sz="8" w:space="0" w:color="auto"/>
            </w:tcBorders>
            <w:shd w:val="clear" w:color="000000" w:fill="F2F2F2"/>
            <w:vAlign w:val="center"/>
            <w:hideMark/>
          </w:tcPr>
          <w:p w14:paraId="081239B1" w14:textId="77777777" w:rsidR="00B86D82" w:rsidRPr="005D4C76" w:rsidRDefault="00B86D82" w:rsidP="006A7377">
            <w:pPr>
              <w:jc w:val="both"/>
              <w:rPr>
                <w:b/>
                <w:bCs/>
                <w:color w:val="000000"/>
                <w:sz w:val="14"/>
                <w:szCs w:val="14"/>
              </w:rPr>
            </w:pPr>
            <w:r w:rsidRPr="005D4C76">
              <w:rPr>
                <w:b/>
                <w:bCs/>
                <w:color w:val="000000"/>
                <w:sz w:val="14"/>
                <w:szCs w:val="14"/>
              </w:rPr>
              <w:t xml:space="preserve"> Q         366.80 </w:t>
            </w:r>
          </w:p>
        </w:tc>
        <w:tc>
          <w:tcPr>
            <w:tcW w:w="1076" w:type="dxa"/>
            <w:tcBorders>
              <w:top w:val="nil"/>
              <w:left w:val="nil"/>
              <w:bottom w:val="single" w:sz="8" w:space="0" w:color="auto"/>
              <w:right w:val="single" w:sz="8" w:space="0" w:color="auto"/>
            </w:tcBorders>
            <w:shd w:val="clear" w:color="000000" w:fill="F2F2F2"/>
            <w:vAlign w:val="center"/>
            <w:hideMark/>
          </w:tcPr>
          <w:p w14:paraId="3E3BE03E" w14:textId="77777777" w:rsidR="00B86D82" w:rsidRPr="005D4C76" w:rsidRDefault="00B86D82" w:rsidP="006A7377">
            <w:pPr>
              <w:jc w:val="both"/>
              <w:rPr>
                <w:b/>
                <w:bCs/>
                <w:color w:val="000000"/>
                <w:sz w:val="14"/>
                <w:szCs w:val="14"/>
              </w:rPr>
            </w:pPr>
            <w:r w:rsidRPr="005D4C76">
              <w:rPr>
                <w:b/>
                <w:bCs/>
                <w:color w:val="000000"/>
                <w:sz w:val="14"/>
                <w:szCs w:val="14"/>
              </w:rPr>
              <w:t xml:space="preserve"> Q       401.60 </w:t>
            </w:r>
          </w:p>
        </w:tc>
        <w:tc>
          <w:tcPr>
            <w:tcW w:w="1076" w:type="dxa"/>
            <w:tcBorders>
              <w:top w:val="nil"/>
              <w:left w:val="nil"/>
              <w:bottom w:val="single" w:sz="8" w:space="0" w:color="auto"/>
              <w:right w:val="single" w:sz="8" w:space="0" w:color="auto"/>
            </w:tcBorders>
            <w:shd w:val="clear" w:color="000000" w:fill="F2F2F2"/>
            <w:vAlign w:val="center"/>
            <w:hideMark/>
          </w:tcPr>
          <w:p w14:paraId="1A16730F" w14:textId="77777777" w:rsidR="00B86D82" w:rsidRPr="005D4C76" w:rsidRDefault="00B86D82" w:rsidP="006A7377">
            <w:pPr>
              <w:jc w:val="both"/>
              <w:rPr>
                <w:b/>
                <w:bCs/>
                <w:color w:val="000000"/>
                <w:sz w:val="14"/>
                <w:szCs w:val="14"/>
              </w:rPr>
            </w:pPr>
            <w:r w:rsidRPr="005D4C76">
              <w:rPr>
                <w:b/>
                <w:bCs/>
                <w:color w:val="000000"/>
                <w:sz w:val="14"/>
                <w:szCs w:val="14"/>
              </w:rPr>
              <w:t xml:space="preserve"> Q      409.70 </w:t>
            </w:r>
          </w:p>
        </w:tc>
        <w:tc>
          <w:tcPr>
            <w:tcW w:w="1086" w:type="dxa"/>
            <w:tcBorders>
              <w:top w:val="nil"/>
              <w:left w:val="nil"/>
              <w:bottom w:val="single" w:sz="8" w:space="0" w:color="auto"/>
              <w:right w:val="single" w:sz="8" w:space="0" w:color="auto"/>
            </w:tcBorders>
            <w:shd w:val="clear" w:color="000000" w:fill="F2F2F2"/>
            <w:vAlign w:val="center"/>
            <w:hideMark/>
          </w:tcPr>
          <w:p w14:paraId="6A48B354" w14:textId="77777777" w:rsidR="00B86D82" w:rsidRPr="005D4C76" w:rsidRDefault="00B86D82" w:rsidP="006A7377">
            <w:pPr>
              <w:jc w:val="both"/>
              <w:rPr>
                <w:b/>
                <w:bCs/>
                <w:color w:val="000000"/>
                <w:sz w:val="14"/>
                <w:szCs w:val="14"/>
              </w:rPr>
            </w:pPr>
            <w:r w:rsidRPr="005D4C76">
              <w:rPr>
                <w:b/>
                <w:bCs/>
                <w:color w:val="000000"/>
                <w:sz w:val="14"/>
                <w:szCs w:val="14"/>
              </w:rPr>
              <w:t xml:space="preserve"> Q        34.80 </w:t>
            </w:r>
          </w:p>
        </w:tc>
        <w:tc>
          <w:tcPr>
            <w:tcW w:w="1086" w:type="dxa"/>
            <w:tcBorders>
              <w:top w:val="nil"/>
              <w:left w:val="nil"/>
              <w:bottom w:val="single" w:sz="8" w:space="0" w:color="auto"/>
              <w:right w:val="single" w:sz="8" w:space="0" w:color="auto"/>
            </w:tcBorders>
            <w:shd w:val="clear" w:color="000000" w:fill="F2F2F2"/>
            <w:vAlign w:val="center"/>
            <w:hideMark/>
          </w:tcPr>
          <w:p w14:paraId="02149627" w14:textId="77777777" w:rsidR="00B86D82" w:rsidRPr="005D4C76" w:rsidRDefault="00B86D82" w:rsidP="006A7377">
            <w:pPr>
              <w:jc w:val="both"/>
              <w:rPr>
                <w:b/>
                <w:bCs/>
                <w:color w:val="000000"/>
                <w:sz w:val="14"/>
                <w:szCs w:val="14"/>
              </w:rPr>
            </w:pPr>
            <w:r w:rsidRPr="005D4C76">
              <w:rPr>
                <w:b/>
                <w:bCs/>
                <w:color w:val="000000"/>
                <w:sz w:val="14"/>
                <w:szCs w:val="14"/>
              </w:rPr>
              <w:t xml:space="preserve"> Q           8.10 </w:t>
            </w:r>
          </w:p>
        </w:tc>
        <w:tc>
          <w:tcPr>
            <w:tcW w:w="796" w:type="dxa"/>
            <w:tcBorders>
              <w:top w:val="nil"/>
              <w:left w:val="nil"/>
              <w:bottom w:val="single" w:sz="8" w:space="0" w:color="auto"/>
              <w:right w:val="single" w:sz="8" w:space="0" w:color="auto"/>
            </w:tcBorders>
            <w:shd w:val="clear" w:color="000000" w:fill="F2F2F2"/>
            <w:vAlign w:val="center"/>
            <w:hideMark/>
          </w:tcPr>
          <w:p w14:paraId="6AD11A93" w14:textId="77777777" w:rsidR="00B86D82" w:rsidRPr="005D4C76" w:rsidRDefault="00B86D82" w:rsidP="006A7377">
            <w:pPr>
              <w:jc w:val="both"/>
              <w:rPr>
                <w:b/>
                <w:bCs/>
                <w:color w:val="000000"/>
                <w:sz w:val="14"/>
                <w:szCs w:val="14"/>
              </w:rPr>
            </w:pPr>
            <w:r w:rsidRPr="005D4C76">
              <w:rPr>
                <w:b/>
                <w:bCs/>
                <w:color w:val="000000"/>
                <w:sz w:val="14"/>
                <w:szCs w:val="14"/>
              </w:rPr>
              <w:t>9.5%</w:t>
            </w:r>
          </w:p>
        </w:tc>
        <w:tc>
          <w:tcPr>
            <w:tcW w:w="799" w:type="dxa"/>
            <w:tcBorders>
              <w:top w:val="nil"/>
              <w:left w:val="nil"/>
              <w:bottom w:val="single" w:sz="8" w:space="0" w:color="auto"/>
              <w:right w:val="single" w:sz="8" w:space="0" w:color="auto"/>
            </w:tcBorders>
            <w:shd w:val="clear" w:color="000000" w:fill="F2F2F2"/>
            <w:vAlign w:val="center"/>
            <w:hideMark/>
          </w:tcPr>
          <w:p w14:paraId="72F57363" w14:textId="77777777" w:rsidR="00B86D82" w:rsidRPr="005D4C76" w:rsidRDefault="00B86D82" w:rsidP="006A7377">
            <w:pPr>
              <w:jc w:val="both"/>
              <w:rPr>
                <w:b/>
                <w:bCs/>
                <w:color w:val="000000"/>
                <w:sz w:val="14"/>
                <w:szCs w:val="14"/>
              </w:rPr>
            </w:pPr>
            <w:r w:rsidRPr="005D4C76">
              <w:rPr>
                <w:b/>
                <w:bCs/>
                <w:color w:val="000000"/>
                <w:sz w:val="14"/>
                <w:szCs w:val="14"/>
              </w:rPr>
              <w:t>2.0%</w:t>
            </w:r>
          </w:p>
        </w:tc>
      </w:tr>
      <w:tr w:rsidR="00B86D82" w:rsidRPr="005D4C76" w14:paraId="56579C08" w14:textId="77777777" w:rsidTr="00831109">
        <w:trPr>
          <w:trHeight w:val="280"/>
        </w:trPr>
        <w:tc>
          <w:tcPr>
            <w:tcW w:w="1468" w:type="dxa"/>
            <w:tcBorders>
              <w:top w:val="nil"/>
              <w:left w:val="single" w:sz="8" w:space="0" w:color="auto"/>
              <w:bottom w:val="single" w:sz="8" w:space="0" w:color="auto"/>
              <w:right w:val="single" w:sz="8" w:space="0" w:color="auto"/>
            </w:tcBorders>
            <w:shd w:val="clear" w:color="auto" w:fill="auto"/>
            <w:vAlign w:val="center"/>
            <w:hideMark/>
          </w:tcPr>
          <w:p w14:paraId="579E79E4" w14:textId="77777777" w:rsidR="00B86D82" w:rsidRPr="005D4C76" w:rsidRDefault="00B86D82" w:rsidP="006A7377">
            <w:pPr>
              <w:ind w:firstLineChars="200" w:firstLine="280"/>
              <w:rPr>
                <w:color w:val="000000"/>
                <w:sz w:val="14"/>
                <w:szCs w:val="14"/>
              </w:rPr>
            </w:pPr>
            <w:r w:rsidRPr="005D4C76">
              <w:rPr>
                <w:color w:val="000000"/>
                <w:sz w:val="14"/>
                <w:szCs w:val="14"/>
              </w:rPr>
              <w:t>Consultas</w:t>
            </w:r>
          </w:p>
        </w:tc>
        <w:tc>
          <w:tcPr>
            <w:tcW w:w="1190" w:type="dxa"/>
            <w:tcBorders>
              <w:top w:val="nil"/>
              <w:left w:val="nil"/>
              <w:bottom w:val="single" w:sz="8" w:space="0" w:color="auto"/>
              <w:right w:val="single" w:sz="8" w:space="0" w:color="auto"/>
            </w:tcBorders>
            <w:shd w:val="clear" w:color="auto" w:fill="auto"/>
            <w:vAlign w:val="center"/>
            <w:hideMark/>
          </w:tcPr>
          <w:p w14:paraId="75B6F8FD" w14:textId="77777777" w:rsidR="00B86D82" w:rsidRPr="005D4C76" w:rsidRDefault="00B86D82" w:rsidP="006A7377">
            <w:pPr>
              <w:jc w:val="both"/>
              <w:rPr>
                <w:color w:val="000000"/>
                <w:sz w:val="14"/>
                <w:szCs w:val="14"/>
              </w:rPr>
            </w:pPr>
            <w:r w:rsidRPr="005D4C76">
              <w:rPr>
                <w:color w:val="000000"/>
                <w:sz w:val="14"/>
                <w:szCs w:val="14"/>
              </w:rPr>
              <w:t xml:space="preserve"> Q                     88.70 </w:t>
            </w:r>
          </w:p>
        </w:tc>
        <w:tc>
          <w:tcPr>
            <w:tcW w:w="1076" w:type="dxa"/>
            <w:tcBorders>
              <w:top w:val="nil"/>
              <w:left w:val="nil"/>
              <w:bottom w:val="single" w:sz="8" w:space="0" w:color="auto"/>
              <w:right w:val="single" w:sz="8" w:space="0" w:color="auto"/>
            </w:tcBorders>
            <w:shd w:val="clear" w:color="auto" w:fill="auto"/>
            <w:vAlign w:val="center"/>
            <w:hideMark/>
          </w:tcPr>
          <w:p w14:paraId="077B07F6" w14:textId="77777777" w:rsidR="00B86D82" w:rsidRPr="005D4C76" w:rsidRDefault="00B86D82" w:rsidP="006A7377">
            <w:pPr>
              <w:jc w:val="both"/>
              <w:rPr>
                <w:color w:val="000000"/>
                <w:sz w:val="14"/>
                <w:szCs w:val="14"/>
              </w:rPr>
            </w:pPr>
            <w:r w:rsidRPr="005D4C76">
              <w:rPr>
                <w:color w:val="000000"/>
                <w:sz w:val="14"/>
                <w:szCs w:val="14"/>
              </w:rPr>
              <w:t xml:space="preserve"> Q              103.00 </w:t>
            </w:r>
          </w:p>
        </w:tc>
        <w:tc>
          <w:tcPr>
            <w:tcW w:w="1076" w:type="dxa"/>
            <w:tcBorders>
              <w:top w:val="nil"/>
              <w:left w:val="nil"/>
              <w:bottom w:val="single" w:sz="8" w:space="0" w:color="auto"/>
              <w:right w:val="single" w:sz="8" w:space="0" w:color="auto"/>
            </w:tcBorders>
            <w:shd w:val="clear" w:color="auto" w:fill="auto"/>
            <w:vAlign w:val="center"/>
            <w:hideMark/>
          </w:tcPr>
          <w:p w14:paraId="15ED1A33" w14:textId="77777777" w:rsidR="00B86D82" w:rsidRPr="005D4C76" w:rsidRDefault="00B86D82" w:rsidP="006A7377">
            <w:pPr>
              <w:jc w:val="both"/>
              <w:rPr>
                <w:color w:val="000000"/>
                <w:sz w:val="14"/>
                <w:szCs w:val="14"/>
              </w:rPr>
            </w:pPr>
            <w:r w:rsidRPr="005D4C76">
              <w:rPr>
                <w:color w:val="000000"/>
                <w:sz w:val="14"/>
                <w:szCs w:val="14"/>
              </w:rPr>
              <w:t xml:space="preserve"> Q              111.70 </w:t>
            </w:r>
          </w:p>
        </w:tc>
        <w:tc>
          <w:tcPr>
            <w:tcW w:w="1086" w:type="dxa"/>
            <w:tcBorders>
              <w:top w:val="nil"/>
              <w:left w:val="nil"/>
              <w:bottom w:val="single" w:sz="8" w:space="0" w:color="auto"/>
              <w:right w:val="single" w:sz="8" w:space="0" w:color="auto"/>
            </w:tcBorders>
            <w:shd w:val="clear" w:color="000000" w:fill="FFFFFF"/>
            <w:vAlign w:val="center"/>
            <w:hideMark/>
          </w:tcPr>
          <w:p w14:paraId="4412C1FC" w14:textId="77777777" w:rsidR="00B86D82" w:rsidRPr="005D4C76" w:rsidRDefault="00B86D82" w:rsidP="006A7377">
            <w:pPr>
              <w:jc w:val="both"/>
              <w:rPr>
                <w:color w:val="000000"/>
                <w:sz w:val="14"/>
                <w:szCs w:val="14"/>
              </w:rPr>
            </w:pPr>
            <w:r w:rsidRPr="005D4C76">
              <w:rPr>
                <w:color w:val="000000"/>
                <w:sz w:val="14"/>
                <w:szCs w:val="14"/>
              </w:rPr>
              <w:t xml:space="preserve"> Q                  14.30 </w:t>
            </w:r>
          </w:p>
        </w:tc>
        <w:tc>
          <w:tcPr>
            <w:tcW w:w="1086" w:type="dxa"/>
            <w:tcBorders>
              <w:top w:val="nil"/>
              <w:left w:val="nil"/>
              <w:bottom w:val="single" w:sz="8" w:space="0" w:color="auto"/>
              <w:right w:val="single" w:sz="8" w:space="0" w:color="auto"/>
            </w:tcBorders>
            <w:shd w:val="clear" w:color="000000" w:fill="FFFFFF"/>
            <w:vAlign w:val="center"/>
            <w:hideMark/>
          </w:tcPr>
          <w:p w14:paraId="1EA8C7E0" w14:textId="77777777" w:rsidR="00B86D82" w:rsidRPr="005D4C76" w:rsidRDefault="00B86D82" w:rsidP="006A7377">
            <w:pPr>
              <w:jc w:val="both"/>
              <w:rPr>
                <w:color w:val="000000"/>
                <w:sz w:val="14"/>
                <w:szCs w:val="14"/>
              </w:rPr>
            </w:pPr>
            <w:r w:rsidRPr="005D4C76">
              <w:rPr>
                <w:color w:val="000000"/>
                <w:sz w:val="14"/>
                <w:szCs w:val="14"/>
              </w:rPr>
              <w:t xml:space="preserve"> Q                   8.70 </w:t>
            </w:r>
          </w:p>
        </w:tc>
        <w:tc>
          <w:tcPr>
            <w:tcW w:w="796" w:type="dxa"/>
            <w:tcBorders>
              <w:top w:val="nil"/>
              <w:left w:val="nil"/>
              <w:bottom w:val="single" w:sz="8" w:space="0" w:color="auto"/>
              <w:right w:val="single" w:sz="8" w:space="0" w:color="auto"/>
            </w:tcBorders>
            <w:shd w:val="clear" w:color="000000" w:fill="FFFFFF"/>
            <w:vAlign w:val="center"/>
            <w:hideMark/>
          </w:tcPr>
          <w:p w14:paraId="4C08A25C" w14:textId="77777777" w:rsidR="00B86D82" w:rsidRPr="005D4C76" w:rsidRDefault="00B86D82" w:rsidP="006A7377">
            <w:pPr>
              <w:jc w:val="both"/>
              <w:rPr>
                <w:color w:val="000000"/>
                <w:sz w:val="14"/>
                <w:szCs w:val="14"/>
              </w:rPr>
            </w:pPr>
            <w:r w:rsidRPr="005D4C76">
              <w:rPr>
                <w:color w:val="000000"/>
                <w:sz w:val="14"/>
                <w:szCs w:val="14"/>
              </w:rPr>
              <w:t>16.1%</w:t>
            </w:r>
          </w:p>
        </w:tc>
        <w:tc>
          <w:tcPr>
            <w:tcW w:w="799" w:type="dxa"/>
            <w:tcBorders>
              <w:top w:val="nil"/>
              <w:left w:val="nil"/>
              <w:bottom w:val="single" w:sz="8" w:space="0" w:color="auto"/>
              <w:right w:val="single" w:sz="8" w:space="0" w:color="auto"/>
            </w:tcBorders>
            <w:shd w:val="clear" w:color="000000" w:fill="FFFFFF"/>
            <w:vAlign w:val="center"/>
            <w:hideMark/>
          </w:tcPr>
          <w:p w14:paraId="02496FEE" w14:textId="77777777" w:rsidR="00B86D82" w:rsidRPr="005D4C76" w:rsidRDefault="00B86D82" w:rsidP="006A7377">
            <w:pPr>
              <w:jc w:val="both"/>
              <w:rPr>
                <w:color w:val="000000"/>
                <w:sz w:val="14"/>
                <w:szCs w:val="14"/>
              </w:rPr>
            </w:pPr>
            <w:r w:rsidRPr="005D4C76">
              <w:rPr>
                <w:color w:val="000000"/>
                <w:sz w:val="14"/>
                <w:szCs w:val="14"/>
              </w:rPr>
              <w:t>8.4%</w:t>
            </w:r>
          </w:p>
        </w:tc>
      </w:tr>
      <w:tr w:rsidR="00B86D82" w:rsidRPr="005D4C76" w14:paraId="78B8CA1D" w14:textId="77777777" w:rsidTr="00831109">
        <w:trPr>
          <w:trHeight w:val="280"/>
        </w:trPr>
        <w:tc>
          <w:tcPr>
            <w:tcW w:w="1468" w:type="dxa"/>
            <w:tcBorders>
              <w:top w:val="nil"/>
              <w:left w:val="single" w:sz="8" w:space="0" w:color="auto"/>
              <w:bottom w:val="single" w:sz="8" w:space="0" w:color="auto"/>
              <w:right w:val="single" w:sz="8" w:space="0" w:color="auto"/>
            </w:tcBorders>
            <w:shd w:val="clear" w:color="auto" w:fill="auto"/>
            <w:vAlign w:val="center"/>
            <w:hideMark/>
          </w:tcPr>
          <w:p w14:paraId="7A09BCF1" w14:textId="77777777" w:rsidR="00B86D82" w:rsidRPr="005D4C76" w:rsidRDefault="00B86D82" w:rsidP="006A7377">
            <w:pPr>
              <w:ind w:firstLineChars="200" w:firstLine="280"/>
              <w:rPr>
                <w:color w:val="000000"/>
                <w:sz w:val="14"/>
                <w:szCs w:val="14"/>
              </w:rPr>
            </w:pPr>
            <w:r w:rsidRPr="005D4C76">
              <w:rPr>
                <w:color w:val="000000"/>
                <w:sz w:val="14"/>
                <w:szCs w:val="14"/>
              </w:rPr>
              <w:t>Emergencias</w:t>
            </w:r>
          </w:p>
        </w:tc>
        <w:tc>
          <w:tcPr>
            <w:tcW w:w="1190" w:type="dxa"/>
            <w:tcBorders>
              <w:top w:val="nil"/>
              <w:left w:val="nil"/>
              <w:bottom w:val="single" w:sz="8" w:space="0" w:color="auto"/>
              <w:right w:val="single" w:sz="8" w:space="0" w:color="auto"/>
            </w:tcBorders>
            <w:shd w:val="clear" w:color="auto" w:fill="auto"/>
            <w:vAlign w:val="center"/>
            <w:hideMark/>
          </w:tcPr>
          <w:p w14:paraId="62A258D1" w14:textId="77777777" w:rsidR="00B86D82" w:rsidRPr="005D4C76" w:rsidRDefault="00B86D82" w:rsidP="006A7377">
            <w:pPr>
              <w:jc w:val="both"/>
              <w:rPr>
                <w:color w:val="000000"/>
                <w:sz w:val="14"/>
                <w:szCs w:val="14"/>
              </w:rPr>
            </w:pPr>
            <w:r w:rsidRPr="005D4C76">
              <w:rPr>
                <w:color w:val="000000"/>
                <w:sz w:val="14"/>
                <w:szCs w:val="14"/>
              </w:rPr>
              <w:t xml:space="preserve"> Q                     48.00 </w:t>
            </w:r>
          </w:p>
        </w:tc>
        <w:tc>
          <w:tcPr>
            <w:tcW w:w="1076" w:type="dxa"/>
            <w:tcBorders>
              <w:top w:val="nil"/>
              <w:left w:val="nil"/>
              <w:bottom w:val="single" w:sz="8" w:space="0" w:color="auto"/>
              <w:right w:val="single" w:sz="8" w:space="0" w:color="auto"/>
            </w:tcBorders>
            <w:shd w:val="clear" w:color="auto" w:fill="auto"/>
            <w:vAlign w:val="center"/>
            <w:hideMark/>
          </w:tcPr>
          <w:p w14:paraId="09364017" w14:textId="77777777" w:rsidR="00B86D82" w:rsidRPr="005D4C76" w:rsidRDefault="00B86D82" w:rsidP="006A7377">
            <w:pPr>
              <w:jc w:val="both"/>
              <w:rPr>
                <w:color w:val="000000"/>
                <w:sz w:val="14"/>
                <w:szCs w:val="14"/>
              </w:rPr>
            </w:pPr>
            <w:r w:rsidRPr="005D4C76">
              <w:rPr>
                <w:color w:val="000000"/>
                <w:sz w:val="14"/>
                <w:szCs w:val="14"/>
              </w:rPr>
              <w:t xml:space="preserve"> Q                 47.00 </w:t>
            </w:r>
          </w:p>
        </w:tc>
        <w:tc>
          <w:tcPr>
            <w:tcW w:w="1076" w:type="dxa"/>
            <w:tcBorders>
              <w:top w:val="nil"/>
              <w:left w:val="nil"/>
              <w:bottom w:val="single" w:sz="8" w:space="0" w:color="auto"/>
              <w:right w:val="single" w:sz="8" w:space="0" w:color="auto"/>
            </w:tcBorders>
            <w:shd w:val="clear" w:color="auto" w:fill="auto"/>
            <w:vAlign w:val="center"/>
            <w:hideMark/>
          </w:tcPr>
          <w:p w14:paraId="014576FE" w14:textId="77777777" w:rsidR="00B86D82" w:rsidRPr="005D4C76" w:rsidRDefault="00B86D82" w:rsidP="006A7377">
            <w:pPr>
              <w:jc w:val="both"/>
              <w:rPr>
                <w:color w:val="000000"/>
                <w:sz w:val="14"/>
                <w:szCs w:val="14"/>
              </w:rPr>
            </w:pPr>
            <w:r w:rsidRPr="005D4C76">
              <w:rPr>
                <w:color w:val="000000"/>
                <w:sz w:val="14"/>
                <w:szCs w:val="14"/>
              </w:rPr>
              <w:t xml:space="preserve"> Q                 51.70 </w:t>
            </w:r>
          </w:p>
        </w:tc>
        <w:tc>
          <w:tcPr>
            <w:tcW w:w="1086" w:type="dxa"/>
            <w:tcBorders>
              <w:top w:val="nil"/>
              <w:left w:val="nil"/>
              <w:bottom w:val="single" w:sz="8" w:space="0" w:color="auto"/>
              <w:right w:val="single" w:sz="8" w:space="0" w:color="auto"/>
            </w:tcBorders>
            <w:shd w:val="clear" w:color="000000" w:fill="FFFFFF"/>
            <w:vAlign w:val="center"/>
            <w:hideMark/>
          </w:tcPr>
          <w:p w14:paraId="60F2B06F" w14:textId="77777777" w:rsidR="00B86D82" w:rsidRPr="005D4C76" w:rsidRDefault="00B86D82" w:rsidP="006A7377">
            <w:pPr>
              <w:jc w:val="both"/>
              <w:rPr>
                <w:color w:val="000000"/>
                <w:sz w:val="14"/>
                <w:szCs w:val="14"/>
              </w:rPr>
            </w:pPr>
            <w:r w:rsidRPr="005D4C76">
              <w:rPr>
                <w:color w:val="000000"/>
                <w:sz w:val="14"/>
                <w:szCs w:val="14"/>
              </w:rPr>
              <w:t xml:space="preserve">-Q                    1.00 </w:t>
            </w:r>
          </w:p>
        </w:tc>
        <w:tc>
          <w:tcPr>
            <w:tcW w:w="1086" w:type="dxa"/>
            <w:tcBorders>
              <w:top w:val="nil"/>
              <w:left w:val="nil"/>
              <w:bottom w:val="single" w:sz="8" w:space="0" w:color="auto"/>
              <w:right w:val="single" w:sz="8" w:space="0" w:color="auto"/>
            </w:tcBorders>
            <w:shd w:val="clear" w:color="000000" w:fill="FFFFFF"/>
            <w:vAlign w:val="center"/>
            <w:hideMark/>
          </w:tcPr>
          <w:p w14:paraId="59677B13" w14:textId="77777777" w:rsidR="00B86D82" w:rsidRPr="005D4C76" w:rsidRDefault="00B86D82" w:rsidP="006A7377">
            <w:pPr>
              <w:jc w:val="both"/>
              <w:rPr>
                <w:color w:val="000000"/>
                <w:sz w:val="14"/>
                <w:szCs w:val="14"/>
              </w:rPr>
            </w:pPr>
            <w:r w:rsidRPr="005D4C76">
              <w:rPr>
                <w:color w:val="000000"/>
                <w:sz w:val="14"/>
                <w:szCs w:val="14"/>
              </w:rPr>
              <w:t xml:space="preserve"> Q                   4.70 </w:t>
            </w:r>
          </w:p>
        </w:tc>
        <w:tc>
          <w:tcPr>
            <w:tcW w:w="796" w:type="dxa"/>
            <w:tcBorders>
              <w:top w:val="nil"/>
              <w:left w:val="nil"/>
              <w:bottom w:val="single" w:sz="8" w:space="0" w:color="auto"/>
              <w:right w:val="single" w:sz="8" w:space="0" w:color="auto"/>
            </w:tcBorders>
            <w:shd w:val="clear" w:color="000000" w:fill="FFFFFF"/>
            <w:vAlign w:val="center"/>
            <w:hideMark/>
          </w:tcPr>
          <w:p w14:paraId="71E96AA8" w14:textId="77777777" w:rsidR="00B86D82" w:rsidRPr="005D4C76" w:rsidRDefault="00B86D82" w:rsidP="006A7377">
            <w:pPr>
              <w:jc w:val="both"/>
              <w:rPr>
                <w:color w:val="000000"/>
                <w:sz w:val="14"/>
                <w:szCs w:val="14"/>
              </w:rPr>
            </w:pPr>
            <w:r w:rsidRPr="005D4C76">
              <w:rPr>
                <w:color w:val="000000"/>
                <w:sz w:val="14"/>
                <w:szCs w:val="14"/>
              </w:rPr>
              <w:t>-2.1%</w:t>
            </w:r>
          </w:p>
        </w:tc>
        <w:tc>
          <w:tcPr>
            <w:tcW w:w="799" w:type="dxa"/>
            <w:tcBorders>
              <w:top w:val="nil"/>
              <w:left w:val="nil"/>
              <w:bottom w:val="single" w:sz="8" w:space="0" w:color="auto"/>
              <w:right w:val="single" w:sz="8" w:space="0" w:color="auto"/>
            </w:tcBorders>
            <w:shd w:val="clear" w:color="000000" w:fill="FFFFFF"/>
            <w:vAlign w:val="center"/>
            <w:hideMark/>
          </w:tcPr>
          <w:p w14:paraId="22AD984F" w14:textId="77777777" w:rsidR="00B86D82" w:rsidRPr="005D4C76" w:rsidRDefault="00B86D82" w:rsidP="006A7377">
            <w:pPr>
              <w:jc w:val="both"/>
              <w:rPr>
                <w:color w:val="000000"/>
                <w:sz w:val="14"/>
                <w:szCs w:val="14"/>
              </w:rPr>
            </w:pPr>
            <w:r w:rsidRPr="005D4C76">
              <w:rPr>
                <w:color w:val="000000"/>
                <w:sz w:val="14"/>
                <w:szCs w:val="14"/>
              </w:rPr>
              <w:t>10.0%</w:t>
            </w:r>
          </w:p>
        </w:tc>
      </w:tr>
      <w:tr w:rsidR="00B86D82" w:rsidRPr="005D4C76" w14:paraId="3C1E0CDB" w14:textId="77777777" w:rsidTr="00831109">
        <w:trPr>
          <w:trHeight w:val="280"/>
        </w:trPr>
        <w:tc>
          <w:tcPr>
            <w:tcW w:w="1468" w:type="dxa"/>
            <w:tcBorders>
              <w:top w:val="nil"/>
              <w:left w:val="single" w:sz="8" w:space="0" w:color="auto"/>
              <w:bottom w:val="single" w:sz="8" w:space="0" w:color="auto"/>
              <w:right w:val="single" w:sz="8" w:space="0" w:color="auto"/>
            </w:tcBorders>
            <w:shd w:val="clear" w:color="auto" w:fill="auto"/>
            <w:vAlign w:val="center"/>
            <w:hideMark/>
          </w:tcPr>
          <w:p w14:paraId="642EBC4F" w14:textId="77777777" w:rsidR="00B86D82" w:rsidRPr="005D4C76" w:rsidRDefault="00B86D82" w:rsidP="006A7377">
            <w:pPr>
              <w:ind w:firstLineChars="200" w:firstLine="280"/>
              <w:rPr>
                <w:color w:val="000000"/>
                <w:sz w:val="14"/>
                <w:szCs w:val="14"/>
              </w:rPr>
            </w:pPr>
            <w:r w:rsidRPr="005D4C76">
              <w:rPr>
                <w:color w:val="000000"/>
                <w:sz w:val="14"/>
                <w:szCs w:val="14"/>
              </w:rPr>
              <w:t>Hospitalización</w:t>
            </w:r>
          </w:p>
        </w:tc>
        <w:tc>
          <w:tcPr>
            <w:tcW w:w="1190" w:type="dxa"/>
            <w:tcBorders>
              <w:top w:val="nil"/>
              <w:left w:val="nil"/>
              <w:bottom w:val="single" w:sz="8" w:space="0" w:color="auto"/>
              <w:right w:val="single" w:sz="8" w:space="0" w:color="auto"/>
            </w:tcBorders>
            <w:shd w:val="clear" w:color="auto" w:fill="auto"/>
            <w:vAlign w:val="center"/>
            <w:hideMark/>
          </w:tcPr>
          <w:p w14:paraId="6FFB139D" w14:textId="77777777" w:rsidR="00B86D82" w:rsidRPr="005D4C76" w:rsidRDefault="00B86D82" w:rsidP="006A7377">
            <w:pPr>
              <w:jc w:val="both"/>
              <w:rPr>
                <w:color w:val="000000"/>
                <w:sz w:val="14"/>
                <w:szCs w:val="14"/>
              </w:rPr>
            </w:pPr>
            <w:r w:rsidRPr="005D4C76">
              <w:rPr>
                <w:color w:val="000000"/>
                <w:sz w:val="14"/>
                <w:szCs w:val="14"/>
              </w:rPr>
              <w:t xml:space="preserve"> Q                   230.10 </w:t>
            </w:r>
          </w:p>
        </w:tc>
        <w:tc>
          <w:tcPr>
            <w:tcW w:w="1076" w:type="dxa"/>
            <w:tcBorders>
              <w:top w:val="nil"/>
              <w:left w:val="nil"/>
              <w:bottom w:val="single" w:sz="8" w:space="0" w:color="auto"/>
              <w:right w:val="single" w:sz="8" w:space="0" w:color="auto"/>
            </w:tcBorders>
            <w:shd w:val="clear" w:color="auto" w:fill="auto"/>
            <w:vAlign w:val="center"/>
            <w:hideMark/>
          </w:tcPr>
          <w:p w14:paraId="0E2C63FA" w14:textId="77777777" w:rsidR="00B86D82" w:rsidRPr="005D4C76" w:rsidRDefault="00B86D82" w:rsidP="006A7377">
            <w:pPr>
              <w:jc w:val="both"/>
              <w:rPr>
                <w:color w:val="000000"/>
                <w:sz w:val="14"/>
                <w:szCs w:val="14"/>
              </w:rPr>
            </w:pPr>
            <w:r w:rsidRPr="005D4C76">
              <w:rPr>
                <w:color w:val="000000"/>
                <w:sz w:val="14"/>
                <w:szCs w:val="14"/>
              </w:rPr>
              <w:t xml:space="preserve"> Q              251.60 </w:t>
            </w:r>
          </w:p>
        </w:tc>
        <w:tc>
          <w:tcPr>
            <w:tcW w:w="1076" w:type="dxa"/>
            <w:tcBorders>
              <w:top w:val="nil"/>
              <w:left w:val="nil"/>
              <w:bottom w:val="single" w:sz="8" w:space="0" w:color="auto"/>
              <w:right w:val="single" w:sz="8" w:space="0" w:color="auto"/>
            </w:tcBorders>
            <w:shd w:val="clear" w:color="auto" w:fill="auto"/>
            <w:vAlign w:val="center"/>
            <w:hideMark/>
          </w:tcPr>
          <w:p w14:paraId="58041DB3" w14:textId="77777777" w:rsidR="00B86D82" w:rsidRPr="005D4C76" w:rsidRDefault="00B86D82" w:rsidP="006A7377">
            <w:pPr>
              <w:jc w:val="both"/>
              <w:rPr>
                <w:color w:val="000000"/>
                <w:sz w:val="14"/>
                <w:szCs w:val="14"/>
              </w:rPr>
            </w:pPr>
            <w:r w:rsidRPr="005D4C76">
              <w:rPr>
                <w:color w:val="000000"/>
                <w:sz w:val="14"/>
                <w:szCs w:val="14"/>
              </w:rPr>
              <w:t xml:space="preserve"> Q              246.30 </w:t>
            </w:r>
          </w:p>
        </w:tc>
        <w:tc>
          <w:tcPr>
            <w:tcW w:w="1086" w:type="dxa"/>
            <w:tcBorders>
              <w:top w:val="nil"/>
              <w:left w:val="nil"/>
              <w:bottom w:val="single" w:sz="8" w:space="0" w:color="auto"/>
              <w:right w:val="single" w:sz="8" w:space="0" w:color="auto"/>
            </w:tcBorders>
            <w:shd w:val="clear" w:color="000000" w:fill="FFFFFF"/>
            <w:vAlign w:val="center"/>
            <w:hideMark/>
          </w:tcPr>
          <w:p w14:paraId="30F4387D" w14:textId="77777777" w:rsidR="00B86D82" w:rsidRPr="005D4C76" w:rsidRDefault="00B86D82" w:rsidP="006A7377">
            <w:pPr>
              <w:jc w:val="both"/>
              <w:rPr>
                <w:color w:val="000000"/>
                <w:sz w:val="14"/>
                <w:szCs w:val="14"/>
              </w:rPr>
            </w:pPr>
            <w:r w:rsidRPr="005D4C76">
              <w:rPr>
                <w:color w:val="000000"/>
                <w:sz w:val="14"/>
                <w:szCs w:val="14"/>
              </w:rPr>
              <w:t xml:space="preserve"> Q                  21.50 </w:t>
            </w:r>
          </w:p>
        </w:tc>
        <w:tc>
          <w:tcPr>
            <w:tcW w:w="1086" w:type="dxa"/>
            <w:tcBorders>
              <w:top w:val="nil"/>
              <w:left w:val="nil"/>
              <w:bottom w:val="single" w:sz="8" w:space="0" w:color="auto"/>
              <w:right w:val="single" w:sz="8" w:space="0" w:color="auto"/>
            </w:tcBorders>
            <w:shd w:val="clear" w:color="000000" w:fill="FFFFFF"/>
            <w:vAlign w:val="center"/>
            <w:hideMark/>
          </w:tcPr>
          <w:p w14:paraId="2427F2CC" w14:textId="77777777" w:rsidR="00B86D82" w:rsidRPr="005D4C76" w:rsidRDefault="00B86D82" w:rsidP="006A7377">
            <w:pPr>
              <w:jc w:val="both"/>
              <w:rPr>
                <w:color w:val="000000"/>
                <w:sz w:val="14"/>
                <w:szCs w:val="14"/>
              </w:rPr>
            </w:pPr>
            <w:r w:rsidRPr="005D4C76">
              <w:rPr>
                <w:color w:val="000000"/>
                <w:sz w:val="14"/>
                <w:szCs w:val="14"/>
              </w:rPr>
              <w:t xml:space="preserve">-Q                   5.30 </w:t>
            </w:r>
          </w:p>
        </w:tc>
        <w:tc>
          <w:tcPr>
            <w:tcW w:w="796" w:type="dxa"/>
            <w:tcBorders>
              <w:top w:val="nil"/>
              <w:left w:val="nil"/>
              <w:bottom w:val="single" w:sz="8" w:space="0" w:color="auto"/>
              <w:right w:val="single" w:sz="8" w:space="0" w:color="auto"/>
            </w:tcBorders>
            <w:shd w:val="clear" w:color="000000" w:fill="FFFFFF"/>
            <w:vAlign w:val="center"/>
            <w:hideMark/>
          </w:tcPr>
          <w:p w14:paraId="2B9A385A" w14:textId="77777777" w:rsidR="00B86D82" w:rsidRPr="005D4C76" w:rsidRDefault="00B86D82" w:rsidP="006A7377">
            <w:pPr>
              <w:jc w:val="both"/>
              <w:rPr>
                <w:color w:val="000000"/>
                <w:sz w:val="14"/>
                <w:szCs w:val="14"/>
              </w:rPr>
            </w:pPr>
            <w:r w:rsidRPr="005D4C76">
              <w:rPr>
                <w:color w:val="000000"/>
                <w:sz w:val="14"/>
                <w:szCs w:val="14"/>
              </w:rPr>
              <w:t>9.3%</w:t>
            </w:r>
          </w:p>
        </w:tc>
        <w:tc>
          <w:tcPr>
            <w:tcW w:w="799" w:type="dxa"/>
            <w:tcBorders>
              <w:top w:val="nil"/>
              <w:left w:val="nil"/>
              <w:bottom w:val="single" w:sz="8" w:space="0" w:color="auto"/>
              <w:right w:val="single" w:sz="8" w:space="0" w:color="auto"/>
            </w:tcBorders>
            <w:shd w:val="clear" w:color="000000" w:fill="FFFFFF"/>
            <w:vAlign w:val="center"/>
            <w:hideMark/>
          </w:tcPr>
          <w:p w14:paraId="5670B008" w14:textId="77777777" w:rsidR="00B86D82" w:rsidRPr="005D4C76" w:rsidRDefault="00B86D82" w:rsidP="006A7377">
            <w:pPr>
              <w:jc w:val="both"/>
              <w:rPr>
                <w:color w:val="000000"/>
                <w:sz w:val="14"/>
                <w:szCs w:val="14"/>
              </w:rPr>
            </w:pPr>
            <w:r w:rsidRPr="005D4C76">
              <w:rPr>
                <w:color w:val="000000"/>
                <w:sz w:val="14"/>
                <w:szCs w:val="14"/>
              </w:rPr>
              <w:t>-2.1%</w:t>
            </w:r>
          </w:p>
        </w:tc>
      </w:tr>
      <w:tr w:rsidR="00B86D82" w:rsidRPr="005D4C76" w14:paraId="74238EE3" w14:textId="77777777" w:rsidTr="00831109">
        <w:trPr>
          <w:trHeight w:val="280"/>
        </w:trPr>
        <w:tc>
          <w:tcPr>
            <w:tcW w:w="1468" w:type="dxa"/>
            <w:tcBorders>
              <w:top w:val="nil"/>
              <w:left w:val="single" w:sz="8" w:space="0" w:color="auto"/>
              <w:bottom w:val="single" w:sz="8" w:space="0" w:color="auto"/>
              <w:right w:val="single" w:sz="8" w:space="0" w:color="auto"/>
            </w:tcBorders>
            <w:shd w:val="clear" w:color="auto" w:fill="auto"/>
            <w:vAlign w:val="center"/>
            <w:hideMark/>
          </w:tcPr>
          <w:p w14:paraId="67E00140" w14:textId="77777777" w:rsidR="00B86D82" w:rsidRPr="005D4C76" w:rsidRDefault="00B86D82" w:rsidP="006A7377">
            <w:pPr>
              <w:jc w:val="both"/>
              <w:rPr>
                <w:b/>
                <w:bCs/>
                <w:color w:val="000000"/>
                <w:sz w:val="14"/>
                <w:szCs w:val="14"/>
              </w:rPr>
            </w:pPr>
            <w:r w:rsidRPr="005D4C76">
              <w:rPr>
                <w:b/>
                <w:bCs/>
                <w:color w:val="000000"/>
                <w:sz w:val="14"/>
                <w:szCs w:val="14"/>
              </w:rPr>
              <w:t>Total, EM</w:t>
            </w:r>
          </w:p>
        </w:tc>
        <w:tc>
          <w:tcPr>
            <w:tcW w:w="1190" w:type="dxa"/>
            <w:tcBorders>
              <w:top w:val="nil"/>
              <w:left w:val="nil"/>
              <w:bottom w:val="single" w:sz="8" w:space="0" w:color="auto"/>
              <w:right w:val="single" w:sz="8" w:space="0" w:color="auto"/>
            </w:tcBorders>
            <w:shd w:val="clear" w:color="auto" w:fill="auto"/>
            <w:vAlign w:val="center"/>
            <w:hideMark/>
          </w:tcPr>
          <w:p w14:paraId="179CF056" w14:textId="77777777" w:rsidR="00B86D82" w:rsidRPr="005D4C76" w:rsidRDefault="00B86D82" w:rsidP="006A7377">
            <w:pPr>
              <w:jc w:val="both"/>
              <w:rPr>
                <w:b/>
                <w:bCs/>
                <w:color w:val="000000"/>
                <w:sz w:val="14"/>
                <w:szCs w:val="14"/>
              </w:rPr>
            </w:pPr>
            <w:r w:rsidRPr="005D4C76">
              <w:rPr>
                <w:b/>
                <w:bCs/>
                <w:color w:val="000000"/>
                <w:sz w:val="14"/>
                <w:szCs w:val="14"/>
              </w:rPr>
              <w:t xml:space="preserve"> Q      5,634.30 </w:t>
            </w:r>
          </w:p>
        </w:tc>
        <w:tc>
          <w:tcPr>
            <w:tcW w:w="1076" w:type="dxa"/>
            <w:tcBorders>
              <w:top w:val="nil"/>
              <w:left w:val="nil"/>
              <w:bottom w:val="single" w:sz="8" w:space="0" w:color="auto"/>
              <w:right w:val="single" w:sz="8" w:space="0" w:color="auto"/>
            </w:tcBorders>
            <w:shd w:val="clear" w:color="auto" w:fill="auto"/>
            <w:vAlign w:val="center"/>
            <w:hideMark/>
          </w:tcPr>
          <w:p w14:paraId="7ABCBEEC" w14:textId="77777777" w:rsidR="00B86D82" w:rsidRPr="005D4C76" w:rsidRDefault="00B86D82" w:rsidP="006A7377">
            <w:pPr>
              <w:jc w:val="both"/>
              <w:rPr>
                <w:b/>
                <w:bCs/>
                <w:color w:val="000000"/>
                <w:sz w:val="14"/>
                <w:szCs w:val="14"/>
              </w:rPr>
            </w:pPr>
            <w:r w:rsidRPr="005D4C76">
              <w:rPr>
                <w:b/>
                <w:bCs/>
                <w:color w:val="000000"/>
                <w:sz w:val="14"/>
                <w:szCs w:val="14"/>
              </w:rPr>
              <w:t xml:space="preserve"> Q    6,134.25 </w:t>
            </w:r>
          </w:p>
        </w:tc>
        <w:tc>
          <w:tcPr>
            <w:tcW w:w="1076" w:type="dxa"/>
            <w:tcBorders>
              <w:top w:val="nil"/>
              <w:left w:val="nil"/>
              <w:bottom w:val="single" w:sz="8" w:space="0" w:color="auto"/>
              <w:right w:val="single" w:sz="8" w:space="0" w:color="auto"/>
            </w:tcBorders>
            <w:shd w:val="clear" w:color="auto" w:fill="auto"/>
            <w:vAlign w:val="center"/>
            <w:hideMark/>
          </w:tcPr>
          <w:p w14:paraId="35F55FF7" w14:textId="77777777" w:rsidR="00B86D82" w:rsidRPr="005D4C76" w:rsidRDefault="00B86D82" w:rsidP="006A7377">
            <w:pPr>
              <w:jc w:val="both"/>
              <w:rPr>
                <w:b/>
                <w:bCs/>
                <w:color w:val="000000"/>
                <w:sz w:val="14"/>
                <w:szCs w:val="14"/>
              </w:rPr>
            </w:pPr>
            <w:r w:rsidRPr="005D4C76">
              <w:rPr>
                <w:b/>
                <w:bCs/>
                <w:color w:val="000000"/>
                <w:sz w:val="14"/>
                <w:szCs w:val="14"/>
              </w:rPr>
              <w:t xml:space="preserve"> Q   6,723.00 </w:t>
            </w:r>
          </w:p>
        </w:tc>
        <w:tc>
          <w:tcPr>
            <w:tcW w:w="1086" w:type="dxa"/>
            <w:tcBorders>
              <w:top w:val="nil"/>
              <w:left w:val="nil"/>
              <w:bottom w:val="single" w:sz="8" w:space="0" w:color="auto"/>
              <w:right w:val="single" w:sz="8" w:space="0" w:color="auto"/>
            </w:tcBorders>
            <w:shd w:val="clear" w:color="auto" w:fill="auto"/>
            <w:vAlign w:val="center"/>
            <w:hideMark/>
          </w:tcPr>
          <w:p w14:paraId="216F66DE" w14:textId="77777777" w:rsidR="00B86D82" w:rsidRPr="005D4C76" w:rsidRDefault="00B86D82" w:rsidP="006A7377">
            <w:pPr>
              <w:jc w:val="both"/>
              <w:rPr>
                <w:b/>
                <w:bCs/>
                <w:color w:val="000000"/>
                <w:sz w:val="14"/>
                <w:szCs w:val="14"/>
              </w:rPr>
            </w:pPr>
            <w:r w:rsidRPr="005D4C76">
              <w:rPr>
                <w:b/>
                <w:bCs/>
                <w:color w:val="000000"/>
                <w:sz w:val="14"/>
                <w:szCs w:val="14"/>
              </w:rPr>
              <w:t xml:space="preserve"> Q      499.95 </w:t>
            </w:r>
          </w:p>
        </w:tc>
        <w:tc>
          <w:tcPr>
            <w:tcW w:w="1086" w:type="dxa"/>
            <w:tcBorders>
              <w:top w:val="nil"/>
              <w:left w:val="nil"/>
              <w:bottom w:val="single" w:sz="8" w:space="0" w:color="auto"/>
              <w:right w:val="single" w:sz="8" w:space="0" w:color="auto"/>
            </w:tcBorders>
            <w:shd w:val="clear" w:color="auto" w:fill="auto"/>
            <w:vAlign w:val="center"/>
            <w:hideMark/>
          </w:tcPr>
          <w:p w14:paraId="49CA07D9" w14:textId="77777777" w:rsidR="00B86D82" w:rsidRPr="005D4C76" w:rsidRDefault="00B86D82" w:rsidP="006A7377">
            <w:pPr>
              <w:jc w:val="both"/>
              <w:rPr>
                <w:b/>
                <w:bCs/>
                <w:color w:val="000000"/>
                <w:sz w:val="14"/>
                <w:szCs w:val="14"/>
              </w:rPr>
            </w:pPr>
            <w:r w:rsidRPr="005D4C76">
              <w:rPr>
                <w:b/>
                <w:bCs/>
                <w:color w:val="000000"/>
                <w:sz w:val="14"/>
                <w:szCs w:val="14"/>
              </w:rPr>
              <w:t xml:space="preserve"> Q      588.75 </w:t>
            </w:r>
          </w:p>
        </w:tc>
        <w:tc>
          <w:tcPr>
            <w:tcW w:w="796" w:type="dxa"/>
            <w:tcBorders>
              <w:top w:val="nil"/>
              <w:left w:val="nil"/>
              <w:bottom w:val="single" w:sz="8" w:space="0" w:color="auto"/>
              <w:right w:val="single" w:sz="8" w:space="0" w:color="auto"/>
            </w:tcBorders>
            <w:shd w:val="clear" w:color="auto" w:fill="auto"/>
            <w:vAlign w:val="center"/>
            <w:hideMark/>
          </w:tcPr>
          <w:p w14:paraId="669BE852" w14:textId="77777777" w:rsidR="00B86D82" w:rsidRPr="005D4C76" w:rsidRDefault="00B86D82" w:rsidP="006A7377">
            <w:pPr>
              <w:jc w:val="both"/>
              <w:rPr>
                <w:b/>
                <w:bCs/>
                <w:color w:val="000000"/>
                <w:sz w:val="14"/>
                <w:szCs w:val="14"/>
              </w:rPr>
            </w:pPr>
            <w:r w:rsidRPr="005D4C76">
              <w:rPr>
                <w:b/>
                <w:bCs/>
                <w:color w:val="000000"/>
                <w:sz w:val="14"/>
                <w:szCs w:val="14"/>
              </w:rPr>
              <w:t>8.9%</w:t>
            </w:r>
          </w:p>
        </w:tc>
        <w:tc>
          <w:tcPr>
            <w:tcW w:w="799" w:type="dxa"/>
            <w:tcBorders>
              <w:top w:val="nil"/>
              <w:left w:val="nil"/>
              <w:bottom w:val="single" w:sz="8" w:space="0" w:color="auto"/>
              <w:right w:val="single" w:sz="8" w:space="0" w:color="auto"/>
            </w:tcBorders>
            <w:shd w:val="clear" w:color="auto" w:fill="auto"/>
            <w:vAlign w:val="center"/>
            <w:hideMark/>
          </w:tcPr>
          <w:p w14:paraId="062C7F7D" w14:textId="77777777" w:rsidR="00B86D82" w:rsidRPr="005D4C76" w:rsidRDefault="00B86D82" w:rsidP="006A7377">
            <w:pPr>
              <w:jc w:val="both"/>
              <w:rPr>
                <w:b/>
                <w:bCs/>
                <w:color w:val="000000"/>
                <w:sz w:val="14"/>
                <w:szCs w:val="14"/>
              </w:rPr>
            </w:pPr>
            <w:r w:rsidRPr="005D4C76">
              <w:rPr>
                <w:b/>
                <w:bCs/>
                <w:color w:val="000000"/>
                <w:sz w:val="14"/>
                <w:szCs w:val="14"/>
              </w:rPr>
              <w:t>9.6%</w:t>
            </w:r>
          </w:p>
        </w:tc>
      </w:tr>
    </w:tbl>
    <w:p w14:paraId="132D8850" w14:textId="77777777" w:rsidR="00B86D82" w:rsidRPr="00ED7246" w:rsidRDefault="00B86D82" w:rsidP="00B86D82">
      <w:pPr>
        <w:spacing w:after="240" w:line="276" w:lineRule="auto"/>
        <w:jc w:val="both"/>
        <w:rPr>
          <w:sz w:val="16"/>
          <w:szCs w:val="16"/>
        </w:rPr>
      </w:pPr>
      <w:r>
        <w:rPr>
          <w:sz w:val="16"/>
          <w:szCs w:val="16"/>
        </w:rPr>
        <w:t xml:space="preserve">     </w:t>
      </w:r>
      <w:r w:rsidRPr="00ED7246">
        <w:rPr>
          <w:sz w:val="16"/>
          <w:szCs w:val="16"/>
        </w:rPr>
        <w:t xml:space="preserve">Fuente: Valuación actuarial 2020 a 2022 proporcionada por el IGSS </w:t>
      </w:r>
    </w:p>
    <w:p w14:paraId="430AA4AA" w14:textId="77777777" w:rsidR="00B86D82" w:rsidRPr="00162DF6" w:rsidRDefault="00B86D82" w:rsidP="007F19DF">
      <w:pPr>
        <w:pStyle w:val="Ttulo2"/>
        <w:numPr>
          <w:ilvl w:val="3"/>
          <w:numId w:val="35"/>
        </w:numPr>
        <w:tabs>
          <w:tab w:val="left" w:pos="1134"/>
        </w:tabs>
        <w:ind w:left="567" w:hanging="283"/>
        <w:rPr>
          <w:bCs/>
        </w:rPr>
      </w:pPr>
      <w:bookmarkStart w:id="393" w:name="_Toc144114398"/>
      <w:r w:rsidRPr="00162DF6">
        <w:rPr>
          <w:bCs/>
        </w:rPr>
        <w:t>Programa -EMA- 2022</w:t>
      </w:r>
      <w:bookmarkEnd w:id="393"/>
    </w:p>
    <w:p w14:paraId="0A5BEB0C" w14:textId="77777777" w:rsidR="00B86D82" w:rsidRDefault="00B86D82" w:rsidP="00B86D82">
      <w:pPr>
        <w:jc w:val="center"/>
      </w:pPr>
    </w:p>
    <w:p w14:paraId="0354E44F" w14:textId="4361BE79" w:rsidR="00B86D82" w:rsidRDefault="00BC7E77" w:rsidP="00B86D82">
      <w:pPr>
        <w:spacing w:after="240" w:line="276" w:lineRule="auto"/>
        <w:jc w:val="both"/>
      </w:pPr>
      <w:r>
        <w:t xml:space="preserve">A diferencia del anterior, este incorpora el rubro de accidentes.  </w:t>
      </w:r>
      <w:r w:rsidR="00B86D82">
        <w:t>En 2022 se obtuvieron ingresos por Q10,062 millones, lo cual representó un crecimiento de 8.7% respecto a los Q9,256.7 del 2021, es decir un aumento de Q805.3 millones de quetzales. En el caso de los gastos este fue de Q8,034.5, mostrando un crecimiento de 10.5% respecto a los Q.7,271.5 del 2021. En cuanto al fondo de reserva se registró un monto de Q1,856.1 millones, lo cual conllevo a una reserva acumulada de Q17,232.0 millones, es decir un incremento interanual de 19.1% respecto a lo observado en 2021.</w:t>
      </w:r>
    </w:p>
    <w:p w14:paraId="6AC75FF9" w14:textId="6536AEB0" w:rsidR="00B86D82" w:rsidRDefault="00411D33" w:rsidP="00411D33">
      <w:pPr>
        <w:pStyle w:val="Descripcin"/>
        <w:keepNext/>
        <w:rPr>
          <w:bCs/>
          <w:color w:val="auto"/>
        </w:rPr>
      </w:pPr>
      <w:bookmarkStart w:id="394" w:name="_Toc143593534"/>
      <w:r w:rsidRPr="00411D33">
        <w:rPr>
          <w:color w:val="auto"/>
        </w:rPr>
        <w:t xml:space="preserve">Tabla </w:t>
      </w:r>
      <w:r w:rsidRPr="00411D33">
        <w:rPr>
          <w:color w:val="auto"/>
        </w:rPr>
        <w:fldChar w:fldCharType="begin"/>
      </w:r>
      <w:r w:rsidRPr="00411D33">
        <w:rPr>
          <w:color w:val="auto"/>
        </w:rPr>
        <w:instrText xml:space="preserve"> SEQ Tabla \* ARABIC </w:instrText>
      </w:r>
      <w:r w:rsidRPr="00411D33">
        <w:rPr>
          <w:color w:val="auto"/>
        </w:rPr>
        <w:fldChar w:fldCharType="separate"/>
      </w:r>
      <w:r w:rsidR="00A62AFA">
        <w:rPr>
          <w:noProof/>
          <w:color w:val="auto"/>
        </w:rPr>
        <w:t>32</w:t>
      </w:r>
      <w:r w:rsidRPr="00411D33">
        <w:rPr>
          <w:color w:val="auto"/>
        </w:rPr>
        <w:fldChar w:fldCharType="end"/>
      </w:r>
      <w:r w:rsidRPr="00411D33">
        <w:rPr>
          <w:color w:val="auto"/>
        </w:rPr>
        <w:t xml:space="preserve">. </w:t>
      </w:r>
      <w:r w:rsidR="00B86D82" w:rsidRPr="00411D33">
        <w:rPr>
          <w:bCs/>
          <w:color w:val="auto"/>
        </w:rPr>
        <w:t>Ingresos, gastos y Reserva del Programa EMA</w:t>
      </w:r>
      <w:bookmarkEnd w:id="394"/>
    </w:p>
    <w:p w14:paraId="1BEE081B" w14:textId="77777777" w:rsidR="00411D33" w:rsidRPr="00411D33" w:rsidRDefault="00411D33" w:rsidP="00411D33">
      <w:pPr>
        <w:rPr>
          <w:sz w:val="10"/>
          <w:szCs w:val="10"/>
          <w:lang w:eastAsia="en-US"/>
        </w:rPr>
      </w:pPr>
    </w:p>
    <w:tbl>
      <w:tblPr>
        <w:tblW w:w="9042" w:type="dxa"/>
        <w:jc w:val="center"/>
        <w:tblCellMar>
          <w:left w:w="70" w:type="dxa"/>
          <w:right w:w="70" w:type="dxa"/>
        </w:tblCellMar>
        <w:tblLook w:val="04A0" w:firstRow="1" w:lastRow="0" w:firstColumn="1" w:lastColumn="0" w:noHBand="0" w:noVBand="1"/>
      </w:tblPr>
      <w:tblGrid>
        <w:gridCol w:w="852"/>
        <w:gridCol w:w="819"/>
        <w:gridCol w:w="819"/>
        <w:gridCol w:w="819"/>
        <w:gridCol w:w="819"/>
        <w:gridCol w:w="819"/>
        <w:gridCol w:w="819"/>
        <w:gridCol w:w="819"/>
        <w:gridCol w:w="819"/>
        <w:gridCol w:w="819"/>
        <w:gridCol w:w="819"/>
      </w:tblGrid>
      <w:tr w:rsidR="00B86D82" w:rsidRPr="00705B73" w14:paraId="21BD3880" w14:textId="77777777" w:rsidTr="006A7377">
        <w:trPr>
          <w:trHeight w:val="355"/>
          <w:jc w:val="center"/>
        </w:trPr>
        <w:tc>
          <w:tcPr>
            <w:tcW w:w="852" w:type="dxa"/>
            <w:tcBorders>
              <w:top w:val="single" w:sz="8" w:space="0" w:color="auto"/>
              <w:left w:val="single" w:sz="4" w:space="0" w:color="auto"/>
              <w:bottom w:val="nil"/>
              <w:right w:val="single" w:sz="4" w:space="0" w:color="auto"/>
            </w:tcBorders>
            <w:shd w:val="clear" w:color="auto" w:fill="4472C4" w:themeFill="accent1"/>
            <w:noWrap/>
            <w:vAlign w:val="center"/>
          </w:tcPr>
          <w:p w14:paraId="7DB9B2EA" w14:textId="77777777" w:rsidR="00B86D82" w:rsidRPr="00D51932" w:rsidRDefault="00B86D82" w:rsidP="006A7377">
            <w:pPr>
              <w:rPr>
                <w:color w:val="FFFFFF" w:themeColor="background1"/>
                <w:sz w:val="12"/>
                <w:szCs w:val="12"/>
              </w:rPr>
            </w:pPr>
          </w:p>
        </w:tc>
        <w:tc>
          <w:tcPr>
            <w:tcW w:w="819" w:type="dxa"/>
            <w:tcBorders>
              <w:top w:val="single" w:sz="8" w:space="0" w:color="auto"/>
              <w:left w:val="single" w:sz="8" w:space="0" w:color="auto"/>
              <w:bottom w:val="nil"/>
              <w:right w:val="single" w:sz="4" w:space="0" w:color="auto"/>
            </w:tcBorders>
            <w:shd w:val="clear" w:color="auto" w:fill="4472C4" w:themeFill="accent1"/>
            <w:noWrap/>
            <w:vAlign w:val="center"/>
          </w:tcPr>
          <w:p w14:paraId="5811BBA9"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2013</w:t>
            </w:r>
          </w:p>
        </w:tc>
        <w:tc>
          <w:tcPr>
            <w:tcW w:w="819" w:type="dxa"/>
            <w:tcBorders>
              <w:top w:val="single" w:sz="8" w:space="0" w:color="auto"/>
              <w:left w:val="nil"/>
              <w:bottom w:val="nil"/>
              <w:right w:val="single" w:sz="4" w:space="0" w:color="auto"/>
            </w:tcBorders>
            <w:shd w:val="clear" w:color="auto" w:fill="4472C4" w:themeFill="accent1"/>
            <w:noWrap/>
            <w:vAlign w:val="center"/>
          </w:tcPr>
          <w:p w14:paraId="3B591797"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2014</w:t>
            </w:r>
          </w:p>
        </w:tc>
        <w:tc>
          <w:tcPr>
            <w:tcW w:w="819" w:type="dxa"/>
            <w:tcBorders>
              <w:top w:val="single" w:sz="8" w:space="0" w:color="auto"/>
              <w:left w:val="nil"/>
              <w:bottom w:val="nil"/>
              <w:right w:val="single" w:sz="4" w:space="0" w:color="auto"/>
            </w:tcBorders>
            <w:shd w:val="clear" w:color="auto" w:fill="4472C4" w:themeFill="accent1"/>
            <w:noWrap/>
            <w:vAlign w:val="center"/>
          </w:tcPr>
          <w:p w14:paraId="63EAC37C"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2015</w:t>
            </w:r>
          </w:p>
        </w:tc>
        <w:tc>
          <w:tcPr>
            <w:tcW w:w="819" w:type="dxa"/>
            <w:tcBorders>
              <w:top w:val="single" w:sz="8" w:space="0" w:color="auto"/>
              <w:left w:val="nil"/>
              <w:bottom w:val="nil"/>
              <w:right w:val="single" w:sz="4" w:space="0" w:color="auto"/>
            </w:tcBorders>
            <w:shd w:val="clear" w:color="auto" w:fill="4472C4" w:themeFill="accent1"/>
            <w:noWrap/>
            <w:vAlign w:val="center"/>
          </w:tcPr>
          <w:p w14:paraId="405A5EC3"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2016</w:t>
            </w:r>
          </w:p>
        </w:tc>
        <w:tc>
          <w:tcPr>
            <w:tcW w:w="819" w:type="dxa"/>
            <w:tcBorders>
              <w:top w:val="single" w:sz="8" w:space="0" w:color="auto"/>
              <w:left w:val="nil"/>
              <w:bottom w:val="nil"/>
              <w:right w:val="single" w:sz="4" w:space="0" w:color="auto"/>
            </w:tcBorders>
            <w:shd w:val="clear" w:color="auto" w:fill="4472C4" w:themeFill="accent1"/>
            <w:noWrap/>
            <w:vAlign w:val="center"/>
          </w:tcPr>
          <w:p w14:paraId="65F23C33"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2017</w:t>
            </w:r>
          </w:p>
        </w:tc>
        <w:tc>
          <w:tcPr>
            <w:tcW w:w="819" w:type="dxa"/>
            <w:tcBorders>
              <w:top w:val="single" w:sz="8" w:space="0" w:color="auto"/>
              <w:left w:val="nil"/>
              <w:bottom w:val="nil"/>
              <w:right w:val="single" w:sz="4" w:space="0" w:color="auto"/>
            </w:tcBorders>
            <w:shd w:val="clear" w:color="auto" w:fill="4472C4" w:themeFill="accent1"/>
            <w:noWrap/>
            <w:vAlign w:val="center"/>
          </w:tcPr>
          <w:p w14:paraId="18FC56CF"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2018</w:t>
            </w:r>
          </w:p>
        </w:tc>
        <w:tc>
          <w:tcPr>
            <w:tcW w:w="819" w:type="dxa"/>
            <w:tcBorders>
              <w:top w:val="single" w:sz="8" w:space="0" w:color="auto"/>
              <w:left w:val="nil"/>
              <w:bottom w:val="nil"/>
              <w:right w:val="single" w:sz="4" w:space="0" w:color="auto"/>
            </w:tcBorders>
            <w:shd w:val="clear" w:color="auto" w:fill="4472C4" w:themeFill="accent1"/>
            <w:noWrap/>
            <w:vAlign w:val="center"/>
          </w:tcPr>
          <w:p w14:paraId="239AF45B"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2019</w:t>
            </w:r>
          </w:p>
        </w:tc>
        <w:tc>
          <w:tcPr>
            <w:tcW w:w="819" w:type="dxa"/>
            <w:tcBorders>
              <w:top w:val="single" w:sz="8" w:space="0" w:color="auto"/>
              <w:left w:val="nil"/>
              <w:bottom w:val="nil"/>
              <w:right w:val="single" w:sz="4" w:space="0" w:color="auto"/>
            </w:tcBorders>
            <w:shd w:val="clear" w:color="auto" w:fill="4472C4" w:themeFill="accent1"/>
            <w:noWrap/>
            <w:vAlign w:val="center"/>
          </w:tcPr>
          <w:p w14:paraId="0A9D0088"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2020</w:t>
            </w:r>
          </w:p>
        </w:tc>
        <w:tc>
          <w:tcPr>
            <w:tcW w:w="819" w:type="dxa"/>
            <w:tcBorders>
              <w:top w:val="single" w:sz="8" w:space="0" w:color="auto"/>
              <w:left w:val="nil"/>
              <w:bottom w:val="nil"/>
              <w:right w:val="single" w:sz="4" w:space="0" w:color="auto"/>
            </w:tcBorders>
            <w:shd w:val="clear" w:color="auto" w:fill="4472C4" w:themeFill="accent1"/>
            <w:noWrap/>
            <w:vAlign w:val="center"/>
          </w:tcPr>
          <w:p w14:paraId="442A2118"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2021</w:t>
            </w:r>
          </w:p>
        </w:tc>
        <w:tc>
          <w:tcPr>
            <w:tcW w:w="819" w:type="dxa"/>
            <w:tcBorders>
              <w:top w:val="single" w:sz="8" w:space="0" w:color="auto"/>
              <w:left w:val="nil"/>
              <w:bottom w:val="nil"/>
              <w:right w:val="single" w:sz="4" w:space="0" w:color="auto"/>
            </w:tcBorders>
            <w:shd w:val="clear" w:color="auto" w:fill="4472C4" w:themeFill="accent1"/>
            <w:noWrap/>
            <w:vAlign w:val="center"/>
          </w:tcPr>
          <w:p w14:paraId="1F447EB2" w14:textId="77777777" w:rsidR="00B86D82" w:rsidRPr="00D51932" w:rsidRDefault="00B86D82" w:rsidP="006A7377">
            <w:pPr>
              <w:jc w:val="center"/>
              <w:rPr>
                <w:b/>
                <w:bCs/>
                <w:color w:val="FFFFFF" w:themeColor="background1"/>
                <w:sz w:val="16"/>
                <w:szCs w:val="16"/>
              </w:rPr>
            </w:pPr>
            <w:r w:rsidRPr="00D51932">
              <w:rPr>
                <w:b/>
                <w:bCs/>
                <w:color w:val="FFFFFF" w:themeColor="background1"/>
                <w:sz w:val="16"/>
                <w:szCs w:val="16"/>
              </w:rPr>
              <w:t>2022</w:t>
            </w:r>
          </w:p>
        </w:tc>
      </w:tr>
      <w:tr w:rsidR="00B86D82" w:rsidRPr="00705B73" w14:paraId="16F6A426" w14:textId="77777777" w:rsidTr="006A7377">
        <w:trPr>
          <w:trHeight w:val="355"/>
          <w:jc w:val="center"/>
        </w:trPr>
        <w:tc>
          <w:tcPr>
            <w:tcW w:w="852" w:type="dxa"/>
            <w:tcBorders>
              <w:top w:val="single" w:sz="8" w:space="0" w:color="auto"/>
              <w:left w:val="single" w:sz="4" w:space="0" w:color="auto"/>
              <w:bottom w:val="nil"/>
              <w:right w:val="single" w:sz="4" w:space="0" w:color="auto"/>
            </w:tcBorders>
            <w:shd w:val="clear" w:color="000000" w:fill="FFFFFF"/>
            <w:noWrap/>
            <w:vAlign w:val="center"/>
            <w:hideMark/>
          </w:tcPr>
          <w:p w14:paraId="732D4510" w14:textId="77777777" w:rsidR="00B86D82" w:rsidRPr="00E5441E" w:rsidRDefault="00B86D82" w:rsidP="006A7377">
            <w:pPr>
              <w:rPr>
                <w:color w:val="000000"/>
                <w:sz w:val="16"/>
                <w:szCs w:val="16"/>
              </w:rPr>
            </w:pPr>
            <w:r w:rsidRPr="00E5441E">
              <w:rPr>
                <w:color w:val="000000"/>
                <w:sz w:val="16"/>
                <w:szCs w:val="16"/>
              </w:rPr>
              <w:t>Ingreso</w:t>
            </w:r>
          </w:p>
        </w:tc>
        <w:tc>
          <w:tcPr>
            <w:tcW w:w="819" w:type="dxa"/>
            <w:tcBorders>
              <w:top w:val="single" w:sz="8" w:space="0" w:color="auto"/>
              <w:left w:val="single" w:sz="8" w:space="0" w:color="auto"/>
              <w:bottom w:val="nil"/>
              <w:right w:val="single" w:sz="4" w:space="0" w:color="auto"/>
            </w:tcBorders>
            <w:shd w:val="clear" w:color="000000" w:fill="FFFFFF"/>
            <w:noWrap/>
            <w:vAlign w:val="center"/>
            <w:hideMark/>
          </w:tcPr>
          <w:p w14:paraId="2ABF6A5B" w14:textId="77777777" w:rsidR="00B86D82" w:rsidRPr="00E5441E" w:rsidRDefault="00B86D82" w:rsidP="006A7377">
            <w:pPr>
              <w:jc w:val="right"/>
              <w:rPr>
                <w:color w:val="000000"/>
                <w:sz w:val="16"/>
                <w:szCs w:val="16"/>
              </w:rPr>
            </w:pPr>
            <w:r w:rsidRPr="00E5441E">
              <w:rPr>
                <w:color w:val="000000"/>
                <w:sz w:val="16"/>
                <w:szCs w:val="16"/>
              </w:rPr>
              <w:t>5,678.1</w:t>
            </w:r>
          </w:p>
        </w:tc>
        <w:tc>
          <w:tcPr>
            <w:tcW w:w="819" w:type="dxa"/>
            <w:tcBorders>
              <w:top w:val="single" w:sz="8" w:space="0" w:color="auto"/>
              <w:left w:val="nil"/>
              <w:bottom w:val="nil"/>
              <w:right w:val="single" w:sz="4" w:space="0" w:color="auto"/>
            </w:tcBorders>
            <w:shd w:val="clear" w:color="000000" w:fill="FFFFFF"/>
            <w:noWrap/>
            <w:vAlign w:val="center"/>
            <w:hideMark/>
          </w:tcPr>
          <w:p w14:paraId="0C5FDC22" w14:textId="77777777" w:rsidR="00B86D82" w:rsidRPr="00E5441E" w:rsidRDefault="00B86D82" w:rsidP="006A7377">
            <w:pPr>
              <w:jc w:val="right"/>
              <w:rPr>
                <w:color w:val="000000"/>
                <w:sz w:val="16"/>
                <w:szCs w:val="16"/>
              </w:rPr>
            </w:pPr>
            <w:r w:rsidRPr="00E5441E">
              <w:rPr>
                <w:color w:val="000000"/>
                <w:sz w:val="16"/>
                <w:szCs w:val="16"/>
              </w:rPr>
              <w:t>6,075.0</w:t>
            </w:r>
          </w:p>
        </w:tc>
        <w:tc>
          <w:tcPr>
            <w:tcW w:w="819" w:type="dxa"/>
            <w:tcBorders>
              <w:top w:val="single" w:sz="8" w:space="0" w:color="auto"/>
              <w:left w:val="nil"/>
              <w:bottom w:val="nil"/>
              <w:right w:val="single" w:sz="4" w:space="0" w:color="auto"/>
            </w:tcBorders>
            <w:shd w:val="clear" w:color="000000" w:fill="FFFFFF"/>
            <w:noWrap/>
            <w:vAlign w:val="center"/>
            <w:hideMark/>
          </w:tcPr>
          <w:p w14:paraId="548CCB3C" w14:textId="77777777" w:rsidR="00B86D82" w:rsidRPr="00E5441E" w:rsidRDefault="00B86D82" w:rsidP="006A7377">
            <w:pPr>
              <w:jc w:val="right"/>
              <w:rPr>
                <w:color w:val="000000"/>
                <w:sz w:val="16"/>
                <w:szCs w:val="16"/>
              </w:rPr>
            </w:pPr>
            <w:r w:rsidRPr="00E5441E">
              <w:rPr>
                <w:color w:val="000000"/>
                <w:sz w:val="16"/>
                <w:szCs w:val="16"/>
              </w:rPr>
              <w:t>6,376.6</w:t>
            </w:r>
          </w:p>
        </w:tc>
        <w:tc>
          <w:tcPr>
            <w:tcW w:w="819" w:type="dxa"/>
            <w:tcBorders>
              <w:top w:val="single" w:sz="8" w:space="0" w:color="auto"/>
              <w:left w:val="nil"/>
              <w:bottom w:val="nil"/>
              <w:right w:val="single" w:sz="4" w:space="0" w:color="auto"/>
            </w:tcBorders>
            <w:shd w:val="clear" w:color="000000" w:fill="FFFFFF"/>
            <w:noWrap/>
            <w:vAlign w:val="center"/>
            <w:hideMark/>
          </w:tcPr>
          <w:p w14:paraId="385D9031" w14:textId="77777777" w:rsidR="00B86D82" w:rsidRPr="00E5441E" w:rsidRDefault="00B86D82" w:rsidP="006A7377">
            <w:pPr>
              <w:jc w:val="right"/>
              <w:rPr>
                <w:color w:val="000000"/>
                <w:sz w:val="16"/>
                <w:szCs w:val="16"/>
              </w:rPr>
            </w:pPr>
            <w:r w:rsidRPr="00E5441E">
              <w:rPr>
                <w:color w:val="000000"/>
                <w:sz w:val="16"/>
                <w:szCs w:val="16"/>
              </w:rPr>
              <w:t>7,194.3</w:t>
            </w:r>
          </w:p>
        </w:tc>
        <w:tc>
          <w:tcPr>
            <w:tcW w:w="819" w:type="dxa"/>
            <w:tcBorders>
              <w:top w:val="single" w:sz="8" w:space="0" w:color="auto"/>
              <w:left w:val="nil"/>
              <w:bottom w:val="nil"/>
              <w:right w:val="single" w:sz="4" w:space="0" w:color="auto"/>
            </w:tcBorders>
            <w:shd w:val="clear" w:color="000000" w:fill="FFFFFF"/>
            <w:noWrap/>
            <w:vAlign w:val="center"/>
            <w:hideMark/>
          </w:tcPr>
          <w:p w14:paraId="78718801" w14:textId="77777777" w:rsidR="00B86D82" w:rsidRPr="00E5441E" w:rsidRDefault="00B86D82" w:rsidP="006A7377">
            <w:pPr>
              <w:jc w:val="right"/>
              <w:rPr>
                <w:color w:val="000000"/>
                <w:sz w:val="16"/>
                <w:szCs w:val="16"/>
              </w:rPr>
            </w:pPr>
            <w:r w:rsidRPr="00E5441E">
              <w:rPr>
                <w:color w:val="000000"/>
                <w:sz w:val="16"/>
                <w:szCs w:val="16"/>
              </w:rPr>
              <w:t>7,687.0</w:t>
            </w:r>
          </w:p>
        </w:tc>
        <w:tc>
          <w:tcPr>
            <w:tcW w:w="819" w:type="dxa"/>
            <w:tcBorders>
              <w:top w:val="single" w:sz="8" w:space="0" w:color="auto"/>
              <w:left w:val="nil"/>
              <w:bottom w:val="nil"/>
              <w:right w:val="single" w:sz="4" w:space="0" w:color="auto"/>
            </w:tcBorders>
            <w:shd w:val="clear" w:color="000000" w:fill="FFFFFF"/>
            <w:noWrap/>
            <w:vAlign w:val="center"/>
            <w:hideMark/>
          </w:tcPr>
          <w:p w14:paraId="367B9742" w14:textId="77777777" w:rsidR="00B86D82" w:rsidRPr="00E5441E" w:rsidRDefault="00B86D82" w:rsidP="006A7377">
            <w:pPr>
              <w:jc w:val="right"/>
              <w:rPr>
                <w:color w:val="000000"/>
                <w:sz w:val="16"/>
                <w:szCs w:val="16"/>
              </w:rPr>
            </w:pPr>
            <w:r w:rsidRPr="00E5441E">
              <w:rPr>
                <w:color w:val="000000"/>
                <w:sz w:val="16"/>
                <w:szCs w:val="16"/>
              </w:rPr>
              <w:t>8,014.6</w:t>
            </w:r>
          </w:p>
        </w:tc>
        <w:tc>
          <w:tcPr>
            <w:tcW w:w="819" w:type="dxa"/>
            <w:tcBorders>
              <w:top w:val="single" w:sz="8" w:space="0" w:color="auto"/>
              <w:left w:val="nil"/>
              <w:bottom w:val="nil"/>
              <w:right w:val="single" w:sz="4" w:space="0" w:color="auto"/>
            </w:tcBorders>
            <w:shd w:val="clear" w:color="000000" w:fill="FFFFFF"/>
            <w:noWrap/>
            <w:vAlign w:val="center"/>
            <w:hideMark/>
          </w:tcPr>
          <w:p w14:paraId="3E66936C" w14:textId="77777777" w:rsidR="00B86D82" w:rsidRPr="00E5441E" w:rsidRDefault="00B86D82" w:rsidP="006A7377">
            <w:pPr>
              <w:jc w:val="right"/>
              <w:rPr>
                <w:color w:val="000000"/>
                <w:sz w:val="16"/>
                <w:szCs w:val="16"/>
              </w:rPr>
            </w:pPr>
            <w:r w:rsidRPr="00E5441E">
              <w:rPr>
                <w:color w:val="000000"/>
                <w:sz w:val="16"/>
                <w:szCs w:val="16"/>
              </w:rPr>
              <w:t>8,533.4</w:t>
            </w:r>
          </w:p>
        </w:tc>
        <w:tc>
          <w:tcPr>
            <w:tcW w:w="819" w:type="dxa"/>
            <w:tcBorders>
              <w:top w:val="single" w:sz="8" w:space="0" w:color="auto"/>
              <w:left w:val="nil"/>
              <w:bottom w:val="nil"/>
              <w:right w:val="single" w:sz="4" w:space="0" w:color="auto"/>
            </w:tcBorders>
            <w:shd w:val="clear" w:color="000000" w:fill="FFFFFF"/>
            <w:noWrap/>
            <w:vAlign w:val="center"/>
            <w:hideMark/>
          </w:tcPr>
          <w:p w14:paraId="003264EA" w14:textId="77777777" w:rsidR="00B86D82" w:rsidRPr="00E5441E" w:rsidRDefault="00B86D82" w:rsidP="006A7377">
            <w:pPr>
              <w:jc w:val="right"/>
              <w:rPr>
                <w:color w:val="000000"/>
                <w:sz w:val="16"/>
                <w:szCs w:val="16"/>
              </w:rPr>
            </w:pPr>
            <w:r w:rsidRPr="00E5441E">
              <w:rPr>
                <w:color w:val="000000"/>
                <w:sz w:val="16"/>
                <w:szCs w:val="16"/>
              </w:rPr>
              <w:t>8,253.0</w:t>
            </w:r>
          </w:p>
        </w:tc>
        <w:tc>
          <w:tcPr>
            <w:tcW w:w="819" w:type="dxa"/>
            <w:tcBorders>
              <w:top w:val="single" w:sz="8" w:space="0" w:color="auto"/>
              <w:left w:val="nil"/>
              <w:bottom w:val="nil"/>
              <w:right w:val="single" w:sz="4" w:space="0" w:color="auto"/>
            </w:tcBorders>
            <w:shd w:val="clear" w:color="000000" w:fill="FFFFFF"/>
            <w:noWrap/>
            <w:vAlign w:val="center"/>
            <w:hideMark/>
          </w:tcPr>
          <w:p w14:paraId="28560DD8" w14:textId="77777777" w:rsidR="00B86D82" w:rsidRPr="00E5441E" w:rsidRDefault="00B86D82" w:rsidP="006A7377">
            <w:pPr>
              <w:jc w:val="right"/>
              <w:rPr>
                <w:color w:val="000000"/>
                <w:sz w:val="16"/>
                <w:szCs w:val="16"/>
              </w:rPr>
            </w:pPr>
            <w:r w:rsidRPr="00E5441E">
              <w:rPr>
                <w:color w:val="000000"/>
                <w:sz w:val="16"/>
                <w:szCs w:val="16"/>
              </w:rPr>
              <w:t>9,256.7</w:t>
            </w:r>
          </w:p>
        </w:tc>
        <w:tc>
          <w:tcPr>
            <w:tcW w:w="819" w:type="dxa"/>
            <w:tcBorders>
              <w:top w:val="single" w:sz="8" w:space="0" w:color="auto"/>
              <w:left w:val="nil"/>
              <w:bottom w:val="nil"/>
              <w:right w:val="single" w:sz="4" w:space="0" w:color="auto"/>
            </w:tcBorders>
            <w:shd w:val="clear" w:color="000000" w:fill="FFFFFF"/>
            <w:noWrap/>
            <w:vAlign w:val="center"/>
            <w:hideMark/>
          </w:tcPr>
          <w:p w14:paraId="085DF117" w14:textId="77777777" w:rsidR="00B86D82" w:rsidRPr="00E5441E" w:rsidRDefault="00B86D82" w:rsidP="006A7377">
            <w:pPr>
              <w:jc w:val="right"/>
              <w:rPr>
                <w:color w:val="000000"/>
                <w:sz w:val="16"/>
                <w:szCs w:val="16"/>
              </w:rPr>
            </w:pPr>
            <w:r w:rsidRPr="00E5441E">
              <w:rPr>
                <w:color w:val="000000"/>
                <w:sz w:val="16"/>
                <w:szCs w:val="16"/>
              </w:rPr>
              <w:t>10,062.0</w:t>
            </w:r>
          </w:p>
        </w:tc>
      </w:tr>
      <w:tr w:rsidR="00B86D82" w:rsidRPr="00705B73" w14:paraId="79A8E2CD" w14:textId="77777777" w:rsidTr="006A7377">
        <w:trPr>
          <w:trHeight w:val="304"/>
          <w:jc w:val="center"/>
        </w:trPr>
        <w:tc>
          <w:tcPr>
            <w:tcW w:w="852" w:type="dxa"/>
            <w:tcBorders>
              <w:top w:val="nil"/>
              <w:left w:val="single" w:sz="4" w:space="0" w:color="auto"/>
              <w:bottom w:val="single" w:sz="4" w:space="0" w:color="auto"/>
              <w:right w:val="single" w:sz="4" w:space="0" w:color="auto"/>
            </w:tcBorders>
            <w:shd w:val="clear" w:color="000000" w:fill="DDEBF7"/>
            <w:noWrap/>
            <w:vAlign w:val="center"/>
            <w:hideMark/>
          </w:tcPr>
          <w:p w14:paraId="0F040067" w14:textId="77777777" w:rsidR="00B86D82" w:rsidRPr="00E5441E" w:rsidRDefault="00B86D82" w:rsidP="006A7377">
            <w:pPr>
              <w:rPr>
                <w:color w:val="000000"/>
                <w:sz w:val="16"/>
                <w:szCs w:val="16"/>
              </w:rPr>
            </w:pPr>
            <w:r w:rsidRPr="00E5441E">
              <w:rPr>
                <w:color w:val="000000"/>
                <w:sz w:val="16"/>
                <w:szCs w:val="16"/>
              </w:rPr>
              <w:t>Gasto</w:t>
            </w:r>
          </w:p>
        </w:tc>
        <w:tc>
          <w:tcPr>
            <w:tcW w:w="819" w:type="dxa"/>
            <w:tcBorders>
              <w:top w:val="nil"/>
              <w:left w:val="single" w:sz="8" w:space="0" w:color="auto"/>
              <w:bottom w:val="single" w:sz="4" w:space="0" w:color="auto"/>
              <w:right w:val="single" w:sz="4" w:space="0" w:color="auto"/>
            </w:tcBorders>
            <w:shd w:val="clear" w:color="000000" w:fill="DDEBF7"/>
            <w:noWrap/>
            <w:vAlign w:val="center"/>
            <w:hideMark/>
          </w:tcPr>
          <w:p w14:paraId="2790248B" w14:textId="77777777" w:rsidR="00B86D82" w:rsidRPr="00E5441E" w:rsidRDefault="00B86D82" w:rsidP="006A7377">
            <w:pPr>
              <w:jc w:val="right"/>
              <w:rPr>
                <w:color w:val="000000"/>
                <w:sz w:val="16"/>
                <w:szCs w:val="16"/>
              </w:rPr>
            </w:pPr>
            <w:r w:rsidRPr="00E5441E">
              <w:rPr>
                <w:color w:val="000000"/>
                <w:sz w:val="16"/>
                <w:szCs w:val="16"/>
              </w:rPr>
              <w:t>4,876.3</w:t>
            </w:r>
          </w:p>
        </w:tc>
        <w:tc>
          <w:tcPr>
            <w:tcW w:w="819" w:type="dxa"/>
            <w:tcBorders>
              <w:top w:val="nil"/>
              <w:left w:val="nil"/>
              <w:bottom w:val="single" w:sz="4" w:space="0" w:color="auto"/>
              <w:right w:val="single" w:sz="4" w:space="0" w:color="auto"/>
            </w:tcBorders>
            <w:shd w:val="clear" w:color="000000" w:fill="DDEBF7"/>
            <w:noWrap/>
            <w:vAlign w:val="center"/>
            <w:hideMark/>
          </w:tcPr>
          <w:p w14:paraId="5FD6BA04" w14:textId="77777777" w:rsidR="00B86D82" w:rsidRPr="00E5441E" w:rsidRDefault="00B86D82" w:rsidP="006A7377">
            <w:pPr>
              <w:jc w:val="right"/>
              <w:rPr>
                <w:color w:val="000000"/>
                <w:sz w:val="16"/>
                <w:szCs w:val="16"/>
              </w:rPr>
            </w:pPr>
            <w:r w:rsidRPr="00E5441E">
              <w:rPr>
                <w:color w:val="000000"/>
                <w:sz w:val="16"/>
                <w:szCs w:val="16"/>
              </w:rPr>
              <w:t>5,580.9</w:t>
            </w:r>
          </w:p>
        </w:tc>
        <w:tc>
          <w:tcPr>
            <w:tcW w:w="819" w:type="dxa"/>
            <w:tcBorders>
              <w:top w:val="nil"/>
              <w:left w:val="nil"/>
              <w:bottom w:val="single" w:sz="4" w:space="0" w:color="auto"/>
              <w:right w:val="single" w:sz="4" w:space="0" w:color="auto"/>
            </w:tcBorders>
            <w:shd w:val="clear" w:color="000000" w:fill="DDEBF7"/>
            <w:noWrap/>
            <w:vAlign w:val="center"/>
            <w:hideMark/>
          </w:tcPr>
          <w:p w14:paraId="4BAB1D45" w14:textId="77777777" w:rsidR="00B86D82" w:rsidRPr="00E5441E" w:rsidRDefault="00B86D82" w:rsidP="006A7377">
            <w:pPr>
              <w:jc w:val="right"/>
              <w:rPr>
                <w:color w:val="000000"/>
                <w:sz w:val="16"/>
                <w:szCs w:val="16"/>
              </w:rPr>
            </w:pPr>
            <w:r w:rsidRPr="00E5441E">
              <w:rPr>
                <w:color w:val="000000"/>
                <w:sz w:val="16"/>
                <w:szCs w:val="16"/>
              </w:rPr>
              <w:t>5,986.3</w:t>
            </w:r>
          </w:p>
        </w:tc>
        <w:tc>
          <w:tcPr>
            <w:tcW w:w="819" w:type="dxa"/>
            <w:tcBorders>
              <w:top w:val="nil"/>
              <w:left w:val="nil"/>
              <w:bottom w:val="single" w:sz="4" w:space="0" w:color="auto"/>
              <w:right w:val="single" w:sz="4" w:space="0" w:color="auto"/>
            </w:tcBorders>
            <w:shd w:val="clear" w:color="000000" w:fill="DDEBF7"/>
            <w:noWrap/>
            <w:vAlign w:val="center"/>
            <w:hideMark/>
          </w:tcPr>
          <w:p w14:paraId="7E8EB688" w14:textId="77777777" w:rsidR="00B86D82" w:rsidRPr="00E5441E" w:rsidRDefault="00B86D82" w:rsidP="006A7377">
            <w:pPr>
              <w:jc w:val="right"/>
              <w:rPr>
                <w:color w:val="000000"/>
                <w:sz w:val="16"/>
                <w:szCs w:val="16"/>
              </w:rPr>
            </w:pPr>
            <w:r w:rsidRPr="00E5441E">
              <w:rPr>
                <w:color w:val="000000"/>
                <w:sz w:val="16"/>
                <w:szCs w:val="16"/>
              </w:rPr>
              <w:t>5,799.9</w:t>
            </w:r>
          </w:p>
        </w:tc>
        <w:tc>
          <w:tcPr>
            <w:tcW w:w="819" w:type="dxa"/>
            <w:tcBorders>
              <w:top w:val="nil"/>
              <w:left w:val="nil"/>
              <w:bottom w:val="single" w:sz="4" w:space="0" w:color="auto"/>
              <w:right w:val="single" w:sz="4" w:space="0" w:color="auto"/>
            </w:tcBorders>
            <w:shd w:val="clear" w:color="000000" w:fill="DDEBF7"/>
            <w:noWrap/>
            <w:vAlign w:val="center"/>
            <w:hideMark/>
          </w:tcPr>
          <w:p w14:paraId="43FD70C6" w14:textId="77777777" w:rsidR="00B86D82" w:rsidRPr="00E5441E" w:rsidRDefault="00B86D82" w:rsidP="006A7377">
            <w:pPr>
              <w:jc w:val="right"/>
              <w:rPr>
                <w:color w:val="000000"/>
                <w:sz w:val="16"/>
                <w:szCs w:val="16"/>
              </w:rPr>
            </w:pPr>
            <w:r w:rsidRPr="00E5441E">
              <w:rPr>
                <w:color w:val="000000"/>
                <w:sz w:val="16"/>
                <w:szCs w:val="16"/>
              </w:rPr>
              <w:t>5,959.3</w:t>
            </w:r>
          </w:p>
        </w:tc>
        <w:tc>
          <w:tcPr>
            <w:tcW w:w="819" w:type="dxa"/>
            <w:tcBorders>
              <w:top w:val="nil"/>
              <w:left w:val="nil"/>
              <w:bottom w:val="single" w:sz="4" w:space="0" w:color="auto"/>
              <w:right w:val="single" w:sz="4" w:space="0" w:color="auto"/>
            </w:tcBorders>
            <w:shd w:val="clear" w:color="000000" w:fill="DDEBF7"/>
            <w:noWrap/>
            <w:vAlign w:val="center"/>
            <w:hideMark/>
          </w:tcPr>
          <w:p w14:paraId="6CDC2F06" w14:textId="77777777" w:rsidR="00B86D82" w:rsidRPr="00E5441E" w:rsidRDefault="00B86D82" w:rsidP="006A7377">
            <w:pPr>
              <w:jc w:val="right"/>
              <w:rPr>
                <w:color w:val="000000"/>
                <w:sz w:val="16"/>
                <w:szCs w:val="16"/>
              </w:rPr>
            </w:pPr>
            <w:r w:rsidRPr="00E5441E">
              <w:rPr>
                <w:color w:val="000000"/>
                <w:sz w:val="16"/>
                <w:szCs w:val="16"/>
              </w:rPr>
              <w:t>6,249.5</w:t>
            </w:r>
          </w:p>
        </w:tc>
        <w:tc>
          <w:tcPr>
            <w:tcW w:w="819" w:type="dxa"/>
            <w:tcBorders>
              <w:top w:val="nil"/>
              <w:left w:val="nil"/>
              <w:bottom w:val="single" w:sz="4" w:space="0" w:color="auto"/>
              <w:right w:val="single" w:sz="4" w:space="0" w:color="auto"/>
            </w:tcBorders>
            <w:shd w:val="clear" w:color="000000" w:fill="DDEBF7"/>
            <w:noWrap/>
            <w:vAlign w:val="center"/>
            <w:hideMark/>
          </w:tcPr>
          <w:p w14:paraId="5604E3E0" w14:textId="77777777" w:rsidR="00B86D82" w:rsidRPr="00E5441E" w:rsidRDefault="00B86D82" w:rsidP="006A7377">
            <w:pPr>
              <w:jc w:val="right"/>
              <w:rPr>
                <w:color w:val="000000"/>
                <w:sz w:val="16"/>
                <w:szCs w:val="16"/>
              </w:rPr>
            </w:pPr>
            <w:r w:rsidRPr="00E5441E">
              <w:rPr>
                <w:color w:val="000000"/>
                <w:sz w:val="16"/>
                <w:szCs w:val="16"/>
              </w:rPr>
              <w:t>6,521.5</w:t>
            </w:r>
          </w:p>
        </w:tc>
        <w:tc>
          <w:tcPr>
            <w:tcW w:w="819" w:type="dxa"/>
            <w:tcBorders>
              <w:top w:val="nil"/>
              <w:left w:val="nil"/>
              <w:bottom w:val="single" w:sz="4" w:space="0" w:color="auto"/>
              <w:right w:val="single" w:sz="4" w:space="0" w:color="auto"/>
            </w:tcBorders>
            <w:shd w:val="clear" w:color="000000" w:fill="DDEBF7"/>
            <w:noWrap/>
            <w:vAlign w:val="center"/>
            <w:hideMark/>
          </w:tcPr>
          <w:p w14:paraId="14A6FB65" w14:textId="77777777" w:rsidR="00B86D82" w:rsidRPr="00E5441E" w:rsidRDefault="00B86D82" w:rsidP="006A7377">
            <w:pPr>
              <w:jc w:val="right"/>
              <w:rPr>
                <w:color w:val="000000"/>
                <w:sz w:val="16"/>
                <w:szCs w:val="16"/>
              </w:rPr>
            </w:pPr>
            <w:r w:rsidRPr="00E5441E">
              <w:rPr>
                <w:color w:val="000000"/>
                <w:sz w:val="16"/>
                <w:szCs w:val="16"/>
              </w:rPr>
              <w:t>6,629.2</w:t>
            </w:r>
          </w:p>
        </w:tc>
        <w:tc>
          <w:tcPr>
            <w:tcW w:w="819" w:type="dxa"/>
            <w:tcBorders>
              <w:top w:val="nil"/>
              <w:left w:val="nil"/>
              <w:bottom w:val="single" w:sz="4" w:space="0" w:color="auto"/>
              <w:right w:val="single" w:sz="4" w:space="0" w:color="auto"/>
            </w:tcBorders>
            <w:shd w:val="clear" w:color="000000" w:fill="DDEBF7"/>
            <w:noWrap/>
            <w:vAlign w:val="center"/>
            <w:hideMark/>
          </w:tcPr>
          <w:p w14:paraId="6506FE32" w14:textId="77777777" w:rsidR="00B86D82" w:rsidRPr="00E5441E" w:rsidRDefault="00B86D82" w:rsidP="006A7377">
            <w:pPr>
              <w:jc w:val="right"/>
              <w:rPr>
                <w:color w:val="000000"/>
                <w:sz w:val="16"/>
                <w:szCs w:val="16"/>
              </w:rPr>
            </w:pPr>
            <w:r w:rsidRPr="00E5441E">
              <w:rPr>
                <w:color w:val="000000"/>
                <w:sz w:val="16"/>
                <w:szCs w:val="16"/>
              </w:rPr>
              <w:t>7,271.5</w:t>
            </w:r>
          </w:p>
        </w:tc>
        <w:tc>
          <w:tcPr>
            <w:tcW w:w="819" w:type="dxa"/>
            <w:tcBorders>
              <w:top w:val="nil"/>
              <w:left w:val="nil"/>
              <w:bottom w:val="single" w:sz="4" w:space="0" w:color="auto"/>
              <w:right w:val="single" w:sz="4" w:space="0" w:color="auto"/>
            </w:tcBorders>
            <w:shd w:val="clear" w:color="000000" w:fill="DDEBF7"/>
            <w:noWrap/>
            <w:vAlign w:val="center"/>
            <w:hideMark/>
          </w:tcPr>
          <w:p w14:paraId="5852C052" w14:textId="77777777" w:rsidR="00B86D82" w:rsidRPr="00E5441E" w:rsidRDefault="00B86D82" w:rsidP="006A7377">
            <w:pPr>
              <w:jc w:val="right"/>
              <w:rPr>
                <w:color w:val="000000"/>
                <w:sz w:val="16"/>
                <w:szCs w:val="16"/>
              </w:rPr>
            </w:pPr>
            <w:r w:rsidRPr="00E5441E">
              <w:rPr>
                <w:color w:val="000000"/>
                <w:sz w:val="16"/>
                <w:szCs w:val="16"/>
              </w:rPr>
              <w:t>8,034.5</w:t>
            </w:r>
          </w:p>
        </w:tc>
      </w:tr>
      <w:tr w:rsidR="00B86D82" w:rsidRPr="00705B73" w14:paraId="59FCD064" w14:textId="77777777" w:rsidTr="006A7377">
        <w:trPr>
          <w:trHeight w:val="319"/>
          <w:jc w:val="center"/>
        </w:trPr>
        <w:tc>
          <w:tcPr>
            <w:tcW w:w="8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11CA95" w14:textId="77777777" w:rsidR="00B86D82" w:rsidRPr="00E5441E" w:rsidRDefault="00B86D82" w:rsidP="006A7377">
            <w:pPr>
              <w:rPr>
                <w:color w:val="000000"/>
                <w:sz w:val="16"/>
                <w:szCs w:val="16"/>
              </w:rPr>
            </w:pPr>
            <w:r w:rsidRPr="00E5441E">
              <w:rPr>
                <w:color w:val="000000"/>
                <w:sz w:val="16"/>
                <w:szCs w:val="16"/>
              </w:rPr>
              <w:t>Fondo de Reserva</w:t>
            </w:r>
          </w:p>
        </w:tc>
        <w:tc>
          <w:tcPr>
            <w:tcW w:w="81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8959690" w14:textId="77777777" w:rsidR="00B86D82" w:rsidRPr="00E5441E" w:rsidRDefault="00B86D82" w:rsidP="006A7377">
            <w:pPr>
              <w:jc w:val="right"/>
              <w:rPr>
                <w:color w:val="000000"/>
                <w:sz w:val="16"/>
                <w:szCs w:val="16"/>
              </w:rPr>
            </w:pPr>
            <w:r w:rsidRPr="00E5441E">
              <w:rPr>
                <w:color w:val="000000"/>
                <w:sz w:val="16"/>
                <w:szCs w:val="16"/>
              </w:rPr>
              <w:t>801.7</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14:paraId="2DBDE363" w14:textId="77777777" w:rsidR="00B86D82" w:rsidRPr="00E5441E" w:rsidRDefault="00B86D82" w:rsidP="006A7377">
            <w:pPr>
              <w:jc w:val="right"/>
              <w:rPr>
                <w:color w:val="000000"/>
                <w:sz w:val="16"/>
                <w:szCs w:val="16"/>
              </w:rPr>
            </w:pPr>
            <w:r w:rsidRPr="00E5441E">
              <w:rPr>
                <w:color w:val="000000"/>
                <w:sz w:val="16"/>
                <w:szCs w:val="16"/>
              </w:rPr>
              <w:t>494.2</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14:paraId="68C914F8" w14:textId="77777777" w:rsidR="00B86D82" w:rsidRPr="00E5441E" w:rsidRDefault="00B86D82" w:rsidP="006A7377">
            <w:pPr>
              <w:jc w:val="right"/>
              <w:rPr>
                <w:color w:val="000000"/>
                <w:sz w:val="16"/>
                <w:szCs w:val="16"/>
              </w:rPr>
            </w:pPr>
            <w:r w:rsidRPr="00E5441E">
              <w:rPr>
                <w:color w:val="000000"/>
                <w:sz w:val="16"/>
                <w:szCs w:val="16"/>
              </w:rPr>
              <w:t>390.3</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14:paraId="05365D4B" w14:textId="77777777" w:rsidR="00B86D82" w:rsidRPr="00E5441E" w:rsidRDefault="00B86D82" w:rsidP="006A7377">
            <w:pPr>
              <w:jc w:val="right"/>
              <w:rPr>
                <w:color w:val="000000"/>
                <w:sz w:val="16"/>
                <w:szCs w:val="16"/>
              </w:rPr>
            </w:pPr>
            <w:r w:rsidRPr="00E5441E">
              <w:rPr>
                <w:color w:val="000000"/>
                <w:sz w:val="16"/>
                <w:szCs w:val="16"/>
              </w:rPr>
              <w:t>1,394.4</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14:paraId="11A5A8A4" w14:textId="77777777" w:rsidR="00B86D82" w:rsidRPr="00E5441E" w:rsidRDefault="00B86D82" w:rsidP="006A7377">
            <w:pPr>
              <w:jc w:val="right"/>
              <w:rPr>
                <w:color w:val="000000"/>
                <w:sz w:val="16"/>
                <w:szCs w:val="16"/>
              </w:rPr>
            </w:pPr>
            <w:r w:rsidRPr="00E5441E">
              <w:rPr>
                <w:color w:val="000000"/>
                <w:sz w:val="16"/>
                <w:szCs w:val="16"/>
              </w:rPr>
              <w:t>1,727.7</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14:paraId="1B435D5E" w14:textId="77777777" w:rsidR="00B86D82" w:rsidRPr="00E5441E" w:rsidRDefault="00B86D82" w:rsidP="006A7377">
            <w:pPr>
              <w:jc w:val="right"/>
              <w:rPr>
                <w:color w:val="000000"/>
                <w:sz w:val="16"/>
                <w:szCs w:val="16"/>
              </w:rPr>
            </w:pPr>
            <w:r w:rsidRPr="00E5441E">
              <w:rPr>
                <w:color w:val="000000"/>
                <w:sz w:val="16"/>
                <w:szCs w:val="16"/>
              </w:rPr>
              <w:t>1,765.0</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14:paraId="0261A510" w14:textId="77777777" w:rsidR="00B86D82" w:rsidRPr="00E5441E" w:rsidRDefault="00B86D82" w:rsidP="006A7377">
            <w:pPr>
              <w:jc w:val="right"/>
              <w:rPr>
                <w:color w:val="000000"/>
                <w:sz w:val="16"/>
                <w:szCs w:val="16"/>
              </w:rPr>
            </w:pPr>
            <w:r w:rsidRPr="00E5441E">
              <w:rPr>
                <w:color w:val="000000"/>
                <w:sz w:val="16"/>
                <w:szCs w:val="16"/>
              </w:rPr>
              <w:t>2,011.9</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14:paraId="7705F5FB" w14:textId="77777777" w:rsidR="00B86D82" w:rsidRPr="00E5441E" w:rsidRDefault="00B86D82" w:rsidP="006A7377">
            <w:pPr>
              <w:jc w:val="right"/>
              <w:rPr>
                <w:color w:val="000000"/>
                <w:sz w:val="16"/>
                <w:szCs w:val="16"/>
              </w:rPr>
            </w:pPr>
            <w:r w:rsidRPr="00E5441E">
              <w:rPr>
                <w:color w:val="000000"/>
                <w:sz w:val="16"/>
                <w:szCs w:val="16"/>
              </w:rPr>
              <w:t>1,623.8</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14:paraId="3ABA8D9B" w14:textId="77777777" w:rsidR="00B86D82" w:rsidRPr="00E5441E" w:rsidRDefault="00B86D82" w:rsidP="006A7377">
            <w:pPr>
              <w:jc w:val="right"/>
              <w:rPr>
                <w:color w:val="000000"/>
                <w:sz w:val="16"/>
                <w:szCs w:val="16"/>
              </w:rPr>
            </w:pPr>
            <w:r w:rsidRPr="00E5441E">
              <w:rPr>
                <w:color w:val="000000"/>
                <w:sz w:val="16"/>
                <w:szCs w:val="16"/>
              </w:rPr>
              <w:t>1,985.2</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14:paraId="21D7419C" w14:textId="77777777" w:rsidR="00B86D82" w:rsidRPr="00E5441E" w:rsidRDefault="00B86D82" w:rsidP="006A7377">
            <w:pPr>
              <w:jc w:val="right"/>
              <w:rPr>
                <w:color w:val="000000"/>
                <w:sz w:val="16"/>
                <w:szCs w:val="16"/>
              </w:rPr>
            </w:pPr>
            <w:r w:rsidRPr="00E5441E">
              <w:rPr>
                <w:color w:val="000000"/>
                <w:sz w:val="16"/>
                <w:szCs w:val="16"/>
              </w:rPr>
              <w:t>1,856.1</w:t>
            </w:r>
          </w:p>
        </w:tc>
      </w:tr>
      <w:tr w:rsidR="00B86D82" w:rsidRPr="00705B73" w14:paraId="49913E9B" w14:textId="77777777" w:rsidTr="006A7377">
        <w:trPr>
          <w:trHeight w:val="319"/>
          <w:jc w:val="center"/>
        </w:trPr>
        <w:tc>
          <w:tcPr>
            <w:tcW w:w="852" w:type="dxa"/>
            <w:tcBorders>
              <w:top w:val="single" w:sz="4" w:space="0" w:color="auto"/>
              <w:left w:val="single" w:sz="4" w:space="0" w:color="auto"/>
              <w:bottom w:val="single" w:sz="8" w:space="0" w:color="auto"/>
              <w:right w:val="single" w:sz="4" w:space="0" w:color="auto"/>
            </w:tcBorders>
            <w:shd w:val="clear" w:color="000000" w:fill="FFF2CC"/>
            <w:noWrap/>
            <w:vAlign w:val="center"/>
          </w:tcPr>
          <w:p w14:paraId="52D37A8C" w14:textId="77777777" w:rsidR="00B86D82" w:rsidRPr="00E5441E" w:rsidRDefault="00B86D82" w:rsidP="006A7377">
            <w:pPr>
              <w:jc w:val="center"/>
              <w:rPr>
                <w:color w:val="000000"/>
                <w:sz w:val="16"/>
                <w:szCs w:val="16"/>
              </w:rPr>
            </w:pPr>
            <w:r w:rsidRPr="00E5441E">
              <w:rPr>
                <w:color w:val="000000"/>
                <w:sz w:val="16"/>
                <w:szCs w:val="16"/>
              </w:rPr>
              <w:t>Reserva acumulada de EMA</w:t>
            </w:r>
          </w:p>
        </w:tc>
        <w:tc>
          <w:tcPr>
            <w:tcW w:w="819" w:type="dxa"/>
            <w:tcBorders>
              <w:top w:val="single" w:sz="4" w:space="0" w:color="auto"/>
              <w:left w:val="single" w:sz="8" w:space="0" w:color="auto"/>
              <w:bottom w:val="single" w:sz="8" w:space="0" w:color="auto"/>
              <w:right w:val="single" w:sz="4" w:space="0" w:color="auto"/>
            </w:tcBorders>
            <w:shd w:val="clear" w:color="000000" w:fill="FFF2CC"/>
            <w:noWrap/>
            <w:vAlign w:val="center"/>
          </w:tcPr>
          <w:p w14:paraId="16112E1F" w14:textId="77777777" w:rsidR="00B86D82" w:rsidRPr="00E5441E" w:rsidRDefault="00B86D82" w:rsidP="006A7377">
            <w:pPr>
              <w:jc w:val="right"/>
              <w:rPr>
                <w:color w:val="000000"/>
                <w:sz w:val="16"/>
                <w:szCs w:val="16"/>
              </w:rPr>
            </w:pPr>
            <w:r w:rsidRPr="00E5441E">
              <w:rPr>
                <w:color w:val="000000"/>
                <w:sz w:val="16"/>
                <w:szCs w:val="16"/>
              </w:rPr>
              <w:t>7,399.0</w:t>
            </w:r>
          </w:p>
        </w:tc>
        <w:tc>
          <w:tcPr>
            <w:tcW w:w="819" w:type="dxa"/>
            <w:tcBorders>
              <w:top w:val="single" w:sz="4" w:space="0" w:color="auto"/>
              <w:left w:val="nil"/>
              <w:bottom w:val="single" w:sz="8" w:space="0" w:color="auto"/>
              <w:right w:val="single" w:sz="4" w:space="0" w:color="auto"/>
            </w:tcBorders>
            <w:shd w:val="clear" w:color="000000" w:fill="FFF2CC"/>
            <w:noWrap/>
            <w:vAlign w:val="center"/>
          </w:tcPr>
          <w:p w14:paraId="2C2305E6" w14:textId="77777777" w:rsidR="00B86D82" w:rsidRPr="00E5441E" w:rsidRDefault="00B86D82" w:rsidP="006A7377">
            <w:pPr>
              <w:jc w:val="right"/>
              <w:rPr>
                <w:color w:val="000000"/>
                <w:sz w:val="16"/>
                <w:szCs w:val="16"/>
              </w:rPr>
            </w:pPr>
            <w:r w:rsidRPr="00E5441E">
              <w:rPr>
                <w:color w:val="000000"/>
                <w:sz w:val="16"/>
                <w:szCs w:val="16"/>
              </w:rPr>
              <w:t>7,922.3</w:t>
            </w:r>
          </w:p>
        </w:tc>
        <w:tc>
          <w:tcPr>
            <w:tcW w:w="819" w:type="dxa"/>
            <w:tcBorders>
              <w:top w:val="single" w:sz="4" w:space="0" w:color="auto"/>
              <w:left w:val="nil"/>
              <w:bottom w:val="single" w:sz="8" w:space="0" w:color="auto"/>
              <w:right w:val="single" w:sz="4" w:space="0" w:color="auto"/>
            </w:tcBorders>
            <w:shd w:val="clear" w:color="000000" w:fill="FFF2CC"/>
            <w:noWrap/>
            <w:vAlign w:val="center"/>
          </w:tcPr>
          <w:p w14:paraId="56A60997" w14:textId="77777777" w:rsidR="00B86D82" w:rsidRPr="00E5441E" w:rsidRDefault="00B86D82" w:rsidP="006A7377">
            <w:pPr>
              <w:jc w:val="right"/>
              <w:rPr>
                <w:color w:val="000000"/>
                <w:sz w:val="16"/>
                <w:szCs w:val="16"/>
              </w:rPr>
            </w:pPr>
            <w:r w:rsidRPr="00E5441E">
              <w:rPr>
                <w:color w:val="000000"/>
                <w:sz w:val="16"/>
                <w:szCs w:val="16"/>
              </w:rPr>
              <w:t>8,134.7</w:t>
            </w:r>
          </w:p>
        </w:tc>
        <w:tc>
          <w:tcPr>
            <w:tcW w:w="819" w:type="dxa"/>
            <w:tcBorders>
              <w:top w:val="single" w:sz="4" w:space="0" w:color="auto"/>
              <w:left w:val="nil"/>
              <w:bottom w:val="single" w:sz="8" w:space="0" w:color="auto"/>
              <w:right w:val="single" w:sz="4" w:space="0" w:color="auto"/>
            </w:tcBorders>
            <w:shd w:val="clear" w:color="000000" w:fill="FFF2CC"/>
            <w:noWrap/>
            <w:vAlign w:val="center"/>
          </w:tcPr>
          <w:p w14:paraId="3ACAD92C" w14:textId="77777777" w:rsidR="00B86D82" w:rsidRPr="00E5441E" w:rsidRDefault="00B86D82" w:rsidP="006A7377">
            <w:pPr>
              <w:jc w:val="right"/>
              <w:rPr>
                <w:color w:val="000000"/>
                <w:sz w:val="16"/>
                <w:szCs w:val="16"/>
              </w:rPr>
            </w:pPr>
            <w:r w:rsidRPr="00E5441E">
              <w:rPr>
                <w:color w:val="000000"/>
                <w:sz w:val="16"/>
                <w:szCs w:val="16"/>
              </w:rPr>
              <w:t>8,069.7</w:t>
            </w:r>
          </w:p>
        </w:tc>
        <w:tc>
          <w:tcPr>
            <w:tcW w:w="819" w:type="dxa"/>
            <w:tcBorders>
              <w:top w:val="single" w:sz="4" w:space="0" w:color="auto"/>
              <w:left w:val="nil"/>
              <w:bottom w:val="single" w:sz="8" w:space="0" w:color="auto"/>
              <w:right w:val="single" w:sz="4" w:space="0" w:color="auto"/>
            </w:tcBorders>
            <w:shd w:val="clear" w:color="000000" w:fill="FFF2CC"/>
            <w:noWrap/>
            <w:vAlign w:val="center"/>
          </w:tcPr>
          <w:p w14:paraId="12FA355E" w14:textId="77777777" w:rsidR="00B86D82" w:rsidRPr="00E5441E" w:rsidRDefault="00B86D82" w:rsidP="006A7377">
            <w:pPr>
              <w:jc w:val="right"/>
              <w:rPr>
                <w:color w:val="000000"/>
                <w:sz w:val="16"/>
                <w:szCs w:val="16"/>
              </w:rPr>
            </w:pPr>
            <w:r w:rsidRPr="00E5441E">
              <w:rPr>
                <w:color w:val="000000"/>
                <w:sz w:val="16"/>
                <w:szCs w:val="16"/>
              </w:rPr>
              <w:t>8,016.9</w:t>
            </w:r>
          </w:p>
        </w:tc>
        <w:tc>
          <w:tcPr>
            <w:tcW w:w="819" w:type="dxa"/>
            <w:tcBorders>
              <w:top w:val="single" w:sz="4" w:space="0" w:color="auto"/>
              <w:left w:val="nil"/>
              <w:bottom w:val="single" w:sz="8" w:space="0" w:color="auto"/>
              <w:right w:val="single" w:sz="4" w:space="0" w:color="auto"/>
            </w:tcBorders>
            <w:shd w:val="clear" w:color="000000" w:fill="FFF2CC"/>
            <w:noWrap/>
            <w:vAlign w:val="center"/>
          </w:tcPr>
          <w:p w14:paraId="23DE1C76" w14:textId="77777777" w:rsidR="00B86D82" w:rsidRPr="00E5441E" w:rsidRDefault="00B86D82" w:rsidP="006A7377">
            <w:pPr>
              <w:jc w:val="right"/>
              <w:rPr>
                <w:color w:val="000000"/>
                <w:sz w:val="16"/>
                <w:szCs w:val="16"/>
              </w:rPr>
            </w:pPr>
            <w:r w:rsidRPr="00E5441E">
              <w:rPr>
                <w:color w:val="000000"/>
                <w:sz w:val="16"/>
                <w:szCs w:val="16"/>
              </w:rPr>
              <w:t>11,061.8</w:t>
            </w:r>
          </w:p>
        </w:tc>
        <w:tc>
          <w:tcPr>
            <w:tcW w:w="819" w:type="dxa"/>
            <w:tcBorders>
              <w:top w:val="single" w:sz="4" w:space="0" w:color="auto"/>
              <w:left w:val="nil"/>
              <w:bottom w:val="single" w:sz="8" w:space="0" w:color="auto"/>
              <w:right w:val="single" w:sz="4" w:space="0" w:color="auto"/>
            </w:tcBorders>
            <w:shd w:val="clear" w:color="000000" w:fill="FFF2CC"/>
            <w:noWrap/>
            <w:vAlign w:val="center"/>
          </w:tcPr>
          <w:p w14:paraId="1AF68F05" w14:textId="77777777" w:rsidR="00B86D82" w:rsidRPr="00E5441E" w:rsidRDefault="00B86D82" w:rsidP="006A7377">
            <w:pPr>
              <w:jc w:val="right"/>
              <w:rPr>
                <w:color w:val="000000"/>
                <w:sz w:val="16"/>
                <w:szCs w:val="16"/>
              </w:rPr>
            </w:pPr>
            <w:r w:rsidRPr="00E5441E">
              <w:rPr>
                <w:color w:val="000000"/>
                <w:sz w:val="16"/>
                <w:szCs w:val="16"/>
              </w:rPr>
              <w:t>10,987.3</w:t>
            </w:r>
          </w:p>
        </w:tc>
        <w:tc>
          <w:tcPr>
            <w:tcW w:w="819" w:type="dxa"/>
            <w:tcBorders>
              <w:top w:val="single" w:sz="4" w:space="0" w:color="auto"/>
              <w:left w:val="nil"/>
              <w:bottom w:val="single" w:sz="8" w:space="0" w:color="auto"/>
              <w:right w:val="single" w:sz="4" w:space="0" w:color="auto"/>
            </w:tcBorders>
            <w:shd w:val="clear" w:color="000000" w:fill="FFF2CC"/>
            <w:noWrap/>
            <w:vAlign w:val="center"/>
          </w:tcPr>
          <w:p w14:paraId="7FD97679" w14:textId="77777777" w:rsidR="00B86D82" w:rsidRPr="00E5441E" w:rsidRDefault="00B86D82" w:rsidP="006A7377">
            <w:pPr>
              <w:jc w:val="right"/>
              <w:rPr>
                <w:color w:val="000000"/>
                <w:sz w:val="16"/>
                <w:szCs w:val="16"/>
              </w:rPr>
            </w:pPr>
            <w:r w:rsidRPr="00E5441E">
              <w:rPr>
                <w:color w:val="000000"/>
                <w:sz w:val="16"/>
                <w:szCs w:val="16"/>
              </w:rPr>
              <w:t>14,562.3</w:t>
            </w:r>
          </w:p>
        </w:tc>
        <w:tc>
          <w:tcPr>
            <w:tcW w:w="819" w:type="dxa"/>
            <w:tcBorders>
              <w:top w:val="single" w:sz="4" w:space="0" w:color="auto"/>
              <w:left w:val="nil"/>
              <w:bottom w:val="single" w:sz="8" w:space="0" w:color="auto"/>
              <w:right w:val="single" w:sz="4" w:space="0" w:color="auto"/>
            </w:tcBorders>
            <w:shd w:val="clear" w:color="000000" w:fill="FFF2CC"/>
            <w:noWrap/>
            <w:vAlign w:val="center"/>
          </w:tcPr>
          <w:p w14:paraId="54A300FC" w14:textId="77777777" w:rsidR="00B86D82" w:rsidRPr="00E5441E" w:rsidRDefault="00B86D82" w:rsidP="006A7377">
            <w:pPr>
              <w:jc w:val="right"/>
              <w:rPr>
                <w:color w:val="000000"/>
                <w:sz w:val="16"/>
                <w:szCs w:val="16"/>
              </w:rPr>
            </w:pPr>
            <w:r w:rsidRPr="00E5441E">
              <w:rPr>
                <w:color w:val="000000"/>
                <w:sz w:val="16"/>
                <w:szCs w:val="16"/>
              </w:rPr>
              <w:t>14,466.1</w:t>
            </w:r>
          </w:p>
        </w:tc>
        <w:tc>
          <w:tcPr>
            <w:tcW w:w="819" w:type="dxa"/>
            <w:tcBorders>
              <w:top w:val="single" w:sz="4" w:space="0" w:color="auto"/>
              <w:left w:val="nil"/>
              <w:bottom w:val="single" w:sz="8" w:space="0" w:color="auto"/>
              <w:right w:val="single" w:sz="4" w:space="0" w:color="auto"/>
            </w:tcBorders>
            <w:shd w:val="clear" w:color="000000" w:fill="FFF2CC"/>
            <w:noWrap/>
            <w:vAlign w:val="center"/>
          </w:tcPr>
          <w:p w14:paraId="0C69954C" w14:textId="77777777" w:rsidR="00B86D82" w:rsidRPr="00E5441E" w:rsidRDefault="00B86D82" w:rsidP="006A7377">
            <w:pPr>
              <w:jc w:val="right"/>
              <w:rPr>
                <w:color w:val="000000"/>
                <w:sz w:val="16"/>
                <w:szCs w:val="16"/>
              </w:rPr>
            </w:pPr>
            <w:r w:rsidRPr="00E5441E">
              <w:rPr>
                <w:color w:val="000000"/>
                <w:sz w:val="16"/>
                <w:szCs w:val="16"/>
              </w:rPr>
              <w:t>17,232.0</w:t>
            </w:r>
          </w:p>
        </w:tc>
      </w:tr>
      <w:tr w:rsidR="00B86D82" w:rsidRPr="00705B73" w14:paraId="76BFAD68" w14:textId="77777777" w:rsidTr="006A7377">
        <w:trPr>
          <w:trHeight w:val="533"/>
          <w:jc w:val="center"/>
        </w:trPr>
        <w:tc>
          <w:tcPr>
            <w:tcW w:w="1671" w:type="dxa"/>
            <w:gridSpan w:val="2"/>
            <w:tcBorders>
              <w:top w:val="nil"/>
              <w:left w:val="single" w:sz="4" w:space="0" w:color="auto"/>
              <w:bottom w:val="single" w:sz="8" w:space="0" w:color="auto"/>
              <w:right w:val="single" w:sz="4" w:space="0" w:color="auto"/>
            </w:tcBorders>
            <w:shd w:val="clear" w:color="000000" w:fill="FFF2CC"/>
            <w:noWrap/>
            <w:vAlign w:val="center"/>
          </w:tcPr>
          <w:p w14:paraId="641B8A69" w14:textId="77777777" w:rsidR="00B86D82" w:rsidRPr="00E5441E" w:rsidRDefault="00B86D82" w:rsidP="006A7377">
            <w:pPr>
              <w:jc w:val="center"/>
              <w:rPr>
                <w:color w:val="000000"/>
                <w:sz w:val="16"/>
                <w:szCs w:val="16"/>
              </w:rPr>
            </w:pPr>
            <w:r w:rsidRPr="00E5441E">
              <w:rPr>
                <w:color w:val="000000"/>
                <w:sz w:val="16"/>
                <w:szCs w:val="16"/>
              </w:rPr>
              <w:t>Variación interanual de las reservas acumuladas de EMA</w:t>
            </w:r>
          </w:p>
        </w:tc>
        <w:tc>
          <w:tcPr>
            <w:tcW w:w="819" w:type="dxa"/>
            <w:tcBorders>
              <w:top w:val="nil"/>
              <w:left w:val="nil"/>
              <w:bottom w:val="single" w:sz="8" w:space="0" w:color="auto"/>
              <w:right w:val="single" w:sz="4" w:space="0" w:color="auto"/>
            </w:tcBorders>
            <w:shd w:val="clear" w:color="000000" w:fill="FFF2CC"/>
            <w:noWrap/>
            <w:vAlign w:val="center"/>
          </w:tcPr>
          <w:p w14:paraId="0F99D0A3" w14:textId="77777777" w:rsidR="00B86D82" w:rsidRPr="00E5441E" w:rsidRDefault="00B86D82" w:rsidP="006A7377">
            <w:pPr>
              <w:jc w:val="right"/>
              <w:rPr>
                <w:color w:val="000000"/>
                <w:sz w:val="16"/>
                <w:szCs w:val="16"/>
              </w:rPr>
            </w:pPr>
            <w:r w:rsidRPr="00E5441E">
              <w:rPr>
                <w:color w:val="000000"/>
                <w:sz w:val="16"/>
                <w:szCs w:val="16"/>
              </w:rPr>
              <w:t>7.1%</w:t>
            </w:r>
          </w:p>
        </w:tc>
        <w:tc>
          <w:tcPr>
            <w:tcW w:w="819" w:type="dxa"/>
            <w:tcBorders>
              <w:top w:val="nil"/>
              <w:left w:val="nil"/>
              <w:bottom w:val="single" w:sz="8" w:space="0" w:color="auto"/>
              <w:right w:val="single" w:sz="4" w:space="0" w:color="auto"/>
            </w:tcBorders>
            <w:shd w:val="clear" w:color="000000" w:fill="FFF2CC"/>
            <w:noWrap/>
            <w:vAlign w:val="center"/>
          </w:tcPr>
          <w:p w14:paraId="1AE5C5AC" w14:textId="77777777" w:rsidR="00B86D82" w:rsidRPr="00E5441E" w:rsidRDefault="00B86D82" w:rsidP="006A7377">
            <w:pPr>
              <w:jc w:val="right"/>
              <w:rPr>
                <w:color w:val="000000"/>
                <w:sz w:val="16"/>
                <w:szCs w:val="16"/>
              </w:rPr>
            </w:pPr>
            <w:r w:rsidRPr="00E5441E">
              <w:rPr>
                <w:color w:val="000000"/>
                <w:sz w:val="16"/>
                <w:szCs w:val="16"/>
              </w:rPr>
              <w:t>2.7%</w:t>
            </w:r>
          </w:p>
        </w:tc>
        <w:tc>
          <w:tcPr>
            <w:tcW w:w="819" w:type="dxa"/>
            <w:tcBorders>
              <w:top w:val="nil"/>
              <w:left w:val="nil"/>
              <w:bottom w:val="single" w:sz="8" w:space="0" w:color="auto"/>
              <w:right w:val="single" w:sz="4" w:space="0" w:color="auto"/>
            </w:tcBorders>
            <w:shd w:val="clear" w:color="000000" w:fill="FFF2CC"/>
            <w:noWrap/>
            <w:vAlign w:val="center"/>
          </w:tcPr>
          <w:p w14:paraId="7BDD23C2" w14:textId="77777777" w:rsidR="00B86D82" w:rsidRPr="00E5441E" w:rsidRDefault="00B86D82" w:rsidP="006A7377">
            <w:pPr>
              <w:jc w:val="right"/>
              <w:rPr>
                <w:color w:val="000000"/>
                <w:sz w:val="16"/>
                <w:szCs w:val="16"/>
              </w:rPr>
            </w:pPr>
            <w:r w:rsidRPr="00E5441E">
              <w:rPr>
                <w:color w:val="000000"/>
                <w:sz w:val="16"/>
                <w:szCs w:val="16"/>
              </w:rPr>
              <w:t>-0.8%</w:t>
            </w:r>
          </w:p>
        </w:tc>
        <w:tc>
          <w:tcPr>
            <w:tcW w:w="819" w:type="dxa"/>
            <w:tcBorders>
              <w:top w:val="nil"/>
              <w:left w:val="nil"/>
              <w:bottom w:val="single" w:sz="8" w:space="0" w:color="auto"/>
              <w:right w:val="single" w:sz="4" w:space="0" w:color="auto"/>
            </w:tcBorders>
            <w:shd w:val="clear" w:color="000000" w:fill="FFF2CC"/>
            <w:noWrap/>
            <w:vAlign w:val="center"/>
          </w:tcPr>
          <w:p w14:paraId="6DB1C63B" w14:textId="77777777" w:rsidR="00B86D82" w:rsidRPr="00E5441E" w:rsidRDefault="00B86D82" w:rsidP="006A7377">
            <w:pPr>
              <w:jc w:val="right"/>
              <w:rPr>
                <w:color w:val="000000"/>
                <w:sz w:val="16"/>
                <w:szCs w:val="16"/>
              </w:rPr>
            </w:pPr>
            <w:r w:rsidRPr="00E5441E">
              <w:rPr>
                <w:color w:val="000000"/>
                <w:sz w:val="16"/>
                <w:szCs w:val="16"/>
              </w:rPr>
              <w:t>-0.7%</w:t>
            </w:r>
          </w:p>
        </w:tc>
        <w:tc>
          <w:tcPr>
            <w:tcW w:w="819" w:type="dxa"/>
            <w:tcBorders>
              <w:top w:val="nil"/>
              <w:left w:val="nil"/>
              <w:bottom w:val="single" w:sz="8" w:space="0" w:color="auto"/>
              <w:right w:val="single" w:sz="4" w:space="0" w:color="auto"/>
            </w:tcBorders>
            <w:shd w:val="clear" w:color="000000" w:fill="FFF2CC"/>
            <w:noWrap/>
            <w:vAlign w:val="center"/>
          </w:tcPr>
          <w:p w14:paraId="580EAFE8" w14:textId="77777777" w:rsidR="00B86D82" w:rsidRPr="00E5441E" w:rsidRDefault="00B86D82" w:rsidP="006A7377">
            <w:pPr>
              <w:jc w:val="right"/>
              <w:rPr>
                <w:color w:val="000000"/>
                <w:sz w:val="16"/>
                <w:szCs w:val="16"/>
              </w:rPr>
            </w:pPr>
            <w:r w:rsidRPr="00E5441E">
              <w:rPr>
                <w:color w:val="000000"/>
                <w:sz w:val="16"/>
                <w:szCs w:val="16"/>
              </w:rPr>
              <w:t>38.0%</w:t>
            </w:r>
          </w:p>
        </w:tc>
        <w:tc>
          <w:tcPr>
            <w:tcW w:w="819" w:type="dxa"/>
            <w:tcBorders>
              <w:top w:val="nil"/>
              <w:left w:val="nil"/>
              <w:bottom w:val="single" w:sz="8" w:space="0" w:color="auto"/>
              <w:right w:val="single" w:sz="4" w:space="0" w:color="auto"/>
            </w:tcBorders>
            <w:shd w:val="clear" w:color="000000" w:fill="FFF2CC"/>
            <w:noWrap/>
            <w:vAlign w:val="center"/>
          </w:tcPr>
          <w:p w14:paraId="467F3577" w14:textId="77777777" w:rsidR="00B86D82" w:rsidRPr="00E5441E" w:rsidRDefault="00B86D82" w:rsidP="006A7377">
            <w:pPr>
              <w:jc w:val="right"/>
              <w:rPr>
                <w:color w:val="000000"/>
                <w:sz w:val="16"/>
                <w:szCs w:val="16"/>
              </w:rPr>
            </w:pPr>
            <w:r w:rsidRPr="00E5441E">
              <w:rPr>
                <w:color w:val="000000"/>
                <w:sz w:val="16"/>
                <w:szCs w:val="16"/>
              </w:rPr>
              <w:t>-0.7%</w:t>
            </w:r>
          </w:p>
        </w:tc>
        <w:tc>
          <w:tcPr>
            <w:tcW w:w="819" w:type="dxa"/>
            <w:tcBorders>
              <w:top w:val="nil"/>
              <w:left w:val="nil"/>
              <w:bottom w:val="single" w:sz="8" w:space="0" w:color="auto"/>
              <w:right w:val="single" w:sz="4" w:space="0" w:color="auto"/>
            </w:tcBorders>
            <w:shd w:val="clear" w:color="000000" w:fill="FFF2CC"/>
            <w:noWrap/>
            <w:vAlign w:val="center"/>
          </w:tcPr>
          <w:p w14:paraId="1932FC6F" w14:textId="77777777" w:rsidR="00B86D82" w:rsidRPr="00E5441E" w:rsidRDefault="00B86D82" w:rsidP="006A7377">
            <w:pPr>
              <w:jc w:val="right"/>
              <w:rPr>
                <w:color w:val="000000"/>
                <w:sz w:val="16"/>
                <w:szCs w:val="16"/>
              </w:rPr>
            </w:pPr>
            <w:r w:rsidRPr="00E5441E">
              <w:rPr>
                <w:color w:val="000000"/>
                <w:sz w:val="16"/>
                <w:szCs w:val="16"/>
              </w:rPr>
              <w:t>32.5%</w:t>
            </w:r>
          </w:p>
        </w:tc>
        <w:tc>
          <w:tcPr>
            <w:tcW w:w="819" w:type="dxa"/>
            <w:tcBorders>
              <w:top w:val="nil"/>
              <w:left w:val="nil"/>
              <w:bottom w:val="single" w:sz="8" w:space="0" w:color="auto"/>
              <w:right w:val="single" w:sz="4" w:space="0" w:color="auto"/>
            </w:tcBorders>
            <w:shd w:val="clear" w:color="000000" w:fill="FFF2CC"/>
            <w:noWrap/>
            <w:vAlign w:val="center"/>
          </w:tcPr>
          <w:p w14:paraId="540AFEDF" w14:textId="77777777" w:rsidR="00B86D82" w:rsidRPr="00E5441E" w:rsidRDefault="00B86D82" w:rsidP="006A7377">
            <w:pPr>
              <w:jc w:val="right"/>
              <w:rPr>
                <w:color w:val="000000"/>
                <w:sz w:val="16"/>
                <w:szCs w:val="16"/>
              </w:rPr>
            </w:pPr>
            <w:r w:rsidRPr="00E5441E">
              <w:rPr>
                <w:color w:val="000000"/>
                <w:sz w:val="16"/>
                <w:szCs w:val="16"/>
              </w:rPr>
              <w:t>-0.7%</w:t>
            </w:r>
          </w:p>
        </w:tc>
        <w:tc>
          <w:tcPr>
            <w:tcW w:w="819" w:type="dxa"/>
            <w:tcBorders>
              <w:top w:val="nil"/>
              <w:left w:val="nil"/>
              <w:bottom w:val="single" w:sz="8" w:space="0" w:color="auto"/>
              <w:right w:val="single" w:sz="4" w:space="0" w:color="auto"/>
            </w:tcBorders>
            <w:shd w:val="clear" w:color="000000" w:fill="FFF2CC"/>
            <w:noWrap/>
            <w:vAlign w:val="center"/>
          </w:tcPr>
          <w:p w14:paraId="44E094F7" w14:textId="77777777" w:rsidR="00B86D82" w:rsidRPr="00E5441E" w:rsidRDefault="00B86D82" w:rsidP="006A7377">
            <w:pPr>
              <w:jc w:val="center"/>
              <w:rPr>
                <w:color w:val="000000"/>
                <w:sz w:val="16"/>
                <w:szCs w:val="16"/>
              </w:rPr>
            </w:pPr>
            <w:r w:rsidRPr="00E5441E">
              <w:rPr>
                <w:color w:val="000000"/>
                <w:sz w:val="16"/>
                <w:szCs w:val="16"/>
              </w:rPr>
              <w:t>19.1%</w:t>
            </w:r>
          </w:p>
        </w:tc>
      </w:tr>
    </w:tbl>
    <w:p w14:paraId="326C5B47" w14:textId="77777777" w:rsidR="00B86D82" w:rsidRPr="00411D33" w:rsidRDefault="00B86D82" w:rsidP="00411D33">
      <w:pPr>
        <w:ind w:right="616"/>
        <w:jc w:val="both"/>
        <w:rPr>
          <w:sz w:val="16"/>
          <w:szCs w:val="16"/>
        </w:rPr>
      </w:pPr>
      <w:r w:rsidRPr="00411D33">
        <w:rPr>
          <w:sz w:val="16"/>
          <w:szCs w:val="16"/>
        </w:rPr>
        <w:t xml:space="preserve">Fuente: Información estimada con base a SICOIN, se excluye del gasto las reservas técnicas del IVS, en el caso del EMA, para el 2022, los ingresos y gastos y las reservas del EMA se obtuvieron de los estados financieros a diciembre del 2022 del IGSS. </w:t>
      </w:r>
    </w:p>
    <w:p w14:paraId="7EC0F9D3" w14:textId="77777777" w:rsidR="00411D33" w:rsidRDefault="00411D33" w:rsidP="00B86D82">
      <w:pPr>
        <w:jc w:val="both"/>
      </w:pPr>
    </w:p>
    <w:p w14:paraId="6F4DE132" w14:textId="05641833" w:rsidR="00B86D82" w:rsidRDefault="00B86D82" w:rsidP="00B86D82">
      <w:pPr>
        <w:jc w:val="both"/>
      </w:pPr>
      <w:r>
        <w:t>Al desagregar la evolución histórica solo que, en enfermedades transmitibles y no transmitibles, estas últimas representan en atenciones en salud el 86.3% en promedio en los últimos 5 años, lo cual se explica por el largo tratamiento que se dan en estas enfermedades.</w:t>
      </w:r>
    </w:p>
    <w:p w14:paraId="686F2E51" w14:textId="3B897F43" w:rsidR="00411D33" w:rsidRDefault="00411D33" w:rsidP="00411D33">
      <w:pPr>
        <w:pStyle w:val="Descripcin"/>
        <w:keepNext/>
      </w:pPr>
      <w:bookmarkStart w:id="395" w:name="_Toc143593613"/>
      <w:r w:rsidRPr="00411D33">
        <w:rPr>
          <w:color w:val="auto"/>
        </w:rPr>
        <w:lastRenderedPageBreak/>
        <w:t xml:space="preserve">Gráfico </w:t>
      </w:r>
      <w:r w:rsidRPr="00411D33">
        <w:rPr>
          <w:color w:val="auto"/>
        </w:rPr>
        <w:fldChar w:fldCharType="begin"/>
      </w:r>
      <w:r w:rsidRPr="00411D33">
        <w:rPr>
          <w:color w:val="auto"/>
        </w:rPr>
        <w:instrText xml:space="preserve"> SEQ Gráfico \* ARABIC </w:instrText>
      </w:r>
      <w:r w:rsidRPr="00411D33">
        <w:rPr>
          <w:color w:val="auto"/>
        </w:rPr>
        <w:fldChar w:fldCharType="separate"/>
      </w:r>
      <w:r w:rsidR="00A62AFA">
        <w:rPr>
          <w:noProof/>
          <w:color w:val="auto"/>
        </w:rPr>
        <w:t>55</w:t>
      </w:r>
      <w:r w:rsidRPr="00411D33">
        <w:rPr>
          <w:color w:val="auto"/>
        </w:rPr>
        <w:fldChar w:fldCharType="end"/>
      </w:r>
      <w:r w:rsidRPr="00411D33">
        <w:rPr>
          <w:color w:val="auto"/>
        </w:rPr>
        <w:t xml:space="preserve">.  </w:t>
      </w:r>
      <w:r w:rsidRPr="00411D33">
        <w:rPr>
          <w:color w:val="auto"/>
          <w:sz w:val="22"/>
          <w:szCs w:val="22"/>
        </w:rPr>
        <w:t>Evolución histórica del gasto en</w:t>
      </w:r>
      <w:r w:rsidRPr="00814CD2">
        <w:rPr>
          <w:color w:val="auto"/>
          <w:sz w:val="22"/>
          <w:szCs w:val="22"/>
        </w:rPr>
        <w:t xml:space="preserve"> pensiones y atenciones en salud del EMA por enfermedades catastróficas y no catastróficas 2001-2022 con proyecciones al 2027</w:t>
      </w:r>
      <w:bookmarkEnd w:id="395"/>
    </w:p>
    <w:p w14:paraId="4395DEAA" w14:textId="77777777" w:rsidR="00B86D82" w:rsidRDefault="00B86D82" w:rsidP="00B86D82">
      <w:pPr>
        <w:rPr>
          <w:lang w:val="es-ES"/>
        </w:rPr>
      </w:pPr>
    </w:p>
    <w:p w14:paraId="678BF7A6" w14:textId="77777777" w:rsidR="00B86D82" w:rsidRPr="00BA4B73" w:rsidRDefault="00B86D82" w:rsidP="00B86D82">
      <w:pPr>
        <w:jc w:val="center"/>
        <w:rPr>
          <w:lang w:val="es-ES"/>
        </w:rPr>
      </w:pPr>
      <w:r>
        <w:rPr>
          <w:noProof/>
        </w:rPr>
        <w:drawing>
          <wp:inline distT="0" distB="0" distL="0" distR="0" wp14:anchorId="73B7E333" wp14:editId="6B164C01">
            <wp:extent cx="5213654" cy="2258171"/>
            <wp:effectExtent l="0" t="0" r="6350" b="8890"/>
            <wp:docPr id="1889938850" name="Gráfico 1889938850">
              <a:extLst xmlns:a="http://schemas.openxmlformats.org/drawingml/2006/main">
                <a:ext uri="{FF2B5EF4-FFF2-40B4-BE49-F238E27FC236}">
                  <a16:creationId xmlns:a16="http://schemas.microsoft.com/office/drawing/2014/main" id="{F546ADEA-F510-4C38-9389-E307FB98D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FA8779D" w14:textId="77777777" w:rsidR="00B86D82" w:rsidRPr="00BC572D" w:rsidRDefault="00B86D82" w:rsidP="00B86D82">
      <w:pPr>
        <w:ind w:firstLine="708"/>
        <w:jc w:val="both"/>
      </w:pPr>
      <w:r w:rsidRPr="00E94376">
        <w:rPr>
          <w:sz w:val="16"/>
          <w:szCs w:val="18"/>
        </w:rPr>
        <w:t xml:space="preserve">Fuente: IGSS, valuación </w:t>
      </w:r>
      <w:r>
        <w:rPr>
          <w:sz w:val="16"/>
          <w:szCs w:val="18"/>
        </w:rPr>
        <w:t>actuarial de programa EMA 2022.</w:t>
      </w:r>
    </w:p>
    <w:p w14:paraId="7D01B9D8" w14:textId="77777777" w:rsidR="00B86D82" w:rsidRDefault="00B86D82" w:rsidP="00B86D82">
      <w:pPr>
        <w:jc w:val="both"/>
      </w:pPr>
    </w:p>
    <w:p w14:paraId="46437E64" w14:textId="77777777" w:rsidR="00B86D82" w:rsidRDefault="00B86D82" w:rsidP="00B86D82">
      <w:pPr>
        <w:jc w:val="both"/>
      </w:pPr>
      <w:r>
        <w:t xml:space="preserve">En el 2022, el IGSS brindó cobertura a 3,227,167 personas, es decir 5.6% más que el año anterior, integrados de la siguiente forma: </w:t>
      </w:r>
      <w:r w:rsidRPr="0091238A">
        <w:t>46% contribuyentes cotizantes (1,479,603), 44% esposas e hijos (1,410,484), quienes son asegurados por extensión del derecho (dependientes de un afiliado)</w:t>
      </w:r>
      <w:r>
        <w:t xml:space="preserve">.  </w:t>
      </w:r>
      <w:r w:rsidRPr="0091238A">
        <w:t xml:space="preserve"> </w:t>
      </w:r>
      <w:r>
        <w:t>A</w:t>
      </w:r>
      <w:r w:rsidRPr="0091238A">
        <w:t>simismo, un 9% constituido por pensionados del IGSS y jubilados del Estado (184,265 y 105,523 respectivamente), y un 1% de población no afiliada (46,716 personas atendidas únicamente por estricta emergencia)</w:t>
      </w:r>
    </w:p>
    <w:p w14:paraId="2654A3F6" w14:textId="77777777" w:rsidR="00B86D82" w:rsidRDefault="00B86D82" w:rsidP="00B86D82">
      <w:pPr>
        <w:jc w:val="both"/>
      </w:pPr>
    </w:p>
    <w:p w14:paraId="79F51F33" w14:textId="62C9EFDD" w:rsidR="00413AB4" w:rsidRDefault="00B86D82" w:rsidP="00D16711">
      <w:pPr>
        <w:jc w:val="both"/>
      </w:pPr>
      <w:r>
        <w:t>Dada la evolución de los ingresos y gasto de este Programan,</w:t>
      </w:r>
      <w:r w:rsidRPr="00BC572D">
        <w:t xml:space="preserve"> </w:t>
      </w:r>
      <w:r>
        <w:t>el</w:t>
      </w:r>
      <w:r w:rsidRPr="00BC572D">
        <w:t xml:space="preserve"> aporte </w:t>
      </w:r>
      <w:r>
        <w:t xml:space="preserve">de </w:t>
      </w:r>
      <w:r w:rsidRPr="00BC572D">
        <w:t>la prima de financiamiento t</w:t>
      </w:r>
      <w:r>
        <w:t>endría</w:t>
      </w:r>
      <w:r w:rsidRPr="00BC572D">
        <w:t xml:space="preserve"> vigencia hasta el año 2023 y considerando los rendimientos de las reservas de los diferentes programas de salud, la prima se extiende al año 2026.</w:t>
      </w:r>
      <w:r>
        <w:t xml:space="preserve">  Por lo que,</w:t>
      </w:r>
      <w:r w:rsidRPr="00BC572D">
        <w:t xml:space="preserve"> </w:t>
      </w:r>
      <w:r>
        <w:t>d</w:t>
      </w:r>
      <w:r w:rsidRPr="00BC572D">
        <w:t>e considerarse solo los aportes se espera que el gasto supere a los ingresos a partir del 2024.</w:t>
      </w:r>
      <w:bookmarkStart w:id="396" w:name="_Toc114493917"/>
    </w:p>
    <w:p w14:paraId="467466B3" w14:textId="3ABBE1DF" w:rsidR="00D16711" w:rsidRDefault="00D16711" w:rsidP="00D16711">
      <w:pPr>
        <w:jc w:val="both"/>
        <w:rPr>
          <w:sz w:val="22"/>
          <w:szCs w:val="22"/>
        </w:rPr>
      </w:pPr>
    </w:p>
    <w:p w14:paraId="427349AB" w14:textId="11294870" w:rsidR="00DC2F72" w:rsidRPr="00BB51FE" w:rsidRDefault="00BB51FE" w:rsidP="00BB51FE">
      <w:pPr>
        <w:pStyle w:val="Descripcin"/>
        <w:keepNext/>
        <w:rPr>
          <w:color w:val="auto"/>
        </w:rPr>
      </w:pPr>
      <w:bookmarkStart w:id="397" w:name="_Toc143593614"/>
      <w:bookmarkEnd w:id="396"/>
      <w:r w:rsidRPr="00E70BB3">
        <w:rPr>
          <w:noProof/>
        </w:rPr>
        <w:drawing>
          <wp:anchor distT="0" distB="0" distL="114300" distR="114300" simplePos="0" relativeHeight="251676672" behindDoc="1" locked="0" layoutInCell="1" allowOverlap="1" wp14:anchorId="7BA96BAA" wp14:editId="28C26728">
            <wp:simplePos x="0" y="0"/>
            <wp:positionH relativeFrom="margin">
              <wp:posOffset>334645</wp:posOffset>
            </wp:positionH>
            <wp:positionV relativeFrom="paragraph">
              <wp:posOffset>245745</wp:posOffset>
            </wp:positionV>
            <wp:extent cx="5160010" cy="2480310"/>
            <wp:effectExtent l="0" t="0" r="2540" b="0"/>
            <wp:wrapTight wrapText="bothSides">
              <wp:wrapPolygon edited="0">
                <wp:start x="0" y="0"/>
                <wp:lineTo x="0" y="21401"/>
                <wp:lineTo x="21531" y="21401"/>
                <wp:lineTo x="21531" y="0"/>
                <wp:lineTo x="0" y="0"/>
              </wp:wrapPolygon>
            </wp:wrapTight>
            <wp:docPr id="1441" name="Gráfico 14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r w:rsidR="00411D33" w:rsidRPr="00411D33">
        <w:rPr>
          <w:color w:val="auto"/>
        </w:rPr>
        <w:t xml:space="preserve">Gráfico </w:t>
      </w:r>
      <w:r w:rsidR="00411D33" w:rsidRPr="00411D33">
        <w:rPr>
          <w:color w:val="auto"/>
        </w:rPr>
        <w:fldChar w:fldCharType="begin"/>
      </w:r>
      <w:r w:rsidR="00411D33" w:rsidRPr="00411D33">
        <w:rPr>
          <w:color w:val="auto"/>
        </w:rPr>
        <w:instrText xml:space="preserve"> SEQ Gráfico \* ARABIC </w:instrText>
      </w:r>
      <w:r w:rsidR="00411D33" w:rsidRPr="00411D33">
        <w:rPr>
          <w:color w:val="auto"/>
        </w:rPr>
        <w:fldChar w:fldCharType="separate"/>
      </w:r>
      <w:r w:rsidR="00A62AFA">
        <w:rPr>
          <w:noProof/>
          <w:color w:val="auto"/>
        </w:rPr>
        <w:t>56</w:t>
      </w:r>
      <w:r w:rsidR="00411D33" w:rsidRPr="00411D33">
        <w:rPr>
          <w:color w:val="auto"/>
        </w:rPr>
        <w:fldChar w:fldCharType="end"/>
      </w:r>
      <w:r w:rsidR="00411D33" w:rsidRPr="00411D33">
        <w:rPr>
          <w:color w:val="auto"/>
        </w:rPr>
        <w:t xml:space="preserve">. </w:t>
      </w:r>
      <w:r w:rsidR="00411D33" w:rsidRPr="00411D33">
        <w:rPr>
          <w:color w:val="auto"/>
          <w:sz w:val="22"/>
          <w:szCs w:val="22"/>
          <w:lang w:val="es-MX"/>
        </w:rPr>
        <w:t>Sostenibilidad financiera de aportes de los Programas EMA Periodo 2021-2028</w:t>
      </w:r>
      <w:bookmarkEnd w:id="397"/>
    </w:p>
    <w:p w14:paraId="76254B15" w14:textId="13744E5A" w:rsidR="00B86D82" w:rsidRPr="001A37CA" w:rsidRDefault="00B86D82" w:rsidP="00B86D82">
      <w:pPr>
        <w:pStyle w:val="Sinespaciado"/>
        <w:ind w:left="567" w:right="49"/>
        <w:rPr>
          <w:sz w:val="16"/>
          <w:szCs w:val="18"/>
        </w:rPr>
      </w:pPr>
      <w:r w:rsidRPr="00E94376">
        <w:rPr>
          <w:sz w:val="16"/>
          <w:szCs w:val="18"/>
        </w:rPr>
        <w:t xml:space="preserve">            Fuente: IGSS, valuación </w:t>
      </w:r>
      <w:r>
        <w:rPr>
          <w:sz w:val="16"/>
          <w:szCs w:val="18"/>
        </w:rPr>
        <w:t>actuarial de programa EMA 2022.</w:t>
      </w:r>
    </w:p>
    <w:p w14:paraId="4D77EB49" w14:textId="77777777" w:rsidR="00BC7E77" w:rsidRDefault="00BC7E77" w:rsidP="00353AC4">
      <w:pPr>
        <w:jc w:val="both"/>
        <w:rPr>
          <w:b/>
          <w:bCs/>
          <w:color w:val="000000" w:themeColor="text1"/>
        </w:rPr>
      </w:pPr>
    </w:p>
    <w:p w14:paraId="202F689E" w14:textId="528DB9F0" w:rsidR="00353AC4" w:rsidRPr="008C0ACF" w:rsidRDefault="00353AC4" w:rsidP="007F19DF">
      <w:pPr>
        <w:pStyle w:val="Prrafodelista"/>
        <w:numPr>
          <w:ilvl w:val="0"/>
          <w:numId w:val="44"/>
        </w:numPr>
        <w:spacing w:line="259" w:lineRule="auto"/>
        <w:ind w:left="284" w:hanging="284"/>
        <w:jc w:val="both"/>
        <w:outlineLvl w:val="0"/>
        <w:rPr>
          <w:b/>
          <w:bCs/>
        </w:rPr>
      </w:pPr>
      <w:bookmarkStart w:id="398" w:name="_Toc144114399"/>
      <w:r w:rsidRPr="008C0ACF">
        <w:rPr>
          <w:b/>
          <w:bCs/>
        </w:rPr>
        <w:lastRenderedPageBreak/>
        <w:t>Introducción a la Sostenibilidad Fiscal</w:t>
      </w:r>
      <w:bookmarkEnd w:id="398"/>
    </w:p>
    <w:p w14:paraId="0617C10B" w14:textId="77777777" w:rsidR="00DC2F72" w:rsidRDefault="00DC2F72" w:rsidP="00353AC4">
      <w:pPr>
        <w:jc w:val="both"/>
      </w:pPr>
    </w:p>
    <w:p w14:paraId="4FC8B0B0" w14:textId="5186F62D" w:rsidR="00DC2F72" w:rsidRDefault="00353AC4" w:rsidP="00353AC4">
      <w:pPr>
        <w:jc w:val="both"/>
      </w:pPr>
      <w:r w:rsidRPr="00E91899">
        <w:t>Como se verific</w:t>
      </w:r>
      <w:r>
        <w:t>ó</w:t>
      </w:r>
      <w:r w:rsidRPr="00E91899">
        <w:t xml:space="preserve"> en el análisis de sostenibilidad de la deuda la trayectoria de la deuda es sostenible tanto en el mediano como en el largo plazo</w:t>
      </w:r>
      <w:r>
        <w:t>, esto incluso considerando un choque combinado de crecimiento, de tasas de interés y de resultado primario</w:t>
      </w:r>
      <w:r w:rsidRPr="00E91899">
        <w:t>.</w:t>
      </w:r>
      <w:r>
        <w:t xml:space="preserve"> Esto se debe, a la administración prudente de las finanzas pública que se ha tenido en más de 20 años. Asimismo, se espera que el estado estacionario de las principales variables macroeconómicas</w:t>
      </w:r>
      <w:r w:rsidR="003D384B">
        <w:t xml:space="preserve"> </w:t>
      </w:r>
      <w:r>
        <w:t xml:space="preserve">sirva para la estabilidad macroeconómica y fiscal. </w:t>
      </w:r>
    </w:p>
    <w:p w14:paraId="5BBE460B" w14:textId="77777777" w:rsidR="00831109" w:rsidRDefault="00831109" w:rsidP="00353AC4">
      <w:pPr>
        <w:jc w:val="both"/>
      </w:pPr>
    </w:p>
    <w:tbl>
      <w:tblPr>
        <w:tblStyle w:val="Tablaconcuadrcula"/>
        <w:tblpPr w:leftFromText="141" w:rightFromText="141" w:vertAnchor="page" w:horzAnchor="margin" w:tblpY="59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6"/>
        <w:gridCol w:w="4400"/>
      </w:tblGrid>
      <w:tr w:rsidR="00831109" w14:paraId="33A6E5AC" w14:textId="77777777" w:rsidTr="00BB51FE">
        <w:trPr>
          <w:trHeight w:val="487"/>
        </w:trPr>
        <w:tc>
          <w:tcPr>
            <w:tcW w:w="8566" w:type="dxa"/>
            <w:gridSpan w:val="2"/>
          </w:tcPr>
          <w:p w14:paraId="7A2030D7" w14:textId="4BD5A351" w:rsidR="00411D33" w:rsidRDefault="00411D33" w:rsidP="00BB51FE">
            <w:pPr>
              <w:keepNext/>
              <w:jc w:val="center"/>
            </w:pPr>
            <w:bookmarkStart w:id="399" w:name="_Toc143593615"/>
            <w:r w:rsidRPr="00411D33">
              <w:rPr>
                <w:b/>
                <w:bCs/>
              </w:rPr>
              <w:t xml:space="preserve">Gráfico </w:t>
            </w:r>
            <w:r w:rsidRPr="00411D33">
              <w:rPr>
                <w:b/>
                <w:bCs/>
              </w:rPr>
              <w:fldChar w:fldCharType="begin"/>
            </w:r>
            <w:r w:rsidRPr="00411D33">
              <w:rPr>
                <w:b/>
                <w:bCs/>
              </w:rPr>
              <w:instrText xml:space="preserve"> SEQ Gráfico \* ARABIC </w:instrText>
            </w:r>
            <w:r w:rsidRPr="00411D33">
              <w:rPr>
                <w:b/>
                <w:bCs/>
              </w:rPr>
              <w:fldChar w:fldCharType="separate"/>
            </w:r>
            <w:r w:rsidR="00A62AFA">
              <w:rPr>
                <w:b/>
                <w:bCs/>
                <w:noProof/>
              </w:rPr>
              <w:t>57</w:t>
            </w:r>
            <w:r w:rsidRPr="00411D33">
              <w:rPr>
                <w:b/>
                <w:bCs/>
              </w:rPr>
              <w:fldChar w:fldCharType="end"/>
            </w:r>
            <w:r w:rsidRPr="00411D33">
              <w:rPr>
                <w:b/>
                <w:bCs/>
              </w:rPr>
              <w:t>.   Tasa de Crecimie</w:t>
            </w:r>
            <w:r w:rsidRPr="00253D0C">
              <w:rPr>
                <w:b/>
                <w:bCs/>
              </w:rPr>
              <w:t>nto económico y Deuda/PIB de largo plazo</w:t>
            </w:r>
            <w:bookmarkEnd w:id="399"/>
          </w:p>
          <w:p w14:paraId="449F7060" w14:textId="77777777" w:rsidR="00831109" w:rsidRPr="00253D0C" w:rsidRDefault="00831109" w:rsidP="00BB51FE">
            <w:pPr>
              <w:jc w:val="center"/>
            </w:pPr>
            <w:r w:rsidRPr="009F11EF">
              <w:rPr>
                <w:sz w:val="20"/>
                <w:szCs w:val="20"/>
              </w:rPr>
              <w:t>(En porcentaje)</w:t>
            </w:r>
          </w:p>
        </w:tc>
      </w:tr>
      <w:tr w:rsidR="00831109" w14:paraId="3A2E601D" w14:textId="77777777" w:rsidTr="00BB51FE">
        <w:trPr>
          <w:trHeight w:val="248"/>
        </w:trPr>
        <w:tc>
          <w:tcPr>
            <w:tcW w:w="4166" w:type="dxa"/>
          </w:tcPr>
          <w:p w14:paraId="24C5C650" w14:textId="77777777" w:rsidR="00831109" w:rsidRPr="00253D0C" w:rsidRDefault="00831109" w:rsidP="00BB51FE">
            <w:pPr>
              <w:jc w:val="center"/>
              <w:rPr>
                <w:b/>
                <w:bCs/>
              </w:rPr>
            </w:pPr>
            <w:r w:rsidRPr="00253D0C">
              <w:rPr>
                <w:b/>
                <w:bCs/>
              </w:rPr>
              <w:t>Crecimiento económico</w:t>
            </w:r>
          </w:p>
        </w:tc>
        <w:tc>
          <w:tcPr>
            <w:tcW w:w="4400" w:type="dxa"/>
          </w:tcPr>
          <w:p w14:paraId="5255A1D6" w14:textId="77777777" w:rsidR="00831109" w:rsidRPr="00253D0C" w:rsidRDefault="00831109" w:rsidP="00BB51FE">
            <w:pPr>
              <w:jc w:val="center"/>
              <w:rPr>
                <w:b/>
                <w:bCs/>
              </w:rPr>
            </w:pPr>
            <w:r w:rsidRPr="00253D0C">
              <w:rPr>
                <w:b/>
                <w:bCs/>
              </w:rPr>
              <w:t>Deuda/PIB</w:t>
            </w:r>
          </w:p>
        </w:tc>
      </w:tr>
      <w:tr w:rsidR="00831109" w14:paraId="74E94798" w14:textId="77777777" w:rsidTr="00BB51FE">
        <w:tblPrEx>
          <w:tblCellMar>
            <w:left w:w="70" w:type="dxa"/>
            <w:right w:w="70" w:type="dxa"/>
          </w:tblCellMar>
        </w:tblPrEx>
        <w:trPr>
          <w:trHeight w:val="2296"/>
        </w:trPr>
        <w:tc>
          <w:tcPr>
            <w:tcW w:w="4166" w:type="dxa"/>
          </w:tcPr>
          <w:p w14:paraId="202A1C6B" w14:textId="77777777" w:rsidR="00831109" w:rsidRDefault="00831109" w:rsidP="00BB51FE">
            <w:r>
              <w:rPr>
                <w:noProof/>
              </w:rPr>
              <w:drawing>
                <wp:inline distT="0" distB="0" distL="0" distR="0" wp14:anchorId="54263C19" wp14:editId="1AF6B91A">
                  <wp:extent cx="2520000" cy="1440000"/>
                  <wp:effectExtent l="0" t="0" r="0" b="8255"/>
                  <wp:docPr id="238" name="Gráfico 238">
                    <a:extLst xmlns:a="http://schemas.openxmlformats.org/drawingml/2006/main">
                      <a:ext uri="{FF2B5EF4-FFF2-40B4-BE49-F238E27FC236}">
                        <a16:creationId xmlns:a16="http://schemas.microsoft.com/office/drawing/2014/main" id="{C0A5AEA7-A0E3-456F-9A0E-9A7785369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4400" w:type="dxa"/>
          </w:tcPr>
          <w:p w14:paraId="0A90ED39" w14:textId="77777777" w:rsidR="00831109" w:rsidRDefault="00831109" w:rsidP="00BB51FE">
            <w:r>
              <w:rPr>
                <w:noProof/>
              </w:rPr>
              <w:drawing>
                <wp:inline distT="0" distB="0" distL="0" distR="0" wp14:anchorId="79434A71" wp14:editId="4A6526E7">
                  <wp:extent cx="2689914" cy="1440000"/>
                  <wp:effectExtent l="0" t="0" r="0" b="8255"/>
                  <wp:docPr id="239" name="Gráfico 239">
                    <a:extLst xmlns:a="http://schemas.openxmlformats.org/drawingml/2006/main">
                      <a:ext uri="{FF2B5EF4-FFF2-40B4-BE49-F238E27FC236}">
                        <a16:creationId xmlns:a16="http://schemas.microsoft.com/office/drawing/2014/main" id="{00000000-0008-0000-1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831109" w14:paraId="4C9A3D15" w14:textId="77777777" w:rsidTr="00BB51FE">
        <w:trPr>
          <w:trHeight w:val="216"/>
        </w:trPr>
        <w:tc>
          <w:tcPr>
            <w:tcW w:w="8566" w:type="dxa"/>
            <w:gridSpan w:val="2"/>
          </w:tcPr>
          <w:p w14:paraId="346C92A6" w14:textId="77777777" w:rsidR="00831109" w:rsidRPr="00411D33" w:rsidRDefault="00831109" w:rsidP="00BB51FE">
            <w:pPr>
              <w:rPr>
                <w:sz w:val="16"/>
                <w:szCs w:val="16"/>
              </w:rPr>
            </w:pPr>
            <w:r w:rsidRPr="00411D33">
              <w:rPr>
                <w:sz w:val="16"/>
                <w:szCs w:val="16"/>
              </w:rPr>
              <w:t>Fuente: Ministerio de Finanzas y Banco de Guatemala</w:t>
            </w:r>
          </w:p>
          <w:p w14:paraId="4442AAAB" w14:textId="77777777" w:rsidR="00831109" w:rsidRPr="00D27A7E" w:rsidRDefault="00831109" w:rsidP="00BB51FE">
            <w:pPr>
              <w:rPr>
                <w:sz w:val="18"/>
                <w:szCs w:val="18"/>
              </w:rPr>
            </w:pPr>
          </w:p>
        </w:tc>
      </w:tr>
    </w:tbl>
    <w:p w14:paraId="7735290B" w14:textId="00410927" w:rsidR="00353AC4" w:rsidRDefault="00353AC4" w:rsidP="00353AC4">
      <w:pPr>
        <w:jc w:val="both"/>
      </w:pPr>
      <w:r>
        <w:t>No obstante, la futura evolución demográfica de la población puede traer desafíos para la sostenibilidad fiscal. Esto debido a que uno de los factores determinantes para la capacidad productiva es la mano de obra, por lo que el crecimiento en el largo plazo estará sujeto a las condiciones laborales y su productividad. Asimismo, los cambios demográficos ejercerán</w:t>
      </w:r>
      <w:r w:rsidR="00411D33">
        <w:t xml:space="preserve"> presiones sobre los sistemas de pensiones, la salud, y en el caso de una mayor población joven la educación.  </w:t>
      </w:r>
      <w:r>
        <w:t xml:space="preserve"> </w:t>
      </w:r>
    </w:p>
    <w:p w14:paraId="6C0BCA50" w14:textId="77777777" w:rsidR="00DC2F72" w:rsidRDefault="00DC2F72" w:rsidP="00353AC4">
      <w:pPr>
        <w:jc w:val="both"/>
        <w:rPr>
          <w:color w:val="C00000"/>
        </w:rPr>
      </w:pPr>
    </w:p>
    <w:p w14:paraId="1DD1CBC8" w14:textId="77777777" w:rsidR="00411D33" w:rsidRDefault="00411D33" w:rsidP="00353AC4">
      <w:pPr>
        <w:jc w:val="center"/>
        <w:rPr>
          <w:b/>
          <w:bCs/>
        </w:rPr>
      </w:pPr>
    </w:p>
    <w:p w14:paraId="4D747ACA" w14:textId="595530CC" w:rsidR="00353AC4" w:rsidRPr="00411D33" w:rsidRDefault="00411D33" w:rsidP="00411D33">
      <w:pPr>
        <w:keepNext/>
        <w:jc w:val="center"/>
        <w:rPr>
          <w:b/>
          <w:bCs/>
        </w:rPr>
      </w:pPr>
      <w:bookmarkStart w:id="400" w:name="_Toc143593616"/>
      <w:r w:rsidRPr="00411D33">
        <w:rPr>
          <w:b/>
          <w:bCs/>
        </w:rPr>
        <w:t xml:space="preserve">Gráfico </w:t>
      </w:r>
      <w:r w:rsidRPr="00411D33">
        <w:rPr>
          <w:b/>
          <w:bCs/>
        </w:rPr>
        <w:fldChar w:fldCharType="begin"/>
      </w:r>
      <w:r w:rsidRPr="00411D33">
        <w:rPr>
          <w:b/>
          <w:bCs/>
        </w:rPr>
        <w:instrText xml:space="preserve"> SEQ Gráfico \* ARABIC </w:instrText>
      </w:r>
      <w:r w:rsidRPr="00411D33">
        <w:rPr>
          <w:b/>
          <w:bCs/>
        </w:rPr>
        <w:fldChar w:fldCharType="separate"/>
      </w:r>
      <w:r w:rsidR="00A62AFA">
        <w:rPr>
          <w:b/>
          <w:bCs/>
          <w:noProof/>
        </w:rPr>
        <w:t>58</w:t>
      </w:r>
      <w:r w:rsidRPr="00411D33">
        <w:rPr>
          <w:b/>
          <w:bCs/>
        </w:rPr>
        <w:fldChar w:fldCharType="end"/>
      </w:r>
      <w:r w:rsidRPr="00411D33">
        <w:rPr>
          <w:b/>
          <w:bCs/>
        </w:rPr>
        <w:t>. Relación de las proyecciones demográficas, macroeconómicas y fiscales</w:t>
      </w:r>
      <w:bookmarkEnd w:id="400"/>
    </w:p>
    <w:p w14:paraId="08977186" w14:textId="343DF99F" w:rsidR="00353AC4" w:rsidRPr="00411D33" w:rsidRDefault="00BB51FE" w:rsidP="00353AC4">
      <w:pPr>
        <w:jc w:val="center"/>
        <w:rPr>
          <w:b/>
          <w:bCs/>
        </w:rPr>
      </w:pPr>
      <w:r w:rsidRPr="00411D33">
        <w:rPr>
          <w:b/>
          <w:bCs/>
          <w:noProof/>
        </w:rPr>
        <mc:AlternateContent>
          <mc:Choice Requires="wpg">
            <w:drawing>
              <wp:anchor distT="0" distB="0" distL="114300" distR="114300" simplePos="0" relativeHeight="251675648" behindDoc="0" locked="0" layoutInCell="1" allowOverlap="1" wp14:anchorId="29400000" wp14:editId="7E111421">
                <wp:simplePos x="0" y="0"/>
                <wp:positionH relativeFrom="column">
                  <wp:posOffset>382905</wp:posOffset>
                </wp:positionH>
                <wp:positionV relativeFrom="paragraph">
                  <wp:posOffset>23136</wp:posOffset>
                </wp:positionV>
                <wp:extent cx="4995738" cy="2289976"/>
                <wp:effectExtent l="0" t="0" r="0" b="0"/>
                <wp:wrapNone/>
                <wp:docPr id="202" name="Grupo 72"/>
                <wp:cNvGraphicFramePr/>
                <a:graphic xmlns:a="http://schemas.openxmlformats.org/drawingml/2006/main">
                  <a:graphicData uri="http://schemas.microsoft.com/office/word/2010/wordprocessingGroup">
                    <wpg:wgp>
                      <wpg:cNvGrpSpPr/>
                      <wpg:grpSpPr>
                        <a:xfrm>
                          <a:off x="0" y="0"/>
                          <a:ext cx="4995738" cy="2289976"/>
                          <a:chOff x="0" y="-150229"/>
                          <a:chExt cx="8209565" cy="5163550"/>
                        </a:xfrm>
                      </wpg:grpSpPr>
                      <wps:wsp>
                        <wps:cNvPr id="203" name="Rectángulo 203"/>
                        <wps:cNvSpPr/>
                        <wps:spPr>
                          <a:xfrm>
                            <a:off x="4805745" y="41046"/>
                            <a:ext cx="3403820" cy="497227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Rectángulo 204"/>
                        <wps:cNvSpPr/>
                        <wps:spPr>
                          <a:xfrm>
                            <a:off x="1673519" y="2683848"/>
                            <a:ext cx="1300293" cy="9731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F62A6"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 xml:space="preserve">Tasa de Desempleo </w:t>
                              </w:r>
                              <w:r w:rsidRPr="009C084E">
                                <w:rPr>
                                  <w:color w:val="000000" w:themeColor="text1"/>
                                  <w:kern w:val="24"/>
                                  <w:sz w:val="12"/>
                                  <w:szCs w:val="12"/>
                                </w:rPr>
                                <w:t>(</w:t>
                              </w:r>
                              <w:proofErr w:type="spellStart"/>
                              <w:r w:rsidRPr="009C084E">
                                <w:rPr>
                                  <w:color w:val="000000" w:themeColor="text1"/>
                                  <w:kern w:val="24"/>
                                  <w:sz w:val="12"/>
                                  <w:szCs w:val="12"/>
                                </w:rPr>
                                <w:t>Nairu</w:t>
                              </w:r>
                              <w:proofErr w:type="spellEnd"/>
                              <w:r w:rsidRPr="009C084E">
                                <w:rPr>
                                  <w:color w:val="000000" w:themeColor="text1"/>
                                  <w:kern w:val="24"/>
                                  <w:sz w:val="12"/>
                                  <w:szCs w:val="12"/>
                                </w:rPr>
                                <w:t>)</w:t>
                              </w:r>
                            </w:p>
                          </w:txbxContent>
                        </wps:txbx>
                        <wps:bodyPr rtlCol="0" anchor="ctr"/>
                      </wps:wsp>
                      <wps:wsp>
                        <wps:cNvPr id="205" name="Rectángulo 205"/>
                        <wps:cNvSpPr/>
                        <wps:spPr>
                          <a:xfrm>
                            <a:off x="1670267" y="588794"/>
                            <a:ext cx="1300293" cy="9731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87B67"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Productividad laboral</w:t>
                              </w:r>
                            </w:p>
                          </w:txbxContent>
                        </wps:txbx>
                        <wps:bodyPr rtlCol="0" anchor="ctr"/>
                      </wps:wsp>
                      <wps:wsp>
                        <wps:cNvPr id="206" name="Rectángulo 206"/>
                        <wps:cNvSpPr/>
                        <wps:spPr>
                          <a:xfrm>
                            <a:off x="1670267" y="1636321"/>
                            <a:ext cx="1300293" cy="9731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31D6D"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Mano de obra</w:t>
                              </w:r>
                            </w:p>
                          </w:txbxContent>
                        </wps:txbx>
                        <wps:bodyPr rtlCol="0" anchor="ctr"/>
                      </wps:wsp>
                      <wps:wsp>
                        <wps:cNvPr id="207" name="Rectángulo 207"/>
                        <wps:cNvSpPr/>
                        <wps:spPr>
                          <a:xfrm>
                            <a:off x="2108806" y="3931653"/>
                            <a:ext cx="1300293" cy="5970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C8D81"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Tasa de interés</w:t>
                              </w:r>
                            </w:p>
                          </w:txbxContent>
                        </wps:txbx>
                        <wps:bodyPr rtlCol="0" anchor="ctr"/>
                      </wps:wsp>
                      <wps:wsp>
                        <wps:cNvPr id="208" name="Rectángulo 208"/>
                        <wps:cNvSpPr/>
                        <wps:spPr>
                          <a:xfrm>
                            <a:off x="5020035" y="384362"/>
                            <a:ext cx="1300293" cy="9731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D5C77"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Cuidado de la salud</w:t>
                              </w:r>
                            </w:p>
                          </w:txbxContent>
                        </wps:txbx>
                        <wps:bodyPr rtlCol="0" anchor="ctr"/>
                      </wps:wsp>
                      <wps:wsp>
                        <wps:cNvPr id="209" name="Rectángulo 209"/>
                        <wps:cNvSpPr/>
                        <wps:spPr>
                          <a:xfrm>
                            <a:off x="3340534" y="588793"/>
                            <a:ext cx="1359245" cy="30681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10977"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 xml:space="preserve">PIB </w:t>
                              </w:r>
                            </w:p>
                            <w:p w14:paraId="67C4D19A"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Función de Producción</w:t>
                              </w:r>
                            </w:p>
                          </w:txbxContent>
                        </wps:txbx>
                        <wps:bodyPr rtlCol="0" anchor="ctr"/>
                      </wps:wsp>
                      <wps:wsp>
                        <wps:cNvPr id="210" name="Rectángulo 210"/>
                        <wps:cNvSpPr/>
                        <wps:spPr>
                          <a:xfrm>
                            <a:off x="0" y="1619826"/>
                            <a:ext cx="1300293" cy="9731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9E3B4"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Población</w:t>
                              </w:r>
                            </w:p>
                          </w:txbxContent>
                        </wps:txbx>
                        <wps:bodyPr rtlCol="0" anchor="ctr"/>
                      </wps:wsp>
                      <wps:wsp>
                        <wps:cNvPr id="211" name="Rectángulo 211"/>
                        <wps:cNvSpPr/>
                        <wps:spPr>
                          <a:xfrm>
                            <a:off x="5020035" y="1488536"/>
                            <a:ext cx="1300293" cy="9731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1334E"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Cuidado de largo plazo</w:t>
                              </w:r>
                            </w:p>
                          </w:txbxContent>
                        </wps:txbx>
                        <wps:bodyPr rtlCol="0" anchor="ctr"/>
                      </wps:wsp>
                      <wps:wsp>
                        <wps:cNvPr id="212" name="Rectángulo 212"/>
                        <wps:cNvSpPr/>
                        <wps:spPr>
                          <a:xfrm>
                            <a:off x="4999864" y="2592710"/>
                            <a:ext cx="1300293" cy="9731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9F2AE"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Educación</w:t>
                              </w:r>
                            </w:p>
                          </w:txbxContent>
                        </wps:txbx>
                        <wps:bodyPr rtlCol="0" anchor="ctr"/>
                      </wps:wsp>
                      <wps:wsp>
                        <wps:cNvPr id="213" name="Rectángulo 213"/>
                        <wps:cNvSpPr/>
                        <wps:spPr>
                          <a:xfrm>
                            <a:off x="5016956" y="3696884"/>
                            <a:ext cx="1300293" cy="9731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FD1A7"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Pensiones</w:t>
                              </w:r>
                            </w:p>
                          </w:txbxContent>
                        </wps:txbx>
                        <wps:bodyPr rtlCol="0" anchor="ctr"/>
                      </wps:wsp>
                      <wps:wsp>
                        <wps:cNvPr id="214" name="Rectángulo 214"/>
                        <wps:cNvSpPr/>
                        <wps:spPr>
                          <a:xfrm>
                            <a:off x="6637505" y="384362"/>
                            <a:ext cx="1359245" cy="42856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AE8B4"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Gasto público relacionado al envejecimiento poblacional</w:t>
                              </w:r>
                            </w:p>
                          </w:txbxContent>
                        </wps:txbx>
                        <wps:bodyPr rtlCol="0" anchor="ctr"/>
                      </wps:wsp>
                      <wps:wsp>
                        <wps:cNvPr id="215" name="Conector recto de flecha 215"/>
                        <wps:cNvCnPr>
                          <a:cxnSpLocks/>
                        </wps:cNvCnPr>
                        <wps:spPr>
                          <a:xfrm>
                            <a:off x="1367124" y="2089894"/>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Conector recto de flecha 216"/>
                        <wps:cNvCnPr>
                          <a:cxnSpLocks/>
                        </wps:cNvCnPr>
                        <wps:spPr>
                          <a:xfrm>
                            <a:off x="3046639" y="1187935"/>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Conector recto de flecha 218"/>
                        <wps:cNvCnPr>
                          <a:cxnSpLocks/>
                        </wps:cNvCnPr>
                        <wps:spPr>
                          <a:xfrm>
                            <a:off x="3046639" y="2089894"/>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Conector recto de flecha 219"/>
                        <wps:cNvCnPr>
                          <a:cxnSpLocks/>
                        </wps:cNvCnPr>
                        <wps:spPr>
                          <a:xfrm>
                            <a:off x="3046639" y="3225305"/>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Conector recto de flecha 220"/>
                        <wps:cNvCnPr>
                          <a:cxnSpLocks/>
                        </wps:cNvCnPr>
                        <wps:spPr>
                          <a:xfrm>
                            <a:off x="4737103" y="1217577"/>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Conector recto de flecha 221"/>
                        <wps:cNvCnPr>
                          <a:cxnSpLocks/>
                        </wps:cNvCnPr>
                        <wps:spPr>
                          <a:xfrm>
                            <a:off x="4737103" y="2914098"/>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Conector: angular 222"/>
                        <wps:cNvCnPr>
                          <a:cxnSpLocks/>
                        </wps:cNvCnPr>
                        <wps:spPr>
                          <a:xfrm flipV="1">
                            <a:off x="701568" y="439984"/>
                            <a:ext cx="4298296" cy="1121934"/>
                          </a:xfrm>
                          <a:prstGeom prst="bentConnector3">
                            <a:avLst>
                              <a:gd name="adj1" fmla="val 7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Conector recto de flecha 223"/>
                        <wps:cNvCnPr>
                          <a:cxnSpLocks/>
                        </wps:cNvCnPr>
                        <wps:spPr>
                          <a:xfrm>
                            <a:off x="6357656" y="1014873"/>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Conector recto de flecha 224"/>
                        <wps:cNvCnPr>
                          <a:cxnSpLocks/>
                        </wps:cNvCnPr>
                        <wps:spPr>
                          <a:xfrm>
                            <a:off x="6396497" y="2181738"/>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Conector recto de flecha 225"/>
                        <wps:cNvCnPr>
                          <a:cxnSpLocks/>
                        </wps:cNvCnPr>
                        <wps:spPr>
                          <a:xfrm>
                            <a:off x="6396497" y="3139497"/>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Conector recto de flecha 227"/>
                        <wps:cNvCnPr>
                          <a:cxnSpLocks/>
                        </wps:cNvCnPr>
                        <wps:spPr>
                          <a:xfrm>
                            <a:off x="6396497" y="4113177"/>
                            <a:ext cx="2285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Conector: angular 228"/>
                        <wps:cNvCnPr>
                          <a:cxnSpLocks/>
                        </wps:cNvCnPr>
                        <wps:spPr>
                          <a:xfrm>
                            <a:off x="701568" y="2698043"/>
                            <a:ext cx="4264113" cy="1107736"/>
                          </a:xfrm>
                          <a:prstGeom prst="bentConnector3">
                            <a:avLst>
                              <a:gd name="adj1" fmla="val -10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 name="Conector recto de flecha 229"/>
                        <wps:cNvCnPr>
                          <a:cxnSpLocks/>
                        </wps:cNvCnPr>
                        <wps:spPr>
                          <a:xfrm>
                            <a:off x="3539772" y="4273445"/>
                            <a:ext cx="13982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Conector recto 230"/>
                        <wps:cNvCnPr>
                          <a:cxnSpLocks/>
                        </wps:cNvCnPr>
                        <wps:spPr>
                          <a:xfrm>
                            <a:off x="4788486" y="439277"/>
                            <a:ext cx="0" cy="15451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Conector recto de flecha 233"/>
                        <wps:cNvCnPr>
                          <a:cxnSpLocks/>
                        </wps:cNvCnPr>
                        <wps:spPr>
                          <a:xfrm>
                            <a:off x="4797817" y="1975097"/>
                            <a:ext cx="1221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Conector recto 234"/>
                        <wps:cNvCnPr>
                          <a:cxnSpLocks/>
                        </wps:cNvCnPr>
                        <wps:spPr>
                          <a:xfrm>
                            <a:off x="4796414" y="3225305"/>
                            <a:ext cx="0" cy="5804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Conector recto de flecha 235"/>
                        <wps:cNvCnPr>
                          <a:cxnSpLocks/>
                        </wps:cNvCnPr>
                        <wps:spPr>
                          <a:xfrm>
                            <a:off x="4800922" y="3196602"/>
                            <a:ext cx="1221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CuadroTexto 69"/>
                        <wps:cNvSpPr txBox="1"/>
                        <wps:spPr>
                          <a:xfrm>
                            <a:off x="701544" y="-150229"/>
                            <a:ext cx="3674746" cy="588515"/>
                          </a:xfrm>
                          <a:prstGeom prst="rect">
                            <a:avLst/>
                          </a:prstGeom>
                          <a:noFill/>
                        </wps:spPr>
                        <wps:txbx>
                          <w:txbxContent>
                            <w:p w14:paraId="506E36F4" w14:textId="77777777" w:rsidR="00353AC4" w:rsidRPr="009C084E" w:rsidRDefault="00353AC4" w:rsidP="00353AC4">
                              <w:pPr>
                                <w:rPr>
                                  <w:b/>
                                  <w:bCs/>
                                  <w:color w:val="000000" w:themeColor="text1"/>
                                  <w:kern w:val="24"/>
                                  <w:sz w:val="14"/>
                                  <w:szCs w:val="14"/>
                                </w:rPr>
                              </w:pPr>
                              <w:r w:rsidRPr="009C084E">
                                <w:rPr>
                                  <w:b/>
                                  <w:bCs/>
                                  <w:color w:val="000000" w:themeColor="text1"/>
                                  <w:kern w:val="24"/>
                                  <w:sz w:val="14"/>
                                  <w:szCs w:val="14"/>
                                </w:rPr>
                                <w:t>Proyecciones demográficas y macroeconómicas</w:t>
                              </w:r>
                            </w:p>
                          </w:txbxContent>
                        </wps:txbx>
                        <wps:bodyPr wrap="square" rtlCol="0">
                          <a:noAutofit/>
                        </wps:bodyPr>
                      </wps:wsp>
                      <wps:wsp>
                        <wps:cNvPr id="237" name="CuadroTexto 70"/>
                        <wps:cNvSpPr txBox="1"/>
                        <wps:spPr>
                          <a:xfrm>
                            <a:off x="5216856" y="-120389"/>
                            <a:ext cx="2516471" cy="672943"/>
                          </a:xfrm>
                          <a:prstGeom prst="rect">
                            <a:avLst/>
                          </a:prstGeom>
                          <a:noFill/>
                        </wps:spPr>
                        <wps:txbx>
                          <w:txbxContent>
                            <w:p w14:paraId="2F3F0855" w14:textId="77777777" w:rsidR="00353AC4" w:rsidRPr="009C084E" w:rsidRDefault="00353AC4" w:rsidP="00353AC4">
                              <w:pPr>
                                <w:rPr>
                                  <w:b/>
                                  <w:bCs/>
                                  <w:color w:val="000000" w:themeColor="text1"/>
                                  <w:kern w:val="24"/>
                                  <w:sz w:val="14"/>
                                  <w:szCs w:val="14"/>
                                </w:rPr>
                              </w:pPr>
                              <w:r w:rsidRPr="009C084E">
                                <w:rPr>
                                  <w:b/>
                                  <w:bCs/>
                                  <w:color w:val="000000" w:themeColor="text1"/>
                                  <w:kern w:val="24"/>
                                  <w:sz w:val="14"/>
                                  <w:szCs w:val="14"/>
                                </w:rPr>
                                <w:t>Proyecciones de gasto público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9400000" id="Grupo 72" o:spid="_x0000_s1030" style="position:absolute;left:0;text-align:left;margin-left:30.15pt;margin-top:1.8pt;width:393.35pt;height:180.3pt;z-index:251675648;mso-width-relative:margin;mso-height-relative:margin" coordorigin=",-1502" coordsize="82095,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">
                <v:rect id="Rectángulo 203" o:spid="_x0000_s1031" style="position:absolute;left:48057;top:410;width:34038;height:49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" fillcolor="#ededed [662]" stroked="f" strokeweight="1pt"/>
                <v:rect id="Rectángulo 204" o:spid="_x0000_s1032" style="position:absolute;left:16735;top:26838;width:13003;height:9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wXxgAAANwAAAAPAAAAZHJzL2Rvd25yZXYueG1sRI9Ba8JA&#10;FITvQv/D8gq9iG6UIi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YdccF8YAAADcAAAA&#10;DwAAAAAAAAAAAAAAAAAHAgAAZHJzL2Rvd25yZXYueG1sUEsFBgAAAAADAAMAtwAAAPoCAAAAAA==&#10;" filled="f" strokecolor="black [3213]" strokeweight="1pt">
                  <v:textbox>
                    <w:txbxContent>
                      <w:p w14:paraId="6D1F62A6"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 xml:space="preserve">Tasa de Desempleo </w:t>
                        </w:r>
                        <w:r w:rsidRPr="009C084E">
                          <w:rPr>
                            <w:color w:val="000000" w:themeColor="text1"/>
                            <w:kern w:val="24"/>
                            <w:sz w:val="12"/>
                            <w:szCs w:val="12"/>
                          </w:rPr>
                          <w:t>(</w:t>
                        </w:r>
                        <w:proofErr w:type="spellStart"/>
                        <w:r w:rsidRPr="009C084E">
                          <w:rPr>
                            <w:color w:val="000000" w:themeColor="text1"/>
                            <w:kern w:val="24"/>
                            <w:sz w:val="12"/>
                            <w:szCs w:val="12"/>
                          </w:rPr>
                          <w:t>Nairu</w:t>
                        </w:r>
                        <w:proofErr w:type="spellEnd"/>
                        <w:r w:rsidRPr="009C084E">
                          <w:rPr>
                            <w:color w:val="000000" w:themeColor="text1"/>
                            <w:kern w:val="24"/>
                            <w:sz w:val="12"/>
                            <w:szCs w:val="12"/>
                          </w:rPr>
                          <w:t>)</w:t>
                        </w:r>
                      </w:p>
                    </w:txbxContent>
                  </v:textbox>
                </v:rect>
                <v:rect id="Rectángulo 205" o:spid="_x0000_s1033" style="position:absolute;left:16702;top:5887;width:13003;height:9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mMxgAAANwAAAAPAAAAZHJzL2Rvd25yZXYueG1sRI9Ba8JA&#10;FITvQv/D8gq9iG4UKi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Dpu5jMYAAADcAAAA&#10;DwAAAAAAAAAAAAAAAAAHAgAAZHJzL2Rvd25yZXYueG1sUEsFBgAAAAADAAMAtwAAAPoCAAAAAA==&#10;" filled="f" strokecolor="black [3213]" strokeweight="1pt">
                  <v:textbox>
                    <w:txbxContent>
                      <w:p w14:paraId="68187B67"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Productividad laboral</w:t>
                        </w:r>
                      </w:p>
                    </w:txbxContent>
                  </v:textbox>
                </v:rect>
                <v:rect id="Rectángulo 206" o:spid="_x0000_s1034" style="position:absolute;left:16702;top:16363;width:13003;height:9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" filled="f" strokecolor="black [3213]" strokeweight="1pt">
                  <v:textbox>
                    <w:txbxContent>
                      <w:p w14:paraId="0E431D6D"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Mano de obra</w:t>
                        </w:r>
                      </w:p>
                    </w:txbxContent>
                  </v:textbox>
                </v:rect>
                <v:rect id="Rectángulo 207" o:spid="_x0000_s1035" style="position:absolute;left:21088;top:39316;width:13002;height: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" filled="f" strokecolor="black [3213]" strokeweight="1pt">
                  <v:textbox>
                    <w:txbxContent>
                      <w:p w14:paraId="3FCC8D81"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Tasa de interés</w:t>
                        </w:r>
                      </w:p>
                    </w:txbxContent>
                  </v:textbox>
                </v:rect>
                <v:rect id="Rectángulo 208" o:spid="_x0000_s1036" style="position:absolute;left:50200;top:3843;width:13003;height:9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" filled="f" strokecolor="black [3213]" strokeweight="1pt">
                  <v:textbox>
                    <w:txbxContent>
                      <w:p w14:paraId="255D5C77"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Cuidado de la salud</w:t>
                        </w:r>
                      </w:p>
                    </w:txbxContent>
                  </v:textbox>
                </v:rect>
                <v:rect id="Rectángulo 209" o:spid="_x0000_s1037" style="position:absolute;left:33405;top:5887;width:13592;height:30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" filled="f" strokecolor="black [3213]" strokeweight="1pt">
                  <v:textbox>
                    <w:txbxContent>
                      <w:p w14:paraId="09B10977"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 xml:space="preserve">PIB </w:t>
                        </w:r>
                      </w:p>
                      <w:p w14:paraId="67C4D19A"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Función de Producción</w:t>
                        </w:r>
                      </w:p>
                    </w:txbxContent>
                  </v:textbox>
                </v:rect>
                <v:rect id="Rectángulo 210" o:spid="_x0000_s1038" style="position:absolute;top:16198;width:13002;height:9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" filled="f" strokecolor="black [3213]" strokeweight="1pt">
                  <v:textbox>
                    <w:txbxContent>
                      <w:p w14:paraId="04A9E3B4"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Población</w:t>
                        </w:r>
                      </w:p>
                    </w:txbxContent>
                  </v:textbox>
                </v:rect>
                <v:rect id="Rectángulo 211" o:spid="_x0000_s1039" style="position:absolute;left:50200;top:14885;width:13003;height:9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" filled="f" strokecolor="black [3213]" strokeweight="1pt">
                  <v:textbox>
                    <w:txbxContent>
                      <w:p w14:paraId="0491334E"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Cuidado de largo plazo</w:t>
                        </w:r>
                      </w:p>
                    </w:txbxContent>
                  </v:textbox>
                </v:rect>
                <v:rect id="Rectángulo 212" o:spid="_x0000_s1040" style="position:absolute;left:49998;top:25927;width:13003;height:9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" filled="f" strokecolor="black [3213]" strokeweight="1pt">
                  <v:textbox>
                    <w:txbxContent>
                      <w:p w14:paraId="5169F2AE"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Educación</w:t>
                        </w:r>
                      </w:p>
                    </w:txbxContent>
                  </v:textbox>
                </v:rect>
                <v:rect id="Rectángulo 213" o:spid="_x0000_s1041" style="position:absolute;left:50169;top:36968;width:13003;height:9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" filled="f" strokecolor="black [3213]" strokeweight="1pt">
                  <v:textbox>
                    <w:txbxContent>
                      <w:p w14:paraId="688FD1A7"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Pensiones</w:t>
                        </w:r>
                      </w:p>
                    </w:txbxContent>
                  </v:textbox>
                </v:rect>
                <v:rect id="Rectángulo 214" o:spid="_x0000_s1042" style="position:absolute;left:66375;top:3843;width:13592;height:4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" filled="f" strokecolor="black [3213]" strokeweight="1pt">
                  <v:textbox>
                    <w:txbxContent>
                      <w:p w14:paraId="706AE8B4" w14:textId="77777777" w:rsidR="00353AC4" w:rsidRPr="009C084E" w:rsidRDefault="00353AC4" w:rsidP="00353AC4">
                        <w:pPr>
                          <w:jc w:val="center"/>
                          <w:rPr>
                            <w:color w:val="000000" w:themeColor="text1"/>
                            <w:kern w:val="24"/>
                            <w:sz w:val="14"/>
                            <w:szCs w:val="14"/>
                          </w:rPr>
                        </w:pPr>
                        <w:r w:rsidRPr="009C084E">
                          <w:rPr>
                            <w:color w:val="000000" w:themeColor="text1"/>
                            <w:kern w:val="24"/>
                            <w:sz w:val="14"/>
                            <w:szCs w:val="14"/>
                          </w:rPr>
                          <w:t>Gasto público relacionado al envejecimiento poblacional</w:t>
                        </w:r>
                      </w:p>
                    </w:txbxContent>
                  </v:textbox>
                </v:rect>
                <v:shapetype id="_x0000_t32" coordsize="21600,21600" o:spt="32" o:oned="t" path="m,l21600,21600e" filled="f">
                  <v:path arrowok="t" fillok="f" o:connecttype="none"/>
                  <o:lock v:ext="edit" shapetype="t"/>
                </v:shapetype>
                <v:shape id="Conector recto de flecha 215" o:spid="_x0000_s1043" type="#_x0000_t32" style="position:absolute;left:13671;top:2089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" strokecolor="black [3213]" strokeweight=".5pt">
                  <v:stroke endarrow="block" joinstyle="miter"/>
                  <o:lock v:ext="edit" shapetype="f"/>
                </v:shape>
                <v:shape id="Conector recto de flecha 216" o:spid="_x0000_s1044" type="#_x0000_t32" style="position:absolute;left:30466;top:1187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" strokecolor="black [3213]" strokeweight=".5pt">
                  <v:stroke endarrow="block" joinstyle="miter"/>
                  <o:lock v:ext="edit" shapetype="f"/>
                </v:shape>
                <v:shape id="Conector recto de flecha 218" o:spid="_x0000_s1045" type="#_x0000_t32" style="position:absolute;left:30466;top:2089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" strokecolor="black [3213]" strokeweight=".5pt">
                  <v:stroke endarrow="block" joinstyle="miter"/>
                  <o:lock v:ext="edit" shapetype="f"/>
                </v:shape>
                <v:shape id="Conector recto de flecha 219" o:spid="_x0000_s1046" type="#_x0000_t32" style="position:absolute;left:30466;top:32253;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" strokecolor="black [3213]" strokeweight=".5pt">
                  <v:stroke endarrow="block" joinstyle="miter"/>
                  <o:lock v:ext="edit" shapetype="f"/>
                </v:shape>
                <v:shape id="Conector recto de flecha 220" o:spid="_x0000_s1047" type="#_x0000_t32" style="position:absolute;left:47371;top:12175;width:2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" strokecolor="black [3213]" strokeweight=".5pt">
                  <v:stroke endarrow="block" joinstyle="miter"/>
                  <o:lock v:ext="edit" shapetype="f"/>
                </v:shape>
                <v:shape id="Conector recto de flecha 221" o:spid="_x0000_s1048" type="#_x0000_t32" style="position:absolute;left:47371;top:29140;width:2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" strokecolor="black [3213]" strokeweight=".5pt">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22" o:spid="_x0000_s1049" type="#_x0000_t34" style="position:absolute;left:7015;top:4399;width:42983;height:112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" adj="16" strokecolor="black [3213]" strokeweight=".5pt">
                  <v:stroke endarrow="block"/>
                  <o:lock v:ext="edit" shapetype="f"/>
                </v:shape>
                <v:shape id="Conector recto de flecha 223" o:spid="_x0000_s1050" type="#_x0000_t32" style="position:absolute;left:63576;top:1014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" strokecolor="black [3213]" strokeweight=".5pt">
                  <v:stroke endarrow="block" joinstyle="miter"/>
                  <o:lock v:ext="edit" shapetype="f"/>
                </v:shape>
                <v:shape id="Conector recto de flecha 224" o:spid="_x0000_s1051" type="#_x0000_t32" style="position:absolute;left:63964;top:21817;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" strokecolor="black [3213]" strokeweight=".5pt">
                  <v:stroke endarrow="block" joinstyle="miter"/>
                  <o:lock v:ext="edit" shapetype="f"/>
                </v:shape>
                <v:shape id="Conector recto de flecha 225" o:spid="_x0000_s1052" type="#_x0000_t32" style="position:absolute;left:63964;top:31394;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" strokecolor="black [3213]" strokeweight=".5pt">
                  <v:stroke endarrow="block" joinstyle="miter"/>
                  <o:lock v:ext="edit" shapetype="f"/>
                </v:shape>
                <v:shape id="Conector recto de flecha 227" o:spid="_x0000_s1053" type="#_x0000_t32" style="position:absolute;left:63964;top:41131;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" strokecolor="black [3213]" strokeweight=".5pt">
                  <v:stroke endarrow="block" joinstyle="miter"/>
                  <o:lock v:ext="edit" shapetype="f"/>
                </v:shape>
                <v:shape id="Conector: angular 228" o:spid="_x0000_s1054" type="#_x0000_t34" style="position:absolute;left:7015;top:26980;width:42641;height:110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" adj="-24" strokecolor="black [3213]" strokeweight=".5pt">
                  <v:stroke endarrow="block"/>
                  <o:lock v:ext="edit" shapetype="f"/>
                </v:shape>
                <v:shape id="Conector recto de flecha 229" o:spid="_x0000_s1055" type="#_x0000_t32" style="position:absolute;left:35397;top:42734;width:139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" strokecolor="black [3213]" strokeweight=".5pt">
                  <v:stroke endarrow="block" joinstyle="miter"/>
                  <o:lock v:ext="edit" shapetype="f"/>
                </v:shape>
                <v:line id="Conector recto 230" o:spid="_x0000_s1056" style="position:absolute;visibility:visible;mso-wrap-style:square" from="47884,4392" to="47884,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" strokecolor="black [3213]" strokeweight=".5pt">
                  <v:stroke joinstyle="miter"/>
                  <o:lock v:ext="edit" shapetype="f"/>
                </v:line>
                <v:shape id="Conector recto de flecha 233" o:spid="_x0000_s1057" type="#_x0000_t32" style="position:absolute;left:47978;top:19750;width:1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" strokecolor="black [3213]" strokeweight=".5pt">
                  <v:stroke endarrow="block" joinstyle="miter"/>
                  <o:lock v:ext="edit" shapetype="f"/>
                </v:shape>
                <v:line id="Conector recto 234" o:spid="_x0000_s1058" style="position:absolute;visibility:visible;mso-wrap-style:square" from="47964,32253" to="47964,3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" strokecolor="black [3213]" strokeweight=".5pt">
                  <v:stroke joinstyle="miter"/>
                  <o:lock v:ext="edit" shapetype="f"/>
                </v:line>
                <v:shape id="Conector recto de flecha 235" o:spid="_x0000_s1059" type="#_x0000_t32" style="position:absolute;left:48009;top:31966;width:1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" strokecolor="black [3213]" strokeweight=".5pt">
                  <v:stroke endarrow="block" joinstyle="miter"/>
                  <o:lock v:ext="edit" shapetype="f"/>
                </v:shape>
                <v:shape id="CuadroTexto 69" o:spid="_x0000_s1060" type="#_x0000_t202" style="position:absolute;left:7015;top:-1502;width:36747;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506E36F4" w14:textId="77777777" w:rsidR="00353AC4" w:rsidRPr="009C084E" w:rsidRDefault="00353AC4" w:rsidP="00353AC4">
                        <w:pPr>
                          <w:rPr>
                            <w:b/>
                            <w:bCs/>
                            <w:color w:val="000000" w:themeColor="text1"/>
                            <w:kern w:val="24"/>
                            <w:sz w:val="14"/>
                            <w:szCs w:val="14"/>
                          </w:rPr>
                        </w:pPr>
                        <w:r w:rsidRPr="009C084E">
                          <w:rPr>
                            <w:b/>
                            <w:bCs/>
                            <w:color w:val="000000" w:themeColor="text1"/>
                            <w:kern w:val="24"/>
                            <w:sz w:val="14"/>
                            <w:szCs w:val="14"/>
                          </w:rPr>
                          <w:t>Proyecciones demográficas y macroeconómicas</w:t>
                        </w:r>
                      </w:p>
                    </w:txbxContent>
                  </v:textbox>
                </v:shape>
                <v:shape id="CuadroTexto 70" o:spid="_x0000_s1061" type="#_x0000_t202" style="position:absolute;left:52168;top:-1203;width:25165;height: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2F3F0855" w14:textId="77777777" w:rsidR="00353AC4" w:rsidRPr="009C084E" w:rsidRDefault="00353AC4" w:rsidP="00353AC4">
                        <w:pPr>
                          <w:rPr>
                            <w:b/>
                            <w:bCs/>
                            <w:color w:val="000000" w:themeColor="text1"/>
                            <w:kern w:val="24"/>
                            <w:sz w:val="14"/>
                            <w:szCs w:val="14"/>
                          </w:rPr>
                        </w:pPr>
                        <w:r w:rsidRPr="009C084E">
                          <w:rPr>
                            <w:b/>
                            <w:bCs/>
                            <w:color w:val="000000" w:themeColor="text1"/>
                            <w:kern w:val="24"/>
                            <w:sz w:val="14"/>
                            <w:szCs w:val="14"/>
                          </w:rPr>
                          <w:t>Proyecciones de gasto público</w:t>
                        </w:r>
                      </w:p>
                    </w:txbxContent>
                  </v:textbox>
                </v:shape>
              </v:group>
            </w:pict>
          </mc:Fallback>
        </mc:AlternateContent>
      </w:r>
    </w:p>
    <w:p w14:paraId="34EAE8DD" w14:textId="77777777" w:rsidR="00353AC4" w:rsidRPr="00411D33" w:rsidRDefault="00353AC4" w:rsidP="00353AC4"/>
    <w:p w14:paraId="32F42F31" w14:textId="77777777" w:rsidR="00353AC4" w:rsidRPr="00411D33" w:rsidRDefault="00353AC4" w:rsidP="00353AC4"/>
    <w:p w14:paraId="5CC33A86" w14:textId="77777777" w:rsidR="00353AC4" w:rsidRPr="00411D33" w:rsidRDefault="00353AC4" w:rsidP="00353AC4"/>
    <w:p w14:paraId="48A90AB5" w14:textId="77777777" w:rsidR="00353AC4" w:rsidRPr="00411D33" w:rsidRDefault="00353AC4" w:rsidP="00353AC4"/>
    <w:p w14:paraId="180CAE67" w14:textId="77777777" w:rsidR="00353AC4" w:rsidRPr="00411D33" w:rsidRDefault="00353AC4" w:rsidP="00353AC4"/>
    <w:p w14:paraId="398B676E" w14:textId="77777777" w:rsidR="00353AC4" w:rsidRPr="00411D33" w:rsidRDefault="00353AC4" w:rsidP="00353AC4">
      <w:pPr>
        <w:jc w:val="both"/>
      </w:pPr>
    </w:p>
    <w:p w14:paraId="4333289A" w14:textId="77777777" w:rsidR="00DC2F72" w:rsidRPr="00411D33" w:rsidRDefault="00353AC4" w:rsidP="00353AC4">
      <w:pPr>
        <w:jc w:val="both"/>
        <w:rPr>
          <w:sz w:val="18"/>
          <w:szCs w:val="18"/>
        </w:rPr>
      </w:pPr>
      <w:r w:rsidRPr="00411D33">
        <w:rPr>
          <w:sz w:val="18"/>
          <w:szCs w:val="18"/>
        </w:rPr>
        <w:t xml:space="preserve">                 </w:t>
      </w:r>
    </w:p>
    <w:p w14:paraId="29EACAC8" w14:textId="77777777" w:rsidR="00DC2F72" w:rsidRPr="00411D33" w:rsidRDefault="00DC2F72" w:rsidP="00353AC4">
      <w:pPr>
        <w:jc w:val="both"/>
        <w:rPr>
          <w:sz w:val="18"/>
          <w:szCs w:val="18"/>
        </w:rPr>
      </w:pPr>
    </w:p>
    <w:p w14:paraId="4A57C930" w14:textId="77777777" w:rsidR="00DC2F72" w:rsidRPr="00411D33" w:rsidRDefault="00DC2F72" w:rsidP="00353AC4">
      <w:pPr>
        <w:jc w:val="both"/>
        <w:rPr>
          <w:sz w:val="18"/>
          <w:szCs w:val="18"/>
        </w:rPr>
      </w:pPr>
    </w:p>
    <w:p w14:paraId="12DCE83E" w14:textId="77777777" w:rsidR="00DC2F72" w:rsidRPr="00411D33" w:rsidRDefault="00DC2F72" w:rsidP="00353AC4">
      <w:pPr>
        <w:jc w:val="both"/>
        <w:rPr>
          <w:sz w:val="18"/>
          <w:szCs w:val="18"/>
        </w:rPr>
      </w:pPr>
    </w:p>
    <w:p w14:paraId="32CED2D0" w14:textId="77777777" w:rsidR="00DC2F72" w:rsidRPr="00411D33" w:rsidRDefault="00DC2F72" w:rsidP="00353AC4">
      <w:pPr>
        <w:jc w:val="both"/>
        <w:rPr>
          <w:sz w:val="18"/>
          <w:szCs w:val="18"/>
        </w:rPr>
      </w:pPr>
    </w:p>
    <w:p w14:paraId="459E3B97" w14:textId="77777777" w:rsidR="00DC2F72" w:rsidRPr="00411D33" w:rsidRDefault="00DC2F72" w:rsidP="00353AC4">
      <w:pPr>
        <w:jc w:val="both"/>
        <w:rPr>
          <w:sz w:val="18"/>
          <w:szCs w:val="18"/>
        </w:rPr>
      </w:pPr>
    </w:p>
    <w:p w14:paraId="3C3414DA" w14:textId="77777777" w:rsidR="00DC2F72" w:rsidRPr="00411D33" w:rsidRDefault="00DC2F72" w:rsidP="00353AC4">
      <w:pPr>
        <w:jc w:val="both"/>
        <w:rPr>
          <w:sz w:val="18"/>
          <w:szCs w:val="18"/>
        </w:rPr>
      </w:pPr>
    </w:p>
    <w:p w14:paraId="7401725E" w14:textId="77777777" w:rsidR="00BB51FE" w:rsidRDefault="00353AC4" w:rsidP="00353AC4">
      <w:pPr>
        <w:jc w:val="both"/>
        <w:rPr>
          <w:sz w:val="18"/>
          <w:szCs w:val="18"/>
        </w:rPr>
      </w:pPr>
      <w:r w:rsidRPr="000D77CC">
        <w:rPr>
          <w:sz w:val="18"/>
          <w:szCs w:val="18"/>
        </w:rPr>
        <w:t xml:space="preserve"> </w:t>
      </w:r>
    </w:p>
    <w:p w14:paraId="35AEEB50" w14:textId="77777777" w:rsidR="00BB51FE" w:rsidRPr="009E279E" w:rsidRDefault="00BB51FE" w:rsidP="00353AC4">
      <w:pPr>
        <w:jc w:val="both"/>
        <w:rPr>
          <w:sz w:val="16"/>
          <w:szCs w:val="16"/>
        </w:rPr>
      </w:pPr>
    </w:p>
    <w:p w14:paraId="340BC1C6" w14:textId="73FA8371" w:rsidR="00353AC4" w:rsidRPr="00411D33" w:rsidRDefault="00BB51FE" w:rsidP="00353AC4">
      <w:pPr>
        <w:jc w:val="both"/>
        <w:rPr>
          <w:sz w:val="16"/>
          <w:szCs w:val="16"/>
          <w:lang w:val="en-US"/>
        </w:rPr>
      </w:pPr>
      <w:r w:rsidRPr="009E279E">
        <w:rPr>
          <w:sz w:val="16"/>
          <w:szCs w:val="16"/>
        </w:rPr>
        <w:t xml:space="preserve">                </w:t>
      </w:r>
      <w:r w:rsidR="00353AC4" w:rsidRPr="00411D33">
        <w:rPr>
          <w:sz w:val="16"/>
          <w:szCs w:val="16"/>
          <w:lang w:val="en-US"/>
        </w:rPr>
        <w:t xml:space="preserve">Fuente: </w:t>
      </w:r>
      <w:r w:rsidR="0030738C">
        <w:rPr>
          <w:sz w:val="16"/>
          <w:szCs w:val="16"/>
          <w:lang w:val="en-US"/>
        </w:rPr>
        <w:t xml:space="preserve">Unión </w:t>
      </w:r>
      <w:proofErr w:type="spellStart"/>
      <w:proofErr w:type="gramStart"/>
      <w:r w:rsidR="0030738C">
        <w:rPr>
          <w:sz w:val="16"/>
          <w:szCs w:val="16"/>
          <w:lang w:val="en-US"/>
        </w:rPr>
        <w:t>Europea</w:t>
      </w:r>
      <w:proofErr w:type="spellEnd"/>
      <w:r w:rsidR="0030738C">
        <w:rPr>
          <w:sz w:val="16"/>
          <w:szCs w:val="16"/>
          <w:lang w:val="en-US"/>
        </w:rPr>
        <w:t xml:space="preserve">  “</w:t>
      </w:r>
      <w:proofErr w:type="gramEnd"/>
      <w:r w:rsidR="00353AC4" w:rsidRPr="00411D33">
        <w:rPr>
          <w:sz w:val="16"/>
          <w:szCs w:val="16"/>
          <w:lang w:val="en-US"/>
        </w:rPr>
        <w:t xml:space="preserve">The 2021 Ageing Report </w:t>
      </w:r>
      <w:proofErr w:type="spellStart"/>
      <w:r w:rsidR="00353AC4" w:rsidRPr="00411D33">
        <w:rPr>
          <w:sz w:val="16"/>
          <w:szCs w:val="16"/>
          <w:lang w:val="en-US"/>
        </w:rPr>
        <w:t>Underlyng</w:t>
      </w:r>
      <w:proofErr w:type="spellEnd"/>
      <w:r w:rsidR="00353AC4" w:rsidRPr="00411D33">
        <w:rPr>
          <w:sz w:val="16"/>
          <w:szCs w:val="16"/>
          <w:lang w:val="en-US"/>
        </w:rPr>
        <w:t xml:space="preserve"> </w:t>
      </w:r>
      <w:proofErr w:type="spellStart"/>
      <w:r w:rsidR="00353AC4" w:rsidRPr="00411D33">
        <w:rPr>
          <w:sz w:val="16"/>
          <w:szCs w:val="16"/>
          <w:lang w:val="en-US"/>
        </w:rPr>
        <w:t>Asummptions</w:t>
      </w:r>
      <w:proofErr w:type="spellEnd"/>
      <w:r w:rsidR="00353AC4" w:rsidRPr="00411D33">
        <w:rPr>
          <w:sz w:val="16"/>
          <w:szCs w:val="16"/>
          <w:lang w:val="en-US"/>
        </w:rPr>
        <w:t xml:space="preserve"> an Projections Methodologies</w:t>
      </w:r>
      <w:r w:rsidR="0030738C">
        <w:rPr>
          <w:sz w:val="16"/>
          <w:szCs w:val="16"/>
          <w:lang w:val="en-US"/>
        </w:rPr>
        <w:t>”</w:t>
      </w:r>
    </w:p>
    <w:p w14:paraId="6567C4B1" w14:textId="77777777" w:rsidR="00DC2F72" w:rsidRPr="006014B3" w:rsidRDefault="00DC2F72" w:rsidP="00353AC4">
      <w:pPr>
        <w:jc w:val="both"/>
        <w:rPr>
          <w:lang w:val="en-US"/>
        </w:rPr>
      </w:pPr>
    </w:p>
    <w:p w14:paraId="4215A877" w14:textId="6D7412C2" w:rsidR="00353AC4" w:rsidRDefault="00353AC4" w:rsidP="00353AC4">
      <w:pPr>
        <w:jc w:val="both"/>
      </w:pPr>
      <w:r>
        <w:lastRenderedPageBreak/>
        <w:t>Según las proyecciones demográficas del Instituto Nacional de Estadística -INE- la tasa de crecimiento poblacional disminuirá gradualmente de 1.4% en 2023 a 0.6% en el 2050, esperando que la población total aumente un 30.0% con respecto la estimación de 2023. En el caso de la población en edad de trabajar de 15 a 64 años se espera que aumente un 40.0% del 2023 al 2050. Este aumento de la mano de obra disponible para la producción y de forma conjunta con la educación, la salud y condiciones económicas ideales propiciarían un mayor capital humano que impulse el crecimiento económico en el largo plazo.</w:t>
      </w:r>
    </w:p>
    <w:p w14:paraId="64ED439C" w14:textId="77777777" w:rsidR="00DC2F72" w:rsidRDefault="00DC2F72" w:rsidP="00353AC4">
      <w:pPr>
        <w:jc w:val="both"/>
      </w:pPr>
    </w:p>
    <w:p w14:paraId="53ECA769" w14:textId="77777777" w:rsidR="00353AC4" w:rsidRDefault="00353AC4" w:rsidP="00353AC4">
      <w:pPr>
        <w:jc w:val="both"/>
      </w:pPr>
      <w:r>
        <w:t>Para la población joven de 0-14 años se prevé una disminución del 18% del 2023 al 2050, indicando que las presiones sobre el gasto de educación disminuirán. Por su parte para la población mayor de 65 años se proyecta un crecimiento del 271.6% en el mismo periodo, indicando que el gasto de salud y de los sistemas de pensiones aumentarán.</w:t>
      </w:r>
    </w:p>
    <w:p w14:paraId="407A7FAC" w14:textId="77777777" w:rsidR="00DC2F72" w:rsidRPr="00CE3CC4" w:rsidRDefault="00DC2F72" w:rsidP="00353AC4">
      <w:pPr>
        <w:jc w:val="both"/>
      </w:pPr>
    </w:p>
    <w:tbl>
      <w:tblPr>
        <w:tblStyle w:val="Tablaconcuadrcula"/>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3018"/>
        <w:gridCol w:w="2944"/>
      </w:tblGrid>
      <w:tr w:rsidR="00353AC4" w14:paraId="735B6492" w14:textId="77777777" w:rsidTr="00BB51FE">
        <w:trPr>
          <w:trHeight w:val="719"/>
        </w:trPr>
        <w:tc>
          <w:tcPr>
            <w:tcW w:w="9026" w:type="dxa"/>
            <w:gridSpan w:val="3"/>
          </w:tcPr>
          <w:p w14:paraId="38DF3A3E" w14:textId="6BB421F5" w:rsidR="00353AC4" w:rsidRPr="00411D33" w:rsidRDefault="00411D33" w:rsidP="00411D33">
            <w:pPr>
              <w:pStyle w:val="Descripcin"/>
              <w:rPr>
                <w:b w:val="0"/>
                <w:bCs/>
                <w:color w:val="auto"/>
              </w:rPr>
            </w:pPr>
            <w:bookmarkStart w:id="401" w:name="_Toc143593617"/>
            <w:r w:rsidRPr="00411D33">
              <w:rPr>
                <w:color w:val="auto"/>
              </w:rPr>
              <w:t xml:space="preserve">Gráfico </w:t>
            </w:r>
            <w:r w:rsidRPr="00411D33">
              <w:rPr>
                <w:color w:val="auto"/>
              </w:rPr>
              <w:fldChar w:fldCharType="begin"/>
            </w:r>
            <w:r w:rsidRPr="00411D33">
              <w:rPr>
                <w:color w:val="auto"/>
              </w:rPr>
              <w:instrText xml:space="preserve"> SEQ Gráfico \* ARABIC </w:instrText>
            </w:r>
            <w:r w:rsidRPr="00411D33">
              <w:rPr>
                <w:color w:val="auto"/>
              </w:rPr>
              <w:fldChar w:fldCharType="separate"/>
            </w:r>
            <w:r w:rsidR="00A62AFA">
              <w:rPr>
                <w:noProof/>
                <w:color w:val="auto"/>
              </w:rPr>
              <w:t>59</w:t>
            </w:r>
            <w:r w:rsidRPr="00411D33">
              <w:rPr>
                <w:color w:val="auto"/>
              </w:rPr>
              <w:fldChar w:fldCharType="end"/>
            </w:r>
            <w:r w:rsidRPr="00411D33">
              <w:rPr>
                <w:color w:val="auto"/>
              </w:rPr>
              <w:t xml:space="preserve">. </w:t>
            </w:r>
            <w:r w:rsidRPr="00411D33">
              <w:rPr>
                <w:bCs/>
                <w:color w:val="auto"/>
              </w:rPr>
              <w:t>Evolución demográfica hasta 2050</w:t>
            </w:r>
            <w:bookmarkEnd w:id="401"/>
          </w:p>
          <w:p w14:paraId="66CA20DB" w14:textId="77777777" w:rsidR="00353AC4" w:rsidRPr="00411D33" w:rsidRDefault="00353AC4" w:rsidP="00840E7F">
            <w:pPr>
              <w:jc w:val="center"/>
              <w:rPr>
                <w:b/>
                <w:bCs/>
                <w:sz w:val="14"/>
                <w:szCs w:val="14"/>
              </w:rPr>
            </w:pPr>
          </w:p>
        </w:tc>
      </w:tr>
      <w:tr w:rsidR="00353AC4" w14:paraId="489A66BC" w14:textId="77777777" w:rsidTr="00BB51FE">
        <w:tblPrEx>
          <w:tblCellMar>
            <w:left w:w="70" w:type="dxa"/>
            <w:right w:w="70" w:type="dxa"/>
          </w:tblCellMar>
        </w:tblPrEx>
        <w:trPr>
          <w:trHeight w:val="634"/>
        </w:trPr>
        <w:tc>
          <w:tcPr>
            <w:tcW w:w="3064" w:type="dxa"/>
          </w:tcPr>
          <w:p w14:paraId="142E2E47" w14:textId="77777777" w:rsidR="00353AC4" w:rsidRPr="009F11EF" w:rsidRDefault="00353AC4" w:rsidP="00840E7F">
            <w:pPr>
              <w:jc w:val="center"/>
              <w:rPr>
                <w:b/>
                <w:bCs/>
                <w:sz w:val="20"/>
                <w:szCs w:val="20"/>
              </w:rPr>
            </w:pPr>
            <w:r w:rsidRPr="009F11EF">
              <w:rPr>
                <w:b/>
                <w:bCs/>
                <w:sz w:val="20"/>
                <w:szCs w:val="20"/>
              </w:rPr>
              <w:t>Estructura porcentual por edad</w:t>
            </w:r>
          </w:p>
        </w:tc>
        <w:tc>
          <w:tcPr>
            <w:tcW w:w="3018" w:type="dxa"/>
          </w:tcPr>
          <w:p w14:paraId="4AB2095F" w14:textId="77777777" w:rsidR="00353AC4" w:rsidRPr="009F11EF" w:rsidRDefault="00353AC4" w:rsidP="00840E7F">
            <w:pPr>
              <w:jc w:val="center"/>
              <w:rPr>
                <w:b/>
                <w:bCs/>
                <w:sz w:val="20"/>
                <w:szCs w:val="20"/>
              </w:rPr>
            </w:pPr>
            <w:r w:rsidRPr="009F11EF">
              <w:rPr>
                <w:b/>
                <w:bCs/>
                <w:sz w:val="20"/>
                <w:szCs w:val="20"/>
              </w:rPr>
              <w:t xml:space="preserve">Evolución de población por edad </w:t>
            </w:r>
            <w:r w:rsidRPr="00DD3304">
              <w:rPr>
                <w:sz w:val="20"/>
                <w:szCs w:val="20"/>
              </w:rPr>
              <w:t>(en millones)</w:t>
            </w:r>
          </w:p>
        </w:tc>
        <w:tc>
          <w:tcPr>
            <w:tcW w:w="2943" w:type="dxa"/>
          </w:tcPr>
          <w:p w14:paraId="2B1E6877" w14:textId="77777777" w:rsidR="00353AC4" w:rsidRPr="009F11EF" w:rsidRDefault="00353AC4" w:rsidP="00840E7F">
            <w:pPr>
              <w:jc w:val="center"/>
              <w:rPr>
                <w:b/>
                <w:bCs/>
                <w:sz w:val="20"/>
                <w:szCs w:val="20"/>
              </w:rPr>
            </w:pPr>
            <w:r w:rsidRPr="009F11EF">
              <w:rPr>
                <w:b/>
                <w:bCs/>
                <w:sz w:val="20"/>
                <w:szCs w:val="20"/>
              </w:rPr>
              <w:t xml:space="preserve">Tasa de crecimiento de la población por edad </w:t>
            </w:r>
            <w:r w:rsidRPr="00DD3304">
              <w:rPr>
                <w:sz w:val="20"/>
                <w:szCs w:val="20"/>
              </w:rPr>
              <w:t>(porcentaje)</w:t>
            </w:r>
          </w:p>
        </w:tc>
      </w:tr>
      <w:tr w:rsidR="00353AC4" w14:paraId="02A05BF5" w14:textId="77777777" w:rsidTr="00BB51FE">
        <w:tblPrEx>
          <w:tblCellMar>
            <w:left w:w="70" w:type="dxa"/>
            <w:right w:w="70" w:type="dxa"/>
          </w:tblCellMar>
        </w:tblPrEx>
        <w:trPr>
          <w:trHeight w:val="3218"/>
        </w:trPr>
        <w:tc>
          <w:tcPr>
            <w:tcW w:w="3064" w:type="dxa"/>
          </w:tcPr>
          <w:p w14:paraId="66641B67" w14:textId="77777777" w:rsidR="00353AC4" w:rsidRDefault="00353AC4" w:rsidP="00840E7F">
            <w:r>
              <w:rPr>
                <w:noProof/>
              </w:rPr>
              <w:drawing>
                <wp:inline distT="0" distB="0" distL="0" distR="0" wp14:anchorId="7676CB01" wp14:editId="331160B6">
                  <wp:extent cx="1701579" cy="1963972"/>
                  <wp:effectExtent l="0" t="0" r="0" b="0"/>
                  <wp:docPr id="240" name="Gráfico 240">
                    <a:extLst xmlns:a="http://schemas.openxmlformats.org/drawingml/2006/main">
                      <a:ext uri="{FF2B5EF4-FFF2-40B4-BE49-F238E27FC236}">
                        <a16:creationId xmlns:a16="http://schemas.microsoft.com/office/drawing/2014/main" id="{9CAB9D72-8C39-4CE3-9500-26730CEED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3018" w:type="dxa"/>
          </w:tcPr>
          <w:p w14:paraId="297C27D8" w14:textId="77777777" w:rsidR="00353AC4" w:rsidRDefault="00353AC4" w:rsidP="00840E7F">
            <w:r>
              <w:rPr>
                <w:noProof/>
              </w:rPr>
              <w:drawing>
                <wp:inline distT="0" distB="0" distL="0" distR="0" wp14:anchorId="0D1F4F88" wp14:editId="6E52CC7A">
                  <wp:extent cx="1807845" cy="1963420"/>
                  <wp:effectExtent l="0" t="0" r="1905" b="0"/>
                  <wp:docPr id="241" name="Gráfico 241">
                    <a:extLst xmlns:a="http://schemas.openxmlformats.org/drawingml/2006/main">
                      <a:ext uri="{FF2B5EF4-FFF2-40B4-BE49-F238E27FC236}">
                        <a16:creationId xmlns:a16="http://schemas.microsoft.com/office/drawing/2014/main" id="{3F91D90B-BB22-4A8A-B800-CA565B85D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2943" w:type="dxa"/>
          </w:tcPr>
          <w:p w14:paraId="1B1152C0" w14:textId="77777777" w:rsidR="00353AC4" w:rsidRDefault="00353AC4" w:rsidP="00840E7F">
            <w:r>
              <w:rPr>
                <w:noProof/>
              </w:rPr>
              <w:drawing>
                <wp:inline distT="0" distB="0" distL="0" distR="0" wp14:anchorId="3C468CF0" wp14:editId="0A9A82B1">
                  <wp:extent cx="1739900" cy="1876425"/>
                  <wp:effectExtent l="0" t="0" r="0" b="0"/>
                  <wp:docPr id="242" name="Gráfico 242">
                    <a:extLst xmlns:a="http://schemas.openxmlformats.org/drawingml/2006/main">
                      <a:ext uri="{FF2B5EF4-FFF2-40B4-BE49-F238E27FC236}">
                        <a16:creationId xmlns:a16="http://schemas.microsoft.com/office/drawing/2014/main" id="{501CC5CD-433A-4A9E-875A-3B579DC73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r w:rsidR="00353AC4" w14:paraId="790155A5" w14:textId="77777777" w:rsidTr="00BB51FE">
        <w:trPr>
          <w:trHeight w:val="122"/>
        </w:trPr>
        <w:tc>
          <w:tcPr>
            <w:tcW w:w="6082" w:type="dxa"/>
            <w:gridSpan w:val="2"/>
          </w:tcPr>
          <w:p w14:paraId="5CF46F10" w14:textId="77777777" w:rsidR="00353AC4" w:rsidRPr="00D27A7E" w:rsidRDefault="00353AC4" w:rsidP="00840E7F">
            <w:pPr>
              <w:rPr>
                <w:sz w:val="18"/>
                <w:szCs w:val="18"/>
              </w:rPr>
            </w:pPr>
            <w:r w:rsidRPr="00411D33">
              <w:rPr>
                <w:sz w:val="16"/>
                <w:szCs w:val="16"/>
              </w:rPr>
              <w:t>Fuente: Instituto Nacional de Estadística</w:t>
            </w:r>
          </w:p>
        </w:tc>
        <w:tc>
          <w:tcPr>
            <w:tcW w:w="2943" w:type="dxa"/>
          </w:tcPr>
          <w:p w14:paraId="2855A756" w14:textId="77777777" w:rsidR="00353AC4" w:rsidRPr="00D27A7E" w:rsidRDefault="00353AC4" w:rsidP="00840E7F">
            <w:pPr>
              <w:rPr>
                <w:sz w:val="18"/>
                <w:szCs w:val="18"/>
              </w:rPr>
            </w:pPr>
          </w:p>
        </w:tc>
      </w:tr>
    </w:tbl>
    <w:p w14:paraId="045F1E00" w14:textId="77777777" w:rsidR="00DC2F72" w:rsidRDefault="00DC2F72" w:rsidP="00353AC4">
      <w:pPr>
        <w:jc w:val="both"/>
      </w:pPr>
    </w:p>
    <w:p w14:paraId="7AC80541" w14:textId="3680C054" w:rsidR="00353AC4" w:rsidRDefault="00353AC4" w:rsidP="00353AC4">
      <w:pPr>
        <w:jc w:val="both"/>
      </w:pPr>
      <w:r w:rsidRPr="00886936">
        <w:t>Por su parte para el Régimen de Clases pasivas se prevé que se mantenga estable en el largo plazo, a pesar del envejecimiento de los afiliados activos, el tope de las pensiones y el crecimiento de la masa salarial conducen a la situación financiera de régimen en una trayectoria sostenible, para el año 2033 se espera que el pago de pensiones represente el 0.58% del PIB y 0.42% para el 2044.</w:t>
      </w:r>
      <w:r>
        <w:t xml:space="preserve"> Para el Programa sobre Protección Relativa a Invalidez, Vejez y Sobrevivencia -IVS, se espera según proyecciones del IGSS, que en 2024 los ingresos iguales a los gastos por un estimado de 0.68% del PIB, posteriormente la reserva acumulada disminuiría y se agotaría entre 2032 y 2033, si no se adoptan ajustes a las tasas de contribución en el mediano plazo.</w:t>
      </w:r>
    </w:p>
    <w:p w14:paraId="5CC65C1C" w14:textId="6494695C" w:rsidR="00DC2F72" w:rsidRDefault="00DC2F72" w:rsidP="00353AC4">
      <w:pPr>
        <w:jc w:val="both"/>
      </w:pPr>
    </w:p>
    <w:p w14:paraId="2C9ADCF1" w14:textId="4C1AE051" w:rsidR="007A0B9B" w:rsidRDefault="007A0B9B" w:rsidP="00353AC4">
      <w:pPr>
        <w:jc w:val="both"/>
      </w:pPr>
    </w:p>
    <w:p w14:paraId="3E1C6A4E" w14:textId="0282B137" w:rsidR="007A0B9B" w:rsidRDefault="007A0B9B" w:rsidP="00353AC4">
      <w:pPr>
        <w:jc w:val="both"/>
      </w:pPr>
    </w:p>
    <w:p w14:paraId="6AD5316B" w14:textId="4128B0C6" w:rsidR="007A0B9B" w:rsidRDefault="007A0B9B" w:rsidP="00353AC4">
      <w:pPr>
        <w:jc w:val="both"/>
      </w:pPr>
    </w:p>
    <w:p w14:paraId="51126356" w14:textId="41E6E72C" w:rsidR="007A0B9B" w:rsidRDefault="007A0B9B" w:rsidP="00353AC4">
      <w:pPr>
        <w:jc w:val="both"/>
      </w:pPr>
    </w:p>
    <w:p w14:paraId="523F56AE" w14:textId="77777777" w:rsidR="007A0B9B" w:rsidRDefault="007A0B9B" w:rsidP="00353AC4">
      <w:pPr>
        <w:jc w:val="both"/>
      </w:pPr>
    </w:p>
    <w:tbl>
      <w:tblPr>
        <w:tblStyle w:val="Tablaconcuadrcula"/>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543"/>
      </w:tblGrid>
      <w:tr w:rsidR="00353AC4" w14:paraId="6D203133" w14:textId="77777777" w:rsidTr="007A0B9B">
        <w:trPr>
          <w:trHeight w:val="481"/>
        </w:trPr>
        <w:tc>
          <w:tcPr>
            <w:tcW w:w="9104" w:type="dxa"/>
            <w:gridSpan w:val="2"/>
          </w:tcPr>
          <w:p w14:paraId="21EBC639" w14:textId="5E7D0259" w:rsidR="00353AC4" w:rsidRPr="00411D33" w:rsidRDefault="00411D33" w:rsidP="00411D33">
            <w:pPr>
              <w:pStyle w:val="Descripcin"/>
              <w:rPr>
                <w:color w:val="auto"/>
              </w:rPr>
            </w:pPr>
            <w:bookmarkStart w:id="402" w:name="_Toc143593618"/>
            <w:r w:rsidRPr="00411D33">
              <w:rPr>
                <w:color w:val="auto"/>
              </w:rPr>
              <w:lastRenderedPageBreak/>
              <w:t xml:space="preserve">Gráfico </w:t>
            </w:r>
            <w:r w:rsidRPr="00411D33">
              <w:rPr>
                <w:color w:val="auto"/>
              </w:rPr>
              <w:fldChar w:fldCharType="begin"/>
            </w:r>
            <w:r w:rsidRPr="00411D33">
              <w:rPr>
                <w:color w:val="auto"/>
              </w:rPr>
              <w:instrText xml:space="preserve"> SEQ Gráfico \* ARABIC </w:instrText>
            </w:r>
            <w:r w:rsidRPr="00411D33">
              <w:rPr>
                <w:color w:val="auto"/>
              </w:rPr>
              <w:fldChar w:fldCharType="separate"/>
            </w:r>
            <w:r w:rsidR="00A62AFA">
              <w:rPr>
                <w:noProof/>
                <w:color w:val="auto"/>
              </w:rPr>
              <w:t>60</w:t>
            </w:r>
            <w:r w:rsidRPr="00411D33">
              <w:rPr>
                <w:color w:val="auto"/>
              </w:rPr>
              <w:fldChar w:fldCharType="end"/>
            </w:r>
            <w:r w:rsidRPr="00411D33">
              <w:rPr>
                <w:color w:val="auto"/>
              </w:rPr>
              <w:t xml:space="preserve">. </w:t>
            </w:r>
            <w:r w:rsidRPr="00411D33">
              <w:rPr>
                <w:bCs/>
                <w:color w:val="auto"/>
                <w:lang w:val="es-MX"/>
              </w:rPr>
              <w:t>Proyecciones de los principales sistemas de pensiones</w:t>
            </w:r>
            <w:bookmarkEnd w:id="402"/>
          </w:p>
        </w:tc>
      </w:tr>
      <w:tr w:rsidR="00353AC4" w14:paraId="160BADFA" w14:textId="77777777" w:rsidTr="007A0B9B">
        <w:tblPrEx>
          <w:tblCellMar>
            <w:left w:w="70" w:type="dxa"/>
            <w:right w:w="70" w:type="dxa"/>
          </w:tblCellMar>
        </w:tblPrEx>
        <w:trPr>
          <w:trHeight w:val="412"/>
        </w:trPr>
        <w:tc>
          <w:tcPr>
            <w:tcW w:w="4561" w:type="dxa"/>
          </w:tcPr>
          <w:p w14:paraId="070C7016" w14:textId="77777777" w:rsidR="00353AC4" w:rsidRDefault="00353AC4" w:rsidP="00840E7F">
            <w:pPr>
              <w:jc w:val="center"/>
            </w:pPr>
            <w:r w:rsidRPr="00362B06">
              <w:rPr>
                <w:b/>
                <w:bCs/>
                <w:sz w:val="20"/>
                <w:szCs w:val="20"/>
                <w:lang w:val="es-MX"/>
              </w:rPr>
              <w:t>Proyección del financiamiento del régimen</w:t>
            </w:r>
            <w:r>
              <w:rPr>
                <w:b/>
                <w:bCs/>
                <w:sz w:val="20"/>
                <w:szCs w:val="20"/>
                <w:lang w:val="es-MX"/>
              </w:rPr>
              <w:t xml:space="preserve"> de Clases Pasivas </w:t>
            </w:r>
            <w:r w:rsidRPr="00E96967">
              <w:rPr>
                <w:sz w:val="20"/>
                <w:szCs w:val="20"/>
                <w:lang w:val="es-MX"/>
              </w:rPr>
              <w:t>(porcentaje del PIB)</w:t>
            </w:r>
          </w:p>
        </w:tc>
        <w:tc>
          <w:tcPr>
            <w:tcW w:w="4542" w:type="dxa"/>
          </w:tcPr>
          <w:p w14:paraId="0334A788" w14:textId="77777777" w:rsidR="00353AC4" w:rsidRDefault="00353AC4" w:rsidP="00840E7F">
            <w:pPr>
              <w:tabs>
                <w:tab w:val="left" w:pos="726"/>
              </w:tabs>
              <w:jc w:val="center"/>
            </w:pPr>
            <w:r w:rsidRPr="00B20683">
              <w:rPr>
                <w:b/>
                <w:bCs/>
                <w:sz w:val="20"/>
                <w:szCs w:val="20"/>
                <w:lang w:val="es-MX"/>
              </w:rPr>
              <w:t>Proyección de ingresos, gastos y reservas del Programa -IVS-</w:t>
            </w:r>
            <w:r>
              <w:t xml:space="preserve"> </w:t>
            </w:r>
            <w:r w:rsidRPr="00B20683">
              <w:rPr>
                <w:sz w:val="20"/>
                <w:szCs w:val="20"/>
                <w:lang w:val="es-MX"/>
              </w:rPr>
              <w:t>(porcentaje del PIB)</w:t>
            </w:r>
          </w:p>
        </w:tc>
      </w:tr>
      <w:tr w:rsidR="00353AC4" w14:paraId="20CA22DA" w14:textId="77777777" w:rsidTr="007A0B9B">
        <w:tblPrEx>
          <w:tblCellMar>
            <w:left w:w="70" w:type="dxa"/>
            <w:right w:w="70" w:type="dxa"/>
          </w:tblCellMar>
        </w:tblPrEx>
        <w:trPr>
          <w:trHeight w:val="2093"/>
        </w:trPr>
        <w:tc>
          <w:tcPr>
            <w:tcW w:w="4561" w:type="dxa"/>
          </w:tcPr>
          <w:p w14:paraId="591E11AF" w14:textId="77777777" w:rsidR="00353AC4" w:rsidRDefault="00353AC4" w:rsidP="00840E7F">
            <w:r>
              <w:rPr>
                <w:noProof/>
              </w:rPr>
              <w:drawing>
                <wp:inline distT="0" distB="0" distL="0" distR="0" wp14:anchorId="14A738B7" wp14:editId="3065645E">
                  <wp:extent cx="2783840" cy="1439186"/>
                  <wp:effectExtent l="0" t="0" r="0" b="8890"/>
                  <wp:docPr id="243" name="Gráfico 243">
                    <a:extLst xmlns:a="http://schemas.openxmlformats.org/drawingml/2006/main">
                      <a:ext uri="{FF2B5EF4-FFF2-40B4-BE49-F238E27FC236}">
                        <a16:creationId xmlns:a16="http://schemas.microsoft.com/office/drawing/2014/main" id="{F9F00A3F-C2D6-4D22-B1BB-0ABD18BA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4542" w:type="dxa"/>
          </w:tcPr>
          <w:p w14:paraId="71994A73" w14:textId="77777777" w:rsidR="00353AC4" w:rsidRDefault="00353AC4" w:rsidP="00840E7F">
            <w:r>
              <w:rPr>
                <w:noProof/>
              </w:rPr>
              <w:drawing>
                <wp:inline distT="0" distB="0" distL="0" distR="0" wp14:anchorId="5FEDD017" wp14:editId="6FB00521">
                  <wp:extent cx="2771775" cy="1438910"/>
                  <wp:effectExtent l="0" t="0" r="0" b="8890"/>
                  <wp:docPr id="244" name="Gráfico 244">
                    <a:extLst xmlns:a="http://schemas.openxmlformats.org/drawingml/2006/main">
                      <a:ext uri="{FF2B5EF4-FFF2-40B4-BE49-F238E27FC236}">
                        <a16:creationId xmlns:a16="http://schemas.microsoft.com/office/drawing/2014/main" id="{8D9BC03B-012A-456F-BD5A-7B4D02227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r w:rsidR="00353AC4" w14:paraId="11CE48D8" w14:textId="77777777" w:rsidTr="007A0B9B">
        <w:trPr>
          <w:trHeight w:val="192"/>
        </w:trPr>
        <w:tc>
          <w:tcPr>
            <w:tcW w:w="9104" w:type="dxa"/>
            <w:gridSpan w:val="2"/>
          </w:tcPr>
          <w:p w14:paraId="150E26D9" w14:textId="77777777" w:rsidR="00353AC4" w:rsidRDefault="00353AC4" w:rsidP="00840E7F">
            <w:pPr>
              <w:rPr>
                <w:sz w:val="18"/>
                <w:szCs w:val="18"/>
              </w:rPr>
            </w:pPr>
            <w:r>
              <w:rPr>
                <w:sz w:val="18"/>
                <w:szCs w:val="18"/>
              </w:rPr>
              <w:t xml:space="preserve">   </w:t>
            </w:r>
            <w:r w:rsidRPr="00411D33">
              <w:rPr>
                <w:sz w:val="16"/>
                <w:szCs w:val="16"/>
              </w:rPr>
              <w:t>Fuente: Ministerio de Finanzas</w:t>
            </w:r>
          </w:p>
          <w:p w14:paraId="05A7CF74" w14:textId="5AF50D0D" w:rsidR="00411D33" w:rsidRPr="007A0B9B" w:rsidRDefault="00411D33" w:rsidP="00840E7F"/>
        </w:tc>
      </w:tr>
    </w:tbl>
    <w:p w14:paraId="21E0C1E9" w14:textId="4FC9ABF0" w:rsidR="005F38A6" w:rsidRPr="00C36261" w:rsidRDefault="005F38A6" w:rsidP="007F19DF">
      <w:pPr>
        <w:pStyle w:val="Prrafodelista"/>
        <w:numPr>
          <w:ilvl w:val="0"/>
          <w:numId w:val="44"/>
        </w:numPr>
        <w:spacing w:line="259" w:lineRule="auto"/>
        <w:ind w:left="284" w:hanging="284"/>
        <w:jc w:val="both"/>
        <w:outlineLvl w:val="0"/>
        <w:rPr>
          <w:b/>
          <w:bCs/>
        </w:rPr>
      </w:pPr>
      <w:bookmarkStart w:id="403" w:name="_Toc79746359"/>
      <w:bookmarkStart w:id="404" w:name="_Toc110522936"/>
      <w:bookmarkStart w:id="405" w:name="_Toc144114400"/>
      <w:bookmarkStart w:id="406" w:name="_Toc46851807"/>
      <w:r w:rsidRPr="00C36261">
        <w:rPr>
          <w:b/>
          <w:bCs/>
        </w:rPr>
        <w:t xml:space="preserve">Riesgos Fiscales </w:t>
      </w:r>
      <w:r w:rsidR="00D73789">
        <w:rPr>
          <w:b/>
          <w:bCs/>
        </w:rPr>
        <w:t>A</w:t>
      </w:r>
      <w:r w:rsidRPr="00C36261">
        <w:rPr>
          <w:b/>
          <w:bCs/>
        </w:rPr>
        <w:t>sociados a las Municipalidades</w:t>
      </w:r>
      <w:bookmarkEnd w:id="403"/>
      <w:bookmarkEnd w:id="404"/>
      <w:bookmarkEnd w:id="405"/>
    </w:p>
    <w:p w14:paraId="467BC982" w14:textId="77777777" w:rsidR="005F38A6" w:rsidRPr="00F25F78" w:rsidRDefault="005F38A6" w:rsidP="005F38A6"/>
    <w:p w14:paraId="15EE4D1B" w14:textId="77777777" w:rsidR="005F38A6" w:rsidRPr="00A07BD4" w:rsidRDefault="005F38A6" w:rsidP="00731104">
      <w:pPr>
        <w:keepNext/>
        <w:numPr>
          <w:ilvl w:val="0"/>
          <w:numId w:val="36"/>
        </w:numPr>
        <w:ind w:right="49"/>
        <w:outlineLvl w:val="0"/>
        <w:rPr>
          <w:b/>
          <w:vanish/>
          <w:lang w:val="es-MX"/>
        </w:rPr>
      </w:pPr>
      <w:bookmarkStart w:id="407" w:name="_Toc110522937"/>
      <w:bookmarkStart w:id="408" w:name="_Toc143252226"/>
      <w:bookmarkStart w:id="409" w:name="_Toc143252370"/>
      <w:bookmarkStart w:id="410" w:name="_Toc143252512"/>
      <w:bookmarkStart w:id="411" w:name="_Toc143874042"/>
      <w:bookmarkStart w:id="412" w:name="_Toc143874187"/>
      <w:bookmarkStart w:id="413" w:name="_Toc144113953"/>
      <w:bookmarkStart w:id="414" w:name="_Toc144114111"/>
      <w:bookmarkStart w:id="415" w:name="_Toc144114257"/>
      <w:bookmarkStart w:id="416" w:name="_Toc144114401"/>
      <w:bookmarkStart w:id="417" w:name="_Toc79746360"/>
      <w:bookmarkEnd w:id="407"/>
      <w:bookmarkEnd w:id="408"/>
      <w:bookmarkEnd w:id="409"/>
      <w:bookmarkEnd w:id="410"/>
      <w:bookmarkEnd w:id="411"/>
      <w:bookmarkEnd w:id="412"/>
      <w:bookmarkEnd w:id="413"/>
      <w:bookmarkEnd w:id="414"/>
      <w:bookmarkEnd w:id="415"/>
      <w:bookmarkEnd w:id="416"/>
    </w:p>
    <w:p w14:paraId="4535D5D9" w14:textId="77777777" w:rsidR="008C0ACF" w:rsidRPr="008C0ACF" w:rsidRDefault="008C0ACF" w:rsidP="008C0ACF">
      <w:pPr>
        <w:pStyle w:val="Prrafodelista"/>
        <w:keepNext/>
        <w:widowControl w:val="0"/>
        <w:numPr>
          <w:ilvl w:val="0"/>
          <w:numId w:val="35"/>
        </w:numPr>
        <w:contextualSpacing w:val="0"/>
        <w:outlineLvl w:val="1"/>
        <w:rPr>
          <w:rFonts w:eastAsiaTheme="minorHAnsi"/>
          <w:b/>
          <w:bCs/>
          <w:vanish/>
          <w:color w:val="000000"/>
          <w:lang w:eastAsia="en-US"/>
        </w:rPr>
      </w:pPr>
      <w:bookmarkStart w:id="418" w:name="_Toc143252227"/>
      <w:bookmarkStart w:id="419" w:name="_Toc143252371"/>
      <w:bookmarkStart w:id="420" w:name="_Toc143252513"/>
      <w:bookmarkStart w:id="421" w:name="_Toc143874043"/>
      <w:bookmarkStart w:id="422" w:name="_Toc143874188"/>
      <w:bookmarkStart w:id="423" w:name="_Toc144113954"/>
      <w:bookmarkStart w:id="424" w:name="_Toc144114112"/>
      <w:bookmarkStart w:id="425" w:name="_Toc144114258"/>
      <w:bookmarkStart w:id="426" w:name="_Toc144114402"/>
      <w:bookmarkStart w:id="427" w:name="_Toc110522938"/>
      <w:bookmarkEnd w:id="418"/>
      <w:bookmarkEnd w:id="419"/>
      <w:bookmarkEnd w:id="420"/>
      <w:bookmarkEnd w:id="421"/>
      <w:bookmarkEnd w:id="422"/>
      <w:bookmarkEnd w:id="423"/>
      <w:bookmarkEnd w:id="424"/>
      <w:bookmarkEnd w:id="425"/>
      <w:bookmarkEnd w:id="426"/>
    </w:p>
    <w:p w14:paraId="353AF0C1" w14:textId="77777777" w:rsidR="008C0ACF" w:rsidRPr="008C0ACF" w:rsidRDefault="008C0ACF" w:rsidP="008C0ACF">
      <w:pPr>
        <w:pStyle w:val="Prrafodelista"/>
        <w:keepNext/>
        <w:widowControl w:val="0"/>
        <w:numPr>
          <w:ilvl w:val="0"/>
          <w:numId w:val="35"/>
        </w:numPr>
        <w:contextualSpacing w:val="0"/>
        <w:outlineLvl w:val="1"/>
        <w:rPr>
          <w:rFonts w:eastAsiaTheme="minorHAnsi"/>
          <w:b/>
          <w:bCs/>
          <w:vanish/>
          <w:color w:val="000000"/>
          <w:lang w:eastAsia="en-US"/>
        </w:rPr>
      </w:pPr>
      <w:bookmarkStart w:id="428" w:name="_Toc143252228"/>
      <w:bookmarkStart w:id="429" w:name="_Toc143252372"/>
      <w:bookmarkStart w:id="430" w:name="_Toc143252514"/>
      <w:bookmarkStart w:id="431" w:name="_Toc143874044"/>
      <w:bookmarkStart w:id="432" w:name="_Toc143874189"/>
      <w:bookmarkStart w:id="433" w:name="_Toc144113955"/>
      <w:bookmarkStart w:id="434" w:name="_Toc144114113"/>
      <w:bookmarkStart w:id="435" w:name="_Toc144114259"/>
      <w:bookmarkStart w:id="436" w:name="_Toc144114403"/>
      <w:bookmarkEnd w:id="428"/>
      <w:bookmarkEnd w:id="429"/>
      <w:bookmarkEnd w:id="430"/>
      <w:bookmarkEnd w:id="431"/>
      <w:bookmarkEnd w:id="432"/>
      <w:bookmarkEnd w:id="433"/>
      <w:bookmarkEnd w:id="434"/>
      <w:bookmarkEnd w:id="435"/>
      <w:bookmarkEnd w:id="436"/>
    </w:p>
    <w:p w14:paraId="7210C638" w14:textId="3D59B329" w:rsidR="005F38A6" w:rsidRPr="008C0ACF" w:rsidRDefault="005F38A6" w:rsidP="007F19DF">
      <w:pPr>
        <w:pStyle w:val="Ttulo2"/>
        <w:numPr>
          <w:ilvl w:val="1"/>
          <w:numId w:val="35"/>
        </w:numPr>
        <w:ind w:left="567" w:hanging="425"/>
        <w:rPr>
          <w:bCs/>
        </w:rPr>
      </w:pPr>
      <w:bookmarkStart w:id="437" w:name="_Toc144114404"/>
      <w:r w:rsidRPr="008C0ACF">
        <w:rPr>
          <w:bCs/>
        </w:rPr>
        <w:t>Importancia del riesgo fiscal en las Municipalidades</w:t>
      </w:r>
      <w:bookmarkEnd w:id="417"/>
      <w:bookmarkEnd w:id="427"/>
      <w:bookmarkEnd w:id="437"/>
      <w:r w:rsidRPr="008C0ACF">
        <w:rPr>
          <w:bCs/>
        </w:rPr>
        <w:t xml:space="preserve">   </w:t>
      </w:r>
    </w:p>
    <w:p w14:paraId="08914224" w14:textId="77777777" w:rsidR="005F38A6" w:rsidRPr="00227145" w:rsidRDefault="005F38A6" w:rsidP="005F38A6">
      <w:pPr>
        <w:ind w:right="49"/>
        <w:jc w:val="both"/>
        <w:rPr>
          <w:color w:val="FF0000"/>
          <w:highlight w:val="cyan"/>
          <w:lang w:val="es-MX"/>
        </w:rPr>
      </w:pPr>
    </w:p>
    <w:bookmarkEnd w:id="406"/>
    <w:p w14:paraId="47A312DA" w14:textId="77777777" w:rsidR="005F38A6" w:rsidRPr="008A1E5A" w:rsidRDefault="005F38A6" w:rsidP="005F38A6">
      <w:pPr>
        <w:jc w:val="both"/>
        <w:rPr>
          <w:bCs/>
          <w:color w:val="000000" w:themeColor="text1"/>
          <w:lang w:val="es-MX"/>
        </w:rPr>
      </w:pPr>
      <w:r w:rsidRPr="008A1E5A">
        <w:rPr>
          <w:bCs/>
          <w:color w:val="000000" w:themeColor="text1"/>
          <w:lang w:val="es-MX"/>
        </w:rPr>
        <w:t xml:space="preserve">El territorio de Guatemala está organizado por 22 departamentos y 340 municipios. Estos municipios podrían llegar a ser una fuente importante de riesgo fiscal para el gobierno central derivado que </w:t>
      </w:r>
      <w:bookmarkStart w:id="438" w:name="_Hlk140671916"/>
      <w:r w:rsidRPr="008A1E5A">
        <w:rPr>
          <w:bCs/>
          <w:color w:val="000000" w:themeColor="text1"/>
          <w:lang w:val="es-MX"/>
        </w:rPr>
        <w:t>en caso una municipalidad o varias presente dificultades financieras simultáneamente, existe implícitamente la posibilidad o presunción de que el gobierno central debe salir a auxiliar a la municipalidad en dificultades</w:t>
      </w:r>
      <w:bookmarkStart w:id="439" w:name="_Hlk140672123"/>
      <w:bookmarkEnd w:id="438"/>
      <w:r w:rsidRPr="008A1E5A">
        <w:rPr>
          <w:bCs/>
          <w:color w:val="000000" w:themeColor="text1"/>
          <w:lang w:val="es-MX"/>
        </w:rPr>
        <w:t>, poniendo presión sobre los recursos del gobierno central</w:t>
      </w:r>
      <w:bookmarkEnd w:id="439"/>
      <w:r w:rsidRPr="008A1E5A">
        <w:rPr>
          <w:bCs/>
          <w:color w:val="000000" w:themeColor="text1"/>
          <w:lang w:val="es-MX"/>
        </w:rPr>
        <w:t>, que ya están sujetos a restricciones presupuestarias.</w:t>
      </w:r>
    </w:p>
    <w:p w14:paraId="561722BD" w14:textId="77777777" w:rsidR="005F38A6" w:rsidRPr="008A1E5A" w:rsidRDefault="005F38A6" w:rsidP="005F38A6">
      <w:pPr>
        <w:jc w:val="both"/>
        <w:rPr>
          <w:bCs/>
          <w:color w:val="000000" w:themeColor="text1"/>
          <w:lang w:val="es-MX"/>
        </w:rPr>
      </w:pPr>
    </w:p>
    <w:p w14:paraId="509C9BEE" w14:textId="77777777" w:rsidR="005F38A6" w:rsidRPr="008A1E5A" w:rsidRDefault="005F38A6" w:rsidP="005F38A6">
      <w:pPr>
        <w:jc w:val="both"/>
        <w:rPr>
          <w:bCs/>
          <w:color w:val="000000" w:themeColor="text1"/>
          <w:lang w:val="es-MX"/>
        </w:rPr>
      </w:pPr>
      <w:r w:rsidRPr="008A1E5A">
        <w:rPr>
          <w:bCs/>
          <w:color w:val="000000" w:themeColor="text1"/>
          <w:lang w:val="es-MX"/>
        </w:rPr>
        <w:t xml:space="preserve">Dentro del Manual de Transparencia Fiscal del Fondo Monetario Internacional (FMI) se reconoce la importancia de identificar los pasivos contingentes, compuestos por garantías explícitas e implícitas, siendo el caso de las municipalidades una garantía implícita. </w:t>
      </w:r>
    </w:p>
    <w:p w14:paraId="2316C930" w14:textId="77777777" w:rsidR="005F38A6" w:rsidRPr="008A1E5A" w:rsidRDefault="005F38A6" w:rsidP="005F38A6">
      <w:pPr>
        <w:jc w:val="both"/>
        <w:rPr>
          <w:bCs/>
          <w:color w:val="000000" w:themeColor="text1"/>
          <w:lang w:val="es-MX"/>
        </w:rPr>
      </w:pPr>
    </w:p>
    <w:p w14:paraId="61EC38BB" w14:textId="4EC1A5BE" w:rsidR="005F38A6" w:rsidRPr="002333A9" w:rsidRDefault="005F38A6" w:rsidP="005F38A6">
      <w:pPr>
        <w:jc w:val="both"/>
        <w:rPr>
          <w:bCs/>
          <w:color w:val="000000" w:themeColor="text1"/>
          <w:lang w:val="es-MX"/>
        </w:rPr>
      </w:pPr>
      <w:r w:rsidRPr="008A1E5A">
        <w:rPr>
          <w:bCs/>
          <w:color w:val="000000" w:themeColor="text1"/>
          <w:lang w:val="es-MX"/>
        </w:rPr>
        <w:t xml:space="preserve">Aunque no existe una obligación legal por Decreto que ampare dicha intervención, se podría inferir que el gobierno, previa autorización del Organismo Legislativo, evitaría que una municipalidad caiga en default y deje de cumplir con sus compromisos financieros, dado que, en este escenario hipotético significaría que la municipalidad no podría hacer frente a sus </w:t>
      </w:r>
      <w:r w:rsidRPr="00B61166">
        <w:rPr>
          <w:bCs/>
          <w:color w:val="000000" w:themeColor="text1"/>
          <w:lang w:val="es-MX"/>
        </w:rPr>
        <w:t xml:space="preserve">obligaciones financieras (pagos de deuda).  </w:t>
      </w:r>
      <w:r w:rsidRPr="00B61166">
        <w:rPr>
          <w:bCs/>
          <w:color w:val="000000" w:themeColor="text1"/>
        </w:rPr>
        <w:t>Por ello es importante identificar el riesgo fiscal derivado de las municipalidades, principalmente por préstamos y deudas acumuladas, dado que una vez que la municipalidad no puede hacerse cargo, dichas obligaciones pasarían a ser parte de la deuda del gobierno, convirtiéndose en un pasivo explícito, ya que el gobierno central asumiría esos compromisos de pago, esta expectativa podría materializarse más aún si el gobierno ha acudido con anterioridad al rescate de las municipalidades.</w:t>
      </w:r>
    </w:p>
    <w:p w14:paraId="3E4938BF" w14:textId="77777777" w:rsidR="005F38A6" w:rsidRDefault="005F38A6" w:rsidP="005F38A6">
      <w:pPr>
        <w:ind w:left="567" w:right="49"/>
        <w:jc w:val="both"/>
        <w:rPr>
          <w:bCs/>
          <w:highlight w:val="yellow"/>
          <w:lang w:val="es-MX"/>
        </w:rPr>
      </w:pPr>
    </w:p>
    <w:p w14:paraId="1A12D6EC" w14:textId="01C2CE51" w:rsidR="005F38A6" w:rsidRPr="008C0ACF" w:rsidRDefault="005F38A6" w:rsidP="007F19DF">
      <w:pPr>
        <w:pStyle w:val="Ttulo2"/>
        <w:numPr>
          <w:ilvl w:val="2"/>
          <w:numId w:val="35"/>
        </w:numPr>
        <w:tabs>
          <w:tab w:val="left" w:pos="851"/>
        </w:tabs>
        <w:ind w:left="567" w:hanging="283"/>
        <w:rPr>
          <w:bCs/>
        </w:rPr>
      </w:pPr>
      <w:bookmarkStart w:id="440" w:name="_Toc79746361"/>
      <w:bookmarkStart w:id="441" w:name="_Toc110522939"/>
      <w:bookmarkStart w:id="442" w:name="_Toc144114405"/>
      <w:r w:rsidRPr="008C0ACF">
        <w:rPr>
          <w:bCs/>
        </w:rPr>
        <w:t xml:space="preserve">Identificación y </w:t>
      </w:r>
      <w:r w:rsidR="00256C88">
        <w:rPr>
          <w:bCs/>
        </w:rPr>
        <w:t>e</w:t>
      </w:r>
      <w:r w:rsidRPr="008C0ACF">
        <w:rPr>
          <w:bCs/>
        </w:rPr>
        <w:t>valuación</w:t>
      </w:r>
      <w:bookmarkEnd w:id="440"/>
      <w:bookmarkEnd w:id="441"/>
      <w:bookmarkEnd w:id="442"/>
      <w:r w:rsidRPr="008C0ACF">
        <w:rPr>
          <w:bCs/>
        </w:rPr>
        <w:t xml:space="preserve"> </w:t>
      </w:r>
    </w:p>
    <w:p w14:paraId="5FCBE5E9" w14:textId="77777777" w:rsidR="005F38A6" w:rsidRPr="00612F55" w:rsidRDefault="005F38A6" w:rsidP="005F38A6"/>
    <w:p w14:paraId="2C40151B" w14:textId="058E2C10" w:rsidR="005F38A6" w:rsidRDefault="005F38A6" w:rsidP="005F38A6">
      <w:pPr>
        <w:jc w:val="both"/>
        <w:rPr>
          <w:bCs/>
          <w:color w:val="000000" w:themeColor="text1"/>
          <w:lang w:val="es-MX"/>
        </w:rPr>
      </w:pPr>
      <w:r w:rsidRPr="008B18ED">
        <w:rPr>
          <w:bCs/>
          <w:color w:val="000000" w:themeColor="text1"/>
          <w:lang w:val="es-MX"/>
        </w:rPr>
        <w:t xml:space="preserve">Para el efecto se tomaron en consideración cuatro indicadores, para realizar una </w:t>
      </w:r>
      <w:bookmarkStart w:id="443" w:name="_Hlk140672876"/>
      <w:r w:rsidRPr="008B18ED">
        <w:rPr>
          <w:bCs/>
          <w:color w:val="000000" w:themeColor="text1"/>
          <w:lang w:val="es-MX"/>
        </w:rPr>
        <w:t xml:space="preserve">evaluación global y a nivel municipal </w:t>
      </w:r>
      <w:bookmarkEnd w:id="443"/>
      <w:r w:rsidRPr="008B18ED">
        <w:rPr>
          <w:bCs/>
          <w:color w:val="000000" w:themeColor="text1"/>
          <w:lang w:val="es-MX"/>
        </w:rPr>
        <w:t>de posibles fuentes de riesgos fiscales.</w:t>
      </w:r>
      <w:r w:rsidR="007A0B9B">
        <w:rPr>
          <w:bCs/>
          <w:color w:val="000000" w:themeColor="text1"/>
          <w:lang w:val="es-MX"/>
        </w:rPr>
        <w:t xml:space="preserve"> </w:t>
      </w:r>
    </w:p>
    <w:p w14:paraId="3A3D07CD" w14:textId="77777777" w:rsidR="007A0B9B" w:rsidRPr="008B18ED" w:rsidRDefault="007A0B9B" w:rsidP="005F38A6">
      <w:pPr>
        <w:jc w:val="both"/>
        <w:rPr>
          <w:bCs/>
          <w:color w:val="000000" w:themeColor="text1"/>
          <w:lang w:val="es-MX"/>
        </w:rPr>
      </w:pPr>
    </w:p>
    <w:p w14:paraId="27DF6518" w14:textId="77777777" w:rsidR="005F38A6" w:rsidRPr="008B18ED" w:rsidRDefault="005F38A6" w:rsidP="005F38A6">
      <w:pPr>
        <w:jc w:val="both"/>
        <w:rPr>
          <w:bCs/>
          <w:color w:val="000000" w:themeColor="text1"/>
          <w:lang w:val="es-MX"/>
        </w:rPr>
      </w:pPr>
      <w:r w:rsidRPr="008B18ED">
        <w:rPr>
          <w:bCs/>
          <w:color w:val="000000" w:themeColor="text1"/>
          <w:lang w:val="es-MX"/>
        </w:rPr>
        <w:t xml:space="preserve">Con los resultados obtenidos de los indicadores seleccionados, es posible tener indicadores de alerta para la toma de decisiones de aquellas municipalidades que se encuentran mal </w:t>
      </w:r>
      <w:r w:rsidRPr="008B18ED">
        <w:rPr>
          <w:bCs/>
          <w:color w:val="000000" w:themeColor="text1"/>
          <w:lang w:val="es-MX"/>
        </w:rPr>
        <w:lastRenderedPageBreak/>
        <w:t>evaluadas, permitiendo identificar aquellas que necesitan una mejora en cuento a disciplina fiscal, transparencia y rendición de cuentas.</w:t>
      </w:r>
    </w:p>
    <w:p w14:paraId="40361C97" w14:textId="77777777" w:rsidR="005F38A6" w:rsidRPr="008B18ED" w:rsidRDefault="005F38A6" w:rsidP="005F38A6">
      <w:pPr>
        <w:jc w:val="both"/>
        <w:rPr>
          <w:bCs/>
          <w:color w:val="000000" w:themeColor="text1"/>
          <w:lang w:val="es-MX"/>
        </w:rPr>
      </w:pPr>
    </w:p>
    <w:p w14:paraId="76F3A2A5" w14:textId="77777777" w:rsidR="005F38A6" w:rsidRPr="002333A9" w:rsidRDefault="005F38A6" w:rsidP="005F38A6">
      <w:pPr>
        <w:jc w:val="both"/>
        <w:rPr>
          <w:bCs/>
          <w:color w:val="000000" w:themeColor="text1"/>
          <w:lang w:val="es-MX"/>
        </w:rPr>
      </w:pPr>
      <w:r w:rsidRPr="008B18ED">
        <w:rPr>
          <w:bCs/>
          <w:color w:val="000000" w:themeColor="text1"/>
          <w:lang w:val="es-MX"/>
        </w:rPr>
        <w:t>No obstante, es importante realizar el descargo de responsabilidad, dado que los datos presentados por las municipalidades en los sistemas pueden estar afectados por numerosos factores, tales como problemas de registro, calidad de los datos y acceso a la información.</w:t>
      </w:r>
    </w:p>
    <w:p w14:paraId="7BB39351" w14:textId="77777777" w:rsidR="005F38A6" w:rsidRPr="00EB56BD" w:rsidRDefault="005F38A6" w:rsidP="005F38A6">
      <w:pPr>
        <w:ind w:left="561" w:right="49"/>
        <w:jc w:val="both"/>
        <w:rPr>
          <w:bCs/>
          <w:lang w:val="es-MX"/>
        </w:rPr>
      </w:pPr>
    </w:p>
    <w:p w14:paraId="33278289" w14:textId="073F9FE6" w:rsidR="005F38A6" w:rsidRPr="008C0ACF" w:rsidRDefault="005F38A6" w:rsidP="007F19DF">
      <w:pPr>
        <w:pStyle w:val="Ttulo2"/>
        <w:numPr>
          <w:ilvl w:val="2"/>
          <w:numId w:val="35"/>
        </w:numPr>
        <w:tabs>
          <w:tab w:val="left" w:pos="851"/>
        </w:tabs>
        <w:ind w:left="567" w:hanging="283"/>
        <w:rPr>
          <w:bCs/>
        </w:rPr>
      </w:pPr>
      <w:bookmarkStart w:id="444" w:name="_Toc79746362"/>
      <w:bookmarkStart w:id="445" w:name="_Toc110522940"/>
      <w:bookmarkStart w:id="446" w:name="_Toc144114406"/>
      <w:r w:rsidRPr="008C0ACF">
        <w:rPr>
          <w:bCs/>
        </w:rPr>
        <w:t xml:space="preserve">Autonomía </w:t>
      </w:r>
      <w:r w:rsidR="00256C88">
        <w:rPr>
          <w:bCs/>
        </w:rPr>
        <w:t>f</w:t>
      </w:r>
      <w:r w:rsidRPr="008C0ACF">
        <w:rPr>
          <w:bCs/>
        </w:rPr>
        <w:t>inanciera de las Municipalidades</w:t>
      </w:r>
      <w:bookmarkEnd w:id="444"/>
      <w:bookmarkEnd w:id="445"/>
      <w:bookmarkEnd w:id="446"/>
    </w:p>
    <w:p w14:paraId="0DC7A235" w14:textId="77777777" w:rsidR="005F38A6" w:rsidRDefault="005F38A6" w:rsidP="005F38A6">
      <w:pPr>
        <w:jc w:val="both"/>
        <w:rPr>
          <w:rFonts w:eastAsia="OptimaLTStd"/>
          <w:color w:val="FF0000"/>
          <w:lang w:val="es-ES"/>
        </w:rPr>
      </w:pPr>
    </w:p>
    <w:p w14:paraId="3EA675F7" w14:textId="77777777" w:rsidR="005F38A6" w:rsidRPr="008B18ED" w:rsidRDefault="005F38A6" w:rsidP="005F38A6">
      <w:pPr>
        <w:jc w:val="both"/>
        <w:rPr>
          <w:bCs/>
          <w:color w:val="000000" w:themeColor="text1"/>
          <w:lang w:val="es-MX"/>
        </w:rPr>
      </w:pPr>
      <w:r w:rsidRPr="008B18ED">
        <w:rPr>
          <w:bCs/>
          <w:color w:val="000000" w:themeColor="text1"/>
          <w:lang w:val="es-MX"/>
        </w:rPr>
        <w:t>Dentro de la Constitución Política de la República de Guatemala, se establece en el artículo 253 que los municipios son instituciones autónomas, teniendo entre sus competencias la gestión financiera del municipio.  Asimismo, en el artículo 257 se regula la asignación para las municipalidades, el Ejecutivo incluye anualmente en el Presupuesto General del Estado, un 10.0% para las Municipalidades del país. Otras fuentes importantes de sus recursos provienen el IVA- Paz, circulación de vehículos, entre otros impuestos. Dichos recursos son trasladados por el Gobierno Central a las Municipalidades a través de transferencias y algunas municipalidades muestran una alta dependencia de estas transferencias, constituyéndose en un factor negativo ya que podría existir un desánimo por parte de las municipalidades por buscar recaudar recursos propios.</w:t>
      </w:r>
    </w:p>
    <w:p w14:paraId="13084CBD" w14:textId="77777777" w:rsidR="005F38A6" w:rsidRPr="006A4910" w:rsidRDefault="005F38A6" w:rsidP="005F38A6">
      <w:pPr>
        <w:jc w:val="both"/>
        <w:rPr>
          <w:bCs/>
          <w:color w:val="000000" w:themeColor="text1"/>
          <w:highlight w:val="cyan"/>
          <w:lang w:val="es-MX"/>
        </w:rPr>
      </w:pPr>
    </w:p>
    <w:p w14:paraId="4074B77E" w14:textId="77777777" w:rsidR="005F38A6" w:rsidRPr="002333A9" w:rsidRDefault="005F38A6" w:rsidP="005F38A6">
      <w:pPr>
        <w:jc w:val="both"/>
        <w:rPr>
          <w:bCs/>
          <w:color w:val="000000" w:themeColor="text1"/>
          <w:lang w:val="es-MX"/>
        </w:rPr>
      </w:pPr>
      <w:r w:rsidRPr="008B18ED">
        <w:rPr>
          <w:bCs/>
          <w:color w:val="000000" w:themeColor="text1"/>
          <w:lang w:val="es-MX"/>
        </w:rPr>
        <w:t>Por ello se considera importante medir los ingresos propios municipales con relación al total de los ingresos percibidos en el período, y de esta forma determinar la capacidad y esfuerzo de las municipalidades por captar recursos propios, los cuales de acuerdo al Código Municipal provienen de recaudación de tasas, arbitrios, servicios municipales, contribuciones por mejoras, contribuciones por la explotación comercial de los recursos del municipio, entre otros.</w:t>
      </w:r>
    </w:p>
    <w:p w14:paraId="58B02587" w14:textId="77777777" w:rsidR="005F38A6" w:rsidRPr="002333A9" w:rsidRDefault="005F38A6" w:rsidP="005F38A6">
      <w:pPr>
        <w:jc w:val="both"/>
        <w:rPr>
          <w:bCs/>
          <w:color w:val="000000" w:themeColor="text1"/>
          <w:lang w:val="es-MX"/>
        </w:rPr>
      </w:pPr>
    </w:p>
    <w:p w14:paraId="789C9431" w14:textId="77777777" w:rsidR="005F38A6" w:rsidRPr="002333A9" w:rsidRDefault="005F38A6" w:rsidP="005F38A6">
      <w:pPr>
        <w:jc w:val="both"/>
        <w:rPr>
          <w:bCs/>
          <w:color w:val="000000" w:themeColor="text1"/>
          <w:lang w:val="es-MX"/>
        </w:rPr>
      </w:pPr>
      <w:r>
        <w:rPr>
          <w:bCs/>
          <w:color w:val="000000" w:themeColor="text1"/>
          <w:lang w:val="es-MX"/>
        </w:rPr>
        <w:t xml:space="preserve">Por segundo año consecutivo, </w:t>
      </w:r>
      <w:bookmarkStart w:id="447" w:name="_Hlk140673640"/>
      <w:r>
        <w:rPr>
          <w:bCs/>
          <w:color w:val="000000" w:themeColor="text1"/>
          <w:lang w:val="es-MX"/>
        </w:rPr>
        <w:t>l</w:t>
      </w:r>
      <w:r w:rsidRPr="002333A9">
        <w:rPr>
          <w:bCs/>
          <w:color w:val="000000" w:themeColor="text1"/>
          <w:lang w:val="es-MX"/>
        </w:rPr>
        <w:t>as municipalidades incrementaron su indicador de autonomía financiera</w:t>
      </w:r>
      <w:r>
        <w:rPr>
          <w:bCs/>
          <w:color w:val="000000" w:themeColor="text1"/>
          <w:lang w:val="es-MX"/>
        </w:rPr>
        <w:t xml:space="preserve">, siendo para 2022 del 30.7% y mayor en 0.4 puntos porcentuales respecto al 30.3% observado en 2021. </w:t>
      </w:r>
      <w:bookmarkEnd w:id="447"/>
      <w:r>
        <w:rPr>
          <w:bCs/>
          <w:color w:val="000000" w:themeColor="text1"/>
          <w:lang w:val="es-MX"/>
        </w:rPr>
        <w:t>Cabe mencionar que este indicador se encuentra por encima del promedio observado entre 2017-2022 del 30.3%</w:t>
      </w:r>
      <w:r w:rsidRPr="002333A9">
        <w:rPr>
          <w:bCs/>
          <w:color w:val="000000" w:themeColor="text1"/>
          <w:lang w:val="es-MX"/>
        </w:rPr>
        <w:t>.</w:t>
      </w:r>
    </w:p>
    <w:p w14:paraId="29EE0813" w14:textId="77777777" w:rsidR="005F38A6" w:rsidRDefault="005F38A6" w:rsidP="005F38A6">
      <w:pPr>
        <w:ind w:left="567" w:right="49"/>
        <w:jc w:val="both"/>
        <w:rPr>
          <w:bCs/>
          <w:lang w:val="es-MX"/>
        </w:rPr>
      </w:pPr>
    </w:p>
    <w:p w14:paraId="2BB88683" w14:textId="3B75A965" w:rsidR="005F38A6" w:rsidRPr="00411D33" w:rsidRDefault="00411D33" w:rsidP="00411D33">
      <w:pPr>
        <w:pStyle w:val="Descripcin"/>
        <w:rPr>
          <w:color w:val="auto"/>
        </w:rPr>
      </w:pPr>
      <w:bookmarkStart w:id="448" w:name="_Toc143593619"/>
      <w:r w:rsidRPr="00411D33">
        <w:rPr>
          <w:color w:val="auto"/>
        </w:rPr>
        <w:t xml:space="preserve">Gráfico </w:t>
      </w:r>
      <w:r w:rsidRPr="00411D33">
        <w:rPr>
          <w:color w:val="auto"/>
        </w:rPr>
        <w:fldChar w:fldCharType="begin"/>
      </w:r>
      <w:r w:rsidRPr="00411D33">
        <w:rPr>
          <w:color w:val="auto"/>
        </w:rPr>
        <w:instrText xml:space="preserve"> SEQ Gráfico \* ARABIC </w:instrText>
      </w:r>
      <w:r w:rsidRPr="00411D33">
        <w:rPr>
          <w:color w:val="auto"/>
        </w:rPr>
        <w:fldChar w:fldCharType="separate"/>
      </w:r>
      <w:r w:rsidR="00A62AFA">
        <w:rPr>
          <w:noProof/>
          <w:color w:val="auto"/>
        </w:rPr>
        <w:t>61</w:t>
      </w:r>
      <w:r w:rsidRPr="00411D33">
        <w:rPr>
          <w:color w:val="auto"/>
        </w:rPr>
        <w:fldChar w:fldCharType="end"/>
      </w:r>
      <w:r w:rsidRPr="00411D33">
        <w:rPr>
          <w:color w:val="auto"/>
        </w:rPr>
        <w:t xml:space="preserve">.  </w:t>
      </w:r>
      <w:bookmarkStart w:id="449" w:name="_Toc110522817"/>
      <w:r w:rsidRPr="00411D33">
        <w:rPr>
          <w:bCs/>
          <w:color w:val="auto"/>
          <w:lang w:val="es-MX"/>
        </w:rPr>
        <w:t>Autonomía Financiera de las Municipalidades</w:t>
      </w:r>
      <w:bookmarkEnd w:id="448"/>
      <w:bookmarkEnd w:id="449"/>
    </w:p>
    <w:p w14:paraId="610D1F9D" w14:textId="77777777" w:rsidR="005F38A6" w:rsidRDefault="005F38A6" w:rsidP="005F38A6">
      <w:pPr>
        <w:ind w:left="567" w:right="49"/>
        <w:jc w:val="center"/>
        <w:rPr>
          <w:lang w:val="es-MX"/>
        </w:rPr>
      </w:pPr>
      <w:r>
        <w:rPr>
          <w:lang w:val="es-MX"/>
        </w:rPr>
        <w:t>Como</w:t>
      </w:r>
      <w:r w:rsidRPr="006A7014">
        <w:rPr>
          <w:lang w:val="es-MX"/>
        </w:rPr>
        <w:t xml:space="preserve"> porcentajes respecto a sus ingresos totales</w:t>
      </w:r>
    </w:p>
    <w:p w14:paraId="4F82A393" w14:textId="77777777" w:rsidR="005F38A6" w:rsidRPr="00A43C11" w:rsidRDefault="005F38A6" w:rsidP="005F38A6">
      <w:pPr>
        <w:ind w:left="567" w:right="49"/>
        <w:jc w:val="center"/>
        <w:rPr>
          <w:b/>
          <w:bCs/>
        </w:rPr>
      </w:pPr>
      <w:r>
        <w:rPr>
          <w:noProof/>
        </w:rPr>
        <w:drawing>
          <wp:inline distT="0" distB="0" distL="0" distR="0" wp14:anchorId="709875F0" wp14:editId="15A1FFF3">
            <wp:extent cx="4572000" cy="2130949"/>
            <wp:effectExtent l="0" t="0" r="0" b="3175"/>
            <wp:docPr id="248657639" name="Gráfico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61CA1A90" w14:textId="77777777" w:rsidR="005F38A6" w:rsidRPr="00960298" w:rsidRDefault="005F38A6" w:rsidP="005F38A6">
      <w:pPr>
        <w:autoSpaceDE w:val="0"/>
        <w:autoSpaceDN w:val="0"/>
        <w:adjustRightInd w:val="0"/>
        <w:ind w:left="708" w:firstLine="708"/>
        <w:rPr>
          <w:sz w:val="16"/>
        </w:rPr>
      </w:pPr>
      <w:r w:rsidRPr="00960298">
        <w:rPr>
          <w:sz w:val="16"/>
        </w:rPr>
        <w:t xml:space="preserve">Fuente: </w:t>
      </w:r>
      <w:proofErr w:type="spellStart"/>
      <w:r w:rsidRPr="00960298">
        <w:rPr>
          <w:sz w:val="16"/>
        </w:rPr>
        <w:t>Sicoin</w:t>
      </w:r>
      <w:proofErr w:type="spellEnd"/>
      <w:r w:rsidRPr="00960298">
        <w:rPr>
          <w:sz w:val="16"/>
        </w:rPr>
        <w:t xml:space="preserve"> GL</w:t>
      </w:r>
    </w:p>
    <w:p w14:paraId="78302E29" w14:textId="77777777" w:rsidR="005F38A6" w:rsidRDefault="005F38A6" w:rsidP="005F38A6">
      <w:pPr>
        <w:jc w:val="both"/>
        <w:rPr>
          <w:bCs/>
          <w:color w:val="000000" w:themeColor="text1"/>
          <w:lang w:val="es-MX"/>
        </w:rPr>
      </w:pPr>
      <w:r>
        <w:rPr>
          <w:bCs/>
          <w:color w:val="000000" w:themeColor="text1"/>
          <w:lang w:val="es-MX"/>
        </w:rPr>
        <w:lastRenderedPageBreak/>
        <w:t xml:space="preserve">En cuanto a </w:t>
      </w:r>
      <w:bookmarkStart w:id="450" w:name="_Hlk140673869"/>
      <w:r>
        <w:rPr>
          <w:bCs/>
          <w:color w:val="000000" w:themeColor="text1"/>
          <w:lang w:val="es-MX"/>
        </w:rPr>
        <w:t xml:space="preserve">las municipalidades con un alto indicador de autonomía financiera, las principales fueron: la municipalidad  de Guatemala que posee el mayor indicador en 2022 siendo del 78.4% (es un aumento de 0.4 puntos porcentuales respecto el año previo) seguido de Quetzaltenango con el 77.8% (tuvo una reducción de 0.9 puntos porcentuales), Mixco con un 75.4% (tuvo una reducción de 0.3 puntos porcentuales), Villa Nueva con el 68.4% (tuvo una reducción de 0.9 puntos porcentuales) y Santa Catarina Pinula con el 65.5% (tuvo una reducción de 0.6 puntos porcentuales). </w:t>
      </w:r>
    </w:p>
    <w:bookmarkEnd w:id="450"/>
    <w:p w14:paraId="6B67DB18" w14:textId="77777777" w:rsidR="005F38A6" w:rsidRDefault="005F38A6" w:rsidP="005F38A6">
      <w:pPr>
        <w:jc w:val="both"/>
        <w:rPr>
          <w:bCs/>
          <w:color w:val="000000" w:themeColor="text1"/>
          <w:lang w:val="es-MX"/>
        </w:rPr>
      </w:pPr>
    </w:p>
    <w:p w14:paraId="0A4D1FD5" w14:textId="67535196" w:rsidR="005F38A6" w:rsidRDefault="005F38A6" w:rsidP="005F38A6">
      <w:pPr>
        <w:jc w:val="both"/>
        <w:rPr>
          <w:bCs/>
          <w:color w:val="000000" w:themeColor="text1"/>
          <w:lang w:val="es-MX"/>
        </w:rPr>
      </w:pPr>
      <w:r w:rsidRPr="00F714FB">
        <w:rPr>
          <w:bCs/>
          <w:color w:val="000000" w:themeColor="text1"/>
          <w:lang w:val="es-MX"/>
        </w:rPr>
        <w:t xml:space="preserve">Las municipalidades que experimentaron el mayor incremento en sus indicadores de autonomía financiera fueron: Santa María Nebaj que obtuvo un 30.6% en su indicador para 2022 y aumentando en 13.3 puntos porcentuales respecto al 17.3% observado en 2021, la municipalidad de Palín obtuvo un 50.8% y siendo un aumento de 12.9 puntos porcentuales, </w:t>
      </w:r>
      <w:proofErr w:type="spellStart"/>
      <w:r w:rsidRPr="00F714FB">
        <w:rPr>
          <w:bCs/>
          <w:color w:val="000000" w:themeColor="text1"/>
          <w:lang w:val="es-MX"/>
        </w:rPr>
        <w:t>Malacatan</w:t>
      </w:r>
      <w:proofErr w:type="spellEnd"/>
      <w:r w:rsidRPr="00F714FB">
        <w:rPr>
          <w:bCs/>
          <w:color w:val="000000" w:themeColor="text1"/>
          <w:lang w:val="es-MX"/>
        </w:rPr>
        <w:t xml:space="preserve"> tuvo una autonomía del 29.8% aumentando en 10.6 puntos porcentuales, Morales (Izabal) tuvo un indicador del 27.2% y aumentando en 9.3 puntos porcentuales y por último la municipalidad de Los Amates (Izabal) que tiene una autonomía financiera del 26.1% aumentando su indicador en 8.7 puntos porcentuales respecto a lo observado en el 2021.</w:t>
      </w:r>
    </w:p>
    <w:p w14:paraId="026DE899" w14:textId="77777777" w:rsidR="006F4B59" w:rsidRPr="006F4B59" w:rsidRDefault="006F4B59" w:rsidP="005F38A6">
      <w:pPr>
        <w:jc w:val="both"/>
        <w:rPr>
          <w:bCs/>
          <w:color w:val="000000" w:themeColor="text1"/>
          <w:sz w:val="14"/>
          <w:szCs w:val="14"/>
          <w:lang w:val="es-MX"/>
        </w:rPr>
      </w:pPr>
    </w:p>
    <w:p w14:paraId="4BCAE873" w14:textId="77777777" w:rsidR="005F38A6" w:rsidRPr="006F4B59" w:rsidRDefault="005F38A6" w:rsidP="005F38A6">
      <w:pPr>
        <w:jc w:val="both"/>
        <w:rPr>
          <w:sz w:val="10"/>
          <w:szCs w:val="10"/>
          <w:lang w:val="es-ES"/>
        </w:rPr>
      </w:pPr>
    </w:p>
    <w:tbl>
      <w:tblPr>
        <w:tblpPr w:leftFromText="141" w:rightFromText="141" w:vertAnchor="text" w:horzAnchor="margin" w:tblpY="-65"/>
        <w:tblW w:w="8838" w:type="dxa"/>
        <w:tblLook w:val="04A0" w:firstRow="1" w:lastRow="0" w:firstColumn="1" w:lastColumn="0" w:noHBand="0" w:noVBand="1"/>
      </w:tblPr>
      <w:tblGrid>
        <w:gridCol w:w="4388"/>
        <w:gridCol w:w="4189"/>
        <w:gridCol w:w="261"/>
      </w:tblGrid>
      <w:tr w:rsidR="005F38A6" w:rsidRPr="002955CD" w14:paraId="19FFD7F7" w14:textId="77777777" w:rsidTr="006A7377">
        <w:trPr>
          <w:gridAfter w:val="1"/>
          <w:wAfter w:w="255" w:type="dxa"/>
          <w:trHeight w:val="698"/>
        </w:trPr>
        <w:tc>
          <w:tcPr>
            <w:tcW w:w="8583" w:type="dxa"/>
            <w:gridSpan w:val="2"/>
          </w:tcPr>
          <w:p w14:paraId="424454DA" w14:textId="4ADBD7AA" w:rsidR="005F38A6" w:rsidRPr="00411D33" w:rsidRDefault="00411D33" w:rsidP="00411D33">
            <w:pPr>
              <w:pStyle w:val="Descripcin"/>
              <w:rPr>
                <w:b w:val="0"/>
                <w:bCs/>
                <w:color w:val="auto"/>
              </w:rPr>
            </w:pPr>
            <w:bookmarkStart w:id="451" w:name="_Toc143593620"/>
            <w:r w:rsidRPr="00411D33">
              <w:rPr>
                <w:color w:val="auto"/>
              </w:rPr>
              <w:t xml:space="preserve">Gráfico </w:t>
            </w:r>
            <w:r w:rsidRPr="00411D33">
              <w:rPr>
                <w:color w:val="auto"/>
              </w:rPr>
              <w:fldChar w:fldCharType="begin"/>
            </w:r>
            <w:r w:rsidRPr="00411D33">
              <w:rPr>
                <w:color w:val="auto"/>
              </w:rPr>
              <w:instrText xml:space="preserve"> SEQ Gráfico \* ARABIC </w:instrText>
            </w:r>
            <w:r w:rsidRPr="00411D33">
              <w:rPr>
                <w:color w:val="auto"/>
              </w:rPr>
              <w:fldChar w:fldCharType="separate"/>
            </w:r>
            <w:r w:rsidR="00A62AFA">
              <w:rPr>
                <w:noProof/>
                <w:color w:val="auto"/>
              </w:rPr>
              <w:t>62</w:t>
            </w:r>
            <w:r w:rsidRPr="00411D33">
              <w:rPr>
                <w:color w:val="auto"/>
              </w:rPr>
              <w:fldChar w:fldCharType="end"/>
            </w:r>
            <w:r w:rsidRPr="00411D33">
              <w:rPr>
                <w:color w:val="auto"/>
              </w:rPr>
              <w:t xml:space="preserve">.  </w:t>
            </w:r>
            <w:bookmarkStart w:id="452" w:name="_Toc110522818"/>
            <w:r w:rsidRPr="00411D33">
              <w:rPr>
                <w:bCs/>
                <w:color w:val="auto"/>
              </w:rPr>
              <w:t xml:space="preserve"> Autonomía </w:t>
            </w:r>
            <w:bookmarkEnd w:id="452"/>
            <w:r w:rsidRPr="00411D33">
              <w:rPr>
                <w:bCs/>
                <w:color w:val="auto"/>
              </w:rPr>
              <w:t>por Municipalidad</w:t>
            </w:r>
            <w:bookmarkEnd w:id="451"/>
          </w:p>
          <w:p w14:paraId="5277F733" w14:textId="77777777" w:rsidR="005F38A6" w:rsidRDefault="005F38A6" w:rsidP="00411D33">
            <w:pPr>
              <w:jc w:val="center"/>
              <w:rPr>
                <w:sz w:val="22"/>
              </w:rPr>
            </w:pPr>
            <w:r>
              <w:rPr>
                <w:sz w:val="22"/>
              </w:rPr>
              <w:t>P</w:t>
            </w:r>
            <w:r w:rsidRPr="00960298">
              <w:rPr>
                <w:sz w:val="22"/>
              </w:rPr>
              <w:t>ara el año 202</w:t>
            </w:r>
            <w:r>
              <w:rPr>
                <w:sz w:val="22"/>
              </w:rPr>
              <w:t>2</w:t>
            </w:r>
          </w:p>
          <w:p w14:paraId="5F534EB8" w14:textId="77777777" w:rsidR="005F38A6" w:rsidRPr="002955CD" w:rsidRDefault="005F38A6" w:rsidP="00411D33">
            <w:pPr>
              <w:jc w:val="center"/>
            </w:pPr>
            <w:r>
              <w:rPr>
                <w:sz w:val="22"/>
              </w:rPr>
              <w:t>Como porcentajes respecto a sus ingresos totales</w:t>
            </w:r>
          </w:p>
        </w:tc>
      </w:tr>
      <w:tr w:rsidR="005F38A6" w:rsidRPr="002955CD" w14:paraId="7B2ABA9A" w14:textId="77777777" w:rsidTr="006A7377">
        <w:tblPrEx>
          <w:tblCellMar>
            <w:left w:w="70" w:type="dxa"/>
            <w:right w:w="70" w:type="dxa"/>
          </w:tblCellMar>
        </w:tblPrEx>
        <w:trPr>
          <w:trHeight w:val="3192"/>
        </w:trPr>
        <w:tc>
          <w:tcPr>
            <w:tcW w:w="4424" w:type="dxa"/>
          </w:tcPr>
          <w:p w14:paraId="070CE085" w14:textId="77777777" w:rsidR="005F38A6" w:rsidRPr="002955CD" w:rsidRDefault="005F38A6" w:rsidP="006A7377">
            <w:pPr>
              <w:ind w:left="209"/>
            </w:pPr>
            <w:r>
              <w:rPr>
                <w:noProof/>
              </w:rPr>
              <w:drawing>
                <wp:inline distT="0" distB="0" distL="0" distR="0" wp14:anchorId="020BE16C" wp14:editId="16E9952F">
                  <wp:extent cx="2574925" cy="2019869"/>
                  <wp:effectExtent l="0" t="0" r="0" b="0"/>
                  <wp:docPr id="184865424" name="Gráfico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4414" w:type="dxa"/>
            <w:gridSpan w:val="2"/>
          </w:tcPr>
          <w:p w14:paraId="140E143A" w14:textId="77777777" w:rsidR="005F38A6" w:rsidRPr="002955CD" w:rsidRDefault="005F38A6" w:rsidP="006A7377">
            <w:r>
              <w:rPr>
                <w:noProof/>
              </w:rPr>
              <w:drawing>
                <wp:inline distT="0" distB="0" distL="0" distR="0" wp14:anchorId="7F6066BE" wp14:editId="7F4D042E">
                  <wp:extent cx="2747010" cy="1972101"/>
                  <wp:effectExtent l="0" t="0" r="0" b="0"/>
                  <wp:docPr id="119266515" name="Gráfico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bl>
    <w:p w14:paraId="3145955D" w14:textId="77777777" w:rsidR="005F38A6" w:rsidRPr="00411D33" w:rsidRDefault="005F38A6" w:rsidP="005F38A6">
      <w:pPr>
        <w:ind w:firstLine="284"/>
        <w:rPr>
          <w:sz w:val="16"/>
          <w:szCs w:val="22"/>
        </w:rPr>
      </w:pPr>
      <w:r w:rsidRPr="00411D33">
        <w:rPr>
          <w:sz w:val="16"/>
          <w:szCs w:val="22"/>
        </w:rPr>
        <w:t xml:space="preserve">Fuente: </w:t>
      </w:r>
      <w:proofErr w:type="spellStart"/>
      <w:r w:rsidRPr="00411D33">
        <w:rPr>
          <w:sz w:val="16"/>
          <w:szCs w:val="22"/>
        </w:rPr>
        <w:t>Sicoin</w:t>
      </w:r>
      <w:proofErr w:type="spellEnd"/>
      <w:r w:rsidRPr="00411D33">
        <w:rPr>
          <w:sz w:val="16"/>
          <w:szCs w:val="22"/>
        </w:rPr>
        <w:t xml:space="preserve"> GL</w:t>
      </w:r>
    </w:p>
    <w:p w14:paraId="557FEE85" w14:textId="77777777" w:rsidR="005F38A6" w:rsidRDefault="005F38A6" w:rsidP="005F38A6">
      <w:pPr>
        <w:ind w:right="49"/>
        <w:jc w:val="both"/>
        <w:rPr>
          <w:bCs/>
          <w:lang w:val="es-MX"/>
        </w:rPr>
      </w:pPr>
    </w:p>
    <w:p w14:paraId="27EE4713" w14:textId="77777777" w:rsidR="005F38A6" w:rsidRDefault="005F38A6" w:rsidP="005F38A6">
      <w:pPr>
        <w:jc w:val="both"/>
        <w:rPr>
          <w:bCs/>
          <w:color w:val="000000" w:themeColor="text1"/>
          <w:lang w:val="es-MX"/>
        </w:rPr>
      </w:pPr>
      <w:r>
        <w:rPr>
          <w:bCs/>
          <w:color w:val="000000" w:themeColor="text1"/>
          <w:lang w:val="es-MX"/>
        </w:rPr>
        <w:t>Por su parte, l</w:t>
      </w:r>
      <w:r w:rsidRPr="002333A9">
        <w:rPr>
          <w:bCs/>
          <w:color w:val="000000" w:themeColor="text1"/>
          <w:lang w:val="es-MX"/>
        </w:rPr>
        <w:t xml:space="preserve">as municipalidades </w:t>
      </w:r>
      <w:r>
        <w:rPr>
          <w:bCs/>
          <w:color w:val="000000" w:themeColor="text1"/>
          <w:lang w:val="es-MX"/>
        </w:rPr>
        <w:t xml:space="preserve">que tiene un </w:t>
      </w:r>
      <w:r w:rsidRPr="002333A9">
        <w:rPr>
          <w:bCs/>
          <w:color w:val="000000" w:themeColor="text1"/>
          <w:lang w:val="es-MX"/>
        </w:rPr>
        <w:t>baj</w:t>
      </w:r>
      <w:r>
        <w:rPr>
          <w:bCs/>
          <w:color w:val="000000" w:themeColor="text1"/>
          <w:lang w:val="es-MX"/>
        </w:rPr>
        <w:t>o indicador de</w:t>
      </w:r>
      <w:r w:rsidRPr="002333A9">
        <w:rPr>
          <w:bCs/>
          <w:color w:val="000000" w:themeColor="text1"/>
          <w:lang w:val="es-MX"/>
        </w:rPr>
        <w:t xml:space="preserve"> autonomía </w:t>
      </w:r>
      <w:r>
        <w:rPr>
          <w:bCs/>
          <w:color w:val="000000" w:themeColor="text1"/>
          <w:lang w:val="es-MX"/>
        </w:rPr>
        <w:t xml:space="preserve">financiera en 2022 fueron: </w:t>
      </w:r>
      <w:r w:rsidRPr="002333A9">
        <w:rPr>
          <w:bCs/>
          <w:color w:val="000000" w:themeColor="text1"/>
          <w:lang w:val="es-MX"/>
        </w:rPr>
        <w:t xml:space="preserve">la municipalidad de </w:t>
      </w:r>
      <w:r w:rsidRPr="004256DE">
        <w:rPr>
          <w:bCs/>
          <w:color w:val="000000" w:themeColor="text1"/>
          <w:lang w:val="es-MX"/>
        </w:rPr>
        <w:t xml:space="preserve">San Bartolomé Jocotenango </w:t>
      </w:r>
      <w:r>
        <w:rPr>
          <w:bCs/>
          <w:color w:val="000000" w:themeColor="text1"/>
          <w:lang w:val="es-MX"/>
        </w:rPr>
        <w:t xml:space="preserve">obtuvo un indicador de </w:t>
      </w:r>
      <w:r w:rsidRPr="002333A9">
        <w:rPr>
          <w:bCs/>
          <w:color w:val="000000" w:themeColor="text1"/>
          <w:lang w:val="es-MX"/>
        </w:rPr>
        <w:t>1.</w:t>
      </w:r>
      <w:r>
        <w:rPr>
          <w:bCs/>
          <w:color w:val="000000" w:themeColor="text1"/>
          <w:lang w:val="es-MX"/>
        </w:rPr>
        <w:t>0</w:t>
      </w:r>
      <w:r w:rsidRPr="002333A9">
        <w:rPr>
          <w:bCs/>
          <w:color w:val="000000" w:themeColor="text1"/>
          <w:lang w:val="es-MX"/>
        </w:rPr>
        <w:t>%</w:t>
      </w:r>
      <w:r>
        <w:rPr>
          <w:bCs/>
          <w:color w:val="000000" w:themeColor="text1"/>
          <w:lang w:val="es-MX"/>
        </w:rPr>
        <w:t xml:space="preserve"> (se redujo en 1.4 puntos porcentuales respecto a 2021)</w:t>
      </w:r>
      <w:r w:rsidRPr="002333A9">
        <w:rPr>
          <w:bCs/>
          <w:color w:val="000000" w:themeColor="text1"/>
          <w:lang w:val="es-MX"/>
        </w:rPr>
        <w:t>, seguido de</w:t>
      </w:r>
      <w:r>
        <w:rPr>
          <w:bCs/>
          <w:color w:val="000000" w:themeColor="text1"/>
          <w:lang w:val="es-MX"/>
        </w:rPr>
        <w:t xml:space="preserve"> </w:t>
      </w:r>
      <w:r w:rsidRPr="00D769B6">
        <w:rPr>
          <w:bCs/>
          <w:color w:val="000000" w:themeColor="text1"/>
          <w:lang w:val="es-MX"/>
        </w:rPr>
        <w:t xml:space="preserve">San Gaspar </w:t>
      </w:r>
      <w:proofErr w:type="spellStart"/>
      <w:r w:rsidRPr="00D769B6">
        <w:rPr>
          <w:bCs/>
          <w:color w:val="000000" w:themeColor="text1"/>
          <w:lang w:val="es-MX"/>
        </w:rPr>
        <w:t>Ixchil</w:t>
      </w:r>
      <w:proofErr w:type="spellEnd"/>
      <w:r>
        <w:rPr>
          <w:bCs/>
          <w:color w:val="000000" w:themeColor="text1"/>
          <w:lang w:val="es-MX"/>
        </w:rPr>
        <w:t xml:space="preserve"> con el 1.9% (aumentó su indicador en 0.4 puntos porcentuales), la municipalidad de </w:t>
      </w:r>
      <w:r w:rsidRPr="002333A9">
        <w:rPr>
          <w:bCs/>
          <w:color w:val="000000" w:themeColor="text1"/>
          <w:lang w:val="es-MX"/>
        </w:rPr>
        <w:t>Tajumulco</w:t>
      </w:r>
      <w:r>
        <w:rPr>
          <w:bCs/>
          <w:color w:val="000000" w:themeColor="text1"/>
          <w:lang w:val="es-MX"/>
        </w:rPr>
        <w:t xml:space="preserve"> tiene un indicador del 1.9% (tuvo una reducción de 0.4 puntos porcentuales), </w:t>
      </w:r>
      <w:r w:rsidRPr="002333A9">
        <w:rPr>
          <w:bCs/>
          <w:color w:val="000000" w:themeColor="text1"/>
          <w:lang w:val="es-MX"/>
        </w:rPr>
        <w:t xml:space="preserve">San Mateo </w:t>
      </w:r>
      <w:proofErr w:type="spellStart"/>
      <w:r w:rsidRPr="002333A9">
        <w:rPr>
          <w:bCs/>
          <w:color w:val="000000" w:themeColor="text1"/>
          <w:lang w:val="es-MX"/>
        </w:rPr>
        <w:t>Ixtatan</w:t>
      </w:r>
      <w:proofErr w:type="spellEnd"/>
      <w:r w:rsidRPr="002333A9">
        <w:rPr>
          <w:bCs/>
          <w:color w:val="000000" w:themeColor="text1"/>
          <w:lang w:val="es-MX"/>
        </w:rPr>
        <w:t xml:space="preserve"> </w:t>
      </w:r>
      <w:r>
        <w:rPr>
          <w:bCs/>
          <w:color w:val="000000" w:themeColor="text1"/>
          <w:lang w:val="es-MX"/>
        </w:rPr>
        <w:t>tiene una autonomía del 2.3</w:t>
      </w:r>
      <w:r w:rsidRPr="002333A9">
        <w:rPr>
          <w:bCs/>
          <w:color w:val="000000" w:themeColor="text1"/>
          <w:lang w:val="es-MX"/>
        </w:rPr>
        <w:t>%</w:t>
      </w:r>
      <w:r>
        <w:rPr>
          <w:bCs/>
          <w:color w:val="000000" w:themeColor="text1"/>
          <w:lang w:val="es-MX"/>
        </w:rPr>
        <w:t xml:space="preserve"> (aumentó su indicador en 0.4 puntos porcentuales) y</w:t>
      </w:r>
      <w:r w:rsidRPr="002333A9">
        <w:rPr>
          <w:bCs/>
          <w:color w:val="000000" w:themeColor="text1"/>
          <w:lang w:val="es-MX"/>
        </w:rPr>
        <w:t xml:space="preserve"> luego Santa María Visitación con el 2</w:t>
      </w:r>
      <w:r>
        <w:rPr>
          <w:bCs/>
          <w:color w:val="000000" w:themeColor="text1"/>
          <w:lang w:val="es-MX"/>
        </w:rPr>
        <w:t>.4</w:t>
      </w:r>
      <w:r w:rsidRPr="002333A9">
        <w:rPr>
          <w:bCs/>
          <w:color w:val="000000" w:themeColor="text1"/>
          <w:lang w:val="es-MX"/>
        </w:rPr>
        <w:t>%</w:t>
      </w:r>
      <w:r>
        <w:rPr>
          <w:bCs/>
          <w:color w:val="000000" w:themeColor="text1"/>
          <w:lang w:val="es-MX"/>
        </w:rPr>
        <w:t xml:space="preserve"> (aumentó su indicador en 0.3 puntos porcentuales).</w:t>
      </w:r>
    </w:p>
    <w:p w14:paraId="7B2966CF" w14:textId="77777777" w:rsidR="005F38A6" w:rsidRDefault="005F38A6" w:rsidP="005F38A6">
      <w:pPr>
        <w:jc w:val="both"/>
        <w:rPr>
          <w:bCs/>
          <w:color w:val="000000" w:themeColor="text1"/>
          <w:lang w:val="es-MX"/>
        </w:rPr>
      </w:pPr>
    </w:p>
    <w:p w14:paraId="7E5A1B44" w14:textId="77777777" w:rsidR="005F38A6" w:rsidRPr="0027051A" w:rsidRDefault="005F38A6" w:rsidP="005F38A6">
      <w:pPr>
        <w:jc w:val="both"/>
        <w:rPr>
          <w:bCs/>
          <w:color w:val="000000" w:themeColor="text1"/>
          <w:lang w:val="es-MX"/>
        </w:rPr>
      </w:pPr>
      <w:r w:rsidRPr="00F714FB">
        <w:rPr>
          <w:bCs/>
          <w:color w:val="000000" w:themeColor="text1"/>
          <w:lang w:val="es-MX"/>
        </w:rPr>
        <w:t>En cuanto a las municipalidades que experimentaron las mayores reducciones en sus indicadores de autonomía financiera fueron</w:t>
      </w:r>
      <w:r>
        <w:rPr>
          <w:bCs/>
          <w:color w:val="000000" w:themeColor="text1"/>
          <w:lang w:val="es-MX"/>
        </w:rPr>
        <w:t>:</w:t>
      </w:r>
      <w:r w:rsidRPr="00F714FB">
        <w:rPr>
          <w:bCs/>
          <w:color w:val="000000" w:themeColor="text1"/>
          <w:lang w:val="es-MX"/>
        </w:rPr>
        <w:t xml:space="preserve"> la municipalidad de Santa Cruz Barillas que en 2022 obtuvo un indicador del 5.9% y siendo una disminución de 7.2 puntos porcentuales respecto a su indicador del año 2021, seguido de la municipalidad de Quesada con una autonomía financiera del 11.2% y siendo menor en 6.4 puntos porcentuales, San Miguel </w:t>
      </w:r>
      <w:r w:rsidRPr="00F714FB">
        <w:rPr>
          <w:bCs/>
          <w:color w:val="000000" w:themeColor="text1"/>
          <w:lang w:val="es-MX"/>
        </w:rPr>
        <w:lastRenderedPageBreak/>
        <w:t>Dueñas tiene un 17.7% de autonomía financiera y teniendo una reducción de 6.1 puntos porcentuales, Sanarate tiene un indicador del 21.9% y reduciéndose en 6.0 puntos porcentuales</w:t>
      </w:r>
      <w:r>
        <w:rPr>
          <w:bCs/>
          <w:color w:val="000000" w:themeColor="text1"/>
          <w:lang w:val="es-MX"/>
        </w:rPr>
        <w:t>,</w:t>
      </w:r>
      <w:r w:rsidRPr="00F714FB">
        <w:rPr>
          <w:bCs/>
          <w:color w:val="000000" w:themeColor="text1"/>
          <w:lang w:val="es-MX"/>
        </w:rPr>
        <w:t xml:space="preserve"> mientras que el municipio de Ipala tiene una autonomía financiera del 17.2% reduciéndose en 5.8 puntos porcentuales.</w:t>
      </w:r>
    </w:p>
    <w:p w14:paraId="429B4257" w14:textId="77777777" w:rsidR="005F38A6" w:rsidRPr="002333A9" w:rsidRDefault="005F38A6" w:rsidP="005F38A6">
      <w:pPr>
        <w:jc w:val="both"/>
        <w:rPr>
          <w:bCs/>
          <w:color w:val="000000" w:themeColor="text1"/>
          <w:lang w:val="es-MX"/>
        </w:rPr>
      </w:pPr>
    </w:p>
    <w:p w14:paraId="594CD9C6" w14:textId="02E4C03C" w:rsidR="005F38A6" w:rsidRDefault="005F38A6" w:rsidP="005F38A6">
      <w:pPr>
        <w:jc w:val="both"/>
        <w:rPr>
          <w:bCs/>
          <w:color w:val="000000" w:themeColor="text1"/>
          <w:lang w:val="es-MX"/>
        </w:rPr>
      </w:pPr>
      <w:r>
        <w:rPr>
          <w:bCs/>
          <w:color w:val="000000" w:themeColor="text1"/>
          <w:lang w:val="es-MX"/>
        </w:rPr>
        <w:t>Es oportuno mencionar que hay</w:t>
      </w:r>
      <w:r w:rsidRPr="002333A9">
        <w:rPr>
          <w:bCs/>
          <w:color w:val="000000" w:themeColor="text1"/>
          <w:lang w:val="es-MX"/>
        </w:rPr>
        <w:t xml:space="preserve"> 32</w:t>
      </w:r>
      <w:r>
        <w:rPr>
          <w:bCs/>
          <w:color w:val="000000" w:themeColor="text1"/>
          <w:lang w:val="es-MX"/>
        </w:rPr>
        <w:t>6</w:t>
      </w:r>
      <w:r w:rsidRPr="002333A9">
        <w:rPr>
          <w:bCs/>
          <w:color w:val="000000" w:themeColor="text1"/>
          <w:lang w:val="es-MX"/>
        </w:rPr>
        <w:t xml:space="preserve"> municipalidades (el 9</w:t>
      </w:r>
      <w:r>
        <w:rPr>
          <w:bCs/>
          <w:color w:val="000000" w:themeColor="text1"/>
          <w:lang w:val="es-MX"/>
        </w:rPr>
        <w:t>5</w:t>
      </w:r>
      <w:r w:rsidRPr="002333A9">
        <w:rPr>
          <w:bCs/>
          <w:color w:val="000000" w:themeColor="text1"/>
          <w:lang w:val="es-MX"/>
        </w:rPr>
        <w:t>.</w:t>
      </w:r>
      <w:r>
        <w:rPr>
          <w:bCs/>
          <w:color w:val="000000" w:themeColor="text1"/>
          <w:lang w:val="es-MX"/>
        </w:rPr>
        <w:t>9</w:t>
      </w:r>
      <w:r w:rsidRPr="002333A9">
        <w:rPr>
          <w:bCs/>
          <w:color w:val="000000" w:themeColor="text1"/>
          <w:lang w:val="es-MX"/>
        </w:rPr>
        <w:t xml:space="preserve">% del total) </w:t>
      </w:r>
      <w:r>
        <w:rPr>
          <w:bCs/>
          <w:color w:val="000000" w:themeColor="text1"/>
          <w:lang w:val="es-MX"/>
        </w:rPr>
        <w:t xml:space="preserve">la cuales poseen un indicador de </w:t>
      </w:r>
      <w:r w:rsidRPr="002333A9">
        <w:rPr>
          <w:bCs/>
          <w:color w:val="000000" w:themeColor="text1"/>
          <w:lang w:val="es-MX"/>
        </w:rPr>
        <w:t>autonomía financiera inferior al 50%</w:t>
      </w:r>
      <w:r>
        <w:rPr>
          <w:bCs/>
          <w:color w:val="000000" w:themeColor="text1"/>
          <w:lang w:val="es-MX"/>
        </w:rPr>
        <w:t xml:space="preserve"> y </w:t>
      </w:r>
      <w:r w:rsidRPr="002333A9">
        <w:rPr>
          <w:bCs/>
          <w:color w:val="000000" w:themeColor="text1"/>
          <w:lang w:val="es-MX"/>
        </w:rPr>
        <w:t>hay</w:t>
      </w:r>
      <w:r>
        <w:rPr>
          <w:bCs/>
          <w:color w:val="000000" w:themeColor="text1"/>
          <w:lang w:val="es-MX"/>
        </w:rPr>
        <w:t xml:space="preserve"> 14</w:t>
      </w:r>
      <w:r w:rsidRPr="002333A9">
        <w:rPr>
          <w:bCs/>
          <w:color w:val="000000" w:themeColor="text1"/>
          <w:lang w:val="es-MX"/>
        </w:rPr>
        <w:t xml:space="preserve"> municipalidades </w:t>
      </w:r>
      <w:r>
        <w:rPr>
          <w:bCs/>
          <w:color w:val="000000" w:themeColor="text1"/>
          <w:lang w:val="es-MX"/>
        </w:rPr>
        <w:t xml:space="preserve">con un </w:t>
      </w:r>
      <w:r w:rsidRPr="002333A9">
        <w:rPr>
          <w:bCs/>
          <w:color w:val="000000" w:themeColor="text1"/>
          <w:lang w:val="es-MX"/>
        </w:rPr>
        <w:t>valor superior</w:t>
      </w:r>
      <w:r>
        <w:rPr>
          <w:bCs/>
          <w:color w:val="000000" w:themeColor="text1"/>
          <w:lang w:val="es-MX"/>
        </w:rPr>
        <w:t xml:space="preserve"> en los cuales 7 de estas son</w:t>
      </w:r>
      <w:r w:rsidRPr="002333A9">
        <w:rPr>
          <w:bCs/>
          <w:color w:val="000000" w:themeColor="text1"/>
          <w:lang w:val="es-MX"/>
        </w:rPr>
        <w:t xml:space="preserve"> municipalidades poseen un valor entre el 50% y </w:t>
      </w:r>
      <w:r>
        <w:rPr>
          <w:bCs/>
          <w:color w:val="000000" w:themeColor="text1"/>
          <w:lang w:val="es-MX"/>
        </w:rPr>
        <w:t>60</w:t>
      </w:r>
      <w:r w:rsidRPr="002333A9">
        <w:rPr>
          <w:bCs/>
          <w:color w:val="000000" w:themeColor="text1"/>
          <w:lang w:val="es-MX"/>
        </w:rPr>
        <w:t xml:space="preserve">%, </w:t>
      </w:r>
      <w:r>
        <w:rPr>
          <w:bCs/>
          <w:color w:val="000000" w:themeColor="text1"/>
          <w:lang w:val="es-MX"/>
        </w:rPr>
        <w:t>4</w:t>
      </w:r>
      <w:r w:rsidRPr="002333A9">
        <w:rPr>
          <w:bCs/>
          <w:color w:val="000000" w:themeColor="text1"/>
          <w:lang w:val="es-MX"/>
        </w:rPr>
        <w:t xml:space="preserve"> municipalidades entre el 60% y </w:t>
      </w:r>
      <w:r>
        <w:rPr>
          <w:bCs/>
          <w:color w:val="000000" w:themeColor="text1"/>
          <w:lang w:val="es-MX"/>
        </w:rPr>
        <w:t>70</w:t>
      </w:r>
      <w:r w:rsidRPr="002333A9">
        <w:rPr>
          <w:bCs/>
          <w:color w:val="000000" w:themeColor="text1"/>
          <w:lang w:val="es-MX"/>
        </w:rPr>
        <w:t>% y el restante (3 entidades) poseen un valor superior al 70%.</w:t>
      </w:r>
    </w:p>
    <w:p w14:paraId="1CAF5EB1" w14:textId="77777777" w:rsidR="007A0B9B" w:rsidRDefault="007A0B9B" w:rsidP="005F38A6">
      <w:pPr>
        <w:jc w:val="both"/>
        <w:rPr>
          <w:bCs/>
          <w:color w:val="000000" w:themeColor="text1"/>
          <w:lang w:val="es-MX"/>
        </w:rPr>
      </w:pPr>
    </w:p>
    <w:p w14:paraId="093F50BE" w14:textId="77777777" w:rsidR="005F38A6" w:rsidRPr="008C0ACF" w:rsidRDefault="005F38A6" w:rsidP="007F19DF">
      <w:pPr>
        <w:pStyle w:val="Ttulo2"/>
        <w:numPr>
          <w:ilvl w:val="1"/>
          <w:numId w:val="35"/>
        </w:numPr>
        <w:ind w:left="426" w:hanging="284"/>
        <w:rPr>
          <w:bCs/>
        </w:rPr>
      </w:pPr>
      <w:bookmarkStart w:id="453" w:name="_Toc144114407"/>
      <w:r w:rsidRPr="008C0ACF">
        <w:rPr>
          <w:bCs/>
        </w:rPr>
        <w:t>Inversión Real Directa por habitante de las municipalidades</w:t>
      </w:r>
      <w:bookmarkEnd w:id="453"/>
    </w:p>
    <w:p w14:paraId="5D0944E4" w14:textId="77777777" w:rsidR="005F38A6" w:rsidRDefault="005F38A6" w:rsidP="005F38A6">
      <w:pPr>
        <w:jc w:val="both"/>
        <w:rPr>
          <w:bCs/>
          <w:color w:val="000000" w:themeColor="text1"/>
          <w:lang w:val="es-MX"/>
        </w:rPr>
      </w:pPr>
    </w:p>
    <w:p w14:paraId="47A4BDB0" w14:textId="77777777" w:rsidR="005F38A6" w:rsidRPr="00616F1B" w:rsidRDefault="005F38A6" w:rsidP="005F38A6">
      <w:pPr>
        <w:jc w:val="both"/>
      </w:pPr>
      <w:r w:rsidRPr="00616F1B">
        <w:t xml:space="preserve">Dentro del Decreto 14-2022 “Ley General de Descentralización” se ha promovido la descentralización que busca darle una mayor responsabilidad a las municipalidades de forma progresiva en cuanto a las competencias que realiza el Organismo Ejecutivo, con el fin de optimizar la actuación del Estado en los territorios, tomando en cuenta además que las municipalidades son el ente de autoridad más cercado a la población local y derivado de ello tienen un mayor conocimiento de las necesidades y de la forma de satisfacerlas. </w:t>
      </w:r>
    </w:p>
    <w:p w14:paraId="160DE122" w14:textId="77777777" w:rsidR="005F38A6" w:rsidRPr="005E02A8" w:rsidRDefault="005F38A6" w:rsidP="005F38A6">
      <w:pPr>
        <w:jc w:val="both"/>
        <w:rPr>
          <w:highlight w:val="cyan"/>
        </w:rPr>
      </w:pPr>
    </w:p>
    <w:p w14:paraId="2D8280D0" w14:textId="77777777" w:rsidR="005F38A6" w:rsidRPr="00616F1B" w:rsidRDefault="005F38A6" w:rsidP="005F38A6">
      <w:pPr>
        <w:jc w:val="both"/>
      </w:pPr>
      <w:r w:rsidRPr="00616F1B">
        <w:t>Una fuente de riesgo fiscal para el gobierno central puede derivarse de la falta de correspondencia entre las responsabilidades que tienen las municipalidades en proveer bienes y servicios de calidad a la población y los recursos a su disposición, en la medida que estas demandas no sean suplidas por las municipalidades, existirá una mayor presión por parte de la población local para que el gobierno central asigne una mayor cantidad de recursos. Otro escenario posible es la migración interna, obligando con ello a que la demanda de necesidades sea cubierta por otra municipalidad con la consecuente presión que existirá hacia los recursos de esa municipalidad y por ende hacia el gobierno central.</w:t>
      </w:r>
    </w:p>
    <w:p w14:paraId="02946C88" w14:textId="77777777" w:rsidR="005F38A6" w:rsidRPr="00616F1B" w:rsidRDefault="005F38A6" w:rsidP="005F38A6">
      <w:pPr>
        <w:jc w:val="both"/>
      </w:pPr>
    </w:p>
    <w:p w14:paraId="13143D07" w14:textId="77777777" w:rsidR="005F38A6" w:rsidRDefault="005F38A6" w:rsidP="005F38A6">
      <w:pPr>
        <w:jc w:val="both"/>
      </w:pPr>
      <w:r w:rsidRPr="00616F1B">
        <w:t>El indicador considerado mide la inversión real directa por habitante que la municipalidad ha realizado, poniendo en evidencia si existe un esfuerzo por parte de la municipalidad en poner a disposición de la población una mayor cantidad de obras públicas. Una mayor ejecución en inversión real directa significa una mejora en la calidad de vida, a través de facilitar las principales actividades productivas de los municipios, favoreciendo el empleo, asegurando los medios de vida de la población local, y como consecuencia, se propicia el desarrollo local.</w:t>
      </w:r>
      <w:r>
        <w:t xml:space="preserve"> </w:t>
      </w:r>
    </w:p>
    <w:p w14:paraId="0A76020D" w14:textId="77777777" w:rsidR="005F38A6" w:rsidRDefault="005F38A6" w:rsidP="005F38A6">
      <w:pPr>
        <w:jc w:val="both"/>
      </w:pPr>
    </w:p>
    <w:p w14:paraId="6C39624B" w14:textId="77777777" w:rsidR="005F38A6" w:rsidRDefault="005F38A6" w:rsidP="005F38A6">
      <w:pPr>
        <w:jc w:val="both"/>
      </w:pPr>
      <w:r>
        <w:t>L</w:t>
      </w:r>
      <w:r w:rsidRPr="00B21A41">
        <w:t xml:space="preserve">as municipalidades invirtieron </w:t>
      </w:r>
      <w:r>
        <w:t xml:space="preserve">en promedio </w:t>
      </w:r>
      <w:r w:rsidRPr="00B21A41">
        <w:t>un monto de Q6</w:t>
      </w:r>
      <w:r>
        <w:t>53</w:t>
      </w:r>
      <w:r w:rsidRPr="00B21A41">
        <w:t>.</w:t>
      </w:r>
      <w:r>
        <w:t>2</w:t>
      </w:r>
      <w:r w:rsidRPr="00B21A41">
        <w:t xml:space="preserve"> por cada habitante</w:t>
      </w:r>
      <w:r>
        <w:t xml:space="preserve"> durante el 2022</w:t>
      </w:r>
      <w:r w:rsidRPr="00B21A41">
        <w:t xml:space="preserve">. </w:t>
      </w:r>
      <w:r>
        <w:t>Este es un aumento de Q21.3 respecto a la inversión que fue realizada en 2021 (Q631.9 por habitante) y cabe mencionar este monto se encuentra por encima del promedio observado entre 2017 – 2022 de Q542.7 por habitante</w:t>
      </w:r>
      <w:r w:rsidRPr="00B21A41">
        <w:t xml:space="preserve">. </w:t>
      </w:r>
      <w:r>
        <w:t xml:space="preserve">La </w:t>
      </w:r>
      <w:r w:rsidRPr="00B21A41">
        <w:t>inversión real directa consiste principalmente en formación bruta de capital fijo, el cual incluye la construcción de calles, parques, plazas, caminos, puentes o cualquier obra pública destinada para utilidad o comodidad</w:t>
      </w:r>
      <w:r>
        <w:t xml:space="preserve">. </w:t>
      </w:r>
    </w:p>
    <w:p w14:paraId="00564FCD" w14:textId="0ED07C2E" w:rsidR="005F38A6" w:rsidRDefault="005F38A6" w:rsidP="005F38A6">
      <w:pPr>
        <w:jc w:val="both"/>
      </w:pPr>
    </w:p>
    <w:p w14:paraId="6F38ACF3" w14:textId="58017835" w:rsidR="007A0B9B" w:rsidRDefault="007A0B9B" w:rsidP="005F38A6">
      <w:pPr>
        <w:jc w:val="both"/>
      </w:pPr>
    </w:p>
    <w:p w14:paraId="4B6D61D2" w14:textId="77777777" w:rsidR="007A0B9B" w:rsidRDefault="007A0B9B" w:rsidP="005F38A6">
      <w:pPr>
        <w:jc w:val="both"/>
      </w:pPr>
    </w:p>
    <w:p w14:paraId="2C590FD1" w14:textId="16E9AFDD" w:rsidR="00411D33" w:rsidRPr="00411D33" w:rsidRDefault="00411D33" w:rsidP="00411D33">
      <w:pPr>
        <w:keepNext/>
        <w:jc w:val="center"/>
        <w:rPr>
          <w:b/>
          <w:bCs/>
        </w:rPr>
      </w:pPr>
      <w:bookmarkStart w:id="454" w:name="_Toc143593621"/>
      <w:r w:rsidRPr="00411D33">
        <w:rPr>
          <w:b/>
          <w:bCs/>
        </w:rPr>
        <w:lastRenderedPageBreak/>
        <w:t xml:space="preserve">Gráfico </w:t>
      </w:r>
      <w:r w:rsidRPr="00411D33">
        <w:rPr>
          <w:b/>
          <w:bCs/>
        </w:rPr>
        <w:fldChar w:fldCharType="begin"/>
      </w:r>
      <w:r w:rsidRPr="00411D33">
        <w:rPr>
          <w:b/>
          <w:bCs/>
        </w:rPr>
        <w:instrText xml:space="preserve"> SEQ Gráfico \* ARABIC </w:instrText>
      </w:r>
      <w:r w:rsidRPr="00411D33">
        <w:rPr>
          <w:b/>
          <w:bCs/>
        </w:rPr>
        <w:fldChar w:fldCharType="separate"/>
      </w:r>
      <w:r w:rsidR="00A62AFA">
        <w:rPr>
          <w:b/>
          <w:bCs/>
          <w:noProof/>
        </w:rPr>
        <w:t>63</w:t>
      </w:r>
      <w:r w:rsidRPr="00411D33">
        <w:rPr>
          <w:b/>
          <w:bCs/>
        </w:rPr>
        <w:fldChar w:fldCharType="end"/>
      </w:r>
      <w:r w:rsidRPr="00411D33">
        <w:rPr>
          <w:b/>
          <w:bCs/>
        </w:rPr>
        <w:t>.  Inversión por Habitantes de las Municipalidades</w:t>
      </w:r>
      <w:bookmarkEnd w:id="454"/>
    </w:p>
    <w:p w14:paraId="2AECB0CB" w14:textId="77777777" w:rsidR="005F38A6" w:rsidRPr="00E11535" w:rsidRDefault="005F38A6" w:rsidP="005F38A6">
      <w:pPr>
        <w:jc w:val="center"/>
        <w:rPr>
          <w:bCs/>
          <w:color w:val="000000" w:themeColor="text1"/>
          <w:sz w:val="22"/>
          <w:szCs w:val="22"/>
          <w:lang w:val="es-MX"/>
        </w:rPr>
      </w:pPr>
      <w:r w:rsidRPr="00E11535">
        <w:rPr>
          <w:sz w:val="22"/>
          <w:szCs w:val="22"/>
        </w:rPr>
        <w:t>Cifras en Quetzales</w:t>
      </w:r>
    </w:p>
    <w:p w14:paraId="55473642" w14:textId="77777777" w:rsidR="005F38A6" w:rsidRDefault="005F38A6" w:rsidP="005F38A6">
      <w:pPr>
        <w:jc w:val="both"/>
        <w:rPr>
          <w:bCs/>
          <w:color w:val="000000" w:themeColor="text1"/>
          <w:lang w:val="es-MX"/>
        </w:rPr>
      </w:pPr>
      <w:r>
        <w:rPr>
          <w:bCs/>
          <w:noProof/>
          <w:color w:val="000000" w:themeColor="text1"/>
          <w:lang w:val="es-MX"/>
        </w:rPr>
        <w:drawing>
          <wp:inline distT="0" distB="0" distL="0" distR="0" wp14:anchorId="68BE91F4" wp14:editId="11429319">
            <wp:extent cx="5486400" cy="2019869"/>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7F96C00" w14:textId="77777777" w:rsidR="005F38A6" w:rsidRPr="00411D33" w:rsidRDefault="005F38A6" w:rsidP="005F38A6">
      <w:pPr>
        <w:ind w:firstLine="284"/>
        <w:rPr>
          <w:sz w:val="16"/>
          <w:szCs w:val="22"/>
        </w:rPr>
      </w:pPr>
      <w:r w:rsidRPr="00411D33">
        <w:rPr>
          <w:sz w:val="16"/>
          <w:szCs w:val="22"/>
        </w:rPr>
        <w:t xml:space="preserve">Fuente: </w:t>
      </w:r>
      <w:proofErr w:type="spellStart"/>
      <w:r w:rsidRPr="00411D33">
        <w:rPr>
          <w:sz w:val="16"/>
          <w:szCs w:val="22"/>
        </w:rPr>
        <w:t>Sicoin</w:t>
      </w:r>
      <w:proofErr w:type="spellEnd"/>
      <w:r w:rsidRPr="00411D33">
        <w:rPr>
          <w:sz w:val="16"/>
          <w:szCs w:val="22"/>
        </w:rPr>
        <w:t xml:space="preserve"> GL</w:t>
      </w:r>
    </w:p>
    <w:p w14:paraId="75D29004" w14:textId="77777777" w:rsidR="007A0B9B" w:rsidRDefault="007A0B9B" w:rsidP="005F38A6">
      <w:pPr>
        <w:jc w:val="both"/>
      </w:pPr>
    </w:p>
    <w:p w14:paraId="72BF495A" w14:textId="5971979F" w:rsidR="005F38A6" w:rsidRDefault="005F38A6" w:rsidP="005F38A6">
      <w:pPr>
        <w:jc w:val="both"/>
      </w:pPr>
      <w:r>
        <w:t xml:space="preserve">A nivel individual, existen 131 municipalidades en las cuales su inversión por habitante es menor al promedio del subgrupo institucional (Q653.2 por habitante) y de este conjunto, 23 municipalidades realizan una inversión entre Q200.0 a Q400.0 por habitante y un total de 108 municipalidades realizan inversiones entre Q400.1 a Q653.2 por habitante. </w:t>
      </w:r>
    </w:p>
    <w:p w14:paraId="2F6DFA7B" w14:textId="77777777" w:rsidR="005F38A6" w:rsidRDefault="005F38A6" w:rsidP="005F38A6">
      <w:pPr>
        <w:jc w:val="both"/>
      </w:pPr>
    </w:p>
    <w:p w14:paraId="292F1308" w14:textId="77777777" w:rsidR="005F38A6" w:rsidRDefault="005F38A6" w:rsidP="005F38A6">
      <w:pPr>
        <w:jc w:val="both"/>
      </w:pPr>
      <w:r>
        <w:t>Por encima del promedio del sector, hay un total de 209 municipalidades en las cuales 82 municipalidades tienen una inversión entre Q653.3 y Q1,000 por habitante, hay 118 municipalidades que realizan inversiones entre Q1,000.1 y Q3,000.0 por habitante y hay 9 municipalidades con una inversión superior a los Q3,000.0 por habitante.</w:t>
      </w:r>
    </w:p>
    <w:p w14:paraId="0DF9E54A" w14:textId="77777777" w:rsidR="005F38A6" w:rsidRDefault="005F38A6" w:rsidP="005F38A6">
      <w:pPr>
        <w:jc w:val="both"/>
      </w:pPr>
    </w:p>
    <w:tbl>
      <w:tblPr>
        <w:tblW w:w="0" w:type="auto"/>
        <w:tblCellMar>
          <w:left w:w="70" w:type="dxa"/>
          <w:right w:w="70" w:type="dxa"/>
        </w:tblCellMar>
        <w:tblLook w:val="04A0" w:firstRow="1" w:lastRow="0" w:firstColumn="1" w:lastColumn="0" w:noHBand="0" w:noVBand="1"/>
      </w:tblPr>
      <w:tblGrid>
        <w:gridCol w:w="4580"/>
        <w:gridCol w:w="4237"/>
      </w:tblGrid>
      <w:tr w:rsidR="005F38A6" w14:paraId="5A93C86A" w14:textId="77777777" w:rsidTr="006F4B59">
        <w:trPr>
          <w:trHeight w:val="750"/>
        </w:trPr>
        <w:tc>
          <w:tcPr>
            <w:tcW w:w="8794" w:type="dxa"/>
            <w:gridSpan w:val="2"/>
          </w:tcPr>
          <w:p w14:paraId="11FBEF43" w14:textId="18C4830A" w:rsidR="00411D33" w:rsidRPr="00411D33" w:rsidRDefault="00411D33" w:rsidP="00411D33">
            <w:pPr>
              <w:keepNext/>
              <w:jc w:val="center"/>
              <w:rPr>
                <w:b/>
                <w:bCs/>
              </w:rPr>
            </w:pPr>
            <w:bookmarkStart w:id="455" w:name="_Toc143593622"/>
            <w:r w:rsidRPr="00411D33">
              <w:rPr>
                <w:b/>
                <w:bCs/>
              </w:rPr>
              <w:t xml:space="preserve">Gráfico </w:t>
            </w:r>
            <w:r w:rsidRPr="00411D33">
              <w:rPr>
                <w:b/>
                <w:bCs/>
              </w:rPr>
              <w:fldChar w:fldCharType="begin"/>
            </w:r>
            <w:r w:rsidRPr="00411D33">
              <w:rPr>
                <w:b/>
                <w:bCs/>
              </w:rPr>
              <w:instrText xml:space="preserve"> SEQ Gráfico \* ARABIC </w:instrText>
            </w:r>
            <w:r w:rsidRPr="00411D33">
              <w:rPr>
                <w:b/>
                <w:bCs/>
              </w:rPr>
              <w:fldChar w:fldCharType="separate"/>
            </w:r>
            <w:r w:rsidR="00A62AFA">
              <w:rPr>
                <w:b/>
                <w:bCs/>
                <w:noProof/>
              </w:rPr>
              <w:t>64</w:t>
            </w:r>
            <w:r w:rsidRPr="00411D33">
              <w:rPr>
                <w:b/>
                <w:bCs/>
              </w:rPr>
              <w:fldChar w:fldCharType="end"/>
            </w:r>
            <w:r w:rsidRPr="00411D33">
              <w:rPr>
                <w:b/>
                <w:bCs/>
              </w:rPr>
              <w:t>.  Inversión por Habitante por Municipalidad</w:t>
            </w:r>
            <w:bookmarkEnd w:id="455"/>
          </w:p>
          <w:p w14:paraId="4B741BF1" w14:textId="77777777" w:rsidR="005F38A6" w:rsidRDefault="005F38A6" w:rsidP="00411D33">
            <w:pPr>
              <w:jc w:val="center"/>
              <w:rPr>
                <w:sz w:val="22"/>
              </w:rPr>
            </w:pPr>
            <w:r>
              <w:rPr>
                <w:sz w:val="22"/>
              </w:rPr>
              <w:t>P</w:t>
            </w:r>
            <w:r w:rsidRPr="00960298">
              <w:rPr>
                <w:sz w:val="22"/>
              </w:rPr>
              <w:t>ara el año 202</w:t>
            </w:r>
            <w:r>
              <w:rPr>
                <w:sz w:val="22"/>
              </w:rPr>
              <w:t>2</w:t>
            </w:r>
          </w:p>
          <w:p w14:paraId="4060BF32" w14:textId="77777777" w:rsidR="005F38A6" w:rsidRPr="00974EC1" w:rsidRDefault="005F38A6" w:rsidP="00411D33">
            <w:pPr>
              <w:jc w:val="center"/>
              <w:rPr>
                <w:color w:val="000000" w:themeColor="text1"/>
                <w:lang w:val="es-MX"/>
              </w:rPr>
            </w:pPr>
            <w:r>
              <w:rPr>
                <w:sz w:val="22"/>
              </w:rPr>
              <w:t>Cifras en Quetzales</w:t>
            </w:r>
          </w:p>
        </w:tc>
      </w:tr>
      <w:tr w:rsidR="005F38A6" w14:paraId="30A39930" w14:textId="77777777" w:rsidTr="006F4B59">
        <w:trPr>
          <w:trHeight w:val="3643"/>
        </w:trPr>
        <w:tc>
          <w:tcPr>
            <w:tcW w:w="4557" w:type="dxa"/>
          </w:tcPr>
          <w:p w14:paraId="727C6FE2" w14:textId="77777777" w:rsidR="005F38A6" w:rsidRPr="0053251F" w:rsidRDefault="005F38A6" w:rsidP="006A7377">
            <w:pPr>
              <w:rPr>
                <w:color w:val="000000" w:themeColor="text1"/>
                <w:sz w:val="18"/>
                <w:szCs w:val="18"/>
                <w:lang w:val="es-MX"/>
              </w:rPr>
            </w:pPr>
            <w:r w:rsidRPr="0053251F">
              <w:rPr>
                <w:color w:val="000000" w:themeColor="text1"/>
                <w:sz w:val="18"/>
                <w:szCs w:val="18"/>
                <w:lang w:val="es-MX"/>
              </w:rPr>
              <w:t>Con mayor inversión por habitante</w:t>
            </w:r>
          </w:p>
          <w:p w14:paraId="2ADD2817" w14:textId="77777777" w:rsidR="005F38A6" w:rsidRPr="00F17D48" w:rsidRDefault="005F38A6" w:rsidP="006A7377">
            <w:pPr>
              <w:rPr>
                <w:color w:val="000000" w:themeColor="text1"/>
                <w:lang w:val="es-MX"/>
              </w:rPr>
            </w:pPr>
            <w:r>
              <w:rPr>
                <w:noProof/>
              </w:rPr>
              <w:drawing>
                <wp:inline distT="0" distB="0" distL="0" distR="0" wp14:anchorId="72F99322" wp14:editId="3017CB3D">
                  <wp:extent cx="2814320" cy="2345635"/>
                  <wp:effectExtent l="0" t="0" r="5080" b="0"/>
                  <wp:docPr id="744021799" name="Gráfico 1">
                    <a:extLst xmlns:a="http://schemas.openxmlformats.org/drawingml/2006/main">
                      <a:ext uri="{FF2B5EF4-FFF2-40B4-BE49-F238E27FC236}">
                        <a16:creationId xmlns:a16="http://schemas.microsoft.com/office/drawing/2014/main" id="{B728395D-EED2-4775-A3F3-67F74814A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c>
          <w:tcPr>
            <w:tcW w:w="4237" w:type="dxa"/>
          </w:tcPr>
          <w:p w14:paraId="0157BEEB" w14:textId="77777777" w:rsidR="005F38A6" w:rsidRPr="0053251F" w:rsidRDefault="005F38A6" w:rsidP="006A7377">
            <w:pPr>
              <w:rPr>
                <w:color w:val="000000" w:themeColor="text1"/>
                <w:sz w:val="18"/>
                <w:szCs w:val="18"/>
                <w:lang w:val="es-MX"/>
              </w:rPr>
            </w:pPr>
            <w:r w:rsidRPr="0053251F">
              <w:rPr>
                <w:color w:val="000000" w:themeColor="text1"/>
                <w:sz w:val="18"/>
                <w:szCs w:val="18"/>
                <w:lang w:val="es-MX"/>
              </w:rPr>
              <w:t>Con menor inversión por habitante</w:t>
            </w:r>
          </w:p>
          <w:p w14:paraId="1E43F891" w14:textId="77777777" w:rsidR="005F38A6" w:rsidRPr="00F17D48" w:rsidRDefault="005F38A6" w:rsidP="006A7377">
            <w:pPr>
              <w:rPr>
                <w:color w:val="000000" w:themeColor="text1"/>
                <w:lang w:val="es-MX"/>
              </w:rPr>
            </w:pPr>
            <w:r>
              <w:rPr>
                <w:noProof/>
              </w:rPr>
              <w:drawing>
                <wp:inline distT="0" distB="0" distL="0" distR="0" wp14:anchorId="52591802" wp14:editId="35B5F312">
                  <wp:extent cx="2590800" cy="2488758"/>
                  <wp:effectExtent l="0" t="0" r="0" b="6985"/>
                  <wp:docPr id="1898843442" name="Gráfico 1">
                    <a:extLst xmlns:a="http://schemas.openxmlformats.org/drawingml/2006/main">
                      <a:ext uri="{FF2B5EF4-FFF2-40B4-BE49-F238E27FC236}">
                        <a16:creationId xmlns:a16="http://schemas.microsoft.com/office/drawing/2014/main" id="{888EDACC-4857-49D4-A1EE-238537670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bl>
    <w:p w14:paraId="0F38827F" w14:textId="77777777" w:rsidR="005F38A6" w:rsidRDefault="005F38A6" w:rsidP="005F38A6">
      <w:pPr>
        <w:jc w:val="both"/>
        <w:rPr>
          <w:sz w:val="18"/>
        </w:rPr>
      </w:pPr>
      <w:r>
        <w:t xml:space="preserve"> </w:t>
      </w:r>
      <w:r w:rsidRPr="00411D33">
        <w:rPr>
          <w:sz w:val="16"/>
          <w:szCs w:val="22"/>
        </w:rPr>
        <w:t xml:space="preserve">Fuente: </w:t>
      </w:r>
      <w:proofErr w:type="spellStart"/>
      <w:r w:rsidRPr="00411D33">
        <w:rPr>
          <w:sz w:val="16"/>
          <w:szCs w:val="22"/>
        </w:rPr>
        <w:t>Sicoin</w:t>
      </w:r>
      <w:proofErr w:type="spellEnd"/>
      <w:r w:rsidRPr="00411D33">
        <w:rPr>
          <w:sz w:val="16"/>
          <w:szCs w:val="22"/>
        </w:rPr>
        <w:t xml:space="preserve"> GL</w:t>
      </w:r>
    </w:p>
    <w:p w14:paraId="575BF6CF" w14:textId="203ACFC9" w:rsidR="00411D33" w:rsidRDefault="00411D33" w:rsidP="005F38A6">
      <w:pPr>
        <w:rPr>
          <w:sz w:val="18"/>
        </w:rPr>
      </w:pPr>
    </w:p>
    <w:p w14:paraId="0B42081F" w14:textId="11DE862E" w:rsidR="007A0B9B" w:rsidRDefault="007A0B9B" w:rsidP="005F38A6">
      <w:pPr>
        <w:rPr>
          <w:sz w:val="18"/>
        </w:rPr>
      </w:pPr>
    </w:p>
    <w:p w14:paraId="20CE564C" w14:textId="77777777" w:rsidR="007A0B9B" w:rsidRDefault="007A0B9B" w:rsidP="005F38A6">
      <w:pPr>
        <w:rPr>
          <w:sz w:val="18"/>
        </w:rPr>
      </w:pPr>
    </w:p>
    <w:p w14:paraId="55426415" w14:textId="77777777" w:rsidR="005F38A6" w:rsidRPr="008C0ACF" w:rsidRDefault="005F38A6" w:rsidP="007F19DF">
      <w:pPr>
        <w:pStyle w:val="Ttulo2"/>
        <w:numPr>
          <w:ilvl w:val="2"/>
          <w:numId w:val="35"/>
        </w:numPr>
        <w:tabs>
          <w:tab w:val="left" w:pos="851"/>
        </w:tabs>
        <w:ind w:left="567" w:hanging="283"/>
        <w:rPr>
          <w:bCs/>
        </w:rPr>
      </w:pPr>
      <w:bookmarkStart w:id="456" w:name="_Toc144114408"/>
      <w:r w:rsidRPr="008C0ACF">
        <w:rPr>
          <w:bCs/>
        </w:rPr>
        <w:lastRenderedPageBreak/>
        <w:t>Liquidez Financiera</w:t>
      </w:r>
      <w:bookmarkEnd w:id="456"/>
      <w:r w:rsidRPr="008C0ACF">
        <w:rPr>
          <w:bCs/>
        </w:rPr>
        <w:t xml:space="preserve"> </w:t>
      </w:r>
    </w:p>
    <w:p w14:paraId="6F064C62" w14:textId="77777777" w:rsidR="005F38A6" w:rsidRDefault="005F38A6" w:rsidP="005F38A6">
      <w:pPr>
        <w:jc w:val="both"/>
      </w:pPr>
    </w:p>
    <w:p w14:paraId="5FAD5086" w14:textId="77777777" w:rsidR="005F38A6" w:rsidRDefault="005F38A6" w:rsidP="005F38A6">
      <w:pPr>
        <w:jc w:val="both"/>
      </w:pPr>
      <w:r w:rsidRPr="00616F1B">
        <w:t xml:space="preserve">El indicador de liquidez financiera </w:t>
      </w:r>
      <w:bookmarkStart w:id="457" w:name="_Hlk140747395"/>
      <w:r w:rsidRPr="00616F1B">
        <w:t>considera los activos corrientes versus pasivos corrientes, los cuales determinan la capacidad que tiene una municipalidad para poder hacer frente a sus obligaciones de pago de corto plazo</w:t>
      </w:r>
      <w:bookmarkEnd w:id="457"/>
      <w:r w:rsidRPr="00616F1B">
        <w:t xml:space="preserve"> respaldándose para ello en sus activos corrientes, es decir, en los activos que tienen una mayor facilidad de convertirse en efectivo. En este indicador se consideran los activos como caja y bancos, inversiones temporales, cuentas por cobrar a corto plazo, entre otros; por su parte, los pasivos corrientes están compuestos de las cuentas por pagar de corto plazo, obligaciones de deuda pública de corto plazo. Una mayor disponibilidad de activos significa una mejor gestión en liquidez financiera, dado que los pasivos podrían ser cubiertos respaldándose en los activos.</w:t>
      </w:r>
      <w:r>
        <w:t xml:space="preserve"> </w:t>
      </w:r>
    </w:p>
    <w:p w14:paraId="16F70783" w14:textId="77777777" w:rsidR="005F38A6" w:rsidRDefault="005F38A6" w:rsidP="005F38A6">
      <w:pPr>
        <w:jc w:val="both"/>
      </w:pPr>
    </w:p>
    <w:p w14:paraId="1DE7F679" w14:textId="77777777" w:rsidR="005F38A6" w:rsidRDefault="005F38A6" w:rsidP="005F38A6">
      <w:pPr>
        <w:jc w:val="both"/>
      </w:pPr>
      <w:bookmarkStart w:id="458" w:name="_Hlk140747798"/>
      <w:r>
        <w:t>En 2022 las municipalidades como grupo institucional tuvieron una liquidez financiera en la que el activo corriente fue 11.9 veces superior al pasivo corriente</w:t>
      </w:r>
      <w:bookmarkEnd w:id="458"/>
      <w:r>
        <w:t>, valor que se encuentra por debajo del</w:t>
      </w:r>
      <w:r w:rsidRPr="00D311DD">
        <w:t xml:space="preserve"> promedio entre 201</w:t>
      </w:r>
      <w:r>
        <w:t>7</w:t>
      </w:r>
      <w:r w:rsidRPr="00D311DD">
        <w:t xml:space="preserve"> y 202</w:t>
      </w:r>
      <w:r>
        <w:t>2</w:t>
      </w:r>
      <w:r w:rsidRPr="00D311DD">
        <w:t xml:space="preserve"> </w:t>
      </w:r>
      <w:r>
        <w:t>que es de 14.7 y una disminución respecto al valor del indicador observado en el año previo que era de 13.7 veces en la que los activos corrientes fueron superiores a los pasivos corrientes</w:t>
      </w:r>
      <w:r w:rsidRPr="00D311DD">
        <w:t xml:space="preserve">. </w:t>
      </w:r>
    </w:p>
    <w:p w14:paraId="66E7372D" w14:textId="77777777" w:rsidR="005F38A6" w:rsidRDefault="005F38A6" w:rsidP="005F38A6">
      <w:pPr>
        <w:jc w:val="both"/>
        <w:rPr>
          <w:bCs/>
          <w:color w:val="000000" w:themeColor="text1"/>
          <w:lang w:val="es-MX"/>
        </w:rPr>
      </w:pPr>
    </w:p>
    <w:p w14:paraId="431C70CA" w14:textId="181AB127" w:rsidR="00411D33" w:rsidRPr="00411D33" w:rsidRDefault="00411D33" w:rsidP="00411D33">
      <w:pPr>
        <w:keepNext/>
        <w:jc w:val="center"/>
        <w:rPr>
          <w:b/>
          <w:bCs/>
          <w:color w:val="000000" w:themeColor="text1"/>
          <w:lang w:val="es-MX"/>
        </w:rPr>
      </w:pPr>
      <w:bookmarkStart w:id="459" w:name="_Toc143593623"/>
      <w:r w:rsidRPr="00411D33">
        <w:rPr>
          <w:b/>
          <w:bCs/>
        </w:rPr>
        <w:t xml:space="preserve">Gráfico </w:t>
      </w:r>
      <w:r w:rsidRPr="00411D33">
        <w:rPr>
          <w:b/>
          <w:bCs/>
        </w:rPr>
        <w:fldChar w:fldCharType="begin"/>
      </w:r>
      <w:r w:rsidRPr="00411D33">
        <w:rPr>
          <w:b/>
          <w:bCs/>
        </w:rPr>
        <w:instrText xml:space="preserve"> SEQ Gráfico \* ARABIC </w:instrText>
      </w:r>
      <w:r w:rsidRPr="00411D33">
        <w:rPr>
          <w:b/>
          <w:bCs/>
        </w:rPr>
        <w:fldChar w:fldCharType="separate"/>
      </w:r>
      <w:r w:rsidR="00A62AFA">
        <w:rPr>
          <w:b/>
          <w:bCs/>
          <w:noProof/>
        </w:rPr>
        <w:t>65</w:t>
      </w:r>
      <w:r w:rsidRPr="00411D33">
        <w:rPr>
          <w:b/>
          <w:bCs/>
        </w:rPr>
        <w:fldChar w:fldCharType="end"/>
      </w:r>
      <w:r w:rsidRPr="00411D33">
        <w:rPr>
          <w:b/>
          <w:bCs/>
        </w:rPr>
        <w:t xml:space="preserve">.  </w:t>
      </w:r>
      <w:r w:rsidRPr="00411D33">
        <w:rPr>
          <w:b/>
          <w:bCs/>
          <w:color w:val="000000" w:themeColor="text1"/>
          <w:lang w:val="es-MX"/>
        </w:rPr>
        <w:t>Liquidez Financiera de las Municipalidades</w:t>
      </w:r>
      <w:bookmarkEnd w:id="459"/>
    </w:p>
    <w:p w14:paraId="66E6908F" w14:textId="77777777" w:rsidR="005F38A6" w:rsidRPr="00411D33" w:rsidRDefault="005F38A6" w:rsidP="005F38A6">
      <w:pPr>
        <w:jc w:val="center"/>
        <w:rPr>
          <w:bCs/>
          <w:color w:val="000000" w:themeColor="text1"/>
          <w:sz w:val="22"/>
          <w:szCs w:val="22"/>
          <w:lang w:val="es-MX"/>
        </w:rPr>
      </w:pPr>
      <w:r w:rsidRPr="00411D33">
        <w:rPr>
          <w:sz w:val="22"/>
          <w:szCs w:val="22"/>
        </w:rPr>
        <w:t>Cantidad de veces que el activo corriente supera al pasivo corriente</w:t>
      </w:r>
    </w:p>
    <w:p w14:paraId="019105C6" w14:textId="77777777" w:rsidR="005F38A6" w:rsidRPr="00190C67" w:rsidRDefault="005F38A6" w:rsidP="005F38A6">
      <w:pPr>
        <w:jc w:val="center"/>
        <w:rPr>
          <w:b/>
          <w:color w:val="000000" w:themeColor="text1"/>
          <w:lang w:val="es-MX"/>
        </w:rPr>
      </w:pPr>
      <w:r>
        <w:rPr>
          <w:noProof/>
        </w:rPr>
        <w:drawing>
          <wp:inline distT="0" distB="0" distL="0" distR="0" wp14:anchorId="3A24E7BE" wp14:editId="62802740">
            <wp:extent cx="5486400" cy="2142699"/>
            <wp:effectExtent l="0" t="0" r="0" b="0"/>
            <wp:docPr id="1278041535" name="Gráfico 1">
              <a:extLst xmlns:a="http://schemas.openxmlformats.org/drawingml/2006/main">
                <a:ext uri="{FF2B5EF4-FFF2-40B4-BE49-F238E27FC236}">
                  <a16:creationId xmlns:a16="http://schemas.microsoft.com/office/drawing/2014/main" id="{CDCF550D-9B06-1B82-0DC8-8E290D5FB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3972817" w14:textId="77777777" w:rsidR="005F38A6" w:rsidRPr="00411D33" w:rsidRDefault="005F38A6" w:rsidP="005F38A6">
      <w:pPr>
        <w:ind w:firstLine="284"/>
        <w:rPr>
          <w:sz w:val="16"/>
          <w:szCs w:val="22"/>
        </w:rPr>
      </w:pPr>
      <w:r w:rsidRPr="00411D33">
        <w:rPr>
          <w:sz w:val="16"/>
          <w:szCs w:val="22"/>
        </w:rPr>
        <w:t xml:space="preserve">Fuente: </w:t>
      </w:r>
      <w:proofErr w:type="spellStart"/>
      <w:r w:rsidRPr="00411D33">
        <w:rPr>
          <w:sz w:val="16"/>
          <w:szCs w:val="22"/>
        </w:rPr>
        <w:t>Sicoin</w:t>
      </w:r>
      <w:proofErr w:type="spellEnd"/>
      <w:r w:rsidRPr="00411D33">
        <w:rPr>
          <w:sz w:val="16"/>
          <w:szCs w:val="22"/>
        </w:rPr>
        <w:t xml:space="preserve"> GL</w:t>
      </w:r>
    </w:p>
    <w:p w14:paraId="48E9C5CF" w14:textId="77777777" w:rsidR="005F38A6" w:rsidRDefault="005F38A6" w:rsidP="005F38A6">
      <w:pPr>
        <w:jc w:val="both"/>
        <w:rPr>
          <w:bCs/>
          <w:color w:val="000000" w:themeColor="text1"/>
          <w:lang w:val="es-MX"/>
        </w:rPr>
      </w:pPr>
    </w:p>
    <w:p w14:paraId="4B56782B" w14:textId="77777777" w:rsidR="005F38A6" w:rsidRDefault="005F38A6" w:rsidP="005F38A6">
      <w:pPr>
        <w:jc w:val="both"/>
        <w:rPr>
          <w:bCs/>
          <w:color w:val="000000" w:themeColor="text1"/>
          <w:lang w:val="es-MX"/>
        </w:rPr>
      </w:pPr>
      <w:r w:rsidRPr="00F17D48">
        <w:rPr>
          <w:bCs/>
          <w:color w:val="000000" w:themeColor="text1"/>
          <w:lang w:val="es-MX"/>
        </w:rPr>
        <w:t xml:space="preserve">En términos de liquidez se puede considerar como un nivel adecuado cuando una entidad tenga un valor mayor a uno y durante </w:t>
      </w:r>
      <w:bookmarkStart w:id="460" w:name="_Hlk140748108"/>
      <w:r w:rsidRPr="00F17D48">
        <w:rPr>
          <w:bCs/>
          <w:color w:val="000000" w:themeColor="text1"/>
          <w:lang w:val="es-MX"/>
        </w:rPr>
        <w:t>el 202</w:t>
      </w:r>
      <w:r>
        <w:rPr>
          <w:bCs/>
          <w:color w:val="000000" w:themeColor="text1"/>
          <w:lang w:val="es-MX"/>
        </w:rPr>
        <w:t>2</w:t>
      </w:r>
      <w:r w:rsidRPr="00F17D48">
        <w:rPr>
          <w:bCs/>
          <w:color w:val="000000" w:themeColor="text1"/>
          <w:lang w:val="es-MX"/>
        </w:rPr>
        <w:t xml:space="preserve"> </w:t>
      </w:r>
      <w:r>
        <w:rPr>
          <w:bCs/>
          <w:color w:val="000000" w:themeColor="text1"/>
          <w:lang w:val="es-MX"/>
        </w:rPr>
        <w:t>hubo 3</w:t>
      </w:r>
      <w:r w:rsidRPr="00F17D48">
        <w:rPr>
          <w:bCs/>
          <w:color w:val="000000" w:themeColor="text1"/>
          <w:lang w:val="es-MX"/>
        </w:rPr>
        <w:t xml:space="preserve"> municipalidades </w:t>
      </w:r>
      <w:r>
        <w:rPr>
          <w:bCs/>
          <w:color w:val="000000" w:themeColor="text1"/>
          <w:lang w:val="es-MX"/>
        </w:rPr>
        <w:t>las cuales poseen un</w:t>
      </w:r>
      <w:r w:rsidRPr="00F17D48">
        <w:rPr>
          <w:bCs/>
          <w:color w:val="000000" w:themeColor="text1"/>
          <w:lang w:val="es-MX"/>
        </w:rPr>
        <w:t xml:space="preserve"> indicador </w:t>
      </w:r>
      <w:r>
        <w:rPr>
          <w:bCs/>
          <w:color w:val="000000" w:themeColor="text1"/>
          <w:lang w:val="es-MX"/>
        </w:rPr>
        <w:t>menor</w:t>
      </w:r>
      <w:r w:rsidRPr="00F17D48">
        <w:rPr>
          <w:bCs/>
          <w:color w:val="000000" w:themeColor="text1"/>
          <w:lang w:val="es-MX"/>
        </w:rPr>
        <w:t xml:space="preserve"> a 1</w:t>
      </w:r>
      <w:bookmarkEnd w:id="460"/>
      <w:r w:rsidRPr="00F17D48">
        <w:rPr>
          <w:bCs/>
          <w:color w:val="000000" w:themeColor="text1"/>
          <w:lang w:val="es-MX"/>
        </w:rPr>
        <w:t>, mientras que 1</w:t>
      </w:r>
      <w:r>
        <w:rPr>
          <w:bCs/>
          <w:color w:val="000000" w:themeColor="text1"/>
          <w:lang w:val="es-MX"/>
        </w:rPr>
        <w:t>5</w:t>
      </w:r>
      <w:r w:rsidRPr="00F17D48">
        <w:rPr>
          <w:bCs/>
          <w:color w:val="000000" w:themeColor="text1"/>
          <w:lang w:val="es-MX"/>
        </w:rPr>
        <w:t xml:space="preserve"> entidades tienen un indicador entre 1.1 y 2 veces mayor</w:t>
      </w:r>
      <w:r>
        <w:rPr>
          <w:bCs/>
          <w:color w:val="000000" w:themeColor="text1"/>
          <w:lang w:val="es-MX"/>
        </w:rPr>
        <w:t>, 28 municipalidades tienen una liquidez entre 2.1 y 4 veces, 31 municipalidades tienen un indicador entre 4.1 y 8 veces. P</w:t>
      </w:r>
      <w:r w:rsidRPr="00F17D48">
        <w:rPr>
          <w:bCs/>
          <w:color w:val="000000" w:themeColor="text1"/>
          <w:lang w:val="es-MX"/>
        </w:rPr>
        <w:t xml:space="preserve">or su parte, </w:t>
      </w:r>
      <w:r>
        <w:rPr>
          <w:bCs/>
          <w:color w:val="000000" w:themeColor="text1"/>
          <w:lang w:val="es-MX"/>
        </w:rPr>
        <w:t xml:space="preserve">hay un total de 206 municipalidades las cuales tienen indicador superior a 16 veces en los que sus activos corrientes supera a sus pasivos corrientes </w:t>
      </w:r>
      <w:r w:rsidRPr="00F17D48">
        <w:rPr>
          <w:bCs/>
          <w:color w:val="000000" w:themeColor="text1"/>
          <w:lang w:val="es-MX"/>
        </w:rPr>
        <w:t>y</w:t>
      </w:r>
      <w:r>
        <w:rPr>
          <w:bCs/>
          <w:color w:val="000000" w:themeColor="text1"/>
          <w:lang w:val="es-MX"/>
        </w:rPr>
        <w:t xml:space="preserve"> cabe mencionar que, de estas, existen 11 municipalidades las cuales</w:t>
      </w:r>
      <w:r w:rsidRPr="00F17D48">
        <w:rPr>
          <w:bCs/>
          <w:color w:val="000000" w:themeColor="text1"/>
          <w:lang w:val="es-MX"/>
        </w:rPr>
        <w:t xml:space="preserve"> no presentaron cifras de pasivos corrientes y por lo tanto no fueron incluidas en la gráfica</w:t>
      </w:r>
      <w:r>
        <w:rPr>
          <w:bCs/>
          <w:color w:val="000000" w:themeColor="text1"/>
          <w:lang w:val="es-MX"/>
        </w:rPr>
        <w:t xml:space="preserve"> que se presenta a continuación</w:t>
      </w:r>
      <w:r w:rsidRPr="00F17D48">
        <w:rPr>
          <w:bCs/>
          <w:color w:val="000000" w:themeColor="text1"/>
          <w:lang w:val="es-MX"/>
        </w:rPr>
        <w:t>.</w:t>
      </w:r>
    </w:p>
    <w:p w14:paraId="600262C2" w14:textId="7FB17621" w:rsidR="00411D33" w:rsidRDefault="00411D33" w:rsidP="005F38A6">
      <w:pPr>
        <w:jc w:val="both"/>
        <w:rPr>
          <w:bCs/>
          <w:color w:val="000000" w:themeColor="text1"/>
          <w:lang w:val="es-MX"/>
        </w:rPr>
      </w:pPr>
    </w:p>
    <w:p w14:paraId="560DCC38" w14:textId="613BCD97" w:rsidR="007A0B9B" w:rsidRDefault="007A0B9B" w:rsidP="005F38A6">
      <w:pPr>
        <w:jc w:val="both"/>
        <w:rPr>
          <w:bCs/>
          <w:color w:val="000000" w:themeColor="text1"/>
          <w:lang w:val="es-MX"/>
        </w:rPr>
      </w:pPr>
    </w:p>
    <w:p w14:paraId="4E4B078D" w14:textId="77777777" w:rsidR="007A0B9B" w:rsidRDefault="007A0B9B" w:rsidP="005F38A6">
      <w:pPr>
        <w:jc w:val="both"/>
        <w:rPr>
          <w:bCs/>
          <w:color w:val="000000" w:themeColor="text1"/>
          <w:lang w:val="es-MX"/>
        </w:rPr>
      </w:pPr>
    </w:p>
    <w:p w14:paraId="0C3C5AC9" w14:textId="17193838" w:rsidR="00411D33" w:rsidRPr="00411D33" w:rsidRDefault="00411D33" w:rsidP="00411D33">
      <w:pPr>
        <w:keepNext/>
        <w:jc w:val="center"/>
        <w:rPr>
          <w:b/>
          <w:bCs/>
        </w:rPr>
      </w:pPr>
      <w:bookmarkStart w:id="461" w:name="_Toc143593624"/>
      <w:r w:rsidRPr="00411D33">
        <w:rPr>
          <w:b/>
          <w:bCs/>
        </w:rPr>
        <w:lastRenderedPageBreak/>
        <w:t xml:space="preserve">Gráfico </w:t>
      </w:r>
      <w:r w:rsidRPr="00411D33">
        <w:rPr>
          <w:b/>
          <w:bCs/>
        </w:rPr>
        <w:fldChar w:fldCharType="begin"/>
      </w:r>
      <w:r w:rsidRPr="00411D33">
        <w:rPr>
          <w:b/>
          <w:bCs/>
        </w:rPr>
        <w:instrText xml:space="preserve"> SEQ Gráfico \* ARABIC </w:instrText>
      </w:r>
      <w:r w:rsidRPr="00411D33">
        <w:rPr>
          <w:b/>
          <w:bCs/>
        </w:rPr>
        <w:fldChar w:fldCharType="separate"/>
      </w:r>
      <w:r w:rsidR="00A62AFA">
        <w:rPr>
          <w:b/>
          <w:bCs/>
          <w:noProof/>
        </w:rPr>
        <w:t>66</w:t>
      </w:r>
      <w:r w:rsidRPr="00411D33">
        <w:rPr>
          <w:b/>
          <w:bCs/>
        </w:rPr>
        <w:fldChar w:fldCharType="end"/>
      </w:r>
      <w:r w:rsidRPr="00411D33">
        <w:rPr>
          <w:b/>
          <w:bCs/>
        </w:rPr>
        <w:t>.  Liquidez Financiera de la Municipalidades</w:t>
      </w:r>
      <w:bookmarkEnd w:id="461"/>
      <w:r w:rsidRPr="00411D33">
        <w:rPr>
          <w:b/>
          <w:bCs/>
        </w:rPr>
        <w:t xml:space="preserve"> </w:t>
      </w:r>
    </w:p>
    <w:p w14:paraId="155804DA" w14:textId="77777777" w:rsidR="005F38A6" w:rsidRPr="00411D33" w:rsidRDefault="005F38A6" w:rsidP="005F38A6">
      <w:pPr>
        <w:jc w:val="center"/>
        <w:rPr>
          <w:sz w:val="22"/>
          <w:szCs w:val="22"/>
        </w:rPr>
      </w:pPr>
      <w:r w:rsidRPr="00411D33">
        <w:rPr>
          <w:sz w:val="22"/>
          <w:szCs w:val="22"/>
        </w:rPr>
        <w:t xml:space="preserve">Para el año 2022 </w:t>
      </w:r>
    </w:p>
    <w:p w14:paraId="6CBEEC4B" w14:textId="77777777" w:rsidR="005F38A6" w:rsidRPr="00411D33" w:rsidRDefault="005F38A6" w:rsidP="005F38A6">
      <w:pPr>
        <w:jc w:val="center"/>
        <w:rPr>
          <w:bCs/>
          <w:color w:val="000000" w:themeColor="text1"/>
          <w:sz w:val="22"/>
          <w:szCs w:val="22"/>
          <w:lang w:val="es-MX"/>
        </w:rPr>
      </w:pPr>
      <w:r w:rsidRPr="00411D33">
        <w:rPr>
          <w:sz w:val="22"/>
          <w:szCs w:val="22"/>
        </w:rPr>
        <w:t>Cantidad de Municipalidades según el valor de su Liquidez</w:t>
      </w:r>
    </w:p>
    <w:p w14:paraId="737BF5ED" w14:textId="77777777" w:rsidR="005F38A6" w:rsidRDefault="005F38A6" w:rsidP="005F38A6">
      <w:pPr>
        <w:jc w:val="both"/>
        <w:rPr>
          <w:bCs/>
          <w:color w:val="000000" w:themeColor="text1"/>
          <w:lang w:val="es-MX"/>
        </w:rPr>
      </w:pPr>
      <w:r>
        <w:rPr>
          <w:noProof/>
        </w:rPr>
        <w:drawing>
          <wp:inline distT="0" distB="0" distL="0" distR="0" wp14:anchorId="5AE98D0F" wp14:editId="464135D7">
            <wp:extent cx="5486400" cy="2238233"/>
            <wp:effectExtent l="0" t="0" r="0" b="0"/>
            <wp:docPr id="1889938822" name="Gráfico 1">
              <a:extLst xmlns:a="http://schemas.openxmlformats.org/drawingml/2006/main">
                <a:ext uri="{FF2B5EF4-FFF2-40B4-BE49-F238E27FC236}">
                  <a16:creationId xmlns:a16="http://schemas.microsoft.com/office/drawing/2014/main" id="{F71D1AAD-0CF8-F220-E33A-764A8D055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5966886" w14:textId="77777777" w:rsidR="005F38A6" w:rsidRPr="00411D33" w:rsidRDefault="005F38A6" w:rsidP="005F38A6">
      <w:pPr>
        <w:jc w:val="both"/>
        <w:rPr>
          <w:sz w:val="22"/>
          <w:szCs w:val="22"/>
        </w:rPr>
      </w:pPr>
      <w:r w:rsidRPr="00411D33">
        <w:rPr>
          <w:sz w:val="16"/>
          <w:szCs w:val="22"/>
        </w:rPr>
        <w:t xml:space="preserve">Fuente: </w:t>
      </w:r>
      <w:proofErr w:type="spellStart"/>
      <w:r w:rsidRPr="00411D33">
        <w:rPr>
          <w:sz w:val="16"/>
          <w:szCs w:val="22"/>
        </w:rPr>
        <w:t>Sicoin</w:t>
      </w:r>
      <w:proofErr w:type="spellEnd"/>
      <w:r w:rsidRPr="00411D33">
        <w:rPr>
          <w:sz w:val="16"/>
          <w:szCs w:val="22"/>
        </w:rPr>
        <w:t xml:space="preserve"> GL</w:t>
      </w:r>
    </w:p>
    <w:p w14:paraId="2634DE62" w14:textId="77777777" w:rsidR="005F38A6" w:rsidRDefault="005F38A6" w:rsidP="005F38A6">
      <w:pPr>
        <w:jc w:val="both"/>
      </w:pPr>
    </w:p>
    <w:p w14:paraId="55441943" w14:textId="77777777" w:rsidR="005F38A6" w:rsidRDefault="005F38A6" w:rsidP="005F38A6">
      <w:pPr>
        <w:jc w:val="both"/>
      </w:pPr>
      <w:r w:rsidRPr="00663C44">
        <w:t>Entre las municipalidades que se destacan por tener un nivel de liquidez considerado como bajo son</w:t>
      </w:r>
      <w:r>
        <w:t>:</w:t>
      </w:r>
      <w:r w:rsidRPr="00663C44">
        <w:t xml:space="preserve"> </w:t>
      </w:r>
      <w:r w:rsidRPr="009C05AC">
        <w:t>San Pablo La Laguna</w:t>
      </w:r>
      <w:r>
        <w:t xml:space="preserve"> con un 0.6 veces que sus activos corrientes superan a sus pasivos corrientes, </w:t>
      </w:r>
      <w:r w:rsidRPr="000A5FB2">
        <w:t>San José (Petén)</w:t>
      </w:r>
      <w:r>
        <w:t xml:space="preserve"> con un 0.9 veces, Agua Blanca con 0.9 veces y San José </w:t>
      </w:r>
      <w:proofErr w:type="spellStart"/>
      <w:r>
        <w:t>Chacaya</w:t>
      </w:r>
      <w:proofErr w:type="spellEnd"/>
      <w:r>
        <w:t xml:space="preserve"> junto con la municipalidad de Panzós con un indicador de 1. </w:t>
      </w:r>
      <w:r w:rsidRPr="00663C44">
        <w:t>Cabe señalar que, mientras más baj</w:t>
      </w:r>
      <w:r>
        <w:t>a</w:t>
      </w:r>
      <w:r w:rsidRPr="00663C44">
        <w:t xml:space="preserve"> sea su liquidez tendrán un mayor riesgo financiero dado que contará con una limitada capacidad para hacer frente a compromisos de pago en el corto plazo y, por lo tanto, es importante que este indicador se encuentre por encima de 1 para tener una mayor disponibilidad de activos corrientes en caso de eventualidades.</w:t>
      </w:r>
      <w:r>
        <w:t xml:space="preserve"> </w:t>
      </w:r>
    </w:p>
    <w:p w14:paraId="3089FA01" w14:textId="77777777" w:rsidR="005F38A6" w:rsidRDefault="005F38A6" w:rsidP="005F38A6">
      <w:pPr>
        <w:jc w:val="both"/>
      </w:pPr>
    </w:p>
    <w:p w14:paraId="3848C9F6" w14:textId="235BFF1E" w:rsidR="005F38A6" w:rsidRPr="00411D33" w:rsidRDefault="00411D33" w:rsidP="00411D33">
      <w:pPr>
        <w:keepNext/>
        <w:jc w:val="center"/>
        <w:rPr>
          <w:b/>
          <w:bCs/>
        </w:rPr>
      </w:pPr>
      <w:bookmarkStart w:id="462" w:name="_Toc143593625"/>
      <w:r w:rsidRPr="00411D33">
        <w:rPr>
          <w:b/>
          <w:bCs/>
        </w:rPr>
        <w:t xml:space="preserve">Gráfico </w:t>
      </w:r>
      <w:r w:rsidRPr="00411D33">
        <w:rPr>
          <w:b/>
          <w:bCs/>
        </w:rPr>
        <w:fldChar w:fldCharType="begin"/>
      </w:r>
      <w:r w:rsidRPr="00411D33">
        <w:rPr>
          <w:b/>
          <w:bCs/>
        </w:rPr>
        <w:instrText xml:space="preserve"> SEQ Gráfico \* ARABIC </w:instrText>
      </w:r>
      <w:r w:rsidRPr="00411D33">
        <w:rPr>
          <w:b/>
          <w:bCs/>
        </w:rPr>
        <w:fldChar w:fldCharType="separate"/>
      </w:r>
      <w:r w:rsidR="00A62AFA">
        <w:rPr>
          <w:b/>
          <w:bCs/>
          <w:noProof/>
        </w:rPr>
        <w:t>67</w:t>
      </w:r>
      <w:r w:rsidRPr="00411D33">
        <w:rPr>
          <w:b/>
          <w:bCs/>
        </w:rPr>
        <w:fldChar w:fldCharType="end"/>
      </w:r>
      <w:r w:rsidRPr="00411D33">
        <w:rPr>
          <w:b/>
          <w:bCs/>
        </w:rPr>
        <w:t>.  Liquidez financiera por Municipalidad</w:t>
      </w:r>
      <w:bookmarkEnd w:id="462"/>
    </w:p>
    <w:p w14:paraId="5B78B4C9" w14:textId="77777777" w:rsidR="005F38A6" w:rsidRPr="00411D33" w:rsidRDefault="005F38A6" w:rsidP="005F38A6">
      <w:pPr>
        <w:jc w:val="center"/>
        <w:rPr>
          <w:sz w:val="22"/>
          <w:szCs w:val="22"/>
        </w:rPr>
      </w:pPr>
      <w:r w:rsidRPr="00411D33">
        <w:rPr>
          <w:sz w:val="22"/>
          <w:szCs w:val="22"/>
        </w:rPr>
        <w:t>Para el año 2022</w:t>
      </w:r>
    </w:p>
    <w:p w14:paraId="40BC7BBB" w14:textId="77777777" w:rsidR="005F38A6" w:rsidRPr="00CD5A4F" w:rsidRDefault="005F38A6" w:rsidP="005F38A6">
      <w:pPr>
        <w:jc w:val="center"/>
        <w:rPr>
          <w:bCs/>
          <w:color w:val="000000" w:themeColor="text1"/>
          <w:lang w:val="es-MX"/>
        </w:rPr>
      </w:pPr>
      <w:r w:rsidRPr="00411D33">
        <w:rPr>
          <w:sz w:val="22"/>
          <w:szCs w:val="22"/>
        </w:rPr>
        <w:t>Cantidad de veces que el activo corriente supera al pasivo corriente</w:t>
      </w:r>
    </w:p>
    <w:tbl>
      <w:tblPr>
        <w:tblW w:w="0" w:type="auto"/>
        <w:tblCellMar>
          <w:left w:w="70" w:type="dxa"/>
          <w:right w:w="70" w:type="dxa"/>
        </w:tblCellMar>
        <w:tblLook w:val="04A0" w:firstRow="1" w:lastRow="0" w:firstColumn="1" w:lastColumn="0" w:noHBand="0" w:noVBand="1"/>
      </w:tblPr>
      <w:tblGrid>
        <w:gridCol w:w="4457"/>
        <w:gridCol w:w="4381"/>
      </w:tblGrid>
      <w:tr w:rsidR="005F38A6" w14:paraId="1E0B2A22" w14:textId="77777777" w:rsidTr="006A7377">
        <w:tc>
          <w:tcPr>
            <w:tcW w:w="4457" w:type="dxa"/>
          </w:tcPr>
          <w:p w14:paraId="19E38050" w14:textId="77777777" w:rsidR="005F38A6" w:rsidRPr="00F17D48" w:rsidRDefault="005F38A6" w:rsidP="006A7377">
            <w:pPr>
              <w:rPr>
                <w:color w:val="000000" w:themeColor="text1"/>
                <w:lang w:val="es-MX"/>
              </w:rPr>
            </w:pPr>
            <w:r w:rsidRPr="00F17D48">
              <w:rPr>
                <w:color w:val="000000" w:themeColor="text1"/>
                <w:lang w:val="es-MX"/>
              </w:rPr>
              <w:t>Con mayor liquidez</w:t>
            </w:r>
          </w:p>
          <w:p w14:paraId="47BE4C90" w14:textId="77777777" w:rsidR="005F38A6" w:rsidRPr="00F17D48" w:rsidRDefault="005F38A6" w:rsidP="006A7377">
            <w:pPr>
              <w:rPr>
                <w:color w:val="000000" w:themeColor="text1"/>
                <w:lang w:val="es-MX"/>
              </w:rPr>
            </w:pPr>
            <w:r>
              <w:rPr>
                <w:noProof/>
              </w:rPr>
              <w:drawing>
                <wp:inline distT="0" distB="0" distL="0" distR="0" wp14:anchorId="2F5DEB93" wp14:editId="28182B58">
                  <wp:extent cx="2814320" cy="2472856"/>
                  <wp:effectExtent l="0" t="0" r="5080" b="3810"/>
                  <wp:docPr id="2006721070" name="Gráfico 1">
                    <a:extLst xmlns:a="http://schemas.openxmlformats.org/drawingml/2006/main">
                      <a:ext uri="{FF2B5EF4-FFF2-40B4-BE49-F238E27FC236}">
                        <a16:creationId xmlns:a16="http://schemas.microsoft.com/office/drawing/2014/main" id="{7807B74D-61D6-4F86-947B-84263AA4F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c>
          <w:tcPr>
            <w:tcW w:w="4381" w:type="dxa"/>
          </w:tcPr>
          <w:p w14:paraId="6A8BFF6F" w14:textId="77777777" w:rsidR="005F38A6" w:rsidRDefault="005F38A6" w:rsidP="006A7377">
            <w:pPr>
              <w:rPr>
                <w:color w:val="000000" w:themeColor="text1"/>
                <w:lang w:val="es-MX"/>
              </w:rPr>
            </w:pPr>
            <w:r w:rsidRPr="00F17D48">
              <w:rPr>
                <w:color w:val="000000" w:themeColor="text1"/>
                <w:lang w:val="es-MX"/>
              </w:rPr>
              <w:t>Con menor liquidez</w:t>
            </w:r>
          </w:p>
          <w:p w14:paraId="17D33E56" w14:textId="77777777" w:rsidR="005F38A6" w:rsidRPr="00F17D48" w:rsidRDefault="005F38A6" w:rsidP="006A7377">
            <w:pPr>
              <w:rPr>
                <w:color w:val="000000" w:themeColor="text1"/>
                <w:lang w:val="es-MX"/>
              </w:rPr>
            </w:pPr>
            <w:r>
              <w:rPr>
                <w:noProof/>
              </w:rPr>
              <w:drawing>
                <wp:inline distT="0" distB="0" distL="0" distR="0" wp14:anchorId="7BB891FE" wp14:editId="65D2B586">
                  <wp:extent cx="2769235" cy="2472690"/>
                  <wp:effectExtent l="0" t="0" r="0" b="3810"/>
                  <wp:docPr id="307601767" name="Gráfico 1">
                    <a:extLst xmlns:a="http://schemas.openxmlformats.org/drawingml/2006/main">
                      <a:ext uri="{FF2B5EF4-FFF2-40B4-BE49-F238E27FC236}">
                        <a16:creationId xmlns:a16="http://schemas.microsoft.com/office/drawing/2014/main" id="{844726EA-C88A-4498-985C-7ED03C829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bl>
    <w:p w14:paraId="2D5C195E" w14:textId="77777777" w:rsidR="005F38A6" w:rsidRPr="00411D33" w:rsidRDefault="005F38A6" w:rsidP="005F38A6">
      <w:pPr>
        <w:jc w:val="both"/>
        <w:rPr>
          <w:sz w:val="16"/>
          <w:szCs w:val="22"/>
        </w:rPr>
      </w:pPr>
      <w:r w:rsidRPr="00411D33">
        <w:rPr>
          <w:sz w:val="16"/>
          <w:szCs w:val="22"/>
        </w:rPr>
        <w:t xml:space="preserve">Fuente: </w:t>
      </w:r>
      <w:proofErr w:type="spellStart"/>
      <w:r w:rsidRPr="00411D33">
        <w:rPr>
          <w:sz w:val="16"/>
          <w:szCs w:val="22"/>
        </w:rPr>
        <w:t>Sicoin</w:t>
      </w:r>
      <w:proofErr w:type="spellEnd"/>
      <w:r w:rsidRPr="00411D33">
        <w:rPr>
          <w:sz w:val="16"/>
          <w:szCs w:val="22"/>
        </w:rPr>
        <w:t xml:space="preserve"> GL</w:t>
      </w:r>
    </w:p>
    <w:p w14:paraId="4145FBC6" w14:textId="77777777" w:rsidR="005F38A6" w:rsidRDefault="005F38A6" w:rsidP="005F38A6">
      <w:pPr>
        <w:jc w:val="both"/>
        <w:rPr>
          <w:bCs/>
          <w:color w:val="000000" w:themeColor="text1"/>
          <w:lang w:val="es-MX"/>
        </w:rPr>
      </w:pPr>
    </w:p>
    <w:p w14:paraId="34D89F7D" w14:textId="77777777" w:rsidR="005F38A6" w:rsidRPr="008C0ACF" w:rsidRDefault="005F38A6" w:rsidP="007F19DF">
      <w:pPr>
        <w:pStyle w:val="Ttulo2"/>
        <w:numPr>
          <w:ilvl w:val="2"/>
          <w:numId w:val="35"/>
        </w:numPr>
        <w:tabs>
          <w:tab w:val="left" w:pos="851"/>
        </w:tabs>
        <w:ind w:left="567" w:hanging="283"/>
        <w:rPr>
          <w:bCs/>
        </w:rPr>
      </w:pPr>
      <w:bookmarkStart w:id="463" w:name="_Hlk140748543"/>
      <w:bookmarkStart w:id="464" w:name="_Toc79746363"/>
      <w:bookmarkStart w:id="465" w:name="_Toc110522941"/>
      <w:bookmarkStart w:id="466" w:name="_Toc144114409"/>
      <w:r w:rsidRPr="008C0ACF">
        <w:rPr>
          <w:bCs/>
        </w:rPr>
        <w:lastRenderedPageBreak/>
        <w:t xml:space="preserve">Obligaciones Financieras por Pagar </w:t>
      </w:r>
      <w:bookmarkEnd w:id="463"/>
      <w:r w:rsidRPr="008C0ACF">
        <w:rPr>
          <w:bCs/>
        </w:rPr>
        <w:t>de las Municipalidades</w:t>
      </w:r>
      <w:bookmarkEnd w:id="464"/>
      <w:bookmarkEnd w:id="465"/>
      <w:bookmarkEnd w:id="466"/>
    </w:p>
    <w:p w14:paraId="756B5FF7" w14:textId="77777777" w:rsidR="005F38A6" w:rsidRPr="001C0BBF" w:rsidRDefault="005F38A6" w:rsidP="005F38A6">
      <w:pPr>
        <w:ind w:right="49"/>
        <w:jc w:val="both"/>
        <w:rPr>
          <w:bCs/>
          <w:sz w:val="22"/>
          <w:lang w:val="es-MX"/>
        </w:rPr>
      </w:pPr>
    </w:p>
    <w:p w14:paraId="334D739A" w14:textId="77777777" w:rsidR="005F38A6" w:rsidRPr="002333A9" w:rsidRDefault="005F38A6" w:rsidP="005F38A6">
      <w:pPr>
        <w:jc w:val="both"/>
        <w:rPr>
          <w:bCs/>
          <w:color w:val="000000" w:themeColor="text1"/>
          <w:lang w:val="es-MX"/>
        </w:rPr>
      </w:pPr>
      <w:r w:rsidRPr="00C734BA">
        <w:rPr>
          <w:bCs/>
          <w:color w:val="000000" w:themeColor="text1"/>
          <w:lang w:val="es-MX"/>
        </w:rPr>
        <w:t xml:space="preserve">Las obligaciones financieras </w:t>
      </w:r>
      <w:bookmarkStart w:id="467" w:name="_Hlk140748596"/>
      <w:r w:rsidRPr="00C734BA">
        <w:rPr>
          <w:bCs/>
          <w:color w:val="000000" w:themeColor="text1"/>
          <w:lang w:val="es-MX"/>
        </w:rPr>
        <w:t xml:space="preserve">incluyen los compromisos adquiridos por las necesidades de endeudamiento a través de la adquisición de préstamos y las otras obligaciones por pagar. </w:t>
      </w:r>
      <w:bookmarkEnd w:id="467"/>
      <w:r w:rsidRPr="00C734BA">
        <w:rPr>
          <w:bCs/>
          <w:color w:val="000000" w:themeColor="text1"/>
          <w:lang w:val="es-MX"/>
        </w:rPr>
        <w:t xml:space="preserve">Cabe mencionar que este último concepto incluye para el caso de las municipalidades a las cuentas por pagar, documentos y efectos a pagar y los fondos de terceros.  Asimismo, los valores de </w:t>
      </w:r>
      <w:bookmarkStart w:id="468" w:name="_Hlk140748624"/>
      <w:r w:rsidRPr="00C734BA">
        <w:rPr>
          <w:bCs/>
          <w:color w:val="000000" w:themeColor="text1"/>
          <w:lang w:val="es-MX"/>
        </w:rPr>
        <w:t>las obligaciones financieras se expresan como porcentajes de sus ingresos totales</w:t>
      </w:r>
      <w:bookmarkEnd w:id="468"/>
      <w:r w:rsidRPr="00C734BA">
        <w:rPr>
          <w:bCs/>
          <w:color w:val="000000" w:themeColor="text1"/>
          <w:lang w:val="es-MX"/>
        </w:rPr>
        <w:t>.</w:t>
      </w:r>
      <w:r w:rsidRPr="002333A9">
        <w:rPr>
          <w:bCs/>
          <w:color w:val="000000" w:themeColor="text1"/>
          <w:lang w:val="es-MX"/>
        </w:rPr>
        <w:t xml:space="preserve"> </w:t>
      </w:r>
    </w:p>
    <w:p w14:paraId="3D58B1F0" w14:textId="77777777" w:rsidR="005F38A6" w:rsidRDefault="005F38A6" w:rsidP="005F38A6">
      <w:pPr>
        <w:keepNext/>
      </w:pPr>
      <w:bookmarkStart w:id="469" w:name="_Toc110522819"/>
    </w:p>
    <w:p w14:paraId="0EAF199C" w14:textId="15B66773" w:rsidR="005F38A6" w:rsidRPr="00411D33" w:rsidRDefault="00411D33" w:rsidP="00411D33">
      <w:pPr>
        <w:pStyle w:val="Descripcin"/>
        <w:rPr>
          <w:b w:val="0"/>
          <w:bCs/>
          <w:color w:val="auto"/>
        </w:rPr>
      </w:pPr>
      <w:bookmarkStart w:id="470" w:name="_Toc143593626"/>
      <w:bookmarkEnd w:id="469"/>
      <w:r w:rsidRPr="00411D33">
        <w:rPr>
          <w:color w:val="auto"/>
        </w:rPr>
        <w:t xml:space="preserve">Gráfico </w:t>
      </w:r>
      <w:r w:rsidRPr="00411D33">
        <w:rPr>
          <w:color w:val="auto"/>
        </w:rPr>
        <w:fldChar w:fldCharType="begin"/>
      </w:r>
      <w:r w:rsidRPr="00411D33">
        <w:rPr>
          <w:color w:val="auto"/>
        </w:rPr>
        <w:instrText xml:space="preserve"> SEQ Gráfico \* ARABIC </w:instrText>
      </w:r>
      <w:r w:rsidRPr="00411D33">
        <w:rPr>
          <w:color w:val="auto"/>
        </w:rPr>
        <w:fldChar w:fldCharType="separate"/>
      </w:r>
      <w:r w:rsidR="00A62AFA">
        <w:rPr>
          <w:noProof/>
          <w:color w:val="auto"/>
        </w:rPr>
        <w:t>68</w:t>
      </w:r>
      <w:r w:rsidRPr="00411D33">
        <w:rPr>
          <w:color w:val="auto"/>
        </w:rPr>
        <w:fldChar w:fldCharType="end"/>
      </w:r>
      <w:r w:rsidRPr="00411D33">
        <w:rPr>
          <w:color w:val="auto"/>
        </w:rPr>
        <w:t xml:space="preserve">. </w:t>
      </w:r>
      <w:r w:rsidRPr="00411D33">
        <w:rPr>
          <w:bCs/>
          <w:color w:val="auto"/>
          <w:lang w:val="es-MX"/>
        </w:rPr>
        <w:t>Obligaciones financieras de las Municipalidades</w:t>
      </w:r>
      <w:bookmarkEnd w:id="470"/>
    </w:p>
    <w:p w14:paraId="6E762BD8" w14:textId="77777777" w:rsidR="005F38A6" w:rsidRPr="00DC2C13" w:rsidRDefault="005F38A6" w:rsidP="005F38A6">
      <w:pPr>
        <w:jc w:val="center"/>
        <w:rPr>
          <w:sz w:val="22"/>
        </w:rPr>
      </w:pPr>
      <w:r w:rsidRPr="00DC2C13">
        <w:rPr>
          <w:sz w:val="22"/>
        </w:rPr>
        <w:t>Como porcentaje de sus ingresos totales</w:t>
      </w:r>
    </w:p>
    <w:p w14:paraId="467CE3D2" w14:textId="77777777" w:rsidR="005F38A6" w:rsidRDefault="005F38A6" w:rsidP="005F38A6">
      <w:pPr>
        <w:autoSpaceDE w:val="0"/>
        <w:autoSpaceDN w:val="0"/>
        <w:adjustRightInd w:val="0"/>
        <w:ind w:left="142"/>
        <w:jc w:val="center"/>
      </w:pPr>
      <w:r>
        <w:rPr>
          <w:noProof/>
        </w:rPr>
        <w:drawing>
          <wp:inline distT="0" distB="0" distL="0" distR="0" wp14:anchorId="2525988A" wp14:editId="221F6C3F">
            <wp:extent cx="4619625" cy="2204114"/>
            <wp:effectExtent l="0" t="0" r="0" b="5715"/>
            <wp:docPr id="1767033588" name="Gráfico 1">
              <a:extLst xmlns:a="http://schemas.openxmlformats.org/drawingml/2006/main">
                <a:ext uri="{FF2B5EF4-FFF2-40B4-BE49-F238E27FC236}">
                  <a16:creationId xmlns:a16="http://schemas.microsoft.com/office/drawing/2014/main" id="{4D37C0EF-86F9-4C9F-A1A4-541FD032C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403CCDEC" w14:textId="77777777" w:rsidR="005F38A6" w:rsidRPr="0012440D" w:rsidRDefault="005F38A6" w:rsidP="005F38A6">
      <w:pPr>
        <w:tabs>
          <w:tab w:val="left" w:pos="7513"/>
        </w:tabs>
        <w:rPr>
          <w:sz w:val="18"/>
        </w:rPr>
      </w:pPr>
      <w:r>
        <w:rPr>
          <w:sz w:val="18"/>
        </w:rPr>
        <w:t xml:space="preserve">                                 </w:t>
      </w:r>
      <w:r w:rsidRPr="00411D33">
        <w:rPr>
          <w:sz w:val="16"/>
          <w:szCs w:val="22"/>
        </w:rPr>
        <w:t xml:space="preserve">Fuente: </w:t>
      </w:r>
      <w:proofErr w:type="spellStart"/>
      <w:r w:rsidRPr="00411D33">
        <w:rPr>
          <w:sz w:val="16"/>
          <w:szCs w:val="22"/>
        </w:rPr>
        <w:t>Sicoin</w:t>
      </w:r>
      <w:proofErr w:type="spellEnd"/>
      <w:r w:rsidRPr="00411D33">
        <w:rPr>
          <w:sz w:val="16"/>
          <w:szCs w:val="22"/>
        </w:rPr>
        <w:t xml:space="preserve"> GL</w:t>
      </w:r>
    </w:p>
    <w:p w14:paraId="7591F590" w14:textId="77777777" w:rsidR="00BC7E77" w:rsidRDefault="00BC7E77" w:rsidP="005F38A6">
      <w:pPr>
        <w:jc w:val="both"/>
        <w:rPr>
          <w:bCs/>
          <w:color w:val="000000" w:themeColor="text1"/>
          <w:lang w:val="es-MX"/>
        </w:rPr>
      </w:pPr>
      <w:bookmarkStart w:id="471" w:name="_Hlk140748742"/>
    </w:p>
    <w:p w14:paraId="6C454DC9" w14:textId="6247BFB2" w:rsidR="005F38A6" w:rsidRDefault="005F38A6" w:rsidP="005F38A6">
      <w:pPr>
        <w:jc w:val="both"/>
        <w:rPr>
          <w:bCs/>
          <w:color w:val="000000" w:themeColor="text1"/>
          <w:lang w:val="es-MX"/>
        </w:rPr>
      </w:pPr>
      <w:r>
        <w:rPr>
          <w:bCs/>
          <w:color w:val="000000" w:themeColor="text1"/>
          <w:lang w:val="es-MX"/>
        </w:rPr>
        <w:t>En 2022 l</w:t>
      </w:r>
      <w:r w:rsidRPr="002333A9">
        <w:rPr>
          <w:bCs/>
          <w:color w:val="000000" w:themeColor="text1"/>
          <w:lang w:val="es-MX"/>
        </w:rPr>
        <w:t xml:space="preserve">as municipalidades, como grupo institucional, </w:t>
      </w:r>
      <w:r>
        <w:rPr>
          <w:bCs/>
          <w:color w:val="000000" w:themeColor="text1"/>
          <w:lang w:val="es-MX"/>
        </w:rPr>
        <w:t xml:space="preserve">tuvieron obligaciones financieras equivalentes al 11.9% de sus ingresos, de las cuales el 6.0% son producto de endeudamiento por medio de préstamos y el 5.9% se deriva de otras obligaciones financieras. </w:t>
      </w:r>
      <w:bookmarkEnd w:id="471"/>
      <w:r>
        <w:rPr>
          <w:bCs/>
          <w:color w:val="000000" w:themeColor="text1"/>
          <w:lang w:val="es-MX"/>
        </w:rPr>
        <w:t xml:space="preserve">Cabe mencionar que este indicador ser redujo en 1.8 puntos porcentuales respecto a lo observado en 2021 y manteniendo una tendencia de reducción en los </w:t>
      </w:r>
      <w:r w:rsidRPr="005A293E">
        <w:rPr>
          <w:bCs/>
          <w:lang w:val="es-MX"/>
        </w:rPr>
        <w:t>últimos 2 años.</w:t>
      </w:r>
    </w:p>
    <w:p w14:paraId="39C5FE4C" w14:textId="77777777" w:rsidR="005F38A6" w:rsidRDefault="005F38A6" w:rsidP="005F38A6">
      <w:pPr>
        <w:jc w:val="both"/>
        <w:rPr>
          <w:bCs/>
          <w:color w:val="000000" w:themeColor="text1"/>
          <w:lang w:val="es-MX"/>
        </w:rPr>
      </w:pPr>
    </w:p>
    <w:p w14:paraId="7873309A" w14:textId="0BA87997" w:rsidR="006F4B59" w:rsidRPr="006F4B59" w:rsidRDefault="006F4B59" w:rsidP="006F4B59">
      <w:pPr>
        <w:keepNext/>
        <w:jc w:val="center"/>
        <w:rPr>
          <w:b/>
          <w:bCs/>
        </w:rPr>
      </w:pPr>
      <w:bookmarkStart w:id="472" w:name="_Toc143593627"/>
      <w:r w:rsidRPr="006F4B59">
        <w:rPr>
          <w:b/>
          <w:bCs/>
        </w:rPr>
        <w:t xml:space="preserve">Gráfico </w:t>
      </w:r>
      <w:r w:rsidRPr="006F4B59">
        <w:rPr>
          <w:b/>
          <w:bCs/>
        </w:rPr>
        <w:fldChar w:fldCharType="begin"/>
      </w:r>
      <w:r w:rsidRPr="006F4B59">
        <w:rPr>
          <w:b/>
          <w:bCs/>
        </w:rPr>
        <w:instrText xml:space="preserve"> SEQ Gráfico \* ARABIC </w:instrText>
      </w:r>
      <w:r w:rsidRPr="006F4B59">
        <w:rPr>
          <w:b/>
          <w:bCs/>
        </w:rPr>
        <w:fldChar w:fldCharType="separate"/>
      </w:r>
      <w:r w:rsidR="00A62AFA">
        <w:rPr>
          <w:b/>
          <w:bCs/>
          <w:noProof/>
        </w:rPr>
        <w:t>69</w:t>
      </w:r>
      <w:r w:rsidRPr="006F4B59">
        <w:rPr>
          <w:b/>
          <w:bCs/>
        </w:rPr>
        <w:fldChar w:fldCharType="end"/>
      </w:r>
      <w:r w:rsidRPr="006F4B59">
        <w:rPr>
          <w:b/>
          <w:bCs/>
        </w:rPr>
        <w:t xml:space="preserve">. </w:t>
      </w:r>
      <w:bookmarkStart w:id="473" w:name="_Toc110522820"/>
      <w:r w:rsidRPr="006F4B59">
        <w:rPr>
          <w:b/>
          <w:bCs/>
          <w:lang w:val="es-MX"/>
        </w:rPr>
        <w:t>Municipalidades según sus niveles de Obligaciones Financieras</w:t>
      </w:r>
      <w:bookmarkEnd w:id="472"/>
      <w:bookmarkEnd w:id="473"/>
    </w:p>
    <w:p w14:paraId="169E6855" w14:textId="77777777" w:rsidR="005F38A6" w:rsidRDefault="005F38A6" w:rsidP="006F4B59">
      <w:pPr>
        <w:ind w:left="567" w:right="49"/>
        <w:jc w:val="center"/>
        <w:rPr>
          <w:bCs/>
          <w:lang w:val="es-MX"/>
        </w:rPr>
      </w:pPr>
      <w:r w:rsidRPr="00BB4A07">
        <w:rPr>
          <w:bCs/>
          <w:lang w:val="es-MX"/>
        </w:rPr>
        <w:t>Para el año 202</w:t>
      </w:r>
      <w:r>
        <w:rPr>
          <w:bCs/>
          <w:lang w:val="es-MX"/>
        </w:rPr>
        <w:t>2</w:t>
      </w:r>
    </w:p>
    <w:p w14:paraId="56154072" w14:textId="77777777" w:rsidR="005F38A6" w:rsidRPr="00DC2C13" w:rsidRDefault="005F38A6" w:rsidP="005F38A6">
      <w:pPr>
        <w:ind w:left="567" w:right="49"/>
        <w:jc w:val="center"/>
        <w:rPr>
          <w:bCs/>
          <w:lang w:val="es-MX"/>
        </w:rPr>
      </w:pPr>
      <w:r w:rsidRPr="00DC2C13">
        <w:rPr>
          <w:bCs/>
          <w:lang w:val="es-MX"/>
        </w:rPr>
        <w:t>Cantidad de Municipalidades según el valor de sus obligaciones financieras</w:t>
      </w:r>
    </w:p>
    <w:p w14:paraId="08563EC4" w14:textId="77777777" w:rsidR="005F38A6" w:rsidRPr="00BB4A07" w:rsidRDefault="005F38A6" w:rsidP="005F38A6">
      <w:pPr>
        <w:ind w:left="567" w:right="49"/>
        <w:jc w:val="center"/>
        <w:rPr>
          <w:bCs/>
          <w:lang w:val="es-MX"/>
        </w:rPr>
      </w:pPr>
      <w:r>
        <w:rPr>
          <w:noProof/>
        </w:rPr>
        <w:drawing>
          <wp:inline distT="0" distB="0" distL="0" distR="0" wp14:anchorId="3E6C8716" wp14:editId="64872823">
            <wp:extent cx="4630420" cy="1957847"/>
            <wp:effectExtent l="0" t="0" r="0" b="4445"/>
            <wp:docPr id="681096485" name="Gráfico 1">
              <a:extLst xmlns:a="http://schemas.openxmlformats.org/drawingml/2006/main">
                <a:ext uri="{FF2B5EF4-FFF2-40B4-BE49-F238E27FC236}">
                  <a16:creationId xmlns:a16="http://schemas.microsoft.com/office/drawing/2014/main"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FB2A783" w14:textId="77777777" w:rsidR="005F38A6" w:rsidRPr="0012440D" w:rsidRDefault="005F38A6" w:rsidP="005F38A6">
      <w:pPr>
        <w:tabs>
          <w:tab w:val="left" w:pos="7513"/>
        </w:tabs>
        <w:rPr>
          <w:sz w:val="18"/>
        </w:rPr>
      </w:pPr>
      <w:r>
        <w:rPr>
          <w:sz w:val="18"/>
        </w:rPr>
        <w:t xml:space="preserve">               </w:t>
      </w:r>
      <w:r w:rsidRPr="006F4B59">
        <w:rPr>
          <w:sz w:val="16"/>
          <w:szCs w:val="22"/>
        </w:rPr>
        <w:t xml:space="preserve">Fuente: </w:t>
      </w:r>
      <w:proofErr w:type="spellStart"/>
      <w:r w:rsidRPr="006F4B59">
        <w:rPr>
          <w:sz w:val="16"/>
          <w:szCs w:val="22"/>
        </w:rPr>
        <w:t>Sicoin</w:t>
      </w:r>
      <w:proofErr w:type="spellEnd"/>
      <w:r w:rsidRPr="006F4B59">
        <w:rPr>
          <w:sz w:val="16"/>
          <w:szCs w:val="22"/>
        </w:rPr>
        <w:t xml:space="preserve"> GL</w:t>
      </w:r>
    </w:p>
    <w:p w14:paraId="33D14347" w14:textId="77777777" w:rsidR="005F38A6" w:rsidRDefault="005F38A6" w:rsidP="005F38A6">
      <w:pPr>
        <w:ind w:left="567" w:right="49"/>
        <w:jc w:val="both"/>
        <w:rPr>
          <w:bCs/>
          <w:lang w:val="es-MX"/>
        </w:rPr>
      </w:pPr>
    </w:p>
    <w:p w14:paraId="7E0EC9D7" w14:textId="77777777" w:rsidR="005F38A6" w:rsidRDefault="005F38A6" w:rsidP="005F38A6">
      <w:pPr>
        <w:jc w:val="both"/>
        <w:rPr>
          <w:bCs/>
          <w:color w:val="000000" w:themeColor="text1"/>
          <w:lang w:val="es-MX"/>
        </w:rPr>
      </w:pPr>
      <w:r>
        <w:rPr>
          <w:bCs/>
          <w:color w:val="000000" w:themeColor="text1"/>
          <w:lang w:val="es-MX"/>
        </w:rPr>
        <w:lastRenderedPageBreak/>
        <w:t xml:space="preserve">Un total de </w:t>
      </w:r>
      <w:r w:rsidRPr="002333A9">
        <w:rPr>
          <w:bCs/>
          <w:color w:val="000000" w:themeColor="text1"/>
          <w:lang w:val="es-MX"/>
        </w:rPr>
        <w:t>21</w:t>
      </w:r>
      <w:r>
        <w:rPr>
          <w:bCs/>
          <w:color w:val="000000" w:themeColor="text1"/>
          <w:lang w:val="es-MX"/>
        </w:rPr>
        <w:t>4</w:t>
      </w:r>
      <w:r w:rsidRPr="002333A9">
        <w:rPr>
          <w:bCs/>
          <w:color w:val="000000" w:themeColor="text1"/>
          <w:lang w:val="es-MX"/>
        </w:rPr>
        <w:t xml:space="preserve"> municipalidades (6</w:t>
      </w:r>
      <w:r>
        <w:rPr>
          <w:bCs/>
          <w:color w:val="000000" w:themeColor="text1"/>
          <w:lang w:val="es-MX"/>
        </w:rPr>
        <w:t>2</w:t>
      </w:r>
      <w:r w:rsidRPr="002333A9">
        <w:rPr>
          <w:bCs/>
          <w:color w:val="000000" w:themeColor="text1"/>
          <w:lang w:val="es-MX"/>
        </w:rPr>
        <w:t>.</w:t>
      </w:r>
      <w:r>
        <w:rPr>
          <w:bCs/>
          <w:color w:val="000000" w:themeColor="text1"/>
          <w:lang w:val="es-MX"/>
        </w:rPr>
        <w:t>9</w:t>
      </w:r>
      <w:r w:rsidRPr="002333A9">
        <w:rPr>
          <w:bCs/>
          <w:color w:val="000000" w:themeColor="text1"/>
          <w:lang w:val="es-MX"/>
        </w:rPr>
        <w:t xml:space="preserve">% del total) </w:t>
      </w:r>
      <w:r>
        <w:rPr>
          <w:bCs/>
          <w:color w:val="000000" w:themeColor="text1"/>
          <w:lang w:val="es-MX"/>
        </w:rPr>
        <w:t xml:space="preserve">tienen un </w:t>
      </w:r>
      <w:r w:rsidRPr="002333A9">
        <w:rPr>
          <w:bCs/>
          <w:color w:val="000000" w:themeColor="text1"/>
          <w:lang w:val="es-MX"/>
        </w:rPr>
        <w:t xml:space="preserve">valor de obligaciones financieras entre el 0% y 5% de sus ingresos totales, mientras que </w:t>
      </w:r>
      <w:r>
        <w:rPr>
          <w:bCs/>
          <w:color w:val="000000" w:themeColor="text1"/>
          <w:lang w:val="es-MX"/>
        </w:rPr>
        <w:t>95</w:t>
      </w:r>
      <w:r w:rsidRPr="002333A9">
        <w:rPr>
          <w:bCs/>
          <w:color w:val="000000" w:themeColor="text1"/>
          <w:lang w:val="es-MX"/>
        </w:rPr>
        <w:t xml:space="preserve"> </w:t>
      </w:r>
      <w:r>
        <w:rPr>
          <w:bCs/>
          <w:color w:val="000000" w:themeColor="text1"/>
          <w:lang w:val="es-MX"/>
        </w:rPr>
        <w:t>municipalidades</w:t>
      </w:r>
      <w:r w:rsidRPr="002333A9">
        <w:rPr>
          <w:bCs/>
          <w:color w:val="000000" w:themeColor="text1"/>
          <w:lang w:val="es-MX"/>
        </w:rPr>
        <w:t xml:space="preserve"> (2</w:t>
      </w:r>
      <w:r>
        <w:rPr>
          <w:bCs/>
          <w:color w:val="000000" w:themeColor="text1"/>
          <w:lang w:val="es-MX"/>
        </w:rPr>
        <w:t>7</w:t>
      </w:r>
      <w:r w:rsidRPr="002333A9">
        <w:rPr>
          <w:bCs/>
          <w:color w:val="000000" w:themeColor="text1"/>
          <w:lang w:val="es-MX"/>
        </w:rPr>
        <w:t>.</w:t>
      </w:r>
      <w:r>
        <w:rPr>
          <w:bCs/>
          <w:color w:val="000000" w:themeColor="text1"/>
          <w:lang w:val="es-MX"/>
        </w:rPr>
        <w:t>9</w:t>
      </w:r>
      <w:r w:rsidRPr="002333A9">
        <w:rPr>
          <w:bCs/>
          <w:color w:val="000000" w:themeColor="text1"/>
          <w:lang w:val="es-MX"/>
        </w:rPr>
        <w:t>% del total) posee obligaciones financieras entre el 5.01% y 20% de sus ingresos</w:t>
      </w:r>
      <w:r>
        <w:rPr>
          <w:bCs/>
          <w:color w:val="000000" w:themeColor="text1"/>
          <w:lang w:val="es-MX"/>
        </w:rPr>
        <w:t>.</w:t>
      </w:r>
    </w:p>
    <w:p w14:paraId="18622F26" w14:textId="77777777" w:rsidR="005F38A6" w:rsidRDefault="005F38A6" w:rsidP="005F38A6">
      <w:pPr>
        <w:jc w:val="both"/>
        <w:rPr>
          <w:bCs/>
          <w:color w:val="000000" w:themeColor="text1"/>
          <w:lang w:val="es-MX"/>
        </w:rPr>
      </w:pPr>
      <w:r>
        <w:rPr>
          <w:bCs/>
          <w:color w:val="000000" w:themeColor="text1"/>
          <w:lang w:val="es-MX"/>
        </w:rPr>
        <w:t xml:space="preserve"> </w:t>
      </w:r>
    </w:p>
    <w:p w14:paraId="09B789F8" w14:textId="77777777" w:rsidR="005F38A6" w:rsidRDefault="005F38A6" w:rsidP="005F38A6">
      <w:pPr>
        <w:jc w:val="both"/>
        <w:rPr>
          <w:bCs/>
          <w:color w:val="000000" w:themeColor="text1"/>
          <w:lang w:val="es-MX"/>
        </w:rPr>
      </w:pPr>
      <w:r>
        <w:rPr>
          <w:bCs/>
          <w:color w:val="000000" w:themeColor="text1"/>
          <w:lang w:val="es-MX"/>
        </w:rPr>
        <w:t>Por su parte, hay</w:t>
      </w:r>
      <w:r w:rsidRPr="002333A9">
        <w:rPr>
          <w:bCs/>
          <w:color w:val="000000" w:themeColor="text1"/>
          <w:lang w:val="es-MX"/>
        </w:rPr>
        <w:t xml:space="preserve"> </w:t>
      </w:r>
      <w:r>
        <w:rPr>
          <w:bCs/>
          <w:color w:val="000000" w:themeColor="text1"/>
          <w:lang w:val="es-MX"/>
        </w:rPr>
        <w:t>2</w:t>
      </w:r>
      <w:r w:rsidRPr="002333A9">
        <w:rPr>
          <w:bCs/>
          <w:color w:val="000000" w:themeColor="text1"/>
          <w:lang w:val="es-MX"/>
        </w:rPr>
        <w:t>3 municipalidades (</w:t>
      </w:r>
      <w:r>
        <w:rPr>
          <w:bCs/>
          <w:color w:val="000000" w:themeColor="text1"/>
          <w:lang w:val="es-MX"/>
        </w:rPr>
        <w:t>6.8</w:t>
      </w:r>
      <w:r w:rsidRPr="002333A9">
        <w:rPr>
          <w:bCs/>
          <w:color w:val="000000" w:themeColor="text1"/>
          <w:lang w:val="es-MX"/>
        </w:rPr>
        <w:t>% del total) poseen una cifra superior al 20% de sus ingresos totales</w:t>
      </w:r>
      <w:r>
        <w:rPr>
          <w:bCs/>
          <w:color w:val="000000" w:themeColor="text1"/>
          <w:lang w:val="es-MX"/>
        </w:rPr>
        <w:t xml:space="preserve"> y cabe mencionar que, de estas, solamente 4 municipalidades registran una cifra superior al 50% de sus ingresos.</w:t>
      </w:r>
      <w:r w:rsidRPr="00E22C71">
        <w:rPr>
          <w:bCs/>
          <w:color w:val="000000" w:themeColor="text1"/>
          <w:lang w:val="es-MX"/>
        </w:rPr>
        <w:t xml:space="preserve"> </w:t>
      </w:r>
    </w:p>
    <w:p w14:paraId="6134954E" w14:textId="77777777" w:rsidR="005F38A6" w:rsidRDefault="005F38A6" w:rsidP="005F38A6">
      <w:pPr>
        <w:jc w:val="both"/>
        <w:rPr>
          <w:bCs/>
          <w:color w:val="000000" w:themeColor="text1"/>
          <w:lang w:val="es-MX"/>
        </w:rPr>
      </w:pPr>
    </w:p>
    <w:p w14:paraId="3950C39A" w14:textId="77777777" w:rsidR="005F38A6" w:rsidRDefault="005F38A6" w:rsidP="005F38A6">
      <w:pPr>
        <w:jc w:val="both"/>
        <w:rPr>
          <w:bCs/>
          <w:color w:val="000000" w:themeColor="text1"/>
          <w:lang w:val="es-MX"/>
        </w:rPr>
      </w:pPr>
      <w:r w:rsidRPr="00BC7E77">
        <w:rPr>
          <w:bCs/>
          <w:color w:val="000000" w:themeColor="text1"/>
          <w:lang w:val="es-MX"/>
        </w:rPr>
        <w:t>Es oportuno mencionar que existen</w:t>
      </w:r>
      <w:r>
        <w:rPr>
          <w:bCs/>
          <w:color w:val="000000" w:themeColor="text1"/>
          <w:lang w:val="es-MX"/>
        </w:rPr>
        <w:t xml:space="preserve"> un total de 8 municipalidades, las cuales en 2022 no posen obligaciones financieras, estas son: </w:t>
      </w:r>
      <w:r w:rsidRPr="00B705C5">
        <w:rPr>
          <w:bCs/>
          <w:color w:val="000000" w:themeColor="text1"/>
          <w:lang w:val="es-MX"/>
        </w:rPr>
        <w:t>San Miguel Acatan</w:t>
      </w:r>
      <w:r>
        <w:rPr>
          <w:bCs/>
          <w:color w:val="000000" w:themeColor="text1"/>
          <w:lang w:val="es-MX"/>
        </w:rPr>
        <w:t xml:space="preserve">, </w:t>
      </w:r>
      <w:proofErr w:type="spellStart"/>
      <w:r w:rsidRPr="00B705C5">
        <w:rPr>
          <w:bCs/>
          <w:color w:val="000000" w:themeColor="text1"/>
          <w:lang w:val="es-MX"/>
        </w:rPr>
        <w:t>Sibinal</w:t>
      </w:r>
      <w:proofErr w:type="spellEnd"/>
      <w:r>
        <w:rPr>
          <w:bCs/>
          <w:color w:val="000000" w:themeColor="text1"/>
          <w:lang w:val="es-MX"/>
        </w:rPr>
        <w:t xml:space="preserve">, </w:t>
      </w:r>
      <w:proofErr w:type="spellStart"/>
      <w:r w:rsidRPr="00B705C5">
        <w:rPr>
          <w:bCs/>
          <w:color w:val="000000" w:themeColor="text1"/>
          <w:lang w:val="es-MX"/>
        </w:rPr>
        <w:t>Tejutla</w:t>
      </w:r>
      <w:proofErr w:type="spellEnd"/>
      <w:r>
        <w:rPr>
          <w:bCs/>
          <w:color w:val="000000" w:themeColor="text1"/>
          <w:lang w:val="es-MX"/>
        </w:rPr>
        <w:t xml:space="preserve">, </w:t>
      </w:r>
      <w:r w:rsidRPr="00B705C5">
        <w:rPr>
          <w:bCs/>
          <w:color w:val="000000" w:themeColor="text1"/>
          <w:lang w:val="es-MX"/>
        </w:rPr>
        <w:t xml:space="preserve">San Andrés </w:t>
      </w:r>
      <w:proofErr w:type="spellStart"/>
      <w:r w:rsidRPr="00B705C5">
        <w:rPr>
          <w:bCs/>
          <w:color w:val="000000" w:themeColor="text1"/>
          <w:lang w:val="es-MX"/>
        </w:rPr>
        <w:t>Semetabaj</w:t>
      </w:r>
      <w:proofErr w:type="spellEnd"/>
      <w:r>
        <w:rPr>
          <w:bCs/>
          <w:color w:val="000000" w:themeColor="text1"/>
          <w:lang w:val="es-MX"/>
        </w:rPr>
        <w:t xml:space="preserve">, </w:t>
      </w:r>
      <w:r w:rsidRPr="00B705C5">
        <w:rPr>
          <w:bCs/>
          <w:color w:val="000000" w:themeColor="text1"/>
          <w:lang w:val="es-MX"/>
        </w:rPr>
        <w:t>San Cristóbal Cucho</w:t>
      </w:r>
      <w:r>
        <w:rPr>
          <w:bCs/>
          <w:color w:val="000000" w:themeColor="text1"/>
          <w:lang w:val="es-MX"/>
        </w:rPr>
        <w:t xml:space="preserve">, </w:t>
      </w:r>
      <w:proofErr w:type="spellStart"/>
      <w:r w:rsidRPr="0040329F">
        <w:rPr>
          <w:bCs/>
          <w:lang w:val="es-MX"/>
        </w:rPr>
        <w:t>Ixchiguan</w:t>
      </w:r>
      <w:proofErr w:type="spellEnd"/>
      <w:r w:rsidRPr="0040329F">
        <w:rPr>
          <w:bCs/>
          <w:lang w:val="es-MX"/>
        </w:rPr>
        <w:t xml:space="preserve">, Palestina de los Altos y </w:t>
      </w:r>
      <w:proofErr w:type="spellStart"/>
      <w:r w:rsidRPr="0040329F">
        <w:rPr>
          <w:bCs/>
          <w:lang w:val="es-MX"/>
        </w:rPr>
        <w:t>Huitan</w:t>
      </w:r>
      <w:proofErr w:type="spellEnd"/>
      <w:r w:rsidRPr="0040329F">
        <w:rPr>
          <w:bCs/>
          <w:color w:val="000000" w:themeColor="text1"/>
          <w:lang w:val="es-MX"/>
        </w:rPr>
        <w:t>.</w:t>
      </w:r>
    </w:p>
    <w:p w14:paraId="6A6CC4DB" w14:textId="77777777" w:rsidR="005F38A6" w:rsidRPr="002333A9" w:rsidRDefault="005F38A6" w:rsidP="005F38A6">
      <w:pPr>
        <w:jc w:val="both"/>
        <w:rPr>
          <w:bCs/>
          <w:color w:val="000000" w:themeColor="text1"/>
          <w:lang w:val="es-MX"/>
        </w:rPr>
      </w:pPr>
    </w:p>
    <w:p w14:paraId="69C9048F" w14:textId="77777777" w:rsidR="005F38A6" w:rsidRDefault="005F38A6" w:rsidP="005F38A6">
      <w:pPr>
        <w:jc w:val="both"/>
        <w:rPr>
          <w:bCs/>
          <w:color w:val="000000" w:themeColor="text1"/>
          <w:lang w:val="es-MX"/>
        </w:rPr>
      </w:pPr>
      <w:r w:rsidRPr="002333A9">
        <w:rPr>
          <w:bCs/>
          <w:color w:val="000000" w:themeColor="text1"/>
          <w:lang w:val="es-MX"/>
        </w:rPr>
        <w:t xml:space="preserve">Las municipalidades que presentan el mayor valor de obligaciones financieras con relación a sus niveles de ingresos son: </w:t>
      </w:r>
      <w:proofErr w:type="spellStart"/>
      <w:r>
        <w:rPr>
          <w:bCs/>
          <w:color w:val="000000" w:themeColor="text1"/>
          <w:lang w:val="es-MX"/>
        </w:rPr>
        <w:t>Malacatan</w:t>
      </w:r>
      <w:proofErr w:type="spellEnd"/>
      <w:r w:rsidRPr="002333A9">
        <w:rPr>
          <w:bCs/>
          <w:color w:val="000000" w:themeColor="text1"/>
          <w:lang w:val="es-MX"/>
        </w:rPr>
        <w:t xml:space="preserve"> con el </w:t>
      </w:r>
      <w:r>
        <w:rPr>
          <w:bCs/>
          <w:color w:val="000000" w:themeColor="text1"/>
          <w:lang w:val="es-MX"/>
        </w:rPr>
        <w:t>90.8</w:t>
      </w:r>
      <w:r w:rsidRPr="002333A9">
        <w:rPr>
          <w:bCs/>
          <w:color w:val="000000" w:themeColor="text1"/>
          <w:lang w:val="es-MX"/>
        </w:rPr>
        <w:t>%</w:t>
      </w:r>
      <w:r>
        <w:rPr>
          <w:bCs/>
          <w:color w:val="000000" w:themeColor="text1"/>
          <w:lang w:val="es-MX"/>
        </w:rPr>
        <w:t xml:space="preserve"> (es un aumento de 76.1 puntos porcentuales respecto al año previo)</w:t>
      </w:r>
      <w:r w:rsidRPr="002333A9">
        <w:rPr>
          <w:bCs/>
          <w:color w:val="000000" w:themeColor="text1"/>
          <w:lang w:val="es-MX"/>
        </w:rPr>
        <w:t xml:space="preserve">, seguido de la municipalidad de Guatemala con el </w:t>
      </w:r>
      <w:r>
        <w:rPr>
          <w:bCs/>
          <w:color w:val="000000" w:themeColor="text1"/>
          <w:lang w:val="es-MX"/>
        </w:rPr>
        <w:t>64.7</w:t>
      </w:r>
      <w:r w:rsidRPr="002333A9">
        <w:rPr>
          <w:bCs/>
          <w:color w:val="000000" w:themeColor="text1"/>
          <w:lang w:val="es-MX"/>
        </w:rPr>
        <w:t>%</w:t>
      </w:r>
      <w:r>
        <w:rPr>
          <w:bCs/>
          <w:color w:val="000000" w:themeColor="text1"/>
          <w:lang w:val="es-MX"/>
        </w:rPr>
        <w:t xml:space="preserve"> (una reducción de 7.9 puntos porcentuales)</w:t>
      </w:r>
      <w:r w:rsidRPr="002333A9">
        <w:rPr>
          <w:bCs/>
          <w:color w:val="000000" w:themeColor="text1"/>
          <w:lang w:val="es-MX"/>
        </w:rPr>
        <w:t xml:space="preserve">, </w:t>
      </w:r>
      <w:r>
        <w:rPr>
          <w:bCs/>
          <w:color w:val="000000" w:themeColor="text1"/>
          <w:lang w:val="es-MX"/>
        </w:rPr>
        <w:t xml:space="preserve">la municipalidad de Catarina con un 53.2% de obligaciones financieras respecto a sus ingresos (tuvo una disminución de 6.7 puntos porcentuales), </w:t>
      </w:r>
      <w:r w:rsidRPr="002333A9">
        <w:rPr>
          <w:bCs/>
          <w:color w:val="000000" w:themeColor="text1"/>
          <w:lang w:val="es-MX"/>
        </w:rPr>
        <w:t>San Lorenzo (Suchitepéquez)</w:t>
      </w:r>
      <w:r>
        <w:rPr>
          <w:bCs/>
          <w:color w:val="000000" w:themeColor="text1"/>
          <w:lang w:val="es-MX"/>
        </w:rPr>
        <w:t xml:space="preserve"> con un indicador de 51.5% (tuvo una reducción de 11.1 puntos porcentuales)</w:t>
      </w:r>
      <w:r w:rsidRPr="002333A9">
        <w:rPr>
          <w:bCs/>
          <w:color w:val="000000" w:themeColor="text1"/>
          <w:lang w:val="es-MX"/>
        </w:rPr>
        <w:t>,</w:t>
      </w:r>
      <w:r>
        <w:rPr>
          <w:bCs/>
          <w:color w:val="000000" w:themeColor="text1"/>
          <w:lang w:val="es-MX"/>
        </w:rPr>
        <w:t xml:space="preserve"> y la municipalidad de Escuintla con el 39.4% (con una reducción de 6.6 puntos porcentuales). </w:t>
      </w:r>
    </w:p>
    <w:p w14:paraId="5FC0DD94" w14:textId="77777777" w:rsidR="005F38A6" w:rsidRDefault="005F38A6" w:rsidP="005F38A6">
      <w:pPr>
        <w:jc w:val="both"/>
        <w:rPr>
          <w:bCs/>
          <w:color w:val="000000" w:themeColor="text1"/>
          <w:lang w:val="es-MX"/>
        </w:rPr>
      </w:pPr>
    </w:p>
    <w:p w14:paraId="05016BBC" w14:textId="5E866D71" w:rsidR="005F38A6" w:rsidRPr="002333A9" w:rsidRDefault="00BC7E77" w:rsidP="005F38A6">
      <w:pPr>
        <w:jc w:val="both"/>
        <w:rPr>
          <w:bCs/>
          <w:color w:val="000000" w:themeColor="text1"/>
          <w:lang w:val="es-MX"/>
        </w:rPr>
      </w:pPr>
      <w:r>
        <w:rPr>
          <w:bCs/>
          <w:color w:val="000000" w:themeColor="text1"/>
          <w:lang w:val="es-MX"/>
        </w:rPr>
        <w:t>Asimismo</w:t>
      </w:r>
      <w:r w:rsidR="005F38A6" w:rsidRPr="002333A9">
        <w:rPr>
          <w:bCs/>
          <w:color w:val="000000" w:themeColor="text1"/>
          <w:lang w:val="es-MX"/>
        </w:rPr>
        <w:t>, en términos monetarios, las obligaciones financieras de la municipalidad de Guatemala es la más alta, significando el 4</w:t>
      </w:r>
      <w:r w:rsidR="005F38A6">
        <w:rPr>
          <w:bCs/>
          <w:color w:val="000000" w:themeColor="text1"/>
          <w:lang w:val="es-MX"/>
        </w:rPr>
        <w:t>8</w:t>
      </w:r>
      <w:r w:rsidR="005F38A6" w:rsidRPr="002333A9">
        <w:rPr>
          <w:bCs/>
          <w:color w:val="000000" w:themeColor="text1"/>
          <w:lang w:val="es-MX"/>
        </w:rPr>
        <w:t>.</w:t>
      </w:r>
      <w:r w:rsidR="005F38A6">
        <w:rPr>
          <w:bCs/>
          <w:color w:val="000000" w:themeColor="text1"/>
          <w:lang w:val="es-MX"/>
        </w:rPr>
        <w:t>1</w:t>
      </w:r>
      <w:r w:rsidR="005F38A6" w:rsidRPr="002333A9">
        <w:rPr>
          <w:bCs/>
          <w:color w:val="000000" w:themeColor="text1"/>
          <w:lang w:val="es-MX"/>
        </w:rPr>
        <w:t xml:space="preserve">% del total de todo el </w:t>
      </w:r>
      <w:r w:rsidR="005F38A6">
        <w:rPr>
          <w:bCs/>
          <w:color w:val="000000" w:themeColor="text1"/>
          <w:lang w:val="es-MX"/>
        </w:rPr>
        <w:t>sub</w:t>
      </w:r>
      <w:r w:rsidR="005F38A6" w:rsidRPr="002333A9">
        <w:rPr>
          <w:bCs/>
          <w:color w:val="000000" w:themeColor="text1"/>
          <w:lang w:val="es-MX"/>
        </w:rPr>
        <w:t>sector</w:t>
      </w:r>
      <w:r w:rsidR="005F38A6">
        <w:rPr>
          <w:bCs/>
          <w:color w:val="000000" w:themeColor="text1"/>
          <w:lang w:val="es-MX"/>
        </w:rPr>
        <w:t xml:space="preserve"> de municipalidades</w:t>
      </w:r>
      <w:r w:rsidR="005F38A6" w:rsidRPr="002333A9">
        <w:rPr>
          <w:bCs/>
          <w:color w:val="000000" w:themeColor="text1"/>
          <w:lang w:val="es-MX"/>
        </w:rPr>
        <w:t>, pero de la misma manera, su nivel de ingresos es el más alto entre el grupo institucional.</w:t>
      </w:r>
    </w:p>
    <w:p w14:paraId="569601FE" w14:textId="77777777" w:rsidR="005F38A6" w:rsidRDefault="005F38A6" w:rsidP="005F38A6">
      <w:pPr>
        <w:jc w:val="both"/>
        <w:rPr>
          <w:bCs/>
          <w:color w:val="000000" w:themeColor="text1"/>
          <w:lang w:val="es-MX"/>
        </w:rPr>
      </w:pPr>
      <w:r w:rsidRPr="004A3367">
        <w:rPr>
          <w:bCs/>
          <w:color w:val="000000" w:themeColor="text1"/>
          <w:lang w:val="es-MX"/>
        </w:rPr>
        <w:t xml:space="preserve">En cuanto a las municipalidades que experimentaron un mayor incremento en su indicador de obligaciones financieras durante el 2022 respecto al año previo, fueron: </w:t>
      </w:r>
      <w:proofErr w:type="spellStart"/>
      <w:r w:rsidRPr="004A3367">
        <w:rPr>
          <w:bCs/>
          <w:color w:val="000000" w:themeColor="text1"/>
          <w:lang w:val="es-MX"/>
        </w:rPr>
        <w:t>Malacatan</w:t>
      </w:r>
      <w:proofErr w:type="spellEnd"/>
      <w:r w:rsidRPr="004A3367">
        <w:rPr>
          <w:bCs/>
          <w:color w:val="000000" w:themeColor="text1"/>
          <w:lang w:val="es-MX"/>
        </w:rPr>
        <w:t xml:space="preserve"> (como fue mencionado anteriormente) con un incremento de 76.1 puntos porcentuales y pasando a tener un indicador del 90.8% de obligaciones financieras respecto a sus niveles de ingresos, la municipalidad de San Pablo la Laguna con un incremento de 22.1 puntos porcentuales y un indicador del 22.4% para 2022, San Gabriel con un aumento de 20.0 puntos porcentuales y pasando a tener un indicador de 27.0%, seguido de Pueblo Nuevo Viñas con un aumento de 18.9 puntos porcentuales y un indicador de 23.6% y San Francisco Zapotitlán que aumento su indicador en 17.1 puntos porcentuales obteniendo un indicador de 22.9%.</w:t>
      </w:r>
    </w:p>
    <w:p w14:paraId="53D75007" w14:textId="77777777" w:rsidR="005F38A6" w:rsidRPr="002333A9" w:rsidRDefault="005F38A6" w:rsidP="005F38A6">
      <w:pPr>
        <w:jc w:val="both"/>
        <w:rPr>
          <w:bCs/>
          <w:color w:val="000000" w:themeColor="text1"/>
          <w:lang w:val="es-MX"/>
        </w:rPr>
      </w:pPr>
    </w:p>
    <w:tbl>
      <w:tblPr>
        <w:tblW w:w="9356" w:type="dxa"/>
        <w:tblInd w:w="-142" w:type="dxa"/>
        <w:tblLook w:val="04A0" w:firstRow="1" w:lastRow="0" w:firstColumn="1" w:lastColumn="0" w:noHBand="0" w:noVBand="1"/>
      </w:tblPr>
      <w:tblGrid>
        <w:gridCol w:w="9356"/>
      </w:tblGrid>
      <w:tr w:rsidR="005F38A6" w:rsidRPr="002955CD" w14:paraId="6F96255B" w14:textId="77777777" w:rsidTr="006A7377">
        <w:trPr>
          <w:trHeight w:val="369"/>
        </w:trPr>
        <w:tc>
          <w:tcPr>
            <w:tcW w:w="9356" w:type="dxa"/>
          </w:tcPr>
          <w:p w14:paraId="7B04C318" w14:textId="6CE96538" w:rsidR="006F4B59" w:rsidRPr="006F4B59" w:rsidRDefault="006F4B59" w:rsidP="006F4B59">
            <w:pPr>
              <w:keepNext/>
              <w:rPr>
                <w:b/>
                <w:bCs/>
              </w:rPr>
            </w:pPr>
            <w:bookmarkStart w:id="474" w:name="_Toc143593628"/>
            <w:r w:rsidRPr="006F4B59">
              <w:rPr>
                <w:b/>
                <w:bCs/>
              </w:rPr>
              <w:lastRenderedPageBreak/>
              <w:t xml:space="preserve">Gráfico </w:t>
            </w:r>
            <w:r w:rsidRPr="006F4B59">
              <w:rPr>
                <w:b/>
                <w:bCs/>
              </w:rPr>
              <w:fldChar w:fldCharType="begin"/>
            </w:r>
            <w:r w:rsidRPr="006F4B59">
              <w:rPr>
                <w:b/>
                <w:bCs/>
              </w:rPr>
              <w:instrText xml:space="preserve"> SEQ Gráfico \* ARABIC </w:instrText>
            </w:r>
            <w:r w:rsidRPr="006F4B59">
              <w:rPr>
                <w:b/>
                <w:bCs/>
              </w:rPr>
              <w:fldChar w:fldCharType="separate"/>
            </w:r>
            <w:r w:rsidR="00A62AFA">
              <w:rPr>
                <w:b/>
                <w:bCs/>
                <w:noProof/>
              </w:rPr>
              <w:t>70</w:t>
            </w:r>
            <w:r w:rsidRPr="006F4B59">
              <w:rPr>
                <w:b/>
                <w:bCs/>
              </w:rPr>
              <w:fldChar w:fldCharType="end"/>
            </w:r>
            <w:r w:rsidRPr="006F4B59">
              <w:rPr>
                <w:b/>
                <w:bCs/>
              </w:rPr>
              <w:t xml:space="preserve">.  </w:t>
            </w:r>
            <w:bookmarkStart w:id="475" w:name="_Toc110522821"/>
            <w:r w:rsidRPr="006F4B59">
              <w:rPr>
                <w:b/>
                <w:bCs/>
              </w:rPr>
              <w:t>Obligaciones financieras por Municipalidad</w:t>
            </w:r>
            <w:bookmarkEnd w:id="474"/>
            <w:bookmarkEnd w:id="475"/>
          </w:p>
          <w:p w14:paraId="7BBA04A1" w14:textId="77777777" w:rsidR="005F38A6" w:rsidRDefault="005F38A6" w:rsidP="006A7377">
            <w:pPr>
              <w:rPr>
                <w:sz w:val="22"/>
                <w:szCs w:val="28"/>
              </w:rPr>
            </w:pPr>
            <w:r w:rsidRPr="00533075">
              <w:rPr>
                <w:sz w:val="22"/>
                <w:szCs w:val="28"/>
              </w:rPr>
              <w:t>para el año 202</w:t>
            </w:r>
            <w:r>
              <w:rPr>
                <w:sz w:val="22"/>
                <w:szCs w:val="28"/>
              </w:rPr>
              <w:t>2</w:t>
            </w:r>
          </w:p>
          <w:p w14:paraId="2A508F4C" w14:textId="77777777" w:rsidR="005F38A6" w:rsidRPr="00DC2C13" w:rsidRDefault="005F38A6" w:rsidP="006A7377">
            <w:pPr>
              <w:rPr>
                <w:lang w:val="es-MX"/>
              </w:rPr>
            </w:pPr>
            <w:r w:rsidRPr="00DC2C13">
              <w:rPr>
                <w:sz w:val="22"/>
              </w:rPr>
              <w:t>Como porcentaje de sus ingresos totales</w:t>
            </w:r>
          </w:p>
        </w:tc>
      </w:tr>
      <w:tr w:rsidR="005F38A6" w:rsidRPr="002955CD" w14:paraId="789D467F" w14:textId="77777777" w:rsidTr="006A7377">
        <w:tblPrEx>
          <w:tblCellMar>
            <w:left w:w="70" w:type="dxa"/>
            <w:right w:w="70" w:type="dxa"/>
          </w:tblCellMar>
        </w:tblPrEx>
        <w:trPr>
          <w:trHeight w:val="369"/>
        </w:trPr>
        <w:tc>
          <w:tcPr>
            <w:tcW w:w="9356" w:type="dxa"/>
          </w:tcPr>
          <w:p w14:paraId="6E241096" w14:textId="77777777" w:rsidR="005F38A6" w:rsidRDefault="005F38A6" w:rsidP="006A7377">
            <w:pPr>
              <w:rPr>
                <w:bCs/>
              </w:rPr>
            </w:pPr>
            <w:r>
              <w:rPr>
                <w:noProof/>
              </w:rPr>
              <w:drawing>
                <wp:inline distT="0" distB="0" distL="0" distR="0" wp14:anchorId="301BBC0E" wp14:editId="4570C618">
                  <wp:extent cx="5612130" cy="1862919"/>
                  <wp:effectExtent l="0" t="0" r="7620" b="4445"/>
                  <wp:docPr id="1417606510" name="Gráfico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r w:rsidR="005F38A6" w:rsidRPr="002955CD" w14:paraId="3EE352B3" w14:textId="77777777" w:rsidTr="006A7377">
        <w:tblPrEx>
          <w:tblCellMar>
            <w:left w:w="70" w:type="dxa"/>
            <w:right w:w="70" w:type="dxa"/>
          </w:tblCellMar>
        </w:tblPrEx>
        <w:trPr>
          <w:trHeight w:val="369"/>
        </w:trPr>
        <w:tc>
          <w:tcPr>
            <w:tcW w:w="9356" w:type="dxa"/>
          </w:tcPr>
          <w:p w14:paraId="44A667A7" w14:textId="77777777" w:rsidR="005F38A6" w:rsidRPr="00F44A16" w:rsidRDefault="005F38A6" w:rsidP="006A7377">
            <w:pPr>
              <w:rPr>
                <w:bCs/>
              </w:rPr>
            </w:pPr>
            <w:r>
              <w:rPr>
                <w:noProof/>
              </w:rPr>
              <w:drawing>
                <wp:inline distT="0" distB="0" distL="0" distR="0" wp14:anchorId="27F2403E" wp14:editId="3411AD17">
                  <wp:extent cx="5612130" cy="1712794"/>
                  <wp:effectExtent l="0" t="0" r="7620" b="1905"/>
                  <wp:docPr id="332163925" name="Gráfico 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bl>
    <w:p w14:paraId="31E87F7C" w14:textId="77777777" w:rsidR="005F38A6" w:rsidRDefault="005F38A6" w:rsidP="005F38A6">
      <w:pPr>
        <w:tabs>
          <w:tab w:val="left" w:pos="7513"/>
        </w:tabs>
        <w:rPr>
          <w:sz w:val="18"/>
        </w:rPr>
      </w:pPr>
      <w:r>
        <w:rPr>
          <w:sz w:val="18"/>
        </w:rPr>
        <w:t xml:space="preserve">            </w:t>
      </w:r>
      <w:r w:rsidRPr="0012440D">
        <w:rPr>
          <w:sz w:val="18"/>
        </w:rPr>
        <w:t xml:space="preserve">Fuente: </w:t>
      </w:r>
      <w:proofErr w:type="spellStart"/>
      <w:r w:rsidRPr="0012440D">
        <w:rPr>
          <w:sz w:val="18"/>
        </w:rPr>
        <w:t>Sicoin</w:t>
      </w:r>
      <w:proofErr w:type="spellEnd"/>
      <w:r>
        <w:rPr>
          <w:sz w:val="18"/>
        </w:rPr>
        <w:t xml:space="preserve"> </w:t>
      </w:r>
      <w:r w:rsidRPr="0012440D">
        <w:rPr>
          <w:sz w:val="18"/>
        </w:rPr>
        <w:t>GL</w:t>
      </w:r>
    </w:p>
    <w:p w14:paraId="3F6F8573" w14:textId="77777777" w:rsidR="005F38A6" w:rsidRDefault="005F38A6" w:rsidP="005F38A6">
      <w:pPr>
        <w:jc w:val="both"/>
        <w:rPr>
          <w:bCs/>
          <w:color w:val="000000" w:themeColor="text1"/>
          <w:lang w:val="es-MX"/>
        </w:rPr>
      </w:pPr>
    </w:p>
    <w:p w14:paraId="345F589B" w14:textId="77777777" w:rsidR="005F38A6" w:rsidRDefault="005F38A6" w:rsidP="005F38A6">
      <w:pPr>
        <w:jc w:val="both"/>
        <w:rPr>
          <w:bCs/>
          <w:color w:val="000000" w:themeColor="text1"/>
          <w:lang w:val="es-MX"/>
        </w:rPr>
      </w:pPr>
      <w:r w:rsidRPr="002333A9">
        <w:rPr>
          <w:bCs/>
          <w:color w:val="000000" w:themeColor="text1"/>
          <w:lang w:val="es-MX"/>
        </w:rPr>
        <w:t>Por su parte, las municipalidades con las menores obligaciones financieras respecto a sus ingresos son</w:t>
      </w:r>
      <w:r>
        <w:rPr>
          <w:bCs/>
          <w:color w:val="000000" w:themeColor="text1"/>
          <w:lang w:val="es-MX"/>
        </w:rPr>
        <w:t xml:space="preserve">: </w:t>
      </w:r>
      <w:r w:rsidRPr="0017137D">
        <w:rPr>
          <w:bCs/>
          <w:color w:val="000000" w:themeColor="text1"/>
          <w:lang w:val="es-MX"/>
        </w:rPr>
        <w:t xml:space="preserve">Concepción </w:t>
      </w:r>
      <w:proofErr w:type="spellStart"/>
      <w:r w:rsidRPr="0017137D">
        <w:rPr>
          <w:bCs/>
          <w:color w:val="000000" w:themeColor="text1"/>
          <w:lang w:val="es-MX"/>
        </w:rPr>
        <w:t>Tutuapa</w:t>
      </w:r>
      <w:proofErr w:type="spellEnd"/>
      <w:r>
        <w:rPr>
          <w:bCs/>
          <w:color w:val="000000" w:themeColor="text1"/>
          <w:lang w:val="es-MX"/>
        </w:rPr>
        <w:t xml:space="preserve"> con un indicador del </w:t>
      </w:r>
      <w:r w:rsidRPr="0017137D">
        <w:rPr>
          <w:bCs/>
          <w:color w:val="000000" w:themeColor="text1"/>
          <w:lang w:val="es-MX"/>
        </w:rPr>
        <w:t>0.0</w:t>
      </w:r>
      <w:r>
        <w:rPr>
          <w:bCs/>
          <w:color w:val="000000" w:themeColor="text1"/>
          <w:lang w:val="es-MX"/>
        </w:rPr>
        <w:t>01</w:t>
      </w:r>
      <w:r w:rsidRPr="0017137D">
        <w:rPr>
          <w:bCs/>
          <w:color w:val="000000" w:themeColor="text1"/>
          <w:lang w:val="es-MX"/>
        </w:rPr>
        <w:t>%</w:t>
      </w:r>
      <w:r>
        <w:rPr>
          <w:bCs/>
          <w:color w:val="000000" w:themeColor="text1"/>
          <w:lang w:val="es-MX"/>
        </w:rPr>
        <w:t xml:space="preserve"> de sus ingresos, seguido de San Juan Ermita con un 0.004%, luego la municipalidad de La Blanca con el 0.007%, San Mateo con el 0.011% y Rio Blanco con el 0.015%.</w:t>
      </w:r>
    </w:p>
    <w:p w14:paraId="48D70541" w14:textId="77777777" w:rsidR="005F38A6" w:rsidRDefault="005F38A6" w:rsidP="005F38A6">
      <w:pPr>
        <w:jc w:val="both"/>
        <w:rPr>
          <w:bCs/>
          <w:color w:val="000000" w:themeColor="text1"/>
          <w:lang w:val="es-MX"/>
        </w:rPr>
      </w:pPr>
    </w:p>
    <w:p w14:paraId="7BF16B5F" w14:textId="77777777" w:rsidR="005F38A6" w:rsidRDefault="005F38A6" w:rsidP="005F38A6">
      <w:pPr>
        <w:tabs>
          <w:tab w:val="left" w:pos="7513"/>
        </w:tabs>
        <w:jc w:val="both"/>
        <w:rPr>
          <w:bCs/>
          <w:lang w:val="es-MX"/>
        </w:rPr>
      </w:pPr>
      <w:r w:rsidRPr="004A3367">
        <w:rPr>
          <w:bCs/>
          <w:color w:val="000000" w:themeColor="text1"/>
          <w:lang w:val="es-MX"/>
        </w:rPr>
        <w:t xml:space="preserve">Las municipalidades que tuvieron una mayor reducción de su indicador en 2022 respecto a lo observado en el año previo fueron: </w:t>
      </w:r>
      <w:r w:rsidRPr="004A3367">
        <w:rPr>
          <w:bCs/>
          <w:lang w:val="es-MX"/>
        </w:rPr>
        <w:t xml:space="preserve">San Miguel </w:t>
      </w:r>
      <w:proofErr w:type="spellStart"/>
      <w:r w:rsidRPr="004A3367">
        <w:rPr>
          <w:bCs/>
          <w:lang w:val="es-MX"/>
        </w:rPr>
        <w:t>Pochuta</w:t>
      </w:r>
      <w:proofErr w:type="spellEnd"/>
      <w:r w:rsidRPr="004A3367">
        <w:rPr>
          <w:bCs/>
          <w:lang w:val="es-MX"/>
        </w:rPr>
        <w:t xml:space="preserve"> disminuyó su indicador en 45.0 puntos porcentuales y alcanzando un indicador del 32.3% en 2022, la municipalidad del El Tejar redujo en 23.5 puntos porcentuales su indicador y obteniendo un 11.3%, seguido de San Manuel Chaparrón con una reducción de 23.3 puntos porcentuales para obtener un indicador de 16.3%, luego Jacaltenango con una disminución de 18.7 puntos porcentuales y un indicador de 1.35% y Nueva Santa Rosa con una reducción de 17.2 puntos porcentuales y teniendo obligaciones financieras del 5.6% de sus ingresos totales.</w:t>
      </w:r>
    </w:p>
    <w:p w14:paraId="6D9FC8EF" w14:textId="77777777" w:rsidR="005F38A6" w:rsidRPr="00A90C1C" w:rsidRDefault="005F38A6" w:rsidP="005F38A6">
      <w:pPr>
        <w:rPr>
          <w:lang w:val="es-MX"/>
        </w:rPr>
      </w:pPr>
    </w:p>
    <w:p w14:paraId="25EC6061" w14:textId="77777777" w:rsidR="005F38A6" w:rsidRDefault="005F38A6" w:rsidP="005F38A6">
      <w:pPr>
        <w:jc w:val="both"/>
        <w:rPr>
          <w:lang w:val="es-MX"/>
        </w:rPr>
      </w:pPr>
      <w:bookmarkStart w:id="476" w:name="_Hlk140755955"/>
      <w:r>
        <w:rPr>
          <w:lang w:val="es-MX"/>
        </w:rPr>
        <w:t xml:space="preserve">En 2022, las obligaciones financieras de las municipalidades en términos del PIB se sitúan en torno al 0.28% y es importante destacar que es una disminución de 0.5 puntos porcentuales respecto a los 0.33% del PIB que se observó el año previo. </w:t>
      </w:r>
      <w:bookmarkEnd w:id="476"/>
      <w:r>
        <w:rPr>
          <w:lang w:val="es-MX"/>
        </w:rPr>
        <w:t>La disminución del endeudamiento es la principal razón del comportamiento observado en 2022, siendo este de 0.14% del PIB y es una reducción en 0.5 puntos porcentuales respecto a lo observado en 2021. Por su parte, las otras obligaciones se situaron en 0.14% del PIB sin experimentar mayores cambios respecto a lo observado en el año previo.</w:t>
      </w:r>
    </w:p>
    <w:p w14:paraId="783A1DE9" w14:textId="77777777" w:rsidR="005F38A6" w:rsidRDefault="005F38A6" w:rsidP="005F38A6">
      <w:pPr>
        <w:jc w:val="both"/>
        <w:rPr>
          <w:lang w:val="es-MX"/>
        </w:rPr>
      </w:pPr>
    </w:p>
    <w:p w14:paraId="73EBE9CA" w14:textId="6B94E6CB" w:rsidR="006F4B59" w:rsidRPr="006F4B59" w:rsidRDefault="006F4B59" w:rsidP="006F4B59">
      <w:pPr>
        <w:keepNext/>
        <w:jc w:val="center"/>
        <w:rPr>
          <w:b/>
          <w:bCs/>
        </w:rPr>
      </w:pPr>
      <w:bookmarkStart w:id="477" w:name="_Toc143593629"/>
      <w:r w:rsidRPr="006F4B59">
        <w:rPr>
          <w:b/>
          <w:bCs/>
        </w:rPr>
        <w:lastRenderedPageBreak/>
        <w:t xml:space="preserve">Gráfico </w:t>
      </w:r>
      <w:r w:rsidRPr="006F4B59">
        <w:rPr>
          <w:b/>
          <w:bCs/>
        </w:rPr>
        <w:fldChar w:fldCharType="begin"/>
      </w:r>
      <w:r w:rsidRPr="006F4B59">
        <w:rPr>
          <w:b/>
          <w:bCs/>
        </w:rPr>
        <w:instrText xml:space="preserve"> SEQ Gráfico \* ARABIC </w:instrText>
      </w:r>
      <w:r w:rsidRPr="006F4B59">
        <w:rPr>
          <w:b/>
          <w:bCs/>
        </w:rPr>
        <w:fldChar w:fldCharType="separate"/>
      </w:r>
      <w:r w:rsidR="00A62AFA">
        <w:rPr>
          <w:b/>
          <w:bCs/>
          <w:noProof/>
        </w:rPr>
        <w:t>71</w:t>
      </w:r>
      <w:r w:rsidRPr="006F4B59">
        <w:rPr>
          <w:b/>
          <w:bCs/>
        </w:rPr>
        <w:fldChar w:fldCharType="end"/>
      </w:r>
      <w:r w:rsidRPr="006F4B59">
        <w:rPr>
          <w:b/>
          <w:bCs/>
        </w:rPr>
        <w:t>.  Obligaciones financieras de las Municipalidades</w:t>
      </w:r>
      <w:bookmarkEnd w:id="477"/>
    </w:p>
    <w:p w14:paraId="0697D1F6" w14:textId="77777777" w:rsidR="005F38A6" w:rsidRPr="009D7DE4" w:rsidRDefault="005F38A6" w:rsidP="005F38A6">
      <w:pPr>
        <w:jc w:val="center"/>
        <w:rPr>
          <w:b/>
          <w:bCs/>
          <w:sz w:val="22"/>
        </w:rPr>
      </w:pPr>
      <w:r w:rsidRPr="009D7DE4">
        <w:rPr>
          <w:b/>
          <w:bCs/>
          <w:sz w:val="22"/>
        </w:rPr>
        <w:t>Como porcentaje del PIB</w:t>
      </w:r>
    </w:p>
    <w:p w14:paraId="095E862A" w14:textId="77777777" w:rsidR="005F38A6" w:rsidRDefault="005F38A6" w:rsidP="005F38A6">
      <w:pPr>
        <w:jc w:val="center"/>
      </w:pPr>
      <w:r>
        <w:rPr>
          <w:noProof/>
        </w:rPr>
        <w:drawing>
          <wp:inline distT="0" distB="0" distL="0" distR="0" wp14:anchorId="2DD0450D" wp14:editId="46597114">
            <wp:extent cx="4572000" cy="2245056"/>
            <wp:effectExtent l="0" t="0" r="0" b="3175"/>
            <wp:docPr id="1531550271" name="Gráfico 1">
              <a:extLst xmlns:a="http://schemas.openxmlformats.org/drawingml/2006/main">
                <a:ext uri="{FF2B5EF4-FFF2-40B4-BE49-F238E27FC236}">
                  <a16:creationId xmlns:a16="http://schemas.microsoft.com/office/drawing/2014/main" id="{632EF218-DB5C-440C-8750-0D63F8C57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0A4DAACA" w14:textId="77777777" w:rsidR="005F38A6" w:rsidRPr="006F4B59" w:rsidRDefault="005F38A6" w:rsidP="005F38A6">
      <w:pPr>
        <w:tabs>
          <w:tab w:val="left" w:pos="7513"/>
        </w:tabs>
        <w:rPr>
          <w:sz w:val="16"/>
          <w:szCs w:val="22"/>
        </w:rPr>
      </w:pPr>
      <w:r w:rsidRPr="006F4B59">
        <w:rPr>
          <w:sz w:val="16"/>
          <w:szCs w:val="22"/>
        </w:rPr>
        <w:t xml:space="preserve">            Fuente: </w:t>
      </w:r>
      <w:proofErr w:type="spellStart"/>
      <w:r w:rsidRPr="006F4B59">
        <w:rPr>
          <w:sz w:val="16"/>
          <w:szCs w:val="22"/>
        </w:rPr>
        <w:t>Sicoin</w:t>
      </w:r>
      <w:proofErr w:type="spellEnd"/>
      <w:r w:rsidRPr="006F4B59">
        <w:rPr>
          <w:sz w:val="16"/>
          <w:szCs w:val="22"/>
        </w:rPr>
        <w:t xml:space="preserve"> GL</w:t>
      </w:r>
    </w:p>
    <w:p w14:paraId="609DBD54" w14:textId="77777777" w:rsidR="005F38A6" w:rsidRPr="00C46544" w:rsidRDefault="005F38A6" w:rsidP="005F38A6">
      <w:pPr>
        <w:jc w:val="center"/>
      </w:pPr>
    </w:p>
    <w:p w14:paraId="1E753754" w14:textId="77777777" w:rsidR="005F38A6" w:rsidRPr="00F908A8" w:rsidRDefault="005F38A6" w:rsidP="007F19DF">
      <w:pPr>
        <w:pStyle w:val="Ttulo2"/>
        <w:numPr>
          <w:ilvl w:val="1"/>
          <w:numId w:val="35"/>
        </w:numPr>
        <w:ind w:left="567" w:hanging="425"/>
        <w:rPr>
          <w:bCs/>
        </w:rPr>
      </w:pPr>
      <w:bookmarkStart w:id="478" w:name="_Toc110522942"/>
      <w:bookmarkStart w:id="479" w:name="_Toc144114410"/>
      <w:r w:rsidRPr="00F908A8">
        <w:rPr>
          <w:bCs/>
        </w:rPr>
        <w:t>Acciones realizadas para mitigar el riesgo</w:t>
      </w:r>
      <w:bookmarkEnd w:id="478"/>
      <w:bookmarkEnd w:id="479"/>
    </w:p>
    <w:p w14:paraId="11D85601" w14:textId="77777777" w:rsidR="005F38A6" w:rsidRDefault="005F38A6" w:rsidP="005F38A6">
      <w:pPr>
        <w:ind w:right="49"/>
        <w:jc w:val="both"/>
        <w:rPr>
          <w:bCs/>
          <w:lang w:val="es-MX"/>
        </w:rPr>
      </w:pPr>
    </w:p>
    <w:p w14:paraId="33681897" w14:textId="77777777" w:rsidR="005F38A6" w:rsidRPr="00BB2EE7" w:rsidRDefault="005F38A6" w:rsidP="005F38A6">
      <w:pPr>
        <w:ind w:right="49"/>
        <w:jc w:val="both"/>
        <w:rPr>
          <w:bCs/>
          <w:lang w:val="es-MX"/>
        </w:rPr>
      </w:pPr>
      <w:r w:rsidRPr="00BB2EE7">
        <w:rPr>
          <w:bCs/>
          <w:lang w:val="es-MX"/>
        </w:rPr>
        <w:t>El principal riesgo fiscal asociado a las municipalidades se encuentra asociado a la posibilidad de que el gobierno central acuda al rescate de las municipalidades en caso presenten dificultades, a pesar de que no exista una obligación legal que medie de por medio, estando relacionado principalmente al endeudamiento municipal.</w:t>
      </w:r>
    </w:p>
    <w:p w14:paraId="3B84237C" w14:textId="77777777" w:rsidR="005F38A6" w:rsidRPr="004014DA" w:rsidRDefault="005F38A6" w:rsidP="005F38A6">
      <w:pPr>
        <w:ind w:right="49"/>
        <w:jc w:val="both"/>
        <w:rPr>
          <w:bCs/>
          <w:highlight w:val="cyan"/>
          <w:lang w:val="es-MX"/>
        </w:rPr>
      </w:pPr>
    </w:p>
    <w:p w14:paraId="57522297" w14:textId="77777777" w:rsidR="005F38A6" w:rsidRPr="00BB2EE7" w:rsidRDefault="005F38A6" w:rsidP="005F38A6">
      <w:pPr>
        <w:jc w:val="both"/>
        <w:rPr>
          <w:bCs/>
          <w:color w:val="000000" w:themeColor="text1"/>
          <w:lang w:val="es-MX"/>
        </w:rPr>
      </w:pPr>
      <w:r w:rsidRPr="00BB2EE7">
        <w:rPr>
          <w:bCs/>
          <w:color w:val="000000" w:themeColor="text1"/>
          <w:lang w:val="es-MX"/>
        </w:rPr>
        <w:t>Dentro del marco legal vigente se encuentran ciertas medidas de supervisión de las finanzas municipales para apoyar en la correcta disciplina fiscal dentro de las municipalidades. Algunas formas de protegerse contra el riesgo del impago de obligaciones financieras se encuentran contenidas en el Decreto 12-2002 Código Municipal y el Decreto 1132 Ley Orgánica del Instituto de Fomento Municipal.</w:t>
      </w:r>
      <w:r w:rsidRPr="00BB2EE7">
        <w:rPr>
          <w:bCs/>
          <w:color w:val="000000" w:themeColor="text1"/>
          <w:lang w:val="es-MX"/>
        </w:rPr>
        <w:cr/>
      </w:r>
    </w:p>
    <w:p w14:paraId="0505CCD5" w14:textId="77777777" w:rsidR="005F38A6" w:rsidRPr="00BB2EE7" w:rsidRDefault="005F38A6" w:rsidP="005F38A6">
      <w:pPr>
        <w:jc w:val="both"/>
        <w:rPr>
          <w:bCs/>
          <w:color w:val="000000" w:themeColor="text1"/>
          <w:lang w:val="es-MX"/>
        </w:rPr>
      </w:pPr>
      <w:bookmarkStart w:id="480" w:name="_Hlk140674672"/>
      <w:r w:rsidRPr="00BB2EE7">
        <w:rPr>
          <w:bCs/>
          <w:color w:val="000000" w:themeColor="text1"/>
          <w:lang w:val="es-MX"/>
        </w:rPr>
        <w:t>El Código Municipal limita el endeudamiento municipal observando el principio de la capacidad de pago a la hora de contratar préstamos</w:t>
      </w:r>
      <w:bookmarkEnd w:id="480"/>
      <w:r w:rsidRPr="00BB2EE7">
        <w:rPr>
          <w:bCs/>
          <w:color w:val="000000" w:themeColor="text1"/>
          <w:lang w:val="es-MX"/>
        </w:rPr>
        <w:t xml:space="preserve"> buscando no afectar las finanzas municipales y asegurar a su vez, que el endeudamiento en el que incurren no afecta ni compromete las finanzas públicas nacionales. Asimismo, </w:t>
      </w:r>
      <w:bookmarkStart w:id="481" w:name="_Hlk140674731"/>
      <w:r w:rsidRPr="00BB2EE7">
        <w:rPr>
          <w:bCs/>
          <w:color w:val="000000" w:themeColor="text1"/>
          <w:lang w:val="es-MX"/>
        </w:rPr>
        <w:t>las municipalidades no pueden contraer obligaciones crediticias cuyo plazo de amortización sea mayor que el período de gobierno del Concejo Municipal (cuatro años)</w:t>
      </w:r>
      <w:bookmarkEnd w:id="481"/>
      <w:r w:rsidRPr="00BB2EE7">
        <w:rPr>
          <w:bCs/>
          <w:color w:val="000000" w:themeColor="text1"/>
          <w:lang w:val="es-MX"/>
        </w:rPr>
        <w:t xml:space="preserve">, siempre que sea apoyado por estudios técnicos de factibilidad. Adicionalmente, </w:t>
      </w:r>
      <w:bookmarkStart w:id="482" w:name="_Hlk140674947"/>
      <w:r w:rsidRPr="00BB2EE7">
        <w:rPr>
          <w:bCs/>
          <w:color w:val="000000" w:themeColor="text1"/>
          <w:lang w:val="es-MX"/>
        </w:rPr>
        <w:t>podrán emitir, negociar y colocar títulos-valores en el mercado nacional o en el exterior, para cuyo efecto deberán contar previamente con las opiniones</w:t>
      </w:r>
      <w:bookmarkEnd w:id="482"/>
      <w:r w:rsidRPr="00BB2EE7">
        <w:rPr>
          <w:bCs/>
          <w:color w:val="000000" w:themeColor="text1"/>
          <w:lang w:val="es-MX"/>
        </w:rPr>
        <w:t xml:space="preserve"> del Organismo Ejecutivo y de la Junta Monetaria.</w:t>
      </w:r>
    </w:p>
    <w:p w14:paraId="4A8FAFEA" w14:textId="77777777" w:rsidR="005F38A6" w:rsidRPr="004014DA" w:rsidRDefault="005F38A6" w:rsidP="005F38A6">
      <w:pPr>
        <w:jc w:val="both"/>
        <w:rPr>
          <w:bCs/>
          <w:color w:val="000000" w:themeColor="text1"/>
          <w:highlight w:val="cyan"/>
          <w:lang w:val="es-MX"/>
        </w:rPr>
      </w:pPr>
    </w:p>
    <w:p w14:paraId="055C881E" w14:textId="77777777" w:rsidR="005F38A6" w:rsidRPr="004014DA" w:rsidRDefault="005F38A6" w:rsidP="005F38A6">
      <w:pPr>
        <w:jc w:val="both"/>
        <w:rPr>
          <w:bCs/>
          <w:color w:val="000000" w:themeColor="text1"/>
          <w:highlight w:val="cyan"/>
          <w:lang w:val="es-MX"/>
        </w:rPr>
      </w:pPr>
      <w:r w:rsidRPr="00BB2EE7">
        <w:rPr>
          <w:bCs/>
          <w:color w:val="000000" w:themeColor="text1"/>
          <w:lang w:val="es-MX"/>
        </w:rPr>
        <w:t xml:space="preserve">Otra forma de mitigar el riesgo es el monitoreo de las finanzas municipales y la sanción de comportamientos inadecuados, en especial en lo referente al endeudamiento, está establecido que </w:t>
      </w:r>
      <w:bookmarkStart w:id="483" w:name="_Hlk140675132"/>
      <w:r w:rsidRPr="00BB2EE7">
        <w:rPr>
          <w:bCs/>
          <w:color w:val="000000" w:themeColor="text1"/>
          <w:lang w:val="es-MX"/>
        </w:rPr>
        <w:t xml:space="preserve">el Concejo Municipal presente mensualmente, a través del módulo de deuda del Sistema Integrado de Administración Financiera, el detalle de los préstamos internos y externos vigentes y el saldo de la deuda contratada. </w:t>
      </w:r>
      <w:bookmarkEnd w:id="483"/>
      <w:r w:rsidRPr="00BB2EE7">
        <w:rPr>
          <w:bCs/>
          <w:color w:val="000000" w:themeColor="text1"/>
          <w:lang w:val="es-MX"/>
        </w:rPr>
        <w:t xml:space="preserve">La Dirección de Crédito Público del Ministerio de Finanzas Públicas, es la encargada de velar porque las municipalidades mantengan la información actualizada; cuando se determine que una municipalidad no está cumpliendo </w:t>
      </w:r>
      <w:r w:rsidRPr="00BB2EE7">
        <w:rPr>
          <w:bCs/>
          <w:color w:val="000000" w:themeColor="text1"/>
          <w:lang w:val="es-MX"/>
        </w:rPr>
        <w:lastRenderedPageBreak/>
        <w:t>dicha obligación, se lo comunicará a la Contraloría General de Cuentas para que aplique la sanción legalmente correspondiente.</w:t>
      </w:r>
      <w:r w:rsidRPr="004014DA">
        <w:rPr>
          <w:bCs/>
          <w:color w:val="000000" w:themeColor="text1"/>
          <w:highlight w:val="cyan"/>
          <w:lang w:val="es-MX"/>
        </w:rPr>
        <w:cr/>
      </w:r>
    </w:p>
    <w:p w14:paraId="49DE8DC9" w14:textId="77777777" w:rsidR="005F38A6" w:rsidRPr="00BB2EE7" w:rsidRDefault="005F38A6" w:rsidP="005F38A6">
      <w:pPr>
        <w:jc w:val="both"/>
        <w:rPr>
          <w:bCs/>
          <w:color w:val="000000" w:themeColor="text1"/>
          <w:lang w:val="es-MX"/>
        </w:rPr>
      </w:pPr>
      <w:r w:rsidRPr="00BB2EE7">
        <w:rPr>
          <w:bCs/>
          <w:color w:val="000000" w:themeColor="text1"/>
          <w:lang w:val="es-MX"/>
        </w:rPr>
        <w:t>Asimismo, la difusión de la situación financiera de las municipalidades es una forma de protegerse, dentro del Código Municipal como parte de la rendición de cuentas, se contempla que, en febrero de cada año, los Concejos Municipales que hagan uso de los préstamos internos o externos, deben informar a la población sobre los destinos y ejecución de los recursos, a través de los Consejos Municipales de Desarrollo y de los medios de comunicación que estén disponibles, siendo una forma de auditoria social.</w:t>
      </w:r>
      <w:r w:rsidRPr="00BB2EE7">
        <w:rPr>
          <w:bCs/>
          <w:color w:val="000000" w:themeColor="text1"/>
          <w:lang w:val="es-MX"/>
        </w:rPr>
        <w:cr/>
      </w:r>
    </w:p>
    <w:p w14:paraId="79F23C45" w14:textId="77777777" w:rsidR="005F38A6" w:rsidRPr="00BB2EE7" w:rsidRDefault="005F38A6" w:rsidP="005F38A6">
      <w:pPr>
        <w:jc w:val="both"/>
        <w:rPr>
          <w:bCs/>
          <w:color w:val="000000" w:themeColor="text1"/>
          <w:lang w:val="es-MX"/>
        </w:rPr>
      </w:pPr>
      <w:r w:rsidRPr="00BB2EE7">
        <w:rPr>
          <w:bCs/>
          <w:color w:val="000000" w:themeColor="text1"/>
          <w:lang w:val="es-MX"/>
        </w:rPr>
        <w:t>Estas disposiciones contenidas en el Código Municipal aumentan la percepción de riesgo por parte de las autoridades ediles y por ello podría inducirlos a una mayor cautela al momento de contraer deuda, ejerciendo una política de endeudamiento municipal limitada por la capacidad de pago y por el período específico que le concierne al Concejo Municipal electo.</w:t>
      </w:r>
    </w:p>
    <w:p w14:paraId="5CFF249E" w14:textId="77777777" w:rsidR="005F38A6" w:rsidRPr="00F3143D" w:rsidRDefault="005F38A6" w:rsidP="005F38A6">
      <w:pPr>
        <w:jc w:val="both"/>
        <w:rPr>
          <w:bCs/>
          <w:color w:val="000000" w:themeColor="text1"/>
          <w:lang w:val="es-MX"/>
        </w:rPr>
      </w:pPr>
    </w:p>
    <w:p w14:paraId="432C9D7C" w14:textId="77777777" w:rsidR="005F38A6" w:rsidRPr="00F3143D" w:rsidRDefault="005F38A6" w:rsidP="005F38A6">
      <w:pPr>
        <w:jc w:val="both"/>
        <w:rPr>
          <w:bCs/>
          <w:color w:val="000000" w:themeColor="text1"/>
          <w:lang w:val="es-MX"/>
        </w:rPr>
      </w:pPr>
      <w:r w:rsidRPr="00F3143D">
        <w:rPr>
          <w:bCs/>
          <w:color w:val="000000" w:themeColor="text1"/>
          <w:lang w:val="es-MX"/>
        </w:rPr>
        <w:t xml:space="preserve">En el Instituto Nacional de Fomento Municipal </w:t>
      </w:r>
      <w:bookmarkStart w:id="484" w:name="_Hlk140675400"/>
      <w:r w:rsidRPr="00F3143D">
        <w:rPr>
          <w:bCs/>
          <w:color w:val="000000" w:themeColor="text1"/>
          <w:lang w:val="es-MX"/>
        </w:rPr>
        <w:t>-INFOM- como parte de su objetivo de coadyuvar al progreso de las municipalidades, otorga préstamos</w:t>
      </w:r>
      <w:bookmarkEnd w:id="484"/>
      <w:r w:rsidRPr="00F3143D">
        <w:rPr>
          <w:bCs/>
          <w:color w:val="000000" w:themeColor="text1"/>
          <w:lang w:val="es-MX"/>
        </w:rPr>
        <w:t xml:space="preserve">. Los préstamos que se otorgan si bien no requieren la aprobación por parte del Ejecutivo, ni el dictamen de la Junta Monetaria, si deben suscribir un Convenio Interinstitucional, para que el INFOM este facultado para </w:t>
      </w:r>
      <w:bookmarkStart w:id="485" w:name="_Hlk140675370"/>
      <w:r w:rsidRPr="00F3143D">
        <w:rPr>
          <w:bCs/>
          <w:color w:val="000000" w:themeColor="text1"/>
          <w:lang w:val="es-MX"/>
        </w:rPr>
        <w:t>realizar descuentos provenientes del Aporte Constitucional, Iva-Paz</w:t>
      </w:r>
      <w:bookmarkEnd w:id="485"/>
      <w:r w:rsidRPr="00F3143D">
        <w:rPr>
          <w:bCs/>
          <w:color w:val="000000" w:themeColor="text1"/>
          <w:lang w:val="es-MX"/>
        </w:rPr>
        <w:t xml:space="preserve"> u otro aporte, como garantía del préstamo contratado. Además, el INFOM puede participar en operaciones de intermediación financiera pero no sin antes otorgar a las entidades bancarias información sobre la capacidad de endeudamiento de la municipalidad solicitante. Estas disposiciones, entre otras, aumentan la percepción de riesgo y control por parte de las autoridades ediles contribuyendo a una política de endeudamiento municipal más prudente.</w:t>
      </w:r>
    </w:p>
    <w:p w14:paraId="21A280F4" w14:textId="77777777" w:rsidR="005F38A6" w:rsidRPr="004014DA" w:rsidRDefault="005F38A6" w:rsidP="005F38A6">
      <w:pPr>
        <w:jc w:val="both"/>
        <w:rPr>
          <w:bCs/>
          <w:color w:val="000000" w:themeColor="text1"/>
          <w:highlight w:val="cyan"/>
          <w:lang w:val="es-MX"/>
        </w:rPr>
      </w:pPr>
    </w:p>
    <w:p w14:paraId="7239E17C" w14:textId="77777777" w:rsidR="005F38A6" w:rsidRPr="0018488A" w:rsidRDefault="005F38A6" w:rsidP="005F38A6">
      <w:pPr>
        <w:jc w:val="both"/>
        <w:rPr>
          <w:bCs/>
          <w:color w:val="000000" w:themeColor="text1"/>
          <w:lang w:val="es-MX"/>
        </w:rPr>
      </w:pPr>
      <w:r w:rsidRPr="00F3143D">
        <w:rPr>
          <w:bCs/>
          <w:color w:val="000000" w:themeColor="text1"/>
          <w:lang w:val="es-MX"/>
        </w:rPr>
        <w:t xml:space="preserve">Por su parte, la Dirección de Asistencia a la Administración Financiera Municipal (DAAFIM) tiene a su cargo la asistencia y asesoría técnica a las municipalidades, mancomunidades, dependencias y empresas municipales del país en lo que concierte a las normativas del Sistema de Administración Financiera (SIAF) y la metodología presupuestaria. En ese sentido, dentro de sus principales funciones se encuentra el diseño e implementación de políticas, planes, normas, procedimientos de administración financiera y endeudamiento municipal que orienten las finanzas municipales, así como coordinar la </w:t>
      </w:r>
      <w:r w:rsidRPr="0018488A">
        <w:rPr>
          <w:bCs/>
          <w:color w:val="000000" w:themeColor="text1"/>
          <w:lang w:val="es-MX"/>
        </w:rPr>
        <w:t>elaboración de estudios sobre finanzas municipales y el desarrollo de indicadores de sostenibilidad financiera y fiscal desde el ámbito municipal.</w:t>
      </w:r>
    </w:p>
    <w:p w14:paraId="318C51E0" w14:textId="77777777" w:rsidR="005F38A6" w:rsidRPr="0018488A" w:rsidRDefault="005F38A6" w:rsidP="005F38A6">
      <w:pPr>
        <w:jc w:val="both"/>
        <w:rPr>
          <w:bCs/>
          <w:color w:val="000000" w:themeColor="text1"/>
          <w:lang w:val="es-MX"/>
        </w:rPr>
      </w:pPr>
    </w:p>
    <w:p w14:paraId="6F2DD3B7" w14:textId="77777777" w:rsidR="005F38A6" w:rsidRDefault="005F38A6" w:rsidP="005F38A6">
      <w:pPr>
        <w:jc w:val="both"/>
        <w:rPr>
          <w:bCs/>
          <w:color w:val="000000" w:themeColor="text1"/>
          <w:lang w:val="es-MX"/>
        </w:rPr>
      </w:pPr>
      <w:r w:rsidRPr="0018488A">
        <w:rPr>
          <w:bCs/>
          <w:color w:val="000000" w:themeColor="text1"/>
          <w:lang w:val="es-MX"/>
        </w:rPr>
        <w:t>La DAAFIM apoyó a la elaboración del Ranking de Gestión Municipal coordinado por la Segeplan, en su versión 2020-2021 tuvo a su cargo apoyar la elaboración de los índices que componen el Ranking, pero en especial asumió el Índice de Gestión Financiera, el cual se encuentra compuesto por siete indicadores: autonomía financiera municipal, ingresos propios por habitante -sin regalías-, ingresos del IUSI en relación con los ingresos propios -sin regalías-,  inversión en capital fijo por habitante,  inversión en capital fijo con recursos percibidos por ingresos propios, inversión en capital fijo con recursos percibidos por transferencias del gobierno central e independencia financiera por endeudamiento público.  Con ello se mide la eficiencia en el uso de los recursos financieros, constituyéndose en una herramienta de análisis que permite focalizar acciones para optimizar los recursos municipales y poder mejorar la efectividad y sostenibilidad de las finanzas municipales.</w:t>
      </w:r>
    </w:p>
    <w:p w14:paraId="71B487A1" w14:textId="258B18DC" w:rsidR="005F38A6" w:rsidRPr="00C36261" w:rsidRDefault="005F38A6" w:rsidP="007F19DF">
      <w:pPr>
        <w:pStyle w:val="Prrafodelista"/>
        <w:numPr>
          <w:ilvl w:val="0"/>
          <w:numId w:val="44"/>
        </w:numPr>
        <w:spacing w:line="259" w:lineRule="auto"/>
        <w:ind w:left="284" w:hanging="284"/>
        <w:jc w:val="both"/>
        <w:outlineLvl w:val="0"/>
        <w:rPr>
          <w:b/>
          <w:bCs/>
        </w:rPr>
      </w:pPr>
      <w:bookmarkStart w:id="486" w:name="_Toc79746366"/>
      <w:bookmarkStart w:id="487" w:name="_Toc114495266"/>
      <w:bookmarkStart w:id="488" w:name="_Toc144114411"/>
      <w:r w:rsidRPr="00C36261">
        <w:rPr>
          <w:b/>
          <w:bCs/>
        </w:rPr>
        <w:lastRenderedPageBreak/>
        <w:t xml:space="preserve">Riesgos Fiscales </w:t>
      </w:r>
      <w:r w:rsidR="00D73789">
        <w:rPr>
          <w:b/>
          <w:bCs/>
        </w:rPr>
        <w:t>A</w:t>
      </w:r>
      <w:r w:rsidRPr="00C36261">
        <w:rPr>
          <w:b/>
          <w:bCs/>
        </w:rPr>
        <w:t xml:space="preserve">sociados a las </w:t>
      </w:r>
      <w:r w:rsidR="00D73789">
        <w:rPr>
          <w:b/>
          <w:bCs/>
        </w:rPr>
        <w:t>E</w:t>
      </w:r>
      <w:r w:rsidRPr="00C36261">
        <w:rPr>
          <w:b/>
          <w:bCs/>
        </w:rPr>
        <w:t xml:space="preserve">mpresas </w:t>
      </w:r>
      <w:r w:rsidR="00D73789">
        <w:rPr>
          <w:b/>
          <w:bCs/>
        </w:rPr>
        <w:t>P</w:t>
      </w:r>
      <w:r w:rsidRPr="00C36261">
        <w:rPr>
          <w:b/>
          <w:bCs/>
        </w:rPr>
        <w:t xml:space="preserve">úblicas </w:t>
      </w:r>
      <w:r w:rsidR="00D73789">
        <w:rPr>
          <w:b/>
          <w:bCs/>
        </w:rPr>
        <w:t>N</w:t>
      </w:r>
      <w:r w:rsidRPr="00C36261">
        <w:rPr>
          <w:b/>
          <w:bCs/>
        </w:rPr>
        <w:t xml:space="preserve">o </w:t>
      </w:r>
      <w:r w:rsidR="00D73789">
        <w:rPr>
          <w:b/>
          <w:bCs/>
        </w:rPr>
        <w:t>F</w:t>
      </w:r>
      <w:r w:rsidRPr="00C36261">
        <w:rPr>
          <w:b/>
          <w:bCs/>
        </w:rPr>
        <w:t>inancieras</w:t>
      </w:r>
      <w:bookmarkEnd w:id="486"/>
      <w:r w:rsidRPr="00C36261">
        <w:rPr>
          <w:b/>
          <w:bCs/>
        </w:rPr>
        <w:t xml:space="preserve"> </w:t>
      </w:r>
      <w:r w:rsidR="00D73789">
        <w:rPr>
          <w:b/>
          <w:bCs/>
        </w:rPr>
        <w:t>N</w:t>
      </w:r>
      <w:r w:rsidRPr="00C36261">
        <w:rPr>
          <w:b/>
          <w:bCs/>
        </w:rPr>
        <w:t xml:space="preserve">acionales y </w:t>
      </w:r>
      <w:r w:rsidR="00D73789">
        <w:rPr>
          <w:b/>
          <w:bCs/>
        </w:rPr>
        <w:t>M</w:t>
      </w:r>
      <w:r w:rsidRPr="00C36261">
        <w:rPr>
          <w:b/>
          <w:bCs/>
        </w:rPr>
        <w:t>unicipales</w:t>
      </w:r>
      <w:bookmarkEnd w:id="487"/>
      <w:bookmarkEnd w:id="488"/>
    </w:p>
    <w:p w14:paraId="35C41165" w14:textId="77777777" w:rsidR="005F38A6" w:rsidRPr="004C5FE3" w:rsidRDefault="005F38A6" w:rsidP="005F38A6">
      <w:pPr>
        <w:ind w:left="567"/>
        <w:jc w:val="both"/>
        <w:rPr>
          <w:rFonts w:eastAsia="OptimaLTStd"/>
          <w:color w:val="FF0000"/>
        </w:rPr>
      </w:pPr>
    </w:p>
    <w:p w14:paraId="3DDC1B72" w14:textId="77777777" w:rsidR="005F38A6" w:rsidRPr="008172E9" w:rsidRDefault="005F38A6" w:rsidP="005F38A6">
      <w:pPr>
        <w:jc w:val="both"/>
        <w:rPr>
          <w:bCs/>
          <w:color w:val="000000" w:themeColor="text1"/>
          <w:highlight w:val="cyan"/>
          <w:lang w:val="es-MX"/>
        </w:rPr>
      </w:pPr>
      <w:r w:rsidRPr="003E57E2">
        <w:rPr>
          <w:bCs/>
          <w:color w:val="000000" w:themeColor="text1"/>
          <w:lang w:val="es-MX"/>
        </w:rPr>
        <w:t xml:space="preserve">Las empresas públicas municipales y no financieras pueden ser una fuente de riesgo fiscal para las finanzas públicas guatemaltecas, dado que sus obligaciones pueden estar garantizadas explícita o implícitamente por el gobierno o la municipalidad en la que se encuentra establecida, por lo cual es importante hacer una revisión de algunos de los indicadores financieros de estas empresas para saber hasta qué grado pueden verse comprometidas las finanzas públicas. En especial, si la empresa es de importancia estratégica o los bienes y servicios que provee son relevantes para la población. </w:t>
      </w:r>
    </w:p>
    <w:p w14:paraId="4015B064" w14:textId="77777777" w:rsidR="005F38A6" w:rsidRPr="008172E9" w:rsidRDefault="005F38A6" w:rsidP="005F38A6">
      <w:pPr>
        <w:jc w:val="both"/>
        <w:rPr>
          <w:bCs/>
          <w:color w:val="000000" w:themeColor="text1"/>
          <w:highlight w:val="cyan"/>
          <w:lang w:val="es-MX"/>
        </w:rPr>
      </w:pPr>
    </w:p>
    <w:p w14:paraId="1B1CCD37" w14:textId="77777777" w:rsidR="005F38A6" w:rsidRPr="00134FFE" w:rsidRDefault="005F38A6" w:rsidP="005F38A6">
      <w:pPr>
        <w:jc w:val="both"/>
        <w:rPr>
          <w:bCs/>
          <w:color w:val="000000" w:themeColor="text1"/>
          <w:lang w:val="es-MX"/>
        </w:rPr>
      </w:pPr>
      <w:r w:rsidRPr="00134FFE">
        <w:rPr>
          <w:bCs/>
          <w:color w:val="000000" w:themeColor="text1"/>
          <w:lang w:val="es-MX"/>
        </w:rPr>
        <w:t xml:space="preserve">Los riesgos fiscales se encuentran asociados a una serie de factores que se pueden presentar </w:t>
      </w:r>
    </w:p>
    <w:p w14:paraId="3AF96523" w14:textId="77777777" w:rsidR="005F38A6" w:rsidRPr="00134FFE" w:rsidRDefault="005F38A6" w:rsidP="005F38A6">
      <w:pPr>
        <w:jc w:val="both"/>
        <w:rPr>
          <w:bCs/>
          <w:color w:val="000000" w:themeColor="text1"/>
          <w:lang w:val="es-MX"/>
        </w:rPr>
      </w:pPr>
      <w:r w:rsidRPr="00134FFE">
        <w:rPr>
          <w:bCs/>
          <w:color w:val="000000" w:themeColor="text1"/>
          <w:lang w:val="es-MX"/>
        </w:rPr>
        <w:t>durante la operación de las empresas, tales como: la variabilidad de los dividendos, incertidumbre en los mercados y condiciones fluctuantes en que operaran, pérdidas operativas que hacen necesaria la intervención gubernamental por medio de recapitalizaciones periódicas y, los bienes y servicios que proveen las empresas públicas no responden a un precio de mercado.</w:t>
      </w:r>
      <w:r w:rsidRPr="00134FFE">
        <w:rPr>
          <w:bCs/>
          <w:color w:val="000000" w:themeColor="text1"/>
          <w:lang w:val="es-MX"/>
        </w:rPr>
        <w:cr/>
      </w:r>
    </w:p>
    <w:p w14:paraId="0CA9C55D" w14:textId="77777777" w:rsidR="005F38A6" w:rsidRPr="00134FFE" w:rsidRDefault="005F38A6" w:rsidP="005F38A6">
      <w:pPr>
        <w:jc w:val="both"/>
        <w:rPr>
          <w:bCs/>
          <w:color w:val="000000" w:themeColor="text1"/>
          <w:lang w:val="es-MX"/>
        </w:rPr>
      </w:pPr>
      <w:r w:rsidRPr="00134FFE">
        <w:rPr>
          <w:bCs/>
          <w:color w:val="000000" w:themeColor="text1"/>
          <w:lang w:val="es-MX"/>
        </w:rPr>
        <w:t xml:space="preserve">Es importante considerar que la posible materialización de riesgos asociados a empresas públicas nacionales y municipales se debe a garantías, avales o similares que podrían provenir del Gobierno General afectando la situación financiera del mismo. Adicionalmente, algunas empresas públicas podrían realizar operaciones cuasi fiscales, situación que se presenta en el momento que la empresa pública presta un servicio a un precio menor al de mercado, es decir, subvencionando el precio y este componente subvencionado representa una pérdida en el balance de la empresa. Esto tiene una repercusión importante, dado que las actividades cuasi fiscales conllevan riesgos fiscales, que pueden repercutir en el presupuesto, por medio de una menor transferencia de utilidades, pago de impuestos por parte de la empresa pública hacia el gobierno o por la necesidad que podría presentar la empresa pública en ser recapitalizada. </w:t>
      </w:r>
    </w:p>
    <w:p w14:paraId="6805257F" w14:textId="77777777" w:rsidR="005F38A6" w:rsidRPr="00134FFE" w:rsidRDefault="005F38A6" w:rsidP="005F38A6">
      <w:pPr>
        <w:jc w:val="both"/>
        <w:rPr>
          <w:bCs/>
          <w:color w:val="000000" w:themeColor="text1"/>
          <w:lang w:val="es-MX"/>
        </w:rPr>
      </w:pPr>
    </w:p>
    <w:p w14:paraId="287C797E" w14:textId="77777777" w:rsidR="005F38A6" w:rsidRPr="004C7A68" w:rsidRDefault="005F38A6" w:rsidP="005F38A6">
      <w:pPr>
        <w:jc w:val="both"/>
        <w:rPr>
          <w:bCs/>
          <w:color w:val="000000" w:themeColor="text1"/>
          <w:lang w:val="es-MX"/>
        </w:rPr>
      </w:pPr>
      <w:r w:rsidRPr="004C7A68">
        <w:t>Dentro del Manual de Transparencia Fiscal del Fondo Monetario Internacional (FMI), se reconoce la importancia de separar las funciones del gobierno y las actividades comerciales, dado que coadyuva a promover una clara rendición de cuentas al distanciar la conducción de la política pública y las otras actividades. Asimismo, en el Manual de Estadísticas de Finanzas Públicas 2014, se reconoce que puede ser difícil determinar cuándo una entidad se clasifica como entidad gubernamental o como corporación pública, todo dependerá si la corporación vende bienes y servicios de mercado, es decir, si se provee a precios que se consideran económicamente significativos y, por lo tanto, influyen tanto en la oferta como en la demanda. En el caso de las empresas públicas, determinar ese precio puede ser complicado. Una de las recomendaciones del Manual de Transparencia Fiscal en torno a las empresas públicas gira en relación a la clara definición de las relaciones financieras con el gobierno, dado que las mismas pueden ser de propiedad total o parcial del gobierno, por ello debe existir un marco legal claro sobre la forma que se realizarán las transferencias de utilidades o pago de dividendos al gobierno.</w:t>
      </w:r>
    </w:p>
    <w:p w14:paraId="4A4D9005" w14:textId="77777777" w:rsidR="005F38A6" w:rsidRDefault="005F38A6" w:rsidP="005F38A6">
      <w:pPr>
        <w:jc w:val="both"/>
      </w:pPr>
    </w:p>
    <w:p w14:paraId="4E670E76" w14:textId="77777777" w:rsidR="005F38A6" w:rsidRDefault="005F38A6" w:rsidP="005F38A6">
      <w:pPr>
        <w:jc w:val="both"/>
        <w:rPr>
          <w:bCs/>
          <w:color w:val="000000" w:themeColor="text1"/>
          <w:lang w:val="es-MX"/>
        </w:rPr>
      </w:pPr>
      <w:r w:rsidRPr="004C7A68">
        <w:lastRenderedPageBreak/>
        <w:t>Uno de los principales riesgos fiscales por empresas públicas se da por la garantía del gobierno a préstamos otorgados a las empresas públicas. Estas deudas acumuladas garantizadas, cuando no pueden ser asumidas por la empresa pública, pasan a ser reconocidas por el gobierno como parte de la deuda pública, dejando de ser un pasivo con características de contingente a uno explícito.</w:t>
      </w:r>
    </w:p>
    <w:p w14:paraId="62A2B46F" w14:textId="77777777" w:rsidR="005F38A6" w:rsidRPr="002333A9" w:rsidRDefault="005F38A6" w:rsidP="005F38A6">
      <w:pPr>
        <w:jc w:val="both"/>
        <w:rPr>
          <w:bCs/>
          <w:color w:val="000000" w:themeColor="text1"/>
          <w:lang w:val="es-MX"/>
        </w:rPr>
      </w:pPr>
    </w:p>
    <w:p w14:paraId="16F0F1ED" w14:textId="77777777" w:rsidR="005F38A6" w:rsidRDefault="005F38A6" w:rsidP="005F38A6">
      <w:pPr>
        <w:jc w:val="both"/>
        <w:rPr>
          <w:bCs/>
          <w:color w:val="000000" w:themeColor="text1"/>
          <w:lang w:val="es-MX"/>
        </w:rPr>
      </w:pPr>
      <w:r>
        <w:rPr>
          <w:bCs/>
          <w:color w:val="000000" w:themeColor="text1"/>
          <w:lang w:val="es-MX"/>
        </w:rPr>
        <w:t>E</w:t>
      </w:r>
      <w:r w:rsidRPr="002333A9">
        <w:rPr>
          <w:bCs/>
          <w:color w:val="000000" w:themeColor="text1"/>
          <w:lang w:val="es-MX"/>
        </w:rPr>
        <w:t xml:space="preserve">n este informe se presenta los resultados de </w:t>
      </w:r>
      <w:r>
        <w:rPr>
          <w:bCs/>
          <w:color w:val="000000" w:themeColor="text1"/>
          <w:lang w:val="es-MX"/>
        </w:rPr>
        <w:t>18</w:t>
      </w:r>
      <w:r w:rsidRPr="002333A9">
        <w:rPr>
          <w:bCs/>
          <w:color w:val="000000" w:themeColor="text1"/>
          <w:lang w:val="es-MX"/>
        </w:rPr>
        <w:t xml:space="preserve"> empresas municipales y 8 nacionales, seleccionado 2</w:t>
      </w:r>
      <w:r>
        <w:rPr>
          <w:bCs/>
          <w:color w:val="000000" w:themeColor="text1"/>
          <w:lang w:val="es-MX"/>
        </w:rPr>
        <w:t>6</w:t>
      </w:r>
      <w:r w:rsidRPr="002333A9">
        <w:rPr>
          <w:bCs/>
          <w:color w:val="000000" w:themeColor="text1"/>
          <w:lang w:val="es-MX"/>
        </w:rPr>
        <w:t xml:space="preserve"> empresas públicas para analizar su estado financiero presupuestario durante</w:t>
      </w:r>
      <w:r>
        <w:rPr>
          <w:bCs/>
          <w:color w:val="000000" w:themeColor="text1"/>
          <w:lang w:val="es-MX"/>
        </w:rPr>
        <w:t xml:space="preserve"> los años en los cuales se cuenta información disponible en el sistema de SICOIN y sus respectivas variantes. </w:t>
      </w:r>
    </w:p>
    <w:p w14:paraId="347DBE48" w14:textId="77777777" w:rsidR="005F38A6" w:rsidRDefault="005F38A6" w:rsidP="005F38A6">
      <w:pPr>
        <w:jc w:val="both"/>
        <w:rPr>
          <w:bCs/>
          <w:color w:val="000000" w:themeColor="text1"/>
          <w:lang w:val="es-MX"/>
        </w:rPr>
      </w:pPr>
    </w:p>
    <w:p w14:paraId="56F997F0" w14:textId="77777777" w:rsidR="005F38A6" w:rsidRPr="002333A9" w:rsidRDefault="005F38A6" w:rsidP="005F38A6">
      <w:pPr>
        <w:jc w:val="both"/>
        <w:rPr>
          <w:bCs/>
          <w:color w:val="000000" w:themeColor="text1"/>
          <w:lang w:val="es-MX"/>
        </w:rPr>
      </w:pPr>
      <w:r>
        <w:rPr>
          <w:bCs/>
          <w:color w:val="000000" w:themeColor="text1"/>
          <w:lang w:val="es-MX"/>
        </w:rPr>
        <w:t>Las entidades analizadas</w:t>
      </w:r>
      <w:r w:rsidRPr="002333A9">
        <w:rPr>
          <w:bCs/>
          <w:color w:val="000000" w:themeColor="text1"/>
          <w:lang w:val="es-MX"/>
        </w:rPr>
        <w:t xml:space="preserve"> son:</w:t>
      </w:r>
    </w:p>
    <w:p w14:paraId="4046AC7A" w14:textId="77777777" w:rsidR="005F38A6" w:rsidRPr="006F4B59" w:rsidRDefault="005F38A6" w:rsidP="005F38A6">
      <w:pPr>
        <w:ind w:left="561"/>
        <w:jc w:val="both"/>
        <w:rPr>
          <w:rFonts w:eastAsia="Calibri"/>
          <w:sz w:val="12"/>
          <w:szCs w:val="10"/>
        </w:rPr>
      </w:pPr>
    </w:p>
    <w:p w14:paraId="72539970" w14:textId="13F7FA91" w:rsidR="005F38A6" w:rsidRPr="006F4B59" w:rsidRDefault="006F4B59" w:rsidP="006F4B59">
      <w:pPr>
        <w:pStyle w:val="Descripcin"/>
        <w:keepNext/>
        <w:rPr>
          <w:color w:val="auto"/>
        </w:rPr>
      </w:pPr>
      <w:bookmarkStart w:id="489" w:name="_Toc114493934"/>
      <w:bookmarkStart w:id="490" w:name="_Toc143593535"/>
      <w:r w:rsidRPr="006F4B59">
        <w:rPr>
          <w:color w:val="auto"/>
        </w:rPr>
        <w:t xml:space="preserve">Tabla </w:t>
      </w:r>
      <w:r w:rsidRPr="006F4B59">
        <w:rPr>
          <w:color w:val="auto"/>
        </w:rPr>
        <w:fldChar w:fldCharType="begin"/>
      </w:r>
      <w:r w:rsidRPr="006F4B59">
        <w:rPr>
          <w:color w:val="auto"/>
        </w:rPr>
        <w:instrText xml:space="preserve"> SEQ Tabla \* ARABIC </w:instrText>
      </w:r>
      <w:r w:rsidRPr="006F4B59">
        <w:rPr>
          <w:color w:val="auto"/>
        </w:rPr>
        <w:fldChar w:fldCharType="separate"/>
      </w:r>
      <w:r w:rsidR="00A62AFA">
        <w:rPr>
          <w:noProof/>
          <w:color w:val="auto"/>
        </w:rPr>
        <w:t>33</w:t>
      </w:r>
      <w:r w:rsidRPr="006F4B59">
        <w:rPr>
          <w:color w:val="auto"/>
        </w:rPr>
        <w:fldChar w:fldCharType="end"/>
      </w:r>
      <w:r w:rsidRPr="006F4B59">
        <w:rPr>
          <w:color w:val="auto"/>
        </w:rPr>
        <w:t xml:space="preserve">. </w:t>
      </w:r>
      <w:r w:rsidR="005F38A6" w:rsidRPr="006F4B59">
        <w:rPr>
          <w:rFonts w:eastAsia="Calibri"/>
          <w:color w:val="auto"/>
        </w:rPr>
        <w:t>Lista de entidades consideradas para analizar sus riesgos financieros</w:t>
      </w:r>
      <w:bookmarkEnd w:id="489"/>
      <w:bookmarkEnd w:id="490"/>
    </w:p>
    <w:p w14:paraId="4334573D" w14:textId="77777777" w:rsidR="006F4B59" w:rsidRDefault="005F38A6" w:rsidP="006F4B59">
      <w:pPr>
        <w:jc w:val="center"/>
        <w:rPr>
          <w:sz w:val="18"/>
        </w:rPr>
      </w:pPr>
      <w:r w:rsidRPr="00E719BD">
        <w:rPr>
          <w:noProof/>
        </w:rPr>
        <w:drawing>
          <wp:inline distT="0" distB="0" distL="0" distR="0" wp14:anchorId="6D824793" wp14:editId="27904EA9">
            <wp:extent cx="5131431" cy="4086971"/>
            <wp:effectExtent l="0" t="0" r="0" b="8890"/>
            <wp:docPr id="18228350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66169" cy="4114639"/>
                    </a:xfrm>
                    <a:prstGeom prst="rect">
                      <a:avLst/>
                    </a:prstGeom>
                    <a:noFill/>
                    <a:ln>
                      <a:noFill/>
                    </a:ln>
                  </pic:spPr>
                </pic:pic>
              </a:graphicData>
            </a:graphic>
          </wp:inline>
        </w:drawing>
      </w:r>
    </w:p>
    <w:p w14:paraId="0C3244B8" w14:textId="6F524BD7" w:rsidR="005F38A6" w:rsidRDefault="005F38A6" w:rsidP="006F4B59">
      <w:pPr>
        <w:ind w:firstLine="708"/>
        <w:rPr>
          <w:bCs/>
          <w:color w:val="000000" w:themeColor="text1"/>
          <w:lang w:val="es-MX"/>
        </w:rPr>
      </w:pPr>
      <w:r w:rsidRPr="0012440D">
        <w:rPr>
          <w:sz w:val="18"/>
        </w:rPr>
        <w:t xml:space="preserve">Fuente: </w:t>
      </w:r>
      <w:proofErr w:type="spellStart"/>
      <w:r w:rsidRPr="0012440D">
        <w:rPr>
          <w:sz w:val="18"/>
        </w:rPr>
        <w:t>Sicoin</w:t>
      </w:r>
      <w:proofErr w:type="spellEnd"/>
      <w:r>
        <w:rPr>
          <w:sz w:val="18"/>
        </w:rPr>
        <w:t>.</w:t>
      </w:r>
    </w:p>
    <w:p w14:paraId="68341F33" w14:textId="77777777" w:rsidR="007A0B9B" w:rsidRDefault="007A0B9B" w:rsidP="005F38A6">
      <w:pPr>
        <w:jc w:val="both"/>
        <w:rPr>
          <w:bCs/>
          <w:color w:val="000000" w:themeColor="text1"/>
          <w:lang w:val="es-MX"/>
        </w:rPr>
      </w:pPr>
    </w:p>
    <w:p w14:paraId="5D657D7F" w14:textId="5F8ABAFB" w:rsidR="005F38A6" w:rsidRDefault="005F38A6" w:rsidP="005F38A6">
      <w:pPr>
        <w:jc w:val="both"/>
        <w:rPr>
          <w:bCs/>
          <w:color w:val="000000" w:themeColor="text1"/>
          <w:lang w:val="es-MX"/>
        </w:rPr>
      </w:pPr>
      <w:r w:rsidRPr="004C7A68">
        <w:rPr>
          <w:bCs/>
          <w:color w:val="000000" w:themeColor="text1"/>
          <w:lang w:val="es-MX"/>
        </w:rPr>
        <w:t>Por último, es oportuno indicar que los gobiernos pueden reducir la exposición de los riesgos fiscales de las empresas públicas, a través de reducir la participación del Estado en las actividades comerciales, reducir la magnitud de las actividades cuasi fiscales, limitar el otorgamiento de garantías explícitas, prohibir o intervenir en caso se otorguen garantías de empresas a terceros y restringir el uso de los activos como mecanismo de garantía en búsqueda de financiamiento.</w:t>
      </w:r>
      <w:r w:rsidRPr="002333A9">
        <w:rPr>
          <w:bCs/>
          <w:color w:val="000000" w:themeColor="text1"/>
          <w:lang w:val="es-MX"/>
        </w:rPr>
        <w:t xml:space="preserve"> </w:t>
      </w:r>
    </w:p>
    <w:p w14:paraId="5C3AEF7D" w14:textId="329DD692" w:rsidR="00B865FB" w:rsidRDefault="00B865FB" w:rsidP="005F38A6">
      <w:pPr>
        <w:jc w:val="both"/>
        <w:rPr>
          <w:bCs/>
          <w:color w:val="000000" w:themeColor="text1"/>
          <w:lang w:val="es-MX"/>
        </w:rPr>
      </w:pPr>
    </w:p>
    <w:p w14:paraId="6C3D8038" w14:textId="77777777" w:rsidR="007A0B9B" w:rsidRDefault="007A0B9B" w:rsidP="005F38A6">
      <w:pPr>
        <w:jc w:val="both"/>
        <w:rPr>
          <w:bCs/>
          <w:color w:val="000000" w:themeColor="text1"/>
          <w:lang w:val="es-MX"/>
        </w:rPr>
      </w:pPr>
    </w:p>
    <w:p w14:paraId="43F5EEB7" w14:textId="77777777" w:rsidR="00F908A8" w:rsidRPr="00F908A8" w:rsidRDefault="00F908A8" w:rsidP="00F908A8">
      <w:pPr>
        <w:pStyle w:val="Prrafodelista"/>
        <w:keepNext/>
        <w:widowControl w:val="0"/>
        <w:numPr>
          <w:ilvl w:val="0"/>
          <w:numId w:val="35"/>
        </w:numPr>
        <w:contextualSpacing w:val="0"/>
        <w:outlineLvl w:val="1"/>
        <w:rPr>
          <w:rFonts w:eastAsiaTheme="minorHAnsi"/>
          <w:b/>
          <w:bCs/>
          <w:vanish/>
          <w:color w:val="000000"/>
          <w:lang w:eastAsia="en-US"/>
        </w:rPr>
      </w:pPr>
      <w:bookmarkStart w:id="491" w:name="_Toc143252237"/>
      <w:bookmarkStart w:id="492" w:name="_Toc143252381"/>
      <w:bookmarkStart w:id="493" w:name="_Toc143252523"/>
      <w:bookmarkStart w:id="494" w:name="_Toc143874053"/>
      <w:bookmarkStart w:id="495" w:name="_Toc143874198"/>
      <w:bookmarkStart w:id="496" w:name="_Toc144113964"/>
      <w:bookmarkStart w:id="497" w:name="_Toc144114122"/>
      <w:bookmarkStart w:id="498" w:name="_Toc144114268"/>
      <w:bookmarkStart w:id="499" w:name="_Toc144114412"/>
      <w:bookmarkStart w:id="500" w:name="_Toc79746368"/>
      <w:bookmarkStart w:id="501" w:name="_Toc114495267"/>
      <w:bookmarkEnd w:id="491"/>
      <w:bookmarkEnd w:id="492"/>
      <w:bookmarkEnd w:id="493"/>
      <w:bookmarkEnd w:id="494"/>
      <w:bookmarkEnd w:id="495"/>
      <w:bookmarkEnd w:id="496"/>
      <w:bookmarkEnd w:id="497"/>
      <w:bookmarkEnd w:id="498"/>
      <w:bookmarkEnd w:id="499"/>
    </w:p>
    <w:p w14:paraId="198C56F8" w14:textId="596302D5" w:rsidR="005F38A6" w:rsidRPr="00F908A8" w:rsidRDefault="005F38A6" w:rsidP="007F19DF">
      <w:pPr>
        <w:pStyle w:val="Ttulo2"/>
        <w:numPr>
          <w:ilvl w:val="1"/>
          <w:numId w:val="35"/>
        </w:numPr>
        <w:tabs>
          <w:tab w:val="left" w:pos="567"/>
        </w:tabs>
        <w:ind w:left="426" w:hanging="284"/>
        <w:rPr>
          <w:bCs/>
        </w:rPr>
      </w:pPr>
      <w:bookmarkStart w:id="502" w:name="_Toc144114413"/>
      <w:r w:rsidRPr="00F908A8">
        <w:rPr>
          <w:bCs/>
        </w:rPr>
        <w:t xml:space="preserve">Rentabilidad de las </w:t>
      </w:r>
      <w:r w:rsidR="00D73789">
        <w:rPr>
          <w:bCs/>
        </w:rPr>
        <w:t>e</w:t>
      </w:r>
      <w:r w:rsidRPr="00F908A8">
        <w:rPr>
          <w:bCs/>
        </w:rPr>
        <w:t>mpresas</w:t>
      </w:r>
      <w:bookmarkEnd w:id="500"/>
      <w:r w:rsidRPr="00F908A8">
        <w:rPr>
          <w:bCs/>
        </w:rPr>
        <w:t xml:space="preserve"> como grupo institucional</w:t>
      </w:r>
      <w:bookmarkEnd w:id="501"/>
      <w:bookmarkEnd w:id="502"/>
    </w:p>
    <w:p w14:paraId="37F115CD" w14:textId="77777777" w:rsidR="005F38A6" w:rsidRDefault="005F38A6" w:rsidP="005F38A6">
      <w:pPr>
        <w:jc w:val="both"/>
        <w:rPr>
          <w:rFonts w:eastAsia="OptimaLTStd"/>
          <w:color w:val="FF0000"/>
          <w:lang w:val="es-ES"/>
        </w:rPr>
      </w:pPr>
    </w:p>
    <w:p w14:paraId="36DE2BAB" w14:textId="77777777" w:rsidR="005F38A6" w:rsidRDefault="005F38A6" w:rsidP="005F38A6">
      <w:pPr>
        <w:jc w:val="both"/>
        <w:rPr>
          <w:rFonts w:eastAsia="Calibri"/>
        </w:rPr>
      </w:pPr>
      <w:r>
        <w:rPr>
          <w:bCs/>
          <w:color w:val="000000" w:themeColor="text1"/>
          <w:lang w:val="es-MX"/>
        </w:rPr>
        <w:t xml:space="preserve">En 2022 las </w:t>
      </w:r>
      <w:r w:rsidRPr="002333A9">
        <w:rPr>
          <w:bCs/>
          <w:color w:val="000000" w:themeColor="text1"/>
          <w:lang w:val="es-MX"/>
        </w:rPr>
        <w:t>Empresas Públicas No Financieras Nacionales</w:t>
      </w:r>
      <w:r>
        <w:rPr>
          <w:bCs/>
          <w:color w:val="000000" w:themeColor="text1"/>
          <w:lang w:val="es-MX"/>
        </w:rPr>
        <w:t xml:space="preserve"> continuaron mostrando superávit en su estado presupuestal siendo de Q767.4 millones, sin embargo, esta es una disminución de Q390.7 millones respecto a los Q1,158.2 millones que se observó en 2021. En cuanto el resultado presupuestal sin </w:t>
      </w:r>
      <w:r w:rsidRPr="002333A9">
        <w:rPr>
          <w:bCs/>
          <w:color w:val="000000" w:themeColor="text1"/>
          <w:lang w:val="es-MX"/>
        </w:rPr>
        <w:t>tomar en consideración los ingresos recib</w:t>
      </w:r>
      <w:r>
        <w:rPr>
          <w:bCs/>
          <w:color w:val="000000" w:themeColor="text1"/>
          <w:lang w:val="es-MX"/>
        </w:rPr>
        <w:t>idos</w:t>
      </w:r>
      <w:r w:rsidRPr="002333A9">
        <w:rPr>
          <w:bCs/>
          <w:color w:val="000000" w:themeColor="text1"/>
          <w:lang w:val="es-MX"/>
        </w:rPr>
        <w:t xml:space="preserve"> por concepto de transferencias</w:t>
      </w:r>
      <w:r>
        <w:rPr>
          <w:bCs/>
          <w:color w:val="000000" w:themeColor="text1"/>
          <w:lang w:val="es-MX"/>
        </w:rPr>
        <w:t>, las empresas tienen un</w:t>
      </w:r>
      <w:r w:rsidRPr="002333A9">
        <w:rPr>
          <w:bCs/>
          <w:color w:val="000000" w:themeColor="text1"/>
          <w:lang w:val="es-MX"/>
        </w:rPr>
        <w:t xml:space="preserve"> superávit de Q1</w:t>
      </w:r>
      <w:r>
        <w:rPr>
          <w:bCs/>
          <w:color w:val="000000" w:themeColor="text1"/>
          <w:lang w:val="es-MX"/>
        </w:rPr>
        <w:t>56</w:t>
      </w:r>
      <w:r w:rsidRPr="002333A9">
        <w:rPr>
          <w:bCs/>
          <w:color w:val="000000" w:themeColor="text1"/>
          <w:lang w:val="es-MX"/>
        </w:rPr>
        <w:t>.</w:t>
      </w:r>
      <w:r>
        <w:rPr>
          <w:bCs/>
          <w:color w:val="000000" w:themeColor="text1"/>
          <w:lang w:val="es-MX"/>
        </w:rPr>
        <w:t>5</w:t>
      </w:r>
      <w:r w:rsidRPr="002333A9">
        <w:rPr>
          <w:bCs/>
          <w:color w:val="000000" w:themeColor="text1"/>
          <w:lang w:val="es-MX"/>
        </w:rPr>
        <w:t xml:space="preserve"> millones</w:t>
      </w:r>
      <w:r>
        <w:rPr>
          <w:bCs/>
          <w:color w:val="000000" w:themeColor="text1"/>
          <w:lang w:val="es-MX"/>
        </w:rPr>
        <w:t xml:space="preserve"> y esto es una disminución de Q618.8 millones respecto a los Q775.3 millones observado en el año previo</w:t>
      </w:r>
      <w:r w:rsidRPr="002333A9">
        <w:rPr>
          <w:bCs/>
          <w:color w:val="000000" w:themeColor="text1"/>
          <w:lang w:val="es-MX"/>
        </w:rPr>
        <w:t>.</w:t>
      </w:r>
      <w:r>
        <w:rPr>
          <w:rFonts w:eastAsia="Calibri"/>
        </w:rPr>
        <w:t xml:space="preserve"> </w:t>
      </w:r>
    </w:p>
    <w:p w14:paraId="14F7E338" w14:textId="77777777" w:rsidR="009D7DE4" w:rsidRDefault="009D7DE4" w:rsidP="006F4B59">
      <w:pPr>
        <w:autoSpaceDE w:val="0"/>
        <w:autoSpaceDN w:val="0"/>
        <w:adjustRightInd w:val="0"/>
        <w:jc w:val="both"/>
        <w:rPr>
          <w:rFonts w:eastAsia="Calibri"/>
        </w:rPr>
      </w:pPr>
    </w:p>
    <w:p w14:paraId="3BF43EE8" w14:textId="43520AD0" w:rsidR="006F4B59" w:rsidRPr="006F4B59" w:rsidRDefault="006F4B59" w:rsidP="006F4B59">
      <w:pPr>
        <w:keepNext/>
        <w:jc w:val="center"/>
        <w:rPr>
          <w:b/>
          <w:bCs/>
        </w:rPr>
      </w:pPr>
      <w:bookmarkStart w:id="503" w:name="_Toc143593630"/>
      <w:r w:rsidRPr="006F4B59">
        <w:rPr>
          <w:b/>
          <w:bCs/>
        </w:rPr>
        <w:t xml:space="preserve">Gráfico </w:t>
      </w:r>
      <w:r w:rsidRPr="006F4B59">
        <w:rPr>
          <w:b/>
          <w:bCs/>
        </w:rPr>
        <w:fldChar w:fldCharType="begin"/>
      </w:r>
      <w:r w:rsidRPr="006F4B59">
        <w:rPr>
          <w:b/>
          <w:bCs/>
        </w:rPr>
        <w:instrText xml:space="preserve"> SEQ Gráfico \* ARABIC </w:instrText>
      </w:r>
      <w:r w:rsidRPr="006F4B59">
        <w:rPr>
          <w:b/>
          <w:bCs/>
        </w:rPr>
        <w:fldChar w:fldCharType="separate"/>
      </w:r>
      <w:r w:rsidR="00A62AFA">
        <w:rPr>
          <w:b/>
          <w:bCs/>
          <w:noProof/>
        </w:rPr>
        <w:t>72</w:t>
      </w:r>
      <w:r w:rsidRPr="006F4B59">
        <w:rPr>
          <w:b/>
          <w:bCs/>
        </w:rPr>
        <w:fldChar w:fldCharType="end"/>
      </w:r>
      <w:r w:rsidRPr="006F4B59">
        <w:rPr>
          <w:b/>
          <w:bCs/>
        </w:rPr>
        <w:t xml:space="preserve">.  </w:t>
      </w:r>
      <w:bookmarkStart w:id="504" w:name="_Toc114493895"/>
      <w:r w:rsidRPr="006F4B59">
        <w:rPr>
          <w:rFonts w:eastAsia="Calibri"/>
          <w:b/>
          <w:bCs/>
        </w:rPr>
        <w:t>Resultado Presupuestario de las Empresas Públicas</w:t>
      </w:r>
      <w:bookmarkEnd w:id="503"/>
      <w:bookmarkEnd w:id="504"/>
    </w:p>
    <w:p w14:paraId="3B22C77B" w14:textId="77777777" w:rsidR="005F38A6" w:rsidRPr="004C5FE3" w:rsidRDefault="005F38A6" w:rsidP="005F38A6">
      <w:pPr>
        <w:autoSpaceDE w:val="0"/>
        <w:autoSpaceDN w:val="0"/>
        <w:adjustRightInd w:val="0"/>
        <w:ind w:left="567"/>
        <w:jc w:val="center"/>
        <w:rPr>
          <w:rFonts w:eastAsia="Calibri"/>
          <w:sz w:val="22"/>
        </w:rPr>
      </w:pPr>
      <w:r w:rsidRPr="004C5FE3">
        <w:rPr>
          <w:rFonts w:eastAsia="Calibri"/>
          <w:sz w:val="22"/>
        </w:rPr>
        <w:t>En millones de quetzales</w:t>
      </w:r>
    </w:p>
    <w:tbl>
      <w:tblPr>
        <w:tblW w:w="9160" w:type="dxa"/>
        <w:jc w:val="center"/>
        <w:tblBorders>
          <w:insideV w:val="single" w:sz="4" w:space="0" w:color="auto"/>
        </w:tblBorders>
        <w:tblLook w:val="04A0" w:firstRow="1" w:lastRow="0" w:firstColumn="1" w:lastColumn="0" w:noHBand="0" w:noVBand="1"/>
      </w:tblPr>
      <w:tblGrid>
        <w:gridCol w:w="4711"/>
        <w:gridCol w:w="4449"/>
      </w:tblGrid>
      <w:tr w:rsidR="005F38A6" w14:paraId="6F827B4D" w14:textId="77777777" w:rsidTr="006F4B59">
        <w:trPr>
          <w:trHeight w:val="3411"/>
          <w:jc w:val="center"/>
        </w:trPr>
        <w:tc>
          <w:tcPr>
            <w:tcW w:w="4711" w:type="dxa"/>
          </w:tcPr>
          <w:p w14:paraId="404B9360" w14:textId="77777777" w:rsidR="005F38A6" w:rsidRDefault="005F38A6" w:rsidP="006A7377">
            <w:pPr>
              <w:autoSpaceDE w:val="0"/>
              <w:autoSpaceDN w:val="0"/>
              <w:adjustRightInd w:val="0"/>
              <w:jc w:val="both"/>
              <w:rPr>
                <w:rFonts w:eastAsia="Calibri"/>
                <w:lang w:eastAsia="en-US"/>
              </w:rPr>
            </w:pPr>
            <w:r>
              <w:rPr>
                <w:rFonts w:eastAsia="Calibri"/>
                <w:noProof/>
              </w:rPr>
              <w:drawing>
                <wp:inline distT="0" distB="0" distL="0" distR="0" wp14:anchorId="48BCA2BF" wp14:editId="1E7A9EE6">
                  <wp:extent cx="2814320" cy="2129051"/>
                  <wp:effectExtent l="0" t="0" r="5080" b="508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c>
          <w:tcPr>
            <w:tcW w:w="4449" w:type="dxa"/>
          </w:tcPr>
          <w:p w14:paraId="2E618D9D" w14:textId="77777777" w:rsidR="005F38A6" w:rsidRDefault="005F38A6" w:rsidP="006A7377">
            <w:pPr>
              <w:autoSpaceDE w:val="0"/>
              <w:autoSpaceDN w:val="0"/>
              <w:adjustRightInd w:val="0"/>
              <w:jc w:val="both"/>
              <w:rPr>
                <w:rFonts w:eastAsia="Calibri"/>
                <w:lang w:eastAsia="en-US"/>
              </w:rPr>
            </w:pPr>
            <w:r>
              <w:rPr>
                <w:rFonts w:eastAsia="Calibri"/>
                <w:noProof/>
              </w:rPr>
              <w:drawing>
                <wp:inline distT="0" distB="0" distL="0" distR="0" wp14:anchorId="61302E74" wp14:editId="64401E59">
                  <wp:extent cx="2655570" cy="2128520"/>
                  <wp:effectExtent l="0" t="0" r="0" b="508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bl>
    <w:p w14:paraId="7BC12CCF" w14:textId="77777777" w:rsidR="005F38A6" w:rsidRDefault="005F38A6" w:rsidP="006F4B59">
      <w:pPr>
        <w:rPr>
          <w:rFonts w:eastAsia="Calibri"/>
          <w:sz w:val="16"/>
        </w:rPr>
      </w:pPr>
      <w:r w:rsidRPr="004C5FE3">
        <w:rPr>
          <w:rFonts w:eastAsia="Calibri"/>
          <w:sz w:val="16"/>
        </w:rPr>
        <w:t xml:space="preserve">Fuente: </w:t>
      </w:r>
      <w:proofErr w:type="spellStart"/>
      <w:r w:rsidRPr="004C5FE3">
        <w:rPr>
          <w:rFonts w:eastAsia="Calibri"/>
          <w:sz w:val="16"/>
        </w:rPr>
        <w:t>Sicoin</w:t>
      </w:r>
      <w:proofErr w:type="spellEnd"/>
    </w:p>
    <w:p w14:paraId="397C923F" w14:textId="77777777" w:rsidR="006F4B59" w:rsidRDefault="006F4B59" w:rsidP="006F4B59">
      <w:pPr>
        <w:jc w:val="both"/>
        <w:rPr>
          <w:bCs/>
          <w:color w:val="000000" w:themeColor="text1"/>
          <w:lang w:val="es-MX"/>
        </w:rPr>
      </w:pPr>
    </w:p>
    <w:p w14:paraId="3CE0FA82" w14:textId="20B0CB86" w:rsidR="005F38A6" w:rsidRDefault="005F38A6" w:rsidP="006F4B59">
      <w:pPr>
        <w:jc w:val="both"/>
        <w:rPr>
          <w:bCs/>
          <w:color w:val="000000" w:themeColor="text1"/>
          <w:lang w:val="es-MX"/>
        </w:rPr>
      </w:pPr>
      <w:r w:rsidRPr="002333A9">
        <w:rPr>
          <w:bCs/>
          <w:color w:val="000000" w:themeColor="text1"/>
          <w:lang w:val="es-MX"/>
        </w:rPr>
        <w:t>En cuanto a las Empresas Públicas No Financieras Municipales</w:t>
      </w:r>
      <w:r>
        <w:rPr>
          <w:bCs/>
          <w:color w:val="000000" w:themeColor="text1"/>
          <w:lang w:val="es-MX"/>
        </w:rPr>
        <w:t xml:space="preserve">, en 2022 tuvieron un déficit presupuestal en su conjunto de Q23.8 millones y esta es una diferencia de Q45.5 millones respecto al superávit observado en 2021. Al no tomar en consideración las </w:t>
      </w:r>
      <w:r w:rsidRPr="002333A9">
        <w:rPr>
          <w:bCs/>
          <w:color w:val="000000" w:themeColor="text1"/>
          <w:lang w:val="es-MX"/>
        </w:rPr>
        <w:t xml:space="preserve">transferencias </w:t>
      </w:r>
      <w:r>
        <w:rPr>
          <w:bCs/>
          <w:color w:val="000000" w:themeColor="text1"/>
          <w:lang w:val="es-MX"/>
        </w:rPr>
        <w:t>recibidas</w:t>
      </w:r>
      <w:r w:rsidRPr="002333A9">
        <w:rPr>
          <w:bCs/>
          <w:color w:val="000000" w:themeColor="text1"/>
          <w:lang w:val="es-MX"/>
        </w:rPr>
        <w:t xml:space="preserve"> en sus ingresos totales,</w:t>
      </w:r>
      <w:r>
        <w:rPr>
          <w:bCs/>
          <w:color w:val="000000" w:themeColor="text1"/>
          <w:lang w:val="es-MX"/>
        </w:rPr>
        <w:t xml:space="preserve"> se observa un mayor </w:t>
      </w:r>
      <w:r w:rsidRPr="002333A9">
        <w:rPr>
          <w:bCs/>
          <w:color w:val="000000" w:themeColor="text1"/>
          <w:lang w:val="es-MX"/>
        </w:rPr>
        <w:t>déficit</w:t>
      </w:r>
      <w:r>
        <w:rPr>
          <w:bCs/>
          <w:color w:val="000000" w:themeColor="text1"/>
          <w:lang w:val="es-MX"/>
        </w:rPr>
        <w:t xml:space="preserve"> por Q57.6 millones. Es oportuno mencionar que la </w:t>
      </w:r>
      <w:r w:rsidRPr="002333A9">
        <w:rPr>
          <w:bCs/>
          <w:color w:val="000000" w:themeColor="text1"/>
          <w:lang w:val="es-MX"/>
        </w:rPr>
        <w:t>Empresa Municipal de Transporte de la Ciudad de Guatemala</w:t>
      </w:r>
      <w:r>
        <w:rPr>
          <w:bCs/>
          <w:color w:val="000000" w:themeColor="text1"/>
          <w:lang w:val="es-MX"/>
        </w:rPr>
        <w:t xml:space="preserve"> es la empresa municipal que recibe más transferencias entre este subgrupo institucional y que su estado presupuestal sin considerar transferencias es deficitario y la segunda más significativa seguida de la Empresa Eléctrica de Puerto Barrios, en donde cabe resaltar que estas dos explican en gran medida el resultado deficitario del subgrupo institucional.</w:t>
      </w:r>
    </w:p>
    <w:p w14:paraId="39E02237" w14:textId="77777777" w:rsidR="006F4B59" w:rsidRDefault="006F4B59" w:rsidP="006F4B59">
      <w:pPr>
        <w:jc w:val="both"/>
        <w:rPr>
          <w:bCs/>
          <w:color w:val="000000" w:themeColor="text1"/>
          <w:lang w:val="es-MX"/>
        </w:rPr>
      </w:pPr>
    </w:p>
    <w:p w14:paraId="2E1583AD" w14:textId="579DF3B9" w:rsidR="005F38A6" w:rsidRPr="00F908A8" w:rsidRDefault="005F38A6" w:rsidP="007F19DF">
      <w:pPr>
        <w:pStyle w:val="Ttulo2"/>
        <w:numPr>
          <w:ilvl w:val="2"/>
          <w:numId w:val="35"/>
        </w:numPr>
        <w:tabs>
          <w:tab w:val="left" w:pos="851"/>
        </w:tabs>
        <w:ind w:left="567" w:hanging="283"/>
        <w:rPr>
          <w:bCs/>
        </w:rPr>
      </w:pPr>
      <w:bookmarkStart w:id="505" w:name="_Toc114495268"/>
      <w:bookmarkStart w:id="506" w:name="_Toc144114414"/>
      <w:r w:rsidRPr="00F908A8">
        <w:rPr>
          <w:bCs/>
        </w:rPr>
        <w:t xml:space="preserve">Rentabilidad de las </w:t>
      </w:r>
      <w:r w:rsidR="00D73789">
        <w:rPr>
          <w:bCs/>
        </w:rPr>
        <w:t>e</w:t>
      </w:r>
      <w:r w:rsidRPr="00F908A8">
        <w:rPr>
          <w:bCs/>
        </w:rPr>
        <w:t>mpresas de forma individual</w:t>
      </w:r>
      <w:bookmarkEnd w:id="505"/>
      <w:bookmarkEnd w:id="506"/>
    </w:p>
    <w:p w14:paraId="0A6951DA" w14:textId="77777777" w:rsidR="005F38A6" w:rsidRDefault="005F38A6" w:rsidP="005F38A6">
      <w:pPr>
        <w:jc w:val="both"/>
        <w:rPr>
          <w:bCs/>
          <w:color w:val="000000" w:themeColor="text1"/>
          <w:lang w:val="es-MX"/>
        </w:rPr>
      </w:pPr>
    </w:p>
    <w:p w14:paraId="0575CF0C" w14:textId="77777777" w:rsidR="005F38A6" w:rsidRDefault="005F38A6" w:rsidP="005F38A6">
      <w:pPr>
        <w:jc w:val="both"/>
        <w:rPr>
          <w:bCs/>
          <w:color w:val="000000" w:themeColor="text1"/>
          <w:lang w:val="es-MX"/>
        </w:rPr>
      </w:pPr>
      <w:bookmarkStart w:id="507" w:name="_Hlk141088612"/>
      <w:r>
        <w:rPr>
          <w:bCs/>
          <w:color w:val="000000" w:themeColor="text1"/>
          <w:lang w:val="es-MX"/>
        </w:rPr>
        <w:t>E</w:t>
      </w:r>
      <w:r w:rsidRPr="002333A9">
        <w:rPr>
          <w:bCs/>
          <w:color w:val="000000" w:themeColor="text1"/>
          <w:lang w:val="es-MX"/>
        </w:rPr>
        <w:t xml:space="preserve">l INDE </w:t>
      </w:r>
      <w:r>
        <w:rPr>
          <w:bCs/>
          <w:color w:val="000000" w:themeColor="text1"/>
          <w:lang w:val="es-MX"/>
        </w:rPr>
        <w:t xml:space="preserve">es la empresa nacional con el mayor superávit entre las Empresas No Financieras Nacionales, </w:t>
      </w:r>
      <w:r w:rsidRPr="002333A9">
        <w:rPr>
          <w:bCs/>
          <w:color w:val="000000" w:themeColor="text1"/>
          <w:lang w:val="es-MX"/>
        </w:rPr>
        <w:t>siendo de Q6</w:t>
      </w:r>
      <w:r>
        <w:rPr>
          <w:bCs/>
          <w:color w:val="000000" w:themeColor="text1"/>
          <w:lang w:val="es-MX"/>
        </w:rPr>
        <w:t>45</w:t>
      </w:r>
      <w:r w:rsidRPr="002333A9">
        <w:rPr>
          <w:bCs/>
          <w:color w:val="000000" w:themeColor="text1"/>
          <w:lang w:val="es-MX"/>
        </w:rPr>
        <w:t>.</w:t>
      </w:r>
      <w:r>
        <w:rPr>
          <w:bCs/>
          <w:color w:val="000000" w:themeColor="text1"/>
          <w:lang w:val="es-MX"/>
        </w:rPr>
        <w:t>6</w:t>
      </w:r>
      <w:r w:rsidRPr="002333A9">
        <w:rPr>
          <w:bCs/>
          <w:color w:val="000000" w:themeColor="text1"/>
          <w:lang w:val="es-MX"/>
        </w:rPr>
        <w:t xml:space="preserve"> millones</w:t>
      </w:r>
      <w:r>
        <w:rPr>
          <w:bCs/>
          <w:color w:val="000000" w:themeColor="text1"/>
          <w:lang w:val="es-MX"/>
        </w:rPr>
        <w:t xml:space="preserve"> y esta es una diminución de Q46.4 millones respecto a su resultado presupuestal en el 2021. Cabe mencionar que al no tomar en consideración sus ingresos recibidos por transferencias, sigue siendo un resultado superavitario por Q58.2 millones, pero disminuye en Q587.5 millones; mientras que, al compararlo a lo observado en el año previo, hay una disminución de Q273.9 millones respecto al superávit de Q332.0 millones. </w:t>
      </w:r>
    </w:p>
    <w:p w14:paraId="1394B157" w14:textId="77777777" w:rsidR="005F38A6" w:rsidRDefault="005F38A6" w:rsidP="005F38A6">
      <w:pPr>
        <w:jc w:val="both"/>
        <w:rPr>
          <w:bCs/>
          <w:color w:val="000000" w:themeColor="text1"/>
          <w:lang w:val="es-MX"/>
        </w:rPr>
      </w:pPr>
    </w:p>
    <w:p w14:paraId="7BC6AF15" w14:textId="77777777" w:rsidR="005F38A6" w:rsidRDefault="005F38A6" w:rsidP="005F38A6">
      <w:pPr>
        <w:jc w:val="both"/>
        <w:rPr>
          <w:bCs/>
          <w:color w:val="000000" w:themeColor="text1"/>
          <w:lang w:val="es-MX"/>
        </w:rPr>
      </w:pPr>
      <w:r w:rsidRPr="002333A9">
        <w:rPr>
          <w:bCs/>
          <w:color w:val="000000" w:themeColor="text1"/>
          <w:lang w:val="es-MX"/>
        </w:rPr>
        <w:t>Es importante resaltar que el INDE recibió transferencias de la administración central por Q</w:t>
      </w:r>
      <w:r>
        <w:rPr>
          <w:bCs/>
          <w:color w:val="000000" w:themeColor="text1"/>
          <w:lang w:val="es-MX"/>
        </w:rPr>
        <w:t>587.5</w:t>
      </w:r>
      <w:r w:rsidRPr="002333A9">
        <w:rPr>
          <w:bCs/>
          <w:color w:val="000000" w:themeColor="text1"/>
          <w:lang w:val="es-MX"/>
        </w:rPr>
        <w:t xml:space="preserve"> millones, pero no tienen la finalidad de absorber pérdidas financieras, sino que es un </w:t>
      </w:r>
      <w:r w:rsidRPr="002333A9">
        <w:rPr>
          <w:bCs/>
          <w:color w:val="000000" w:themeColor="text1"/>
          <w:lang w:val="es-MX"/>
        </w:rPr>
        <w:lastRenderedPageBreak/>
        <w:t>aporte que realiza el gobierno para apoyar a la población por medio de la tarifa social a la energía eléctrica (subsidio</w:t>
      </w:r>
      <w:r w:rsidRPr="0070457F">
        <w:rPr>
          <w:bCs/>
          <w:color w:val="000000" w:themeColor="text1"/>
          <w:lang w:val="es-MX"/>
        </w:rPr>
        <w:t xml:space="preserve">) y que, en 2022 </w:t>
      </w:r>
      <w:r w:rsidRPr="008A1E5A">
        <w:rPr>
          <w:bCs/>
          <w:color w:val="000000" w:themeColor="text1"/>
          <w:lang w:val="es-MX"/>
        </w:rPr>
        <w:t>por medio del Decreto 25-2022 y 43-2022, se amplió el rango de beneficiarios de la tarifa social de forma temporal.</w:t>
      </w:r>
    </w:p>
    <w:bookmarkEnd w:id="507"/>
    <w:p w14:paraId="1037A5BA" w14:textId="77777777" w:rsidR="005F38A6" w:rsidRDefault="005F38A6" w:rsidP="005F38A6">
      <w:pPr>
        <w:jc w:val="both"/>
        <w:rPr>
          <w:bCs/>
          <w:color w:val="000000" w:themeColor="text1"/>
          <w:lang w:val="es-MX"/>
        </w:rPr>
      </w:pPr>
    </w:p>
    <w:p w14:paraId="41DD9607" w14:textId="77777777" w:rsidR="005F38A6" w:rsidRDefault="005F38A6" w:rsidP="005F38A6">
      <w:pPr>
        <w:jc w:val="both"/>
        <w:rPr>
          <w:bCs/>
          <w:color w:val="000000" w:themeColor="text1"/>
          <w:lang w:val="es-MX"/>
        </w:rPr>
      </w:pPr>
      <w:r>
        <w:rPr>
          <w:bCs/>
          <w:color w:val="000000" w:themeColor="text1"/>
          <w:lang w:val="es-MX"/>
        </w:rPr>
        <w:t>Así mismo, las empresas EPQ y ZOLIC también tuvieron resultados presupuestarios superavitarios, siendo estos de Q147.6 millones y Q3.7 millones respectivamente. Ambas entidades no recibieron transferencias por lo que su resultado presupuestal sin considerar transferencias se sitúa en el mismo nivel superavitario.</w:t>
      </w:r>
    </w:p>
    <w:p w14:paraId="3A355C0E" w14:textId="77777777" w:rsidR="005F38A6" w:rsidRDefault="005F38A6" w:rsidP="005F38A6">
      <w:pPr>
        <w:jc w:val="both"/>
        <w:rPr>
          <w:bCs/>
          <w:color w:val="000000" w:themeColor="text1"/>
          <w:lang w:val="es-MX"/>
        </w:rPr>
      </w:pPr>
      <w:r>
        <w:rPr>
          <w:bCs/>
          <w:color w:val="000000" w:themeColor="text1"/>
          <w:lang w:val="es-MX"/>
        </w:rPr>
        <w:t>En el caso de INDECA y FEGUA, ambos tuvieron un resultado presupuestario superavitario por Q0.9 millones y Q0.6 millones respectivamente, pero al no tomar en consideración sus ingresos recibidos por concepto de transferencias, tienen un resultado presupuestal deficitario por Q14.1 millones y Q0.1 millones.</w:t>
      </w:r>
    </w:p>
    <w:p w14:paraId="2C196093" w14:textId="77777777" w:rsidR="005F38A6" w:rsidRDefault="005F38A6" w:rsidP="005F38A6">
      <w:pPr>
        <w:jc w:val="both"/>
        <w:rPr>
          <w:bCs/>
          <w:color w:val="000000" w:themeColor="text1"/>
          <w:lang w:val="es-MX"/>
        </w:rPr>
      </w:pPr>
    </w:p>
    <w:p w14:paraId="649AB8EC" w14:textId="77777777" w:rsidR="005F38A6" w:rsidRDefault="005F38A6" w:rsidP="005F38A6">
      <w:pPr>
        <w:jc w:val="both"/>
        <w:rPr>
          <w:bCs/>
          <w:color w:val="000000" w:themeColor="text1"/>
          <w:lang w:val="es-MX"/>
        </w:rPr>
      </w:pPr>
      <w:r>
        <w:rPr>
          <w:bCs/>
          <w:color w:val="000000" w:themeColor="text1"/>
          <w:lang w:val="es-MX"/>
        </w:rPr>
        <w:t xml:space="preserve">En el caso de las empresas EPNCH, GUATEL Y EMPORNAC sus resultados presupuestales fueron deficitarios por Q0.6 millones, Q8.0 millones y Q22.6 millones y si no se consideran los ingresos por transferencias, sus resultados deficitarios serían de Q5.8 millones, Q10.5 millones </w:t>
      </w:r>
      <w:r w:rsidRPr="00E24FD7">
        <w:rPr>
          <w:bCs/>
          <w:color w:val="000000" w:themeColor="text1"/>
          <w:lang w:val="es-MX"/>
        </w:rPr>
        <w:t>y Q22.6 millones.</w:t>
      </w:r>
      <w:r>
        <w:rPr>
          <w:bCs/>
          <w:color w:val="000000" w:themeColor="text1"/>
          <w:lang w:val="es-MX"/>
        </w:rPr>
        <w:t xml:space="preserve"> En el caso de EMPORNAC es oportuno indicar que no recibió transferencias y que su resultado presupuestario en el año previo había sido superavitario por Q174.4 millones y en buena medida la diferencia en su resultado presupuestal se atribuye a un aumento de su gasto en inversión real directa por Q65.5 millones adicionales y en bienes y servicios por Q92.9 millones aunado a una disminución de sus ingresos por Q30.0 millones.</w:t>
      </w:r>
    </w:p>
    <w:p w14:paraId="1EB5278E" w14:textId="77777777" w:rsidR="005F38A6" w:rsidRDefault="005F38A6" w:rsidP="005F38A6">
      <w:pPr>
        <w:jc w:val="both"/>
        <w:rPr>
          <w:bCs/>
          <w:color w:val="000000" w:themeColor="text1"/>
          <w:lang w:val="es-MX"/>
        </w:rPr>
      </w:pPr>
    </w:p>
    <w:p w14:paraId="7DA813E8" w14:textId="3D617F01" w:rsidR="006F4B59" w:rsidRPr="006F4B59" w:rsidRDefault="006F4B59" w:rsidP="006F4B59">
      <w:pPr>
        <w:keepNext/>
        <w:jc w:val="center"/>
        <w:rPr>
          <w:b/>
          <w:bCs/>
        </w:rPr>
      </w:pPr>
      <w:bookmarkStart w:id="508" w:name="_Toc143593631"/>
      <w:bookmarkStart w:id="509" w:name="_Toc114493896"/>
      <w:r w:rsidRPr="006F4B59">
        <w:rPr>
          <w:b/>
          <w:bCs/>
        </w:rPr>
        <w:t xml:space="preserve">Gráfico </w:t>
      </w:r>
      <w:r w:rsidRPr="006F4B59">
        <w:rPr>
          <w:b/>
          <w:bCs/>
        </w:rPr>
        <w:fldChar w:fldCharType="begin"/>
      </w:r>
      <w:r w:rsidRPr="006F4B59">
        <w:rPr>
          <w:b/>
          <w:bCs/>
        </w:rPr>
        <w:instrText xml:space="preserve"> SEQ Gráfico \* ARABIC </w:instrText>
      </w:r>
      <w:r w:rsidRPr="006F4B59">
        <w:rPr>
          <w:b/>
          <w:bCs/>
        </w:rPr>
        <w:fldChar w:fldCharType="separate"/>
      </w:r>
      <w:r w:rsidR="00A62AFA">
        <w:rPr>
          <w:b/>
          <w:bCs/>
          <w:noProof/>
        </w:rPr>
        <w:t>73</w:t>
      </w:r>
      <w:r w:rsidRPr="006F4B59">
        <w:rPr>
          <w:b/>
          <w:bCs/>
        </w:rPr>
        <w:fldChar w:fldCharType="end"/>
      </w:r>
      <w:r w:rsidRPr="006F4B59">
        <w:rPr>
          <w:b/>
          <w:bCs/>
        </w:rPr>
        <w:t xml:space="preserve">.  </w:t>
      </w:r>
      <w:r w:rsidRPr="006F4B59">
        <w:rPr>
          <w:rFonts w:eastAsia="Calibri"/>
          <w:b/>
          <w:bCs/>
        </w:rPr>
        <w:t>Resultado Presupuestario</w:t>
      </w:r>
      <w:bookmarkEnd w:id="508"/>
    </w:p>
    <w:p w14:paraId="742EAB4D" w14:textId="7314EDE6" w:rsidR="005F38A6" w:rsidRPr="009D7DE4" w:rsidRDefault="005F38A6" w:rsidP="009D7DE4">
      <w:pPr>
        <w:keepNext/>
        <w:jc w:val="center"/>
        <w:rPr>
          <w:rFonts w:eastAsia="Calibri"/>
          <w:b/>
          <w:bCs/>
        </w:rPr>
      </w:pPr>
      <w:r w:rsidRPr="009D7DE4">
        <w:rPr>
          <w:rFonts w:eastAsia="Calibri"/>
          <w:b/>
          <w:bCs/>
        </w:rPr>
        <w:t>De las Empresas Públicas</w:t>
      </w:r>
      <w:bookmarkEnd w:id="509"/>
      <w:r w:rsidRPr="009D7DE4">
        <w:rPr>
          <w:rFonts w:eastAsia="Calibri"/>
          <w:b/>
          <w:bCs/>
        </w:rPr>
        <w:t xml:space="preserve"> No Financieras Nacionales</w:t>
      </w:r>
    </w:p>
    <w:p w14:paraId="3D6EA25B" w14:textId="77777777" w:rsidR="005F38A6" w:rsidRPr="006F4B59" w:rsidRDefault="005F38A6" w:rsidP="005F38A6">
      <w:pPr>
        <w:ind w:left="567"/>
        <w:jc w:val="center"/>
        <w:rPr>
          <w:rFonts w:eastAsia="Calibri"/>
          <w:b/>
          <w:sz w:val="22"/>
          <w:szCs w:val="22"/>
        </w:rPr>
      </w:pPr>
      <w:r w:rsidRPr="006F4B59">
        <w:rPr>
          <w:rFonts w:eastAsia="Calibri"/>
          <w:sz w:val="22"/>
          <w:szCs w:val="22"/>
        </w:rPr>
        <w:t>Para el 2022</w:t>
      </w:r>
    </w:p>
    <w:p w14:paraId="585760C9" w14:textId="77777777" w:rsidR="005F38A6" w:rsidRPr="006F4B59" w:rsidRDefault="005F38A6" w:rsidP="005F38A6">
      <w:pPr>
        <w:ind w:left="567"/>
        <w:jc w:val="center"/>
        <w:rPr>
          <w:rFonts w:eastAsia="Calibri"/>
          <w:sz w:val="22"/>
          <w:szCs w:val="22"/>
        </w:rPr>
      </w:pPr>
      <w:r w:rsidRPr="006F4B59">
        <w:rPr>
          <w:rFonts w:eastAsia="Calibri"/>
          <w:sz w:val="22"/>
          <w:szCs w:val="22"/>
        </w:rPr>
        <w:t>En millones de quetzales</w:t>
      </w:r>
    </w:p>
    <w:p w14:paraId="2B28F628" w14:textId="77777777" w:rsidR="005F38A6" w:rsidRDefault="005F38A6" w:rsidP="005F38A6">
      <w:pPr>
        <w:rPr>
          <w:rFonts w:eastAsia="Calibri"/>
          <w:sz w:val="16"/>
        </w:rPr>
      </w:pPr>
      <w:r>
        <w:rPr>
          <w:rFonts w:eastAsia="Calibri"/>
          <w:noProof/>
        </w:rPr>
        <w:drawing>
          <wp:inline distT="0" distB="0" distL="0" distR="0" wp14:anchorId="26944685" wp14:editId="4BE847DD">
            <wp:extent cx="5572125" cy="2374710"/>
            <wp:effectExtent l="0" t="0" r="0" b="698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760F84">
        <w:rPr>
          <w:rFonts w:eastAsia="Calibri"/>
          <w:sz w:val="16"/>
        </w:rPr>
        <w:t xml:space="preserve"> </w:t>
      </w:r>
      <w:r w:rsidRPr="004C5FE3">
        <w:rPr>
          <w:rFonts w:eastAsia="Calibri"/>
          <w:sz w:val="16"/>
        </w:rPr>
        <w:t xml:space="preserve">Fuente: </w:t>
      </w:r>
      <w:proofErr w:type="spellStart"/>
      <w:r w:rsidRPr="004C5FE3">
        <w:rPr>
          <w:rFonts w:eastAsia="Calibri"/>
          <w:sz w:val="16"/>
        </w:rPr>
        <w:t>Sicoin</w:t>
      </w:r>
      <w:proofErr w:type="spellEnd"/>
    </w:p>
    <w:p w14:paraId="6DCD6EBE" w14:textId="77777777" w:rsidR="007A0B9B" w:rsidRDefault="007A0B9B" w:rsidP="005F38A6">
      <w:pPr>
        <w:jc w:val="both"/>
        <w:rPr>
          <w:bCs/>
          <w:color w:val="000000" w:themeColor="text1"/>
          <w:lang w:val="es-MX"/>
        </w:rPr>
      </w:pPr>
    </w:p>
    <w:p w14:paraId="1516CF96" w14:textId="66267E70" w:rsidR="005F38A6" w:rsidRDefault="005F38A6" w:rsidP="005F38A6">
      <w:pPr>
        <w:jc w:val="both"/>
        <w:rPr>
          <w:bCs/>
          <w:color w:val="000000" w:themeColor="text1"/>
          <w:lang w:val="es-MX"/>
        </w:rPr>
      </w:pPr>
      <w:r>
        <w:rPr>
          <w:bCs/>
          <w:color w:val="000000" w:themeColor="text1"/>
          <w:lang w:val="es-MX"/>
        </w:rPr>
        <w:t xml:space="preserve">En cuanto a las </w:t>
      </w:r>
      <w:r w:rsidRPr="002333A9">
        <w:rPr>
          <w:bCs/>
          <w:color w:val="000000" w:themeColor="text1"/>
          <w:lang w:val="es-MX"/>
        </w:rPr>
        <w:t>Empresas</w:t>
      </w:r>
      <w:r>
        <w:rPr>
          <w:bCs/>
          <w:color w:val="000000" w:themeColor="text1"/>
          <w:lang w:val="es-MX"/>
        </w:rPr>
        <w:t xml:space="preserve"> No Financieras</w:t>
      </w:r>
      <w:r w:rsidRPr="002333A9">
        <w:rPr>
          <w:bCs/>
          <w:color w:val="000000" w:themeColor="text1"/>
          <w:lang w:val="es-MX"/>
        </w:rPr>
        <w:t xml:space="preserve"> Municipales, </w:t>
      </w:r>
      <w:r>
        <w:rPr>
          <w:bCs/>
          <w:color w:val="000000" w:themeColor="text1"/>
          <w:lang w:val="es-MX"/>
        </w:rPr>
        <w:t xml:space="preserve">la Empresa Eléctrica de Puerto Barrios fue en 2022 la empresa municipal con el mayor déficit presupuestal, siendo este de Q26.3 millones y no recibió transferencias. Este déficit es mayor por Q19.5 millones al observado en el año previo de Q6.8 millones. </w:t>
      </w:r>
    </w:p>
    <w:p w14:paraId="27267919" w14:textId="77777777" w:rsidR="005F38A6" w:rsidRDefault="005F38A6" w:rsidP="005F38A6">
      <w:pPr>
        <w:jc w:val="both"/>
        <w:rPr>
          <w:bCs/>
          <w:color w:val="000000" w:themeColor="text1"/>
          <w:lang w:val="es-MX"/>
        </w:rPr>
      </w:pPr>
    </w:p>
    <w:p w14:paraId="0A007220" w14:textId="77777777" w:rsidR="005F38A6" w:rsidRDefault="005F38A6" w:rsidP="005F38A6">
      <w:pPr>
        <w:jc w:val="both"/>
        <w:rPr>
          <w:bCs/>
          <w:color w:val="000000" w:themeColor="text1"/>
          <w:lang w:val="es-MX"/>
        </w:rPr>
      </w:pPr>
      <w:r w:rsidRPr="00841165">
        <w:rPr>
          <w:bCs/>
          <w:color w:val="000000" w:themeColor="text1"/>
          <w:lang w:val="es-MX"/>
        </w:rPr>
        <w:lastRenderedPageBreak/>
        <w:t>Por su parte, la Empresa Eléctrica de Huehuetenango tuvo un déficit de Q12.7 millones y si no se toma en consideración sus ingresos por transferencias, su déficit aumenta a Q13.7 millones.</w:t>
      </w:r>
      <w:r>
        <w:rPr>
          <w:bCs/>
          <w:color w:val="000000" w:themeColor="text1"/>
          <w:lang w:val="es-MX"/>
        </w:rPr>
        <w:t xml:space="preserve"> </w:t>
      </w:r>
    </w:p>
    <w:p w14:paraId="4E26F863" w14:textId="77777777" w:rsidR="005F38A6" w:rsidRDefault="005F38A6" w:rsidP="005F38A6">
      <w:pPr>
        <w:jc w:val="both"/>
        <w:rPr>
          <w:bCs/>
          <w:color w:val="000000" w:themeColor="text1"/>
          <w:lang w:val="es-MX"/>
        </w:rPr>
      </w:pPr>
    </w:p>
    <w:p w14:paraId="4813C1BC" w14:textId="77777777" w:rsidR="005F38A6" w:rsidRDefault="005F38A6" w:rsidP="005F38A6">
      <w:pPr>
        <w:jc w:val="both"/>
        <w:rPr>
          <w:bCs/>
          <w:color w:val="000000" w:themeColor="text1"/>
          <w:lang w:val="es-MX"/>
        </w:rPr>
      </w:pPr>
      <w:r>
        <w:rPr>
          <w:bCs/>
          <w:color w:val="000000" w:themeColor="text1"/>
          <w:lang w:val="es-MX"/>
        </w:rPr>
        <w:t>En el caso de la Empresa de Transporte de Guatemala, tuvo un resultado superavitario de Q3.0 millones, sin embargo, al no considerar sus ingresos por transferencias tiene un déficit de Q21.5 millones y cabe resaltar que es el segundo más alto de este subgrupo institucional.</w:t>
      </w:r>
    </w:p>
    <w:p w14:paraId="38FC25FC" w14:textId="77777777" w:rsidR="005F38A6" w:rsidRDefault="005F38A6" w:rsidP="005F38A6">
      <w:pPr>
        <w:jc w:val="both"/>
        <w:rPr>
          <w:bCs/>
          <w:color w:val="000000" w:themeColor="text1"/>
          <w:lang w:val="es-MX"/>
        </w:rPr>
      </w:pPr>
    </w:p>
    <w:p w14:paraId="3C4A0279" w14:textId="77777777" w:rsidR="005F38A6" w:rsidRDefault="005F38A6" w:rsidP="005F38A6">
      <w:pPr>
        <w:jc w:val="both"/>
        <w:rPr>
          <w:bCs/>
          <w:color w:val="000000" w:themeColor="text1"/>
          <w:lang w:val="es-MX"/>
        </w:rPr>
      </w:pPr>
      <w:r w:rsidRPr="00B61166">
        <w:rPr>
          <w:bCs/>
          <w:color w:val="000000" w:themeColor="text1"/>
          <w:lang w:val="es-MX"/>
        </w:rPr>
        <w:t xml:space="preserve">En cuanto a la empresa Eléctrica de Jalapa, la Empresa de Vivienda de Santa Catarina Pinula, la Empresa Eléctrica de Zacapa, la Empresa Eléctrica de Joyabaj y la Empresa Eléctrica de </w:t>
      </w:r>
      <w:proofErr w:type="spellStart"/>
      <w:r w:rsidRPr="00B61166">
        <w:rPr>
          <w:bCs/>
          <w:color w:val="000000" w:themeColor="text1"/>
          <w:lang w:val="es-MX"/>
        </w:rPr>
        <w:t>Yulxak</w:t>
      </w:r>
      <w:proofErr w:type="spellEnd"/>
      <w:r w:rsidRPr="00B61166">
        <w:rPr>
          <w:bCs/>
          <w:color w:val="000000" w:themeColor="text1"/>
          <w:lang w:val="es-MX"/>
        </w:rPr>
        <w:t xml:space="preserve"> todas tuvieron déficits presupuestarios en 2022 por Q3.4 millones, Q1.5 millones, Q1.0 millones, Q0.5 millones y Q0.3 millones respectivamente.</w:t>
      </w:r>
    </w:p>
    <w:p w14:paraId="7E4DB232" w14:textId="77777777" w:rsidR="005F38A6" w:rsidRDefault="005F38A6" w:rsidP="005F38A6">
      <w:pPr>
        <w:jc w:val="both"/>
        <w:rPr>
          <w:bCs/>
          <w:color w:val="000000" w:themeColor="text1"/>
          <w:lang w:val="es-MX"/>
        </w:rPr>
      </w:pPr>
    </w:p>
    <w:p w14:paraId="05BA2AFE" w14:textId="77777777" w:rsidR="005F38A6" w:rsidRDefault="005F38A6" w:rsidP="005F38A6">
      <w:pPr>
        <w:jc w:val="both"/>
        <w:rPr>
          <w:bCs/>
          <w:color w:val="000000" w:themeColor="text1"/>
          <w:lang w:val="es-MX"/>
        </w:rPr>
      </w:pPr>
      <w:r>
        <w:rPr>
          <w:bCs/>
          <w:color w:val="000000" w:themeColor="text1"/>
          <w:lang w:val="es-MX"/>
        </w:rPr>
        <w:t xml:space="preserve">Mientras que las empresas </w:t>
      </w:r>
      <w:r w:rsidRPr="00DD7B29">
        <w:rPr>
          <w:bCs/>
          <w:color w:val="000000" w:themeColor="text1"/>
          <w:lang w:val="es-MX"/>
        </w:rPr>
        <w:t>EMPAGUA</w:t>
      </w:r>
      <w:r>
        <w:rPr>
          <w:bCs/>
          <w:color w:val="000000" w:themeColor="text1"/>
          <w:lang w:val="es-MX"/>
        </w:rPr>
        <w:t xml:space="preserve">, la Empresa Eléctrica de Gualán, la Empresa Eléctrica de Guastatoya, </w:t>
      </w:r>
      <w:r w:rsidRPr="00DD7B29">
        <w:rPr>
          <w:bCs/>
          <w:color w:val="000000" w:themeColor="text1"/>
          <w:lang w:val="es-MX"/>
        </w:rPr>
        <w:t>EMAPET</w:t>
      </w:r>
      <w:r>
        <w:rPr>
          <w:bCs/>
          <w:color w:val="000000" w:themeColor="text1"/>
          <w:lang w:val="es-MX"/>
        </w:rPr>
        <w:t xml:space="preserve">, </w:t>
      </w:r>
      <w:r w:rsidRPr="00DD7B29">
        <w:rPr>
          <w:bCs/>
          <w:color w:val="000000" w:themeColor="text1"/>
          <w:lang w:val="es-MX"/>
        </w:rPr>
        <w:t>EMRE</w:t>
      </w:r>
      <w:r>
        <w:rPr>
          <w:bCs/>
          <w:color w:val="000000" w:themeColor="text1"/>
          <w:lang w:val="es-MX"/>
        </w:rPr>
        <w:t xml:space="preserve">, la Empresa de Agua de </w:t>
      </w:r>
      <w:proofErr w:type="spellStart"/>
      <w:r w:rsidRPr="00DD7B29">
        <w:rPr>
          <w:bCs/>
          <w:color w:val="000000" w:themeColor="text1"/>
          <w:lang w:val="es-MX"/>
        </w:rPr>
        <w:t>J</w:t>
      </w:r>
      <w:r>
        <w:rPr>
          <w:bCs/>
          <w:color w:val="000000" w:themeColor="text1"/>
          <w:lang w:val="es-MX"/>
        </w:rPr>
        <w:t>alapagua</w:t>
      </w:r>
      <w:proofErr w:type="spellEnd"/>
      <w:r>
        <w:rPr>
          <w:bCs/>
          <w:color w:val="000000" w:themeColor="text1"/>
          <w:lang w:val="es-MX"/>
        </w:rPr>
        <w:t xml:space="preserve"> y la Empresa Eléctrica de San Pedro Pinula tuvieron superávit en 2022 por Q</w:t>
      </w:r>
      <w:r w:rsidRPr="00050258">
        <w:rPr>
          <w:bCs/>
          <w:color w:val="000000" w:themeColor="text1"/>
          <w:lang w:val="es-MX"/>
        </w:rPr>
        <w:t>10.</w:t>
      </w:r>
      <w:r>
        <w:rPr>
          <w:bCs/>
          <w:color w:val="000000" w:themeColor="text1"/>
          <w:lang w:val="es-MX"/>
        </w:rPr>
        <w:t>3</w:t>
      </w:r>
      <w:r w:rsidRPr="00050258">
        <w:rPr>
          <w:bCs/>
          <w:color w:val="000000" w:themeColor="text1"/>
          <w:lang w:val="es-MX"/>
        </w:rPr>
        <w:t xml:space="preserve"> </w:t>
      </w:r>
      <w:r>
        <w:rPr>
          <w:bCs/>
          <w:color w:val="000000" w:themeColor="text1"/>
          <w:lang w:val="es-MX"/>
        </w:rPr>
        <w:t>millones, Q5</w:t>
      </w:r>
      <w:r w:rsidRPr="00050258">
        <w:rPr>
          <w:bCs/>
          <w:color w:val="000000" w:themeColor="text1"/>
          <w:lang w:val="es-MX"/>
        </w:rPr>
        <w:t>.</w:t>
      </w:r>
      <w:r>
        <w:rPr>
          <w:bCs/>
          <w:color w:val="000000" w:themeColor="text1"/>
          <w:lang w:val="es-MX"/>
        </w:rPr>
        <w:t>0 millones, Q</w:t>
      </w:r>
      <w:r w:rsidRPr="00050258">
        <w:rPr>
          <w:bCs/>
          <w:color w:val="000000" w:themeColor="text1"/>
          <w:lang w:val="es-MX"/>
        </w:rPr>
        <w:t>1.7</w:t>
      </w:r>
      <w:r>
        <w:rPr>
          <w:bCs/>
          <w:color w:val="000000" w:themeColor="text1"/>
          <w:lang w:val="es-MX"/>
        </w:rPr>
        <w:t xml:space="preserve"> millones, Q</w:t>
      </w:r>
      <w:r w:rsidRPr="00050258">
        <w:rPr>
          <w:bCs/>
          <w:color w:val="000000" w:themeColor="text1"/>
          <w:lang w:val="es-MX"/>
        </w:rPr>
        <w:t>1.</w:t>
      </w:r>
      <w:r>
        <w:rPr>
          <w:bCs/>
          <w:color w:val="000000" w:themeColor="text1"/>
          <w:lang w:val="es-MX"/>
        </w:rPr>
        <w:t>1 millones, Q</w:t>
      </w:r>
      <w:r w:rsidRPr="00050258">
        <w:rPr>
          <w:bCs/>
          <w:color w:val="000000" w:themeColor="text1"/>
          <w:lang w:val="es-MX"/>
        </w:rPr>
        <w:t>0.5</w:t>
      </w:r>
      <w:r>
        <w:rPr>
          <w:bCs/>
          <w:color w:val="000000" w:themeColor="text1"/>
          <w:lang w:val="es-MX"/>
        </w:rPr>
        <w:t xml:space="preserve"> millones, Q</w:t>
      </w:r>
      <w:r w:rsidRPr="00050258">
        <w:rPr>
          <w:bCs/>
          <w:color w:val="000000" w:themeColor="text1"/>
          <w:lang w:val="es-MX"/>
        </w:rPr>
        <w:t xml:space="preserve">0.2 </w:t>
      </w:r>
      <w:r>
        <w:rPr>
          <w:bCs/>
          <w:color w:val="000000" w:themeColor="text1"/>
          <w:lang w:val="es-MX"/>
        </w:rPr>
        <w:t>millones y Q</w:t>
      </w:r>
      <w:r w:rsidRPr="00050258">
        <w:rPr>
          <w:bCs/>
          <w:color w:val="000000" w:themeColor="text1"/>
          <w:lang w:val="es-MX"/>
        </w:rPr>
        <w:t>0.</w:t>
      </w:r>
      <w:r>
        <w:rPr>
          <w:bCs/>
          <w:color w:val="000000" w:themeColor="text1"/>
          <w:lang w:val="es-MX"/>
        </w:rPr>
        <w:t>1 millones respectivamente. Cabe mencionar que en el caso de EMPAGUA y de la Empresa de Agua de Jalpatagua, recibieron transferencias en sus ingresos y al no considerarlos el primero de estos posee un superávit por Q5.3 millones mientras que el segundo es un déficit por Q0.7 millones.</w:t>
      </w:r>
    </w:p>
    <w:p w14:paraId="14ABED56" w14:textId="77777777" w:rsidR="009D7DE4" w:rsidRPr="00DD7B29" w:rsidRDefault="009D7DE4" w:rsidP="005F38A6">
      <w:pPr>
        <w:jc w:val="both"/>
        <w:rPr>
          <w:bCs/>
          <w:color w:val="000000" w:themeColor="text1"/>
          <w:lang w:val="es-MX"/>
        </w:rPr>
      </w:pPr>
    </w:p>
    <w:p w14:paraId="631529B6" w14:textId="4CFFC351" w:rsidR="006F4B59" w:rsidRPr="006F4B59" w:rsidRDefault="006F4B59" w:rsidP="006F4B59">
      <w:pPr>
        <w:keepNext/>
        <w:jc w:val="center"/>
        <w:rPr>
          <w:rFonts w:eastAsia="Calibri"/>
          <w:b/>
          <w:bCs/>
        </w:rPr>
      </w:pPr>
      <w:bookmarkStart w:id="510" w:name="_Toc143593632"/>
      <w:r w:rsidRPr="006F4B59">
        <w:rPr>
          <w:b/>
          <w:bCs/>
        </w:rPr>
        <w:t xml:space="preserve">Gráfico </w:t>
      </w:r>
      <w:r w:rsidRPr="006F4B59">
        <w:rPr>
          <w:b/>
          <w:bCs/>
        </w:rPr>
        <w:fldChar w:fldCharType="begin"/>
      </w:r>
      <w:r w:rsidRPr="006F4B59">
        <w:rPr>
          <w:b/>
          <w:bCs/>
        </w:rPr>
        <w:instrText xml:space="preserve"> SEQ Gráfico \* ARABIC </w:instrText>
      </w:r>
      <w:r w:rsidRPr="006F4B59">
        <w:rPr>
          <w:b/>
          <w:bCs/>
        </w:rPr>
        <w:fldChar w:fldCharType="separate"/>
      </w:r>
      <w:r w:rsidR="00A62AFA">
        <w:rPr>
          <w:b/>
          <w:bCs/>
          <w:noProof/>
        </w:rPr>
        <w:t>74</w:t>
      </w:r>
      <w:r w:rsidRPr="006F4B59">
        <w:rPr>
          <w:b/>
          <w:bCs/>
        </w:rPr>
        <w:fldChar w:fldCharType="end"/>
      </w:r>
      <w:r w:rsidRPr="006F4B59">
        <w:rPr>
          <w:b/>
          <w:bCs/>
        </w:rPr>
        <w:t xml:space="preserve">. </w:t>
      </w:r>
      <w:bookmarkStart w:id="511" w:name="_Toc114493897"/>
      <w:r w:rsidRPr="006F4B59">
        <w:rPr>
          <w:rFonts w:eastAsia="Calibri"/>
          <w:b/>
          <w:bCs/>
        </w:rPr>
        <w:t>Resultado Presupuestario</w:t>
      </w:r>
      <w:bookmarkEnd w:id="510"/>
    </w:p>
    <w:p w14:paraId="4C93DE98" w14:textId="69D0AC5B" w:rsidR="005F38A6" w:rsidRPr="006F4B59" w:rsidRDefault="006F4B59" w:rsidP="006F4B59">
      <w:pPr>
        <w:pStyle w:val="Descripcin"/>
        <w:rPr>
          <w:bCs/>
          <w:color w:val="auto"/>
        </w:rPr>
      </w:pPr>
      <w:r w:rsidRPr="006F4B59">
        <w:rPr>
          <w:rFonts w:eastAsia="Calibri"/>
          <w:bCs/>
          <w:color w:val="auto"/>
        </w:rPr>
        <w:t>De las Empresas Públicas</w:t>
      </w:r>
      <w:bookmarkEnd w:id="511"/>
      <w:r w:rsidRPr="006F4B59">
        <w:rPr>
          <w:rFonts w:eastAsia="Calibri"/>
          <w:bCs/>
          <w:color w:val="auto"/>
        </w:rPr>
        <w:t xml:space="preserve"> No Financieras Municipales</w:t>
      </w:r>
    </w:p>
    <w:p w14:paraId="2CE327C3" w14:textId="5882C2CE" w:rsidR="005F38A6" w:rsidRPr="00C66E93" w:rsidRDefault="005F38A6" w:rsidP="00C66E93">
      <w:pPr>
        <w:ind w:left="567"/>
        <w:jc w:val="center"/>
        <w:rPr>
          <w:rFonts w:eastAsia="Calibri"/>
          <w:b/>
          <w:sz w:val="22"/>
          <w:szCs w:val="22"/>
        </w:rPr>
      </w:pPr>
      <w:r w:rsidRPr="006F4B59">
        <w:rPr>
          <w:rFonts w:eastAsia="Calibri"/>
          <w:sz w:val="22"/>
          <w:szCs w:val="22"/>
        </w:rPr>
        <w:t>Para el 2022</w:t>
      </w:r>
      <w:r w:rsidR="00C66E93">
        <w:rPr>
          <w:rFonts w:eastAsia="Calibri"/>
          <w:b/>
          <w:sz w:val="22"/>
          <w:szCs w:val="22"/>
        </w:rPr>
        <w:t xml:space="preserve">, </w:t>
      </w:r>
      <w:r w:rsidR="00C66E93">
        <w:rPr>
          <w:rFonts w:eastAsia="Calibri"/>
          <w:sz w:val="22"/>
          <w:szCs w:val="22"/>
        </w:rPr>
        <w:t>en</w:t>
      </w:r>
      <w:r w:rsidRPr="006F4B59">
        <w:rPr>
          <w:rFonts w:eastAsia="Calibri"/>
          <w:sz w:val="22"/>
          <w:szCs w:val="22"/>
        </w:rPr>
        <w:t xml:space="preserve"> millones de quetzales</w:t>
      </w:r>
    </w:p>
    <w:p w14:paraId="2179307E" w14:textId="77777777" w:rsidR="005F38A6" w:rsidRPr="00F22FB7" w:rsidRDefault="005F38A6" w:rsidP="007A0B9B">
      <w:pPr>
        <w:spacing w:line="259" w:lineRule="auto"/>
        <w:ind w:left="567"/>
        <w:rPr>
          <w:rFonts w:eastAsia="Calibri"/>
          <w:sz w:val="18"/>
        </w:rPr>
      </w:pPr>
      <w:r>
        <w:rPr>
          <w:rFonts w:eastAsia="Calibri"/>
          <w:noProof/>
        </w:rPr>
        <w:drawing>
          <wp:inline distT="0" distB="0" distL="0" distR="0" wp14:anchorId="4B88BEF5" wp14:editId="6AAA1958">
            <wp:extent cx="5327374" cy="3586039"/>
            <wp:effectExtent l="0" t="0" r="6985" b="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14624A5" w14:textId="77777777" w:rsidR="005F38A6" w:rsidRDefault="005F38A6" w:rsidP="005F38A6">
      <w:pPr>
        <w:ind w:left="567"/>
        <w:rPr>
          <w:rFonts w:eastAsia="Calibri"/>
          <w:sz w:val="16"/>
        </w:rPr>
      </w:pPr>
      <w:r w:rsidRPr="004C5FE3">
        <w:rPr>
          <w:rFonts w:eastAsia="Calibri"/>
          <w:sz w:val="16"/>
        </w:rPr>
        <w:t xml:space="preserve">Fuente: </w:t>
      </w:r>
      <w:proofErr w:type="spellStart"/>
      <w:r w:rsidRPr="004C5FE3">
        <w:rPr>
          <w:rFonts w:eastAsia="Calibri"/>
          <w:sz w:val="16"/>
        </w:rPr>
        <w:t>Sicoin</w:t>
      </w:r>
      <w:proofErr w:type="spellEnd"/>
    </w:p>
    <w:p w14:paraId="3AF8A3BC" w14:textId="063298AC" w:rsidR="005F38A6" w:rsidRPr="00F908A8" w:rsidRDefault="00D73789" w:rsidP="007F19DF">
      <w:pPr>
        <w:pStyle w:val="Ttulo2"/>
        <w:numPr>
          <w:ilvl w:val="1"/>
          <w:numId w:val="35"/>
        </w:numPr>
        <w:ind w:left="426" w:hanging="284"/>
        <w:rPr>
          <w:bCs/>
        </w:rPr>
      </w:pPr>
      <w:bookmarkStart w:id="512" w:name="_Toc114495269"/>
      <w:bookmarkStart w:id="513" w:name="_Toc144114415"/>
      <w:r>
        <w:rPr>
          <w:bCs/>
        </w:rPr>
        <w:lastRenderedPageBreak/>
        <w:t>O</w:t>
      </w:r>
      <w:r w:rsidRPr="00F908A8">
        <w:rPr>
          <w:bCs/>
        </w:rPr>
        <w:t>bligaciones financieras por pagar de las empresas públicas</w:t>
      </w:r>
      <w:bookmarkEnd w:id="512"/>
      <w:r w:rsidRPr="00F908A8">
        <w:rPr>
          <w:bCs/>
        </w:rPr>
        <w:t xml:space="preserve"> como grupo institucional</w:t>
      </w:r>
      <w:bookmarkEnd w:id="513"/>
    </w:p>
    <w:p w14:paraId="6FAE3C4F" w14:textId="77777777" w:rsidR="005F38A6" w:rsidRDefault="005F38A6" w:rsidP="005F38A6">
      <w:pPr>
        <w:ind w:left="567"/>
        <w:jc w:val="both"/>
        <w:rPr>
          <w:rFonts w:eastAsia="Calibri"/>
        </w:rPr>
      </w:pPr>
    </w:p>
    <w:p w14:paraId="0A4C9AD0" w14:textId="77777777" w:rsidR="005F38A6" w:rsidRPr="002333A9" w:rsidRDefault="005F38A6" w:rsidP="005F38A6">
      <w:pPr>
        <w:jc w:val="both"/>
        <w:rPr>
          <w:bCs/>
          <w:color w:val="000000" w:themeColor="text1"/>
          <w:lang w:val="es-MX"/>
        </w:rPr>
      </w:pPr>
      <w:r w:rsidRPr="009A4882">
        <w:rPr>
          <w:bCs/>
          <w:color w:val="000000" w:themeColor="text1"/>
          <w:lang w:val="es-MX"/>
        </w:rPr>
        <w:t>Las obligaciones financieras por pagar incluyen el endeudamiento por préstamos por pagar tanto en el corto como en el largo plazo, además las otras obligaciones financieras como cuentas por pagar, documentos y efectos a pagar y fondos de terceros.</w:t>
      </w:r>
      <w:r w:rsidRPr="002333A9">
        <w:rPr>
          <w:bCs/>
          <w:color w:val="000000" w:themeColor="text1"/>
          <w:lang w:val="es-MX"/>
        </w:rPr>
        <w:t xml:space="preserve"> </w:t>
      </w:r>
    </w:p>
    <w:p w14:paraId="37DBD7A2" w14:textId="77777777" w:rsidR="005F38A6" w:rsidRDefault="005F38A6" w:rsidP="005F38A6">
      <w:pPr>
        <w:jc w:val="both"/>
        <w:rPr>
          <w:bCs/>
          <w:color w:val="000000" w:themeColor="text1"/>
          <w:lang w:val="es-MX"/>
        </w:rPr>
      </w:pPr>
    </w:p>
    <w:p w14:paraId="07EC32ED" w14:textId="77777777" w:rsidR="005F38A6" w:rsidRPr="002333A9" w:rsidRDefault="005F38A6" w:rsidP="005F38A6">
      <w:pPr>
        <w:jc w:val="both"/>
        <w:rPr>
          <w:bCs/>
          <w:color w:val="000000" w:themeColor="text1"/>
          <w:lang w:val="es-MX"/>
        </w:rPr>
      </w:pPr>
      <w:r>
        <w:rPr>
          <w:bCs/>
          <w:color w:val="000000" w:themeColor="text1"/>
          <w:lang w:val="es-MX"/>
        </w:rPr>
        <w:t>En 2022, las obligaciones financieras de</w:t>
      </w:r>
      <w:r w:rsidRPr="002333A9">
        <w:rPr>
          <w:bCs/>
          <w:color w:val="000000" w:themeColor="text1"/>
          <w:lang w:val="es-MX"/>
        </w:rPr>
        <w:t xml:space="preserve"> las Empresas</w:t>
      </w:r>
      <w:r>
        <w:rPr>
          <w:bCs/>
          <w:color w:val="000000" w:themeColor="text1"/>
          <w:lang w:val="es-MX"/>
        </w:rPr>
        <w:t xml:space="preserve"> Públicas No Financieras</w:t>
      </w:r>
      <w:r w:rsidRPr="002333A9">
        <w:rPr>
          <w:bCs/>
          <w:color w:val="000000" w:themeColor="text1"/>
          <w:lang w:val="es-MX"/>
        </w:rPr>
        <w:t xml:space="preserve"> Nacionales disminuyeron, siendo estas de 2</w:t>
      </w:r>
      <w:r>
        <w:rPr>
          <w:bCs/>
          <w:color w:val="000000" w:themeColor="text1"/>
          <w:lang w:val="es-MX"/>
        </w:rPr>
        <w:t>1</w:t>
      </w:r>
      <w:r w:rsidRPr="002333A9">
        <w:rPr>
          <w:bCs/>
          <w:color w:val="000000" w:themeColor="text1"/>
          <w:lang w:val="es-MX"/>
        </w:rPr>
        <w:t>.</w:t>
      </w:r>
      <w:r>
        <w:rPr>
          <w:bCs/>
          <w:color w:val="000000" w:themeColor="text1"/>
          <w:lang w:val="es-MX"/>
        </w:rPr>
        <w:t>8</w:t>
      </w:r>
      <w:r w:rsidRPr="002333A9">
        <w:rPr>
          <w:bCs/>
          <w:color w:val="000000" w:themeColor="text1"/>
          <w:lang w:val="es-MX"/>
        </w:rPr>
        <w:t>% respecto a sus ingresos</w:t>
      </w:r>
      <w:r>
        <w:rPr>
          <w:bCs/>
          <w:color w:val="000000" w:themeColor="text1"/>
          <w:lang w:val="es-MX"/>
        </w:rPr>
        <w:t xml:space="preserve"> y cabe mencionar que es</w:t>
      </w:r>
      <w:r w:rsidRPr="002333A9">
        <w:rPr>
          <w:bCs/>
          <w:color w:val="000000" w:themeColor="text1"/>
          <w:lang w:val="es-MX"/>
        </w:rPr>
        <w:t xml:space="preserve"> </w:t>
      </w:r>
      <w:r>
        <w:rPr>
          <w:bCs/>
          <w:color w:val="000000" w:themeColor="text1"/>
          <w:lang w:val="es-MX"/>
        </w:rPr>
        <w:t xml:space="preserve">una </w:t>
      </w:r>
      <w:r w:rsidRPr="002333A9">
        <w:rPr>
          <w:bCs/>
          <w:color w:val="000000" w:themeColor="text1"/>
          <w:lang w:val="es-MX"/>
        </w:rPr>
        <w:t>reducción</w:t>
      </w:r>
      <w:r>
        <w:rPr>
          <w:bCs/>
          <w:color w:val="000000" w:themeColor="text1"/>
          <w:lang w:val="es-MX"/>
        </w:rPr>
        <w:t xml:space="preserve"> del indicador por 2.5</w:t>
      </w:r>
      <w:r w:rsidRPr="002333A9">
        <w:rPr>
          <w:bCs/>
          <w:color w:val="000000" w:themeColor="text1"/>
          <w:lang w:val="es-MX"/>
        </w:rPr>
        <w:t xml:space="preserve"> puntos porcentuales respecto </w:t>
      </w:r>
      <w:r>
        <w:rPr>
          <w:bCs/>
          <w:color w:val="000000" w:themeColor="text1"/>
          <w:lang w:val="es-MX"/>
        </w:rPr>
        <w:t xml:space="preserve">a lo </w:t>
      </w:r>
      <w:r w:rsidRPr="002333A9">
        <w:rPr>
          <w:bCs/>
          <w:color w:val="000000" w:themeColor="text1"/>
          <w:lang w:val="es-MX"/>
        </w:rPr>
        <w:t>observado en el año previo</w:t>
      </w:r>
      <w:r>
        <w:rPr>
          <w:bCs/>
          <w:color w:val="000000" w:themeColor="text1"/>
          <w:lang w:val="es-MX"/>
        </w:rPr>
        <w:t xml:space="preserve"> y de esta manera continua con una tendencia a disminuir que se viene observando desde 2020</w:t>
      </w:r>
      <w:r w:rsidRPr="002333A9">
        <w:rPr>
          <w:bCs/>
          <w:color w:val="000000" w:themeColor="text1"/>
          <w:lang w:val="es-MX"/>
        </w:rPr>
        <w:t>. La</w:t>
      </w:r>
      <w:r>
        <w:rPr>
          <w:bCs/>
          <w:color w:val="000000" w:themeColor="text1"/>
          <w:lang w:val="es-MX"/>
        </w:rPr>
        <w:t>s</w:t>
      </w:r>
      <w:r w:rsidRPr="002333A9">
        <w:rPr>
          <w:bCs/>
          <w:color w:val="000000" w:themeColor="text1"/>
          <w:lang w:val="es-MX"/>
        </w:rPr>
        <w:t xml:space="preserve"> mayor</w:t>
      </w:r>
      <w:r>
        <w:rPr>
          <w:bCs/>
          <w:color w:val="000000" w:themeColor="text1"/>
          <w:lang w:val="es-MX"/>
        </w:rPr>
        <w:t>es</w:t>
      </w:r>
      <w:r w:rsidRPr="002333A9">
        <w:rPr>
          <w:bCs/>
          <w:color w:val="000000" w:themeColor="text1"/>
          <w:lang w:val="es-MX"/>
        </w:rPr>
        <w:t xml:space="preserve"> obligaci</w:t>
      </w:r>
      <w:r>
        <w:rPr>
          <w:bCs/>
          <w:color w:val="000000" w:themeColor="text1"/>
          <w:lang w:val="es-MX"/>
        </w:rPr>
        <w:t>o</w:t>
      </w:r>
      <w:r w:rsidRPr="002333A9">
        <w:rPr>
          <w:bCs/>
          <w:color w:val="000000" w:themeColor="text1"/>
          <w:lang w:val="es-MX"/>
        </w:rPr>
        <w:t>n</w:t>
      </w:r>
      <w:r>
        <w:rPr>
          <w:bCs/>
          <w:color w:val="000000" w:themeColor="text1"/>
          <w:lang w:val="es-MX"/>
        </w:rPr>
        <w:t>es</w:t>
      </w:r>
      <w:r w:rsidRPr="002333A9">
        <w:rPr>
          <w:bCs/>
          <w:color w:val="000000" w:themeColor="text1"/>
          <w:lang w:val="es-MX"/>
        </w:rPr>
        <w:t xml:space="preserve"> se </w:t>
      </w:r>
      <w:r>
        <w:rPr>
          <w:bCs/>
          <w:color w:val="000000" w:themeColor="text1"/>
          <w:lang w:val="es-MX"/>
        </w:rPr>
        <w:t>producen</w:t>
      </w:r>
      <w:r w:rsidRPr="002333A9">
        <w:rPr>
          <w:bCs/>
          <w:color w:val="000000" w:themeColor="text1"/>
          <w:lang w:val="es-MX"/>
        </w:rPr>
        <w:t xml:space="preserve"> en su endeudamiento </w:t>
      </w:r>
      <w:r>
        <w:rPr>
          <w:bCs/>
          <w:color w:val="000000" w:themeColor="text1"/>
          <w:lang w:val="es-MX"/>
        </w:rPr>
        <w:t xml:space="preserve">por </w:t>
      </w:r>
      <w:r w:rsidRPr="002333A9">
        <w:rPr>
          <w:bCs/>
          <w:color w:val="000000" w:themeColor="text1"/>
          <w:lang w:val="es-MX"/>
        </w:rPr>
        <w:t>préstamos</w:t>
      </w:r>
      <w:r>
        <w:rPr>
          <w:bCs/>
          <w:color w:val="000000" w:themeColor="text1"/>
          <w:lang w:val="es-MX"/>
        </w:rPr>
        <w:t xml:space="preserve"> el cual representa el 16.7% de sus ingresos,</w:t>
      </w:r>
      <w:r w:rsidRPr="002333A9">
        <w:rPr>
          <w:bCs/>
          <w:color w:val="000000" w:themeColor="text1"/>
          <w:lang w:val="es-MX"/>
        </w:rPr>
        <w:t xml:space="preserve"> </w:t>
      </w:r>
      <w:r>
        <w:rPr>
          <w:bCs/>
          <w:color w:val="000000" w:themeColor="text1"/>
          <w:lang w:val="es-MX"/>
        </w:rPr>
        <w:t>mientras que</w:t>
      </w:r>
      <w:r w:rsidRPr="002333A9">
        <w:rPr>
          <w:bCs/>
          <w:color w:val="000000" w:themeColor="text1"/>
          <w:lang w:val="es-MX"/>
        </w:rPr>
        <w:t xml:space="preserve"> sus otras obligaciones son equivalentes al 5.</w:t>
      </w:r>
      <w:r>
        <w:rPr>
          <w:bCs/>
          <w:color w:val="000000" w:themeColor="text1"/>
          <w:lang w:val="es-MX"/>
        </w:rPr>
        <w:t>1</w:t>
      </w:r>
      <w:r w:rsidRPr="002333A9">
        <w:rPr>
          <w:bCs/>
          <w:color w:val="000000" w:themeColor="text1"/>
          <w:lang w:val="es-MX"/>
        </w:rPr>
        <w:t xml:space="preserve">% de los ingresos del grupo institucional. </w:t>
      </w:r>
    </w:p>
    <w:p w14:paraId="0B6A761B" w14:textId="77777777" w:rsidR="005F38A6" w:rsidRPr="002333A9" w:rsidRDefault="005F38A6" w:rsidP="005F38A6">
      <w:pPr>
        <w:jc w:val="both"/>
        <w:rPr>
          <w:bCs/>
          <w:color w:val="000000" w:themeColor="text1"/>
          <w:lang w:val="es-MX"/>
        </w:rPr>
      </w:pPr>
    </w:p>
    <w:p w14:paraId="0E41B2A4" w14:textId="77777777" w:rsidR="005F38A6" w:rsidRPr="00BC572D" w:rsidRDefault="005F38A6" w:rsidP="005F38A6">
      <w:pPr>
        <w:jc w:val="both"/>
        <w:rPr>
          <w:bCs/>
          <w:color w:val="000000" w:themeColor="text1"/>
          <w:lang w:val="es-MX"/>
        </w:rPr>
      </w:pPr>
      <w:r>
        <w:rPr>
          <w:bCs/>
          <w:color w:val="000000" w:themeColor="text1"/>
          <w:lang w:val="es-MX"/>
        </w:rPr>
        <w:t>En el caso de</w:t>
      </w:r>
      <w:r w:rsidRPr="002333A9">
        <w:rPr>
          <w:bCs/>
          <w:color w:val="000000" w:themeColor="text1"/>
          <w:lang w:val="es-MX"/>
        </w:rPr>
        <w:t xml:space="preserve"> las</w:t>
      </w:r>
      <w:r>
        <w:rPr>
          <w:bCs/>
          <w:color w:val="000000" w:themeColor="text1"/>
          <w:lang w:val="es-MX"/>
        </w:rPr>
        <w:t xml:space="preserve"> E</w:t>
      </w:r>
      <w:r w:rsidRPr="002333A9">
        <w:rPr>
          <w:bCs/>
          <w:color w:val="000000" w:themeColor="text1"/>
          <w:lang w:val="es-MX"/>
        </w:rPr>
        <w:t>mpresas</w:t>
      </w:r>
      <w:r>
        <w:rPr>
          <w:bCs/>
          <w:color w:val="000000" w:themeColor="text1"/>
          <w:lang w:val="es-MX"/>
        </w:rPr>
        <w:t xml:space="preserve"> Públicas No Financieras</w:t>
      </w:r>
      <w:r w:rsidRPr="002333A9">
        <w:rPr>
          <w:bCs/>
          <w:color w:val="000000" w:themeColor="text1"/>
          <w:lang w:val="es-MX"/>
        </w:rPr>
        <w:t xml:space="preserve"> </w:t>
      </w:r>
      <w:r>
        <w:rPr>
          <w:bCs/>
          <w:color w:val="000000" w:themeColor="text1"/>
          <w:lang w:val="es-MX"/>
        </w:rPr>
        <w:t>M</w:t>
      </w:r>
      <w:r w:rsidRPr="002333A9">
        <w:rPr>
          <w:bCs/>
          <w:color w:val="000000" w:themeColor="text1"/>
          <w:lang w:val="es-MX"/>
        </w:rPr>
        <w:t>unicipales</w:t>
      </w:r>
      <w:r>
        <w:rPr>
          <w:bCs/>
          <w:color w:val="000000" w:themeColor="text1"/>
          <w:lang w:val="es-MX"/>
        </w:rPr>
        <w:t xml:space="preserve">, estas disminuyeron su indicador en 2022, siendo del 117.7% de sus ingresos y es una reducción de 3.3 puntos porcentuales respecto al año previo. Sus </w:t>
      </w:r>
      <w:r w:rsidRPr="002333A9">
        <w:rPr>
          <w:bCs/>
          <w:color w:val="000000" w:themeColor="text1"/>
          <w:lang w:val="es-MX"/>
        </w:rPr>
        <w:t>mayor</w:t>
      </w:r>
      <w:r>
        <w:rPr>
          <w:bCs/>
          <w:color w:val="000000" w:themeColor="text1"/>
          <w:lang w:val="es-MX"/>
        </w:rPr>
        <w:t>es</w:t>
      </w:r>
      <w:r w:rsidRPr="002333A9">
        <w:rPr>
          <w:bCs/>
          <w:color w:val="000000" w:themeColor="text1"/>
          <w:lang w:val="es-MX"/>
        </w:rPr>
        <w:t xml:space="preserve"> obligaci</w:t>
      </w:r>
      <w:r>
        <w:rPr>
          <w:bCs/>
          <w:color w:val="000000" w:themeColor="text1"/>
          <w:lang w:val="es-MX"/>
        </w:rPr>
        <w:t>o</w:t>
      </w:r>
      <w:r w:rsidRPr="002333A9">
        <w:rPr>
          <w:bCs/>
          <w:color w:val="000000" w:themeColor="text1"/>
          <w:lang w:val="es-MX"/>
        </w:rPr>
        <w:t>n</w:t>
      </w:r>
      <w:r>
        <w:rPr>
          <w:bCs/>
          <w:color w:val="000000" w:themeColor="text1"/>
          <w:lang w:val="es-MX"/>
        </w:rPr>
        <w:t>es</w:t>
      </w:r>
      <w:r w:rsidRPr="002333A9">
        <w:rPr>
          <w:bCs/>
          <w:color w:val="000000" w:themeColor="text1"/>
          <w:lang w:val="es-MX"/>
        </w:rPr>
        <w:t xml:space="preserve"> </w:t>
      </w:r>
      <w:r>
        <w:rPr>
          <w:bCs/>
          <w:color w:val="000000" w:themeColor="text1"/>
          <w:lang w:val="es-MX"/>
        </w:rPr>
        <w:t xml:space="preserve">financiaras se producen por </w:t>
      </w:r>
      <w:r w:rsidRPr="002333A9">
        <w:rPr>
          <w:bCs/>
          <w:color w:val="000000" w:themeColor="text1"/>
          <w:lang w:val="es-MX"/>
        </w:rPr>
        <w:t>las otras obligaciones financieras</w:t>
      </w:r>
      <w:r>
        <w:rPr>
          <w:bCs/>
          <w:color w:val="000000" w:themeColor="text1"/>
          <w:lang w:val="es-MX"/>
        </w:rPr>
        <w:t xml:space="preserve"> por pagar</w:t>
      </w:r>
      <w:r w:rsidRPr="002333A9">
        <w:rPr>
          <w:bCs/>
          <w:color w:val="000000" w:themeColor="text1"/>
          <w:lang w:val="es-MX"/>
        </w:rPr>
        <w:t>, las cuales equivalen al 10</w:t>
      </w:r>
      <w:r>
        <w:rPr>
          <w:bCs/>
          <w:color w:val="000000" w:themeColor="text1"/>
          <w:lang w:val="es-MX"/>
        </w:rPr>
        <w:t>8</w:t>
      </w:r>
      <w:r w:rsidRPr="002333A9">
        <w:rPr>
          <w:bCs/>
          <w:color w:val="000000" w:themeColor="text1"/>
          <w:lang w:val="es-MX"/>
        </w:rPr>
        <w:t>.</w:t>
      </w:r>
      <w:r>
        <w:rPr>
          <w:bCs/>
          <w:color w:val="000000" w:themeColor="text1"/>
          <w:lang w:val="es-MX"/>
        </w:rPr>
        <w:t>3</w:t>
      </w:r>
      <w:r w:rsidRPr="002333A9">
        <w:rPr>
          <w:bCs/>
          <w:color w:val="000000" w:themeColor="text1"/>
          <w:lang w:val="es-MX"/>
        </w:rPr>
        <w:t xml:space="preserve">% de los ingresos </w:t>
      </w:r>
      <w:r>
        <w:rPr>
          <w:bCs/>
          <w:color w:val="000000" w:themeColor="text1"/>
          <w:lang w:val="es-MX"/>
        </w:rPr>
        <w:t>del subgrupo institucional mientras que su endeudamiento por préstamos es del 9.4%. C</w:t>
      </w:r>
      <w:r w:rsidRPr="002333A9">
        <w:rPr>
          <w:bCs/>
          <w:color w:val="000000" w:themeColor="text1"/>
          <w:lang w:val="es-MX"/>
        </w:rPr>
        <w:t>abe mencionar que la entidad que tiene la mayor obligación</w:t>
      </w:r>
      <w:r>
        <w:rPr>
          <w:bCs/>
          <w:color w:val="000000" w:themeColor="text1"/>
          <w:lang w:val="es-MX"/>
        </w:rPr>
        <w:t xml:space="preserve"> financiera</w:t>
      </w:r>
      <w:r w:rsidRPr="002333A9">
        <w:rPr>
          <w:bCs/>
          <w:color w:val="000000" w:themeColor="text1"/>
          <w:lang w:val="es-MX"/>
        </w:rPr>
        <w:t xml:space="preserve"> es EMPAGUA, que para dicho año asciende a Q7</w:t>
      </w:r>
      <w:r>
        <w:rPr>
          <w:bCs/>
          <w:color w:val="000000" w:themeColor="text1"/>
          <w:lang w:val="es-MX"/>
        </w:rPr>
        <w:t>51</w:t>
      </w:r>
      <w:r w:rsidRPr="002333A9">
        <w:rPr>
          <w:bCs/>
          <w:color w:val="000000" w:themeColor="text1"/>
          <w:lang w:val="es-MX"/>
        </w:rPr>
        <w:t>.</w:t>
      </w:r>
      <w:r>
        <w:rPr>
          <w:bCs/>
          <w:color w:val="000000" w:themeColor="text1"/>
          <w:lang w:val="es-MX"/>
        </w:rPr>
        <w:t>2</w:t>
      </w:r>
      <w:r w:rsidRPr="002333A9">
        <w:rPr>
          <w:bCs/>
          <w:color w:val="000000" w:themeColor="text1"/>
          <w:lang w:val="es-MX"/>
        </w:rPr>
        <w:t xml:space="preserve"> millones (Q1</w:t>
      </w:r>
      <w:r>
        <w:rPr>
          <w:bCs/>
          <w:color w:val="000000" w:themeColor="text1"/>
          <w:lang w:val="es-MX"/>
        </w:rPr>
        <w:t>08</w:t>
      </w:r>
      <w:r w:rsidRPr="002333A9">
        <w:rPr>
          <w:bCs/>
          <w:color w:val="000000" w:themeColor="text1"/>
          <w:lang w:val="es-MX"/>
        </w:rPr>
        <w:t>.</w:t>
      </w:r>
      <w:r>
        <w:rPr>
          <w:bCs/>
          <w:color w:val="000000" w:themeColor="text1"/>
          <w:lang w:val="es-MX"/>
        </w:rPr>
        <w:t>3</w:t>
      </w:r>
      <w:r w:rsidRPr="002333A9">
        <w:rPr>
          <w:bCs/>
          <w:color w:val="000000" w:themeColor="text1"/>
          <w:lang w:val="es-MX"/>
        </w:rPr>
        <w:t xml:space="preserve"> millones por endeudamiento y Q6</w:t>
      </w:r>
      <w:r>
        <w:rPr>
          <w:bCs/>
          <w:color w:val="000000" w:themeColor="text1"/>
          <w:lang w:val="es-MX"/>
        </w:rPr>
        <w:t>42</w:t>
      </w:r>
      <w:r w:rsidRPr="002333A9">
        <w:rPr>
          <w:bCs/>
          <w:color w:val="000000" w:themeColor="text1"/>
          <w:lang w:val="es-MX"/>
        </w:rPr>
        <w:t>.</w:t>
      </w:r>
      <w:r>
        <w:rPr>
          <w:bCs/>
          <w:color w:val="000000" w:themeColor="text1"/>
          <w:lang w:val="es-MX"/>
        </w:rPr>
        <w:t>9</w:t>
      </w:r>
      <w:r w:rsidRPr="002333A9">
        <w:rPr>
          <w:bCs/>
          <w:color w:val="000000" w:themeColor="text1"/>
          <w:lang w:val="es-MX"/>
        </w:rPr>
        <w:t xml:space="preserve"> millones por otras obligaciones) y este monto representa el 55% del total de todas las obligaciones del grupo institucional.</w:t>
      </w:r>
    </w:p>
    <w:p w14:paraId="096F0656" w14:textId="77777777" w:rsidR="005F38A6" w:rsidRDefault="005F38A6" w:rsidP="005F38A6">
      <w:pPr>
        <w:spacing w:line="259" w:lineRule="auto"/>
        <w:ind w:left="567"/>
        <w:jc w:val="both"/>
        <w:rPr>
          <w:rFonts w:eastAsia="Calibri"/>
          <w:noProof/>
          <w:szCs w:val="22"/>
        </w:rPr>
      </w:pPr>
    </w:p>
    <w:p w14:paraId="0352D309" w14:textId="374FEB69" w:rsidR="005F38A6" w:rsidRPr="00C66E93" w:rsidRDefault="00C66E93" w:rsidP="00C66E93">
      <w:pPr>
        <w:pStyle w:val="Descripcin"/>
        <w:rPr>
          <w:b w:val="0"/>
          <w:bCs/>
          <w:color w:val="auto"/>
          <w:lang w:val="es-MX"/>
        </w:rPr>
      </w:pPr>
      <w:bookmarkStart w:id="514" w:name="_Toc143593633"/>
      <w:r w:rsidRPr="00C66E93">
        <w:rPr>
          <w:color w:val="auto"/>
        </w:rPr>
        <w:t xml:space="preserve">Gráfico </w:t>
      </w:r>
      <w:r w:rsidRPr="00C66E93">
        <w:rPr>
          <w:color w:val="auto"/>
        </w:rPr>
        <w:fldChar w:fldCharType="begin"/>
      </w:r>
      <w:r w:rsidRPr="00C66E93">
        <w:rPr>
          <w:color w:val="auto"/>
        </w:rPr>
        <w:instrText xml:space="preserve"> SEQ Gráfico \* ARABIC </w:instrText>
      </w:r>
      <w:r w:rsidRPr="00C66E93">
        <w:rPr>
          <w:color w:val="auto"/>
        </w:rPr>
        <w:fldChar w:fldCharType="separate"/>
      </w:r>
      <w:r w:rsidR="00A62AFA">
        <w:rPr>
          <w:noProof/>
          <w:color w:val="auto"/>
        </w:rPr>
        <w:t>75</w:t>
      </w:r>
      <w:r w:rsidRPr="00C66E93">
        <w:rPr>
          <w:color w:val="auto"/>
        </w:rPr>
        <w:fldChar w:fldCharType="end"/>
      </w:r>
      <w:r w:rsidRPr="00C66E93">
        <w:rPr>
          <w:color w:val="auto"/>
        </w:rPr>
        <w:t xml:space="preserve">.  </w:t>
      </w:r>
      <w:bookmarkStart w:id="515" w:name="_Toc114493898"/>
      <w:r w:rsidRPr="00C66E93">
        <w:rPr>
          <w:bCs/>
          <w:color w:val="auto"/>
          <w:lang w:val="es-MX"/>
        </w:rPr>
        <w:t>Obligaciones financieras de las Empresas Públicas</w:t>
      </w:r>
      <w:bookmarkEnd w:id="515"/>
      <w:r w:rsidRPr="00C66E93">
        <w:rPr>
          <w:bCs/>
          <w:color w:val="auto"/>
          <w:lang w:val="es-MX"/>
        </w:rPr>
        <w:t xml:space="preserve"> No Financieras</w:t>
      </w:r>
      <w:bookmarkEnd w:id="514"/>
    </w:p>
    <w:p w14:paraId="1B769FD1" w14:textId="77777777" w:rsidR="005F38A6" w:rsidRPr="009D7DE4" w:rsidRDefault="005F38A6" w:rsidP="009D7DE4">
      <w:pPr>
        <w:jc w:val="center"/>
        <w:rPr>
          <w:b/>
          <w:bCs/>
          <w:sz w:val="22"/>
        </w:rPr>
      </w:pPr>
      <w:r w:rsidRPr="009D7DE4">
        <w:rPr>
          <w:b/>
          <w:bCs/>
          <w:sz w:val="22"/>
        </w:rPr>
        <w:t>Como porcentaje de sus ingresos totales</w:t>
      </w:r>
    </w:p>
    <w:tbl>
      <w:tblPr>
        <w:tblW w:w="9232" w:type="dxa"/>
        <w:jc w:val="center"/>
        <w:tblBorders>
          <w:insideV w:val="single" w:sz="4" w:space="0" w:color="auto"/>
        </w:tblBorders>
        <w:tblLook w:val="04A0" w:firstRow="1" w:lastRow="0" w:firstColumn="1" w:lastColumn="0" w:noHBand="0" w:noVBand="1"/>
      </w:tblPr>
      <w:tblGrid>
        <w:gridCol w:w="4769"/>
        <w:gridCol w:w="4463"/>
      </w:tblGrid>
      <w:tr w:rsidR="005F38A6" w14:paraId="4C8018B1" w14:textId="77777777" w:rsidTr="006A7377">
        <w:trPr>
          <w:trHeight w:val="3161"/>
          <w:jc w:val="center"/>
        </w:trPr>
        <w:tc>
          <w:tcPr>
            <w:tcW w:w="4769" w:type="dxa"/>
          </w:tcPr>
          <w:p w14:paraId="30DDDA76" w14:textId="77777777" w:rsidR="005F38A6" w:rsidRDefault="005F38A6" w:rsidP="006A7377">
            <w:pPr>
              <w:autoSpaceDE w:val="0"/>
              <w:autoSpaceDN w:val="0"/>
              <w:adjustRightInd w:val="0"/>
              <w:rPr>
                <w:rFonts w:eastAsia="Calibri"/>
                <w:lang w:eastAsia="en-US"/>
              </w:rPr>
            </w:pPr>
            <w:r>
              <w:rPr>
                <w:rFonts w:eastAsia="Calibri"/>
                <w:noProof/>
              </w:rPr>
              <w:drawing>
                <wp:inline distT="0" distB="0" distL="0" distR="0" wp14:anchorId="5EFD6DF0" wp14:editId="0A06CC21">
                  <wp:extent cx="2726690" cy="2115403"/>
                  <wp:effectExtent l="0" t="0" r="0"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4463" w:type="dxa"/>
          </w:tcPr>
          <w:p w14:paraId="4A12C0ED" w14:textId="77777777" w:rsidR="005F38A6" w:rsidRDefault="005F38A6" w:rsidP="006A7377">
            <w:pPr>
              <w:autoSpaceDE w:val="0"/>
              <w:autoSpaceDN w:val="0"/>
              <w:adjustRightInd w:val="0"/>
              <w:jc w:val="both"/>
              <w:rPr>
                <w:rFonts w:eastAsia="Calibri"/>
                <w:lang w:eastAsia="en-US"/>
              </w:rPr>
            </w:pPr>
            <w:r>
              <w:rPr>
                <w:rFonts w:eastAsia="Calibri"/>
                <w:noProof/>
              </w:rPr>
              <w:drawing>
                <wp:inline distT="0" distB="0" distL="0" distR="0" wp14:anchorId="3DA4F04F" wp14:editId="3E8269E8">
                  <wp:extent cx="2639695" cy="2115185"/>
                  <wp:effectExtent l="0" t="0" r="8255"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bl>
    <w:p w14:paraId="69401AE9" w14:textId="77777777" w:rsidR="005F38A6" w:rsidRPr="004C5FE3" w:rsidRDefault="005F38A6" w:rsidP="005F38A6">
      <w:pPr>
        <w:ind w:left="142"/>
        <w:rPr>
          <w:rFonts w:eastAsia="Calibri"/>
          <w:sz w:val="16"/>
        </w:rPr>
      </w:pPr>
      <w:r w:rsidRPr="004C5FE3">
        <w:rPr>
          <w:rFonts w:eastAsia="Calibri"/>
          <w:sz w:val="16"/>
        </w:rPr>
        <w:t xml:space="preserve">Fuente: </w:t>
      </w:r>
      <w:proofErr w:type="spellStart"/>
      <w:r w:rsidRPr="004C5FE3">
        <w:rPr>
          <w:rFonts w:eastAsia="Calibri"/>
          <w:sz w:val="16"/>
        </w:rPr>
        <w:t>Sicoin</w:t>
      </w:r>
      <w:proofErr w:type="spellEnd"/>
    </w:p>
    <w:p w14:paraId="5B5549F7" w14:textId="77777777" w:rsidR="005F38A6" w:rsidRDefault="005F38A6" w:rsidP="005F38A6">
      <w:pPr>
        <w:spacing w:line="259" w:lineRule="auto"/>
        <w:ind w:left="567"/>
        <w:jc w:val="both"/>
        <w:rPr>
          <w:rFonts w:eastAsia="Calibri"/>
          <w:noProof/>
          <w:szCs w:val="22"/>
        </w:rPr>
      </w:pPr>
    </w:p>
    <w:p w14:paraId="72036317" w14:textId="77777777" w:rsidR="005F38A6" w:rsidRDefault="005F38A6" w:rsidP="005F38A6">
      <w:pPr>
        <w:jc w:val="both"/>
        <w:rPr>
          <w:bCs/>
          <w:color w:val="000000" w:themeColor="text1"/>
          <w:lang w:val="es-MX"/>
        </w:rPr>
      </w:pPr>
      <w:r w:rsidRPr="00963B8D">
        <w:rPr>
          <w:bCs/>
          <w:color w:val="000000" w:themeColor="text1"/>
          <w:lang w:val="es-MX"/>
        </w:rPr>
        <w:t xml:space="preserve">En el caso de las empresas públicas, el principal riesgo fiscal proviene de las obligaciones que se encuentran garantizadas explícitamente, de acuerdo con el Sistema de Administración de la Deuda Pública Externa -SINADEP- a 2023, se tienen saldos de préstamos a estas entidades por un monto de US$ 19.1 millones, que corresponden en su totalidad al INDE, los cuales cuentan con la garantía del gobierno central.  A este respecto, es importante indicar que dicho saldo representa el 0.02% del PIB. </w:t>
      </w:r>
    </w:p>
    <w:p w14:paraId="06FD6BCF" w14:textId="78D863BB" w:rsidR="005F38A6" w:rsidRPr="00C66E93" w:rsidRDefault="00C66E93" w:rsidP="00C66E93">
      <w:pPr>
        <w:pStyle w:val="Descripcin"/>
        <w:keepNext/>
        <w:rPr>
          <w:color w:val="auto"/>
        </w:rPr>
      </w:pPr>
      <w:bookmarkStart w:id="516" w:name="_Toc114493935"/>
      <w:bookmarkStart w:id="517" w:name="_Toc143593536"/>
      <w:bookmarkStart w:id="518" w:name="_Hlk140836436"/>
      <w:r w:rsidRPr="00C66E93">
        <w:rPr>
          <w:color w:val="auto"/>
        </w:rPr>
        <w:lastRenderedPageBreak/>
        <w:t xml:space="preserve">Tabla </w:t>
      </w:r>
      <w:r w:rsidRPr="00C66E93">
        <w:rPr>
          <w:color w:val="auto"/>
        </w:rPr>
        <w:fldChar w:fldCharType="begin"/>
      </w:r>
      <w:r w:rsidRPr="00C66E93">
        <w:rPr>
          <w:color w:val="auto"/>
        </w:rPr>
        <w:instrText xml:space="preserve"> SEQ Tabla \* ARABIC </w:instrText>
      </w:r>
      <w:r w:rsidRPr="00C66E93">
        <w:rPr>
          <w:color w:val="auto"/>
        </w:rPr>
        <w:fldChar w:fldCharType="separate"/>
      </w:r>
      <w:r w:rsidR="00A62AFA">
        <w:rPr>
          <w:noProof/>
          <w:color w:val="auto"/>
        </w:rPr>
        <w:t>34</w:t>
      </w:r>
      <w:r w:rsidRPr="00C66E93">
        <w:rPr>
          <w:color w:val="auto"/>
        </w:rPr>
        <w:fldChar w:fldCharType="end"/>
      </w:r>
      <w:r w:rsidRPr="00C66E93">
        <w:rPr>
          <w:color w:val="auto"/>
        </w:rPr>
        <w:t xml:space="preserve">.  </w:t>
      </w:r>
      <w:r w:rsidR="005F38A6" w:rsidRPr="00C66E93">
        <w:rPr>
          <w:rFonts w:eastAsia="Calibri"/>
          <w:bCs/>
          <w:noProof/>
          <w:color w:val="auto"/>
          <w:szCs w:val="22"/>
        </w:rPr>
        <w:t>Préstamos Garantizados por el Gobierno</w:t>
      </w:r>
      <w:bookmarkEnd w:id="516"/>
      <w:bookmarkEnd w:id="517"/>
    </w:p>
    <w:p w14:paraId="431DA0D1" w14:textId="77777777" w:rsidR="005F38A6" w:rsidRPr="00C66E93" w:rsidRDefault="005F38A6" w:rsidP="005F38A6">
      <w:pPr>
        <w:spacing w:line="259" w:lineRule="auto"/>
        <w:ind w:left="567"/>
        <w:jc w:val="center"/>
        <w:rPr>
          <w:rFonts w:eastAsia="Calibri"/>
          <w:noProof/>
          <w:sz w:val="22"/>
          <w:szCs w:val="20"/>
        </w:rPr>
      </w:pPr>
      <w:r w:rsidRPr="00C66E93">
        <w:rPr>
          <w:rFonts w:eastAsia="Calibri"/>
          <w:noProof/>
          <w:sz w:val="22"/>
          <w:szCs w:val="20"/>
        </w:rPr>
        <w:t>Cifras en millones de US$ Dólares</w:t>
      </w:r>
    </w:p>
    <w:tbl>
      <w:tblPr>
        <w:tblW w:w="9062" w:type="dxa"/>
        <w:jc w:val="center"/>
        <w:tblCellMar>
          <w:left w:w="70" w:type="dxa"/>
          <w:right w:w="70" w:type="dxa"/>
        </w:tblCellMar>
        <w:tblLook w:val="04A0" w:firstRow="1" w:lastRow="0" w:firstColumn="1" w:lastColumn="0" w:noHBand="0" w:noVBand="1"/>
      </w:tblPr>
      <w:tblGrid>
        <w:gridCol w:w="2258"/>
        <w:gridCol w:w="1053"/>
        <w:gridCol w:w="1200"/>
        <w:gridCol w:w="1200"/>
        <w:gridCol w:w="1200"/>
        <w:gridCol w:w="1200"/>
        <w:gridCol w:w="951"/>
      </w:tblGrid>
      <w:tr w:rsidR="005F38A6" w:rsidRPr="00B60AB3" w14:paraId="78C189BE" w14:textId="77777777" w:rsidTr="006A7377">
        <w:trPr>
          <w:trHeight w:val="315"/>
          <w:jc w:val="center"/>
        </w:trPr>
        <w:tc>
          <w:tcPr>
            <w:tcW w:w="2258" w:type="dxa"/>
            <w:tcBorders>
              <w:top w:val="single" w:sz="8" w:space="0" w:color="auto"/>
              <w:left w:val="single" w:sz="8" w:space="0" w:color="auto"/>
              <w:bottom w:val="single" w:sz="4" w:space="0" w:color="auto"/>
              <w:right w:val="nil"/>
            </w:tcBorders>
            <w:shd w:val="clear" w:color="auto" w:fill="1F3864" w:themeFill="accent1" w:themeFillShade="80"/>
            <w:vAlign w:val="center"/>
          </w:tcPr>
          <w:p w14:paraId="62AF49BD" w14:textId="77777777" w:rsidR="005F38A6" w:rsidRPr="00B60AB3" w:rsidRDefault="005F38A6" w:rsidP="006A7377">
            <w:pPr>
              <w:jc w:val="center"/>
              <w:rPr>
                <w:b/>
                <w:bCs/>
                <w:color w:val="FFFFFF" w:themeColor="background1"/>
              </w:rPr>
            </w:pPr>
            <w:r w:rsidRPr="00B60AB3">
              <w:rPr>
                <w:b/>
                <w:bCs/>
                <w:color w:val="FFFFFF" w:themeColor="background1"/>
              </w:rPr>
              <w:t>Descripción</w:t>
            </w:r>
          </w:p>
        </w:tc>
        <w:tc>
          <w:tcPr>
            <w:tcW w:w="1053" w:type="dxa"/>
            <w:tcBorders>
              <w:top w:val="single" w:sz="8" w:space="0" w:color="auto"/>
              <w:left w:val="single" w:sz="8" w:space="0" w:color="auto"/>
              <w:bottom w:val="single" w:sz="4" w:space="0" w:color="auto"/>
              <w:right w:val="single" w:sz="4" w:space="0" w:color="auto"/>
            </w:tcBorders>
            <w:shd w:val="clear" w:color="auto" w:fill="1F3864" w:themeFill="accent1" w:themeFillShade="80"/>
            <w:noWrap/>
            <w:vAlign w:val="center"/>
            <w:hideMark/>
          </w:tcPr>
          <w:p w14:paraId="79ACD35D" w14:textId="77777777" w:rsidR="005F38A6" w:rsidRPr="00B60AB3" w:rsidRDefault="005F38A6" w:rsidP="006A7377">
            <w:pPr>
              <w:jc w:val="center"/>
              <w:rPr>
                <w:b/>
                <w:bCs/>
                <w:color w:val="FFFFFF" w:themeColor="background1"/>
              </w:rPr>
            </w:pPr>
            <w:r w:rsidRPr="00B60AB3">
              <w:rPr>
                <w:b/>
                <w:bCs/>
                <w:color w:val="FFFFFF" w:themeColor="background1"/>
              </w:rPr>
              <w:t>2018</w:t>
            </w:r>
          </w:p>
        </w:tc>
        <w:tc>
          <w:tcPr>
            <w:tcW w:w="1200" w:type="dxa"/>
            <w:tcBorders>
              <w:top w:val="single" w:sz="8"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763592B7" w14:textId="77777777" w:rsidR="005F38A6" w:rsidRPr="00B60AB3" w:rsidRDefault="005F38A6" w:rsidP="006A7377">
            <w:pPr>
              <w:jc w:val="center"/>
              <w:rPr>
                <w:b/>
                <w:bCs/>
                <w:color w:val="FFFFFF" w:themeColor="background1"/>
              </w:rPr>
            </w:pPr>
            <w:r w:rsidRPr="00B60AB3">
              <w:rPr>
                <w:b/>
                <w:bCs/>
                <w:color w:val="FFFFFF" w:themeColor="background1"/>
              </w:rPr>
              <w:t>2019</w:t>
            </w:r>
          </w:p>
        </w:tc>
        <w:tc>
          <w:tcPr>
            <w:tcW w:w="1200" w:type="dxa"/>
            <w:tcBorders>
              <w:top w:val="single" w:sz="8"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004A611C" w14:textId="77777777" w:rsidR="005F38A6" w:rsidRPr="00B60AB3" w:rsidRDefault="005F38A6" w:rsidP="006A7377">
            <w:pPr>
              <w:jc w:val="center"/>
              <w:rPr>
                <w:b/>
                <w:bCs/>
                <w:color w:val="FFFFFF" w:themeColor="background1"/>
              </w:rPr>
            </w:pPr>
            <w:r w:rsidRPr="00B60AB3">
              <w:rPr>
                <w:b/>
                <w:bCs/>
                <w:color w:val="FFFFFF" w:themeColor="background1"/>
              </w:rPr>
              <w:t>2020</w:t>
            </w:r>
          </w:p>
        </w:tc>
        <w:tc>
          <w:tcPr>
            <w:tcW w:w="1200" w:type="dxa"/>
            <w:tcBorders>
              <w:top w:val="single" w:sz="8"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407C0E91" w14:textId="77777777" w:rsidR="005F38A6" w:rsidRPr="00B60AB3" w:rsidRDefault="005F38A6" w:rsidP="006A7377">
            <w:pPr>
              <w:jc w:val="center"/>
              <w:rPr>
                <w:b/>
                <w:bCs/>
                <w:color w:val="FFFFFF" w:themeColor="background1"/>
              </w:rPr>
            </w:pPr>
            <w:r w:rsidRPr="00B60AB3">
              <w:rPr>
                <w:b/>
                <w:bCs/>
                <w:color w:val="FFFFFF" w:themeColor="background1"/>
              </w:rPr>
              <w:t>2021</w:t>
            </w:r>
          </w:p>
        </w:tc>
        <w:tc>
          <w:tcPr>
            <w:tcW w:w="1200" w:type="dxa"/>
            <w:tcBorders>
              <w:top w:val="single" w:sz="8"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7247AEA2" w14:textId="77777777" w:rsidR="005F38A6" w:rsidRPr="00B60AB3" w:rsidRDefault="005F38A6" w:rsidP="006A7377">
            <w:pPr>
              <w:jc w:val="center"/>
              <w:rPr>
                <w:b/>
                <w:bCs/>
                <w:color w:val="FFFFFF" w:themeColor="background1"/>
              </w:rPr>
            </w:pPr>
            <w:r w:rsidRPr="00B60AB3">
              <w:rPr>
                <w:b/>
                <w:bCs/>
                <w:color w:val="FFFFFF" w:themeColor="background1"/>
              </w:rPr>
              <w:t>2022</w:t>
            </w:r>
          </w:p>
        </w:tc>
        <w:tc>
          <w:tcPr>
            <w:tcW w:w="951" w:type="dxa"/>
            <w:tcBorders>
              <w:top w:val="single" w:sz="8" w:space="0" w:color="auto"/>
              <w:left w:val="single" w:sz="4" w:space="0" w:color="auto"/>
              <w:bottom w:val="single" w:sz="4" w:space="0" w:color="auto"/>
              <w:right w:val="single" w:sz="8" w:space="0" w:color="auto"/>
            </w:tcBorders>
            <w:shd w:val="clear" w:color="auto" w:fill="1F3864" w:themeFill="accent1" w:themeFillShade="80"/>
            <w:vAlign w:val="center"/>
          </w:tcPr>
          <w:p w14:paraId="430382E6" w14:textId="77777777" w:rsidR="005F38A6" w:rsidRPr="00B60AB3" w:rsidRDefault="005F38A6" w:rsidP="006A7377">
            <w:pPr>
              <w:jc w:val="center"/>
              <w:rPr>
                <w:b/>
                <w:bCs/>
                <w:color w:val="FFFFFF" w:themeColor="background1"/>
              </w:rPr>
            </w:pPr>
            <w:r>
              <w:rPr>
                <w:b/>
                <w:bCs/>
                <w:color w:val="FFFFFF" w:themeColor="background1"/>
              </w:rPr>
              <w:t>2023*</w:t>
            </w:r>
          </w:p>
        </w:tc>
      </w:tr>
      <w:tr w:rsidR="005F38A6" w:rsidRPr="00B60AB3" w14:paraId="4684C743" w14:textId="77777777" w:rsidTr="006A7377">
        <w:trPr>
          <w:trHeight w:val="330"/>
          <w:jc w:val="center"/>
        </w:trPr>
        <w:tc>
          <w:tcPr>
            <w:tcW w:w="2258" w:type="dxa"/>
            <w:tcBorders>
              <w:top w:val="nil"/>
              <w:left w:val="single" w:sz="8" w:space="0" w:color="auto"/>
              <w:bottom w:val="nil"/>
              <w:right w:val="nil"/>
            </w:tcBorders>
            <w:vAlign w:val="center"/>
          </w:tcPr>
          <w:p w14:paraId="33CE3636" w14:textId="77777777" w:rsidR="005F38A6" w:rsidRPr="00B60AB3" w:rsidRDefault="005F38A6" w:rsidP="006A7377">
            <w:pPr>
              <w:rPr>
                <w:color w:val="000000"/>
                <w:sz w:val="22"/>
                <w:szCs w:val="22"/>
              </w:rPr>
            </w:pPr>
            <w:r w:rsidRPr="00B60AB3">
              <w:rPr>
                <w:color w:val="000000"/>
                <w:sz w:val="22"/>
                <w:szCs w:val="22"/>
              </w:rPr>
              <w:t>Saldo pendiente de amortizar</w:t>
            </w:r>
          </w:p>
        </w:tc>
        <w:tc>
          <w:tcPr>
            <w:tcW w:w="1053" w:type="dxa"/>
            <w:tcBorders>
              <w:top w:val="nil"/>
              <w:left w:val="single" w:sz="8" w:space="0" w:color="auto"/>
              <w:bottom w:val="nil"/>
              <w:right w:val="single" w:sz="4" w:space="0" w:color="auto"/>
            </w:tcBorders>
            <w:shd w:val="clear" w:color="auto" w:fill="auto"/>
            <w:noWrap/>
            <w:vAlign w:val="center"/>
            <w:hideMark/>
          </w:tcPr>
          <w:p w14:paraId="09027695" w14:textId="77777777" w:rsidR="005F38A6" w:rsidRPr="00B60AB3" w:rsidRDefault="005F38A6" w:rsidP="006A7377">
            <w:pPr>
              <w:jc w:val="center"/>
              <w:rPr>
                <w:color w:val="000000"/>
                <w:sz w:val="22"/>
                <w:szCs w:val="22"/>
              </w:rPr>
            </w:pPr>
            <w:r w:rsidRPr="00B60AB3">
              <w:rPr>
                <w:color w:val="000000"/>
                <w:sz w:val="22"/>
                <w:szCs w:val="22"/>
              </w:rPr>
              <w:t>49.5</w:t>
            </w:r>
          </w:p>
        </w:tc>
        <w:tc>
          <w:tcPr>
            <w:tcW w:w="1200" w:type="dxa"/>
            <w:tcBorders>
              <w:top w:val="nil"/>
              <w:left w:val="single" w:sz="4" w:space="0" w:color="auto"/>
              <w:bottom w:val="nil"/>
              <w:right w:val="single" w:sz="4" w:space="0" w:color="auto"/>
            </w:tcBorders>
            <w:shd w:val="clear" w:color="auto" w:fill="auto"/>
            <w:noWrap/>
            <w:vAlign w:val="center"/>
            <w:hideMark/>
          </w:tcPr>
          <w:p w14:paraId="3E8BF81D" w14:textId="77777777" w:rsidR="005F38A6" w:rsidRPr="00B60AB3" w:rsidRDefault="005F38A6" w:rsidP="006A7377">
            <w:pPr>
              <w:jc w:val="center"/>
              <w:rPr>
                <w:color w:val="000000"/>
                <w:sz w:val="22"/>
                <w:szCs w:val="22"/>
              </w:rPr>
            </w:pPr>
            <w:r w:rsidRPr="00B60AB3">
              <w:rPr>
                <w:color w:val="000000"/>
                <w:sz w:val="22"/>
                <w:szCs w:val="22"/>
              </w:rPr>
              <w:t>42.4</w:t>
            </w:r>
          </w:p>
        </w:tc>
        <w:tc>
          <w:tcPr>
            <w:tcW w:w="1200" w:type="dxa"/>
            <w:tcBorders>
              <w:top w:val="nil"/>
              <w:left w:val="single" w:sz="4" w:space="0" w:color="auto"/>
              <w:bottom w:val="nil"/>
              <w:right w:val="single" w:sz="4" w:space="0" w:color="auto"/>
            </w:tcBorders>
            <w:shd w:val="clear" w:color="auto" w:fill="auto"/>
            <w:noWrap/>
            <w:vAlign w:val="center"/>
            <w:hideMark/>
          </w:tcPr>
          <w:p w14:paraId="1ABA3D0A" w14:textId="77777777" w:rsidR="005F38A6" w:rsidRPr="00B60AB3" w:rsidRDefault="005F38A6" w:rsidP="006A7377">
            <w:pPr>
              <w:jc w:val="center"/>
              <w:rPr>
                <w:color w:val="000000"/>
                <w:sz w:val="22"/>
                <w:szCs w:val="22"/>
              </w:rPr>
            </w:pPr>
            <w:r w:rsidRPr="00B60AB3">
              <w:rPr>
                <w:color w:val="000000"/>
                <w:sz w:val="22"/>
                <w:szCs w:val="22"/>
              </w:rPr>
              <w:t>35.8</w:t>
            </w:r>
          </w:p>
        </w:tc>
        <w:tc>
          <w:tcPr>
            <w:tcW w:w="1200" w:type="dxa"/>
            <w:tcBorders>
              <w:top w:val="nil"/>
              <w:left w:val="single" w:sz="4" w:space="0" w:color="auto"/>
              <w:bottom w:val="nil"/>
              <w:right w:val="single" w:sz="4" w:space="0" w:color="auto"/>
            </w:tcBorders>
            <w:shd w:val="clear" w:color="auto" w:fill="auto"/>
            <w:noWrap/>
            <w:vAlign w:val="center"/>
            <w:hideMark/>
          </w:tcPr>
          <w:p w14:paraId="75C46D90" w14:textId="77777777" w:rsidR="005F38A6" w:rsidRPr="00B60AB3" w:rsidRDefault="005F38A6" w:rsidP="006A7377">
            <w:pPr>
              <w:jc w:val="center"/>
              <w:rPr>
                <w:color w:val="000000"/>
                <w:sz w:val="22"/>
                <w:szCs w:val="22"/>
              </w:rPr>
            </w:pPr>
            <w:r w:rsidRPr="00B60AB3">
              <w:rPr>
                <w:color w:val="000000"/>
                <w:sz w:val="22"/>
                <w:szCs w:val="22"/>
              </w:rPr>
              <w:t>28.0</w:t>
            </w:r>
          </w:p>
        </w:tc>
        <w:tc>
          <w:tcPr>
            <w:tcW w:w="1200" w:type="dxa"/>
            <w:tcBorders>
              <w:top w:val="nil"/>
              <w:left w:val="single" w:sz="4" w:space="0" w:color="auto"/>
              <w:bottom w:val="nil"/>
              <w:right w:val="single" w:sz="4" w:space="0" w:color="auto"/>
            </w:tcBorders>
            <w:shd w:val="clear" w:color="auto" w:fill="auto"/>
            <w:noWrap/>
            <w:vAlign w:val="center"/>
            <w:hideMark/>
          </w:tcPr>
          <w:p w14:paraId="0BAC31B7" w14:textId="77777777" w:rsidR="005F38A6" w:rsidRPr="00B60AB3" w:rsidRDefault="005F38A6" w:rsidP="006A7377">
            <w:pPr>
              <w:jc w:val="center"/>
              <w:rPr>
                <w:color w:val="000000"/>
                <w:sz w:val="22"/>
                <w:szCs w:val="22"/>
              </w:rPr>
            </w:pPr>
            <w:r w:rsidRPr="00B60AB3">
              <w:rPr>
                <w:color w:val="000000"/>
                <w:sz w:val="22"/>
                <w:szCs w:val="22"/>
              </w:rPr>
              <w:t>2</w:t>
            </w:r>
            <w:r>
              <w:rPr>
                <w:color w:val="000000"/>
                <w:sz w:val="22"/>
                <w:szCs w:val="22"/>
              </w:rPr>
              <w:t>1</w:t>
            </w:r>
            <w:r w:rsidRPr="00B60AB3">
              <w:rPr>
                <w:color w:val="000000"/>
                <w:sz w:val="22"/>
                <w:szCs w:val="22"/>
              </w:rPr>
              <w:t>.</w:t>
            </w:r>
            <w:r>
              <w:rPr>
                <w:color w:val="000000"/>
                <w:sz w:val="22"/>
                <w:szCs w:val="22"/>
              </w:rPr>
              <w:t>6</w:t>
            </w:r>
          </w:p>
        </w:tc>
        <w:tc>
          <w:tcPr>
            <w:tcW w:w="951" w:type="dxa"/>
            <w:tcBorders>
              <w:top w:val="nil"/>
              <w:left w:val="single" w:sz="4" w:space="0" w:color="auto"/>
              <w:bottom w:val="nil"/>
              <w:right w:val="single" w:sz="8" w:space="0" w:color="auto"/>
            </w:tcBorders>
            <w:vAlign w:val="center"/>
          </w:tcPr>
          <w:p w14:paraId="67FBEB75" w14:textId="77777777" w:rsidR="005F38A6" w:rsidRPr="00B60AB3" w:rsidRDefault="005F38A6" w:rsidP="006A7377">
            <w:pPr>
              <w:jc w:val="center"/>
              <w:rPr>
                <w:color w:val="000000"/>
                <w:sz w:val="22"/>
                <w:szCs w:val="22"/>
              </w:rPr>
            </w:pPr>
            <w:r>
              <w:rPr>
                <w:color w:val="000000"/>
                <w:sz w:val="22"/>
                <w:szCs w:val="22"/>
              </w:rPr>
              <w:t>19.1</w:t>
            </w:r>
          </w:p>
        </w:tc>
      </w:tr>
      <w:tr w:rsidR="005F38A6" w:rsidRPr="00B60AB3" w14:paraId="35862747" w14:textId="77777777" w:rsidTr="006A7377">
        <w:trPr>
          <w:trHeight w:val="330"/>
          <w:jc w:val="center"/>
        </w:trPr>
        <w:tc>
          <w:tcPr>
            <w:tcW w:w="2258" w:type="dxa"/>
            <w:tcBorders>
              <w:top w:val="nil"/>
              <w:left w:val="single" w:sz="8" w:space="0" w:color="auto"/>
              <w:bottom w:val="nil"/>
              <w:right w:val="nil"/>
            </w:tcBorders>
            <w:vAlign w:val="center"/>
          </w:tcPr>
          <w:p w14:paraId="6EDD346C" w14:textId="77777777" w:rsidR="005F38A6" w:rsidRPr="00B60AB3" w:rsidRDefault="005F38A6" w:rsidP="006A7377">
            <w:pPr>
              <w:ind w:left="708"/>
              <w:rPr>
                <w:color w:val="000000"/>
                <w:sz w:val="22"/>
                <w:szCs w:val="22"/>
              </w:rPr>
            </w:pPr>
            <w:r w:rsidRPr="00B60AB3">
              <w:rPr>
                <w:color w:val="000000"/>
                <w:sz w:val="22"/>
                <w:szCs w:val="22"/>
              </w:rPr>
              <w:t>EMPAGUA</w:t>
            </w:r>
          </w:p>
        </w:tc>
        <w:tc>
          <w:tcPr>
            <w:tcW w:w="1053" w:type="dxa"/>
            <w:tcBorders>
              <w:top w:val="nil"/>
              <w:left w:val="single" w:sz="8" w:space="0" w:color="auto"/>
              <w:bottom w:val="nil"/>
              <w:right w:val="single" w:sz="4" w:space="0" w:color="auto"/>
            </w:tcBorders>
            <w:shd w:val="clear" w:color="auto" w:fill="auto"/>
            <w:noWrap/>
            <w:vAlign w:val="center"/>
          </w:tcPr>
          <w:p w14:paraId="37310055" w14:textId="77777777" w:rsidR="005F38A6" w:rsidRPr="00B60AB3" w:rsidRDefault="005F38A6" w:rsidP="006A7377">
            <w:pPr>
              <w:jc w:val="center"/>
              <w:rPr>
                <w:color w:val="000000"/>
                <w:sz w:val="22"/>
                <w:szCs w:val="22"/>
              </w:rPr>
            </w:pPr>
            <w:r w:rsidRPr="00B60AB3">
              <w:rPr>
                <w:color w:val="000000"/>
                <w:sz w:val="22"/>
                <w:szCs w:val="22"/>
              </w:rPr>
              <w:t>6.9</w:t>
            </w:r>
          </w:p>
        </w:tc>
        <w:tc>
          <w:tcPr>
            <w:tcW w:w="1200" w:type="dxa"/>
            <w:tcBorders>
              <w:top w:val="nil"/>
              <w:left w:val="single" w:sz="4" w:space="0" w:color="auto"/>
              <w:bottom w:val="nil"/>
              <w:right w:val="single" w:sz="4" w:space="0" w:color="auto"/>
            </w:tcBorders>
            <w:shd w:val="clear" w:color="auto" w:fill="auto"/>
            <w:noWrap/>
            <w:vAlign w:val="center"/>
          </w:tcPr>
          <w:p w14:paraId="6DE68256" w14:textId="77777777" w:rsidR="005F38A6" w:rsidRPr="00B60AB3" w:rsidRDefault="005F38A6" w:rsidP="006A7377">
            <w:pPr>
              <w:jc w:val="center"/>
              <w:rPr>
                <w:color w:val="000000"/>
                <w:sz w:val="22"/>
                <w:szCs w:val="22"/>
              </w:rPr>
            </w:pPr>
            <w:r w:rsidRPr="00B60AB3">
              <w:rPr>
                <w:color w:val="000000"/>
                <w:sz w:val="22"/>
                <w:szCs w:val="22"/>
              </w:rPr>
              <w:t>5.1</w:t>
            </w:r>
          </w:p>
        </w:tc>
        <w:tc>
          <w:tcPr>
            <w:tcW w:w="1200" w:type="dxa"/>
            <w:tcBorders>
              <w:top w:val="nil"/>
              <w:left w:val="single" w:sz="4" w:space="0" w:color="auto"/>
              <w:bottom w:val="nil"/>
              <w:right w:val="single" w:sz="4" w:space="0" w:color="auto"/>
            </w:tcBorders>
            <w:shd w:val="clear" w:color="auto" w:fill="auto"/>
            <w:noWrap/>
            <w:vAlign w:val="center"/>
          </w:tcPr>
          <w:p w14:paraId="3F2305B1" w14:textId="77777777" w:rsidR="005F38A6" w:rsidRPr="00B60AB3" w:rsidRDefault="005F38A6" w:rsidP="006A7377">
            <w:pPr>
              <w:jc w:val="center"/>
              <w:rPr>
                <w:color w:val="000000"/>
                <w:sz w:val="22"/>
                <w:szCs w:val="22"/>
              </w:rPr>
            </w:pPr>
            <w:r w:rsidRPr="00B60AB3">
              <w:rPr>
                <w:color w:val="000000"/>
                <w:sz w:val="22"/>
                <w:szCs w:val="22"/>
              </w:rPr>
              <w:t>3.2</w:t>
            </w:r>
          </w:p>
        </w:tc>
        <w:tc>
          <w:tcPr>
            <w:tcW w:w="1200" w:type="dxa"/>
            <w:tcBorders>
              <w:top w:val="nil"/>
              <w:left w:val="single" w:sz="4" w:space="0" w:color="auto"/>
              <w:bottom w:val="nil"/>
              <w:right w:val="single" w:sz="4" w:space="0" w:color="auto"/>
            </w:tcBorders>
            <w:shd w:val="clear" w:color="auto" w:fill="auto"/>
            <w:noWrap/>
            <w:vAlign w:val="center"/>
          </w:tcPr>
          <w:p w14:paraId="3D9E393C" w14:textId="77777777" w:rsidR="005F38A6" w:rsidRPr="00B60AB3" w:rsidRDefault="005F38A6" w:rsidP="006A7377">
            <w:pPr>
              <w:jc w:val="center"/>
              <w:rPr>
                <w:color w:val="000000"/>
                <w:sz w:val="22"/>
                <w:szCs w:val="22"/>
              </w:rPr>
            </w:pPr>
            <w:r w:rsidRPr="00B60AB3">
              <w:rPr>
                <w:color w:val="000000"/>
                <w:sz w:val="22"/>
                <w:szCs w:val="22"/>
              </w:rPr>
              <w:t>0.9</w:t>
            </w:r>
          </w:p>
        </w:tc>
        <w:tc>
          <w:tcPr>
            <w:tcW w:w="1200" w:type="dxa"/>
            <w:tcBorders>
              <w:top w:val="nil"/>
              <w:left w:val="single" w:sz="4" w:space="0" w:color="auto"/>
              <w:bottom w:val="nil"/>
              <w:right w:val="single" w:sz="4" w:space="0" w:color="auto"/>
            </w:tcBorders>
            <w:shd w:val="clear" w:color="auto" w:fill="auto"/>
            <w:noWrap/>
            <w:vAlign w:val="center"/>
          </w:tcPr>
          <w:p w14:paraId="7A0675C8" w14:textId="77777777" w:rsidR="005F38A6" w:rsidRPr="00B60AB3" w:rsidRDefault="005F38A6" w:rsidP="006A7377">
            <w:pPr>
              <w:jc w:val="center"/>
              <w:rPr>
                <w:color w:val="000000"/>
                <w:sz w:val="22"/>
                <w:szCs w:val="22"/>
              </w:rPr>
            </w:pPr>
            <w:r w:rsidRPr="00B60AB3">
              <w:rPr>
                <w:color w:val="000000"/>
                <w:sz w:val="22"/>
                <w:szCs w:val="22"/>
              </w:rPr>
              <w:t>0.0</w:t>
            </w:r>
          </w:p>
        </w:tc>
        <w:tc>
          <w:tcPr>
            <w:tcW w:w="951" w:type="dxa"/>
            <w:tcBorders>
              <w:top w:val="nil"/>
              <w:left w:val="single" w:sz="4" w:space="0" w:color="auto"/>
              <w:bottom w:val="nil"/>
              <w:right w:val="single" w:sz="8" w:space="0" w:color="auto"/>
            </w:tcBorders>
            <w:vAlign w:val="center"/>
          </w:tcPr>
          <w:p w14:paraId="64E16254" w14:textId="77777777" w:rsidR="005F38A6" w:rsidRPr="00B60AB3" w:rsidRDefault="005F38A6" w:rsidP="006A7377">
            <w:pPr>
              <w:jc w:val="center"/>
              <w:rPr>
                <w:color w:val="000000"/>
                <w:sz w:val="22"/>
                <w:szCs w:val="22"/>
              </w:rPr>
            </w:pPr>
            <w:r>
              <w:rPr>
                <w:color w:val="000000"/>
                <w:sz w:val="22"/>
                <w:szCs w:val="22"/>
              </w:rPr>
              <w:t>0.0</w:t>
            </w:r>
          </w:p>
        </w:tc>
      </w:tr>
      <w:tr w:rsidR="005F38A6" w:rsidRPr="00B60AB3" w14:paraId="532FD086" w14:textId="77777777" w:rsidTr="006A7377">
        <w:trPr>
          <w:trHeight w:val="330"/>
          <w:jc w:val="center"/>
        </w:trPr>
        <w:tc>
          <w:tcPr>
            <w:tcW w:w="2258" w:type="dxa"/>
            <w:tcBorders>
              <w:top w:val="nil"/>
              <w:left w:val="single" w:sz="8" w:space="0" w:color="auto"/>
              <w:bottom w:val="single" w:sz="8" w:space="0" w:color="auto"/>
              <w:right w:val="nil"/>
            </w:tcBorders>
            <w:vAlign w:val="center"/>
          </w:tcPr>
          <w:p w14:paraId="769DA4CF" w14:textId="77777777" w:rsidR="005F38A6" w:rsidRPr="00B60AB3" w:rsidRDefault="005F38A6" w:rsidP="006A7377">
            <w:pPr>
              <w:ind w:left="708"/>
              <w:rPr>
                <w:color w:val="000000"/>
                <w:sz w:val="22"/>
                <w:szCs w:val="22"/>
              </w:rPr>
            </w:pPr>
            <w:r w:rsidRPr="00B60AB3">
              <w:rPr>
                <w:color w:val="000000"/>
                <w:sz w:val="22"/>
                <w:szCs w:val="22"/>
              </w:rPr>
              <w:t>INDE</w:t>
            </w:r>
          </w:p>
        </w:tc>
        <w:tc>
          <w:tcPr>
            <w:tcW w:w="1053" w:type="dxa"/>
            <w:tcBorders>
              <w:top w:val="nil"/>
              <w:left w:val="single" w:sz="8" w:space="0" w:color="auto"/>
              <w:bottom w:val="single" w:sz="8" w:space="0" w:color="auto"/>
              <w:right w:val="single" w:sz="4" w:space="0" w:color="auto"/>
            </w:tcBorders>
            <w:shd w:val="clear" w:color="auto" w:fill="auto"/>
            <w:noWrap/>
            <w:vAlign w:val="center"/>
          </w:tcPr>
          <w:p w14:paraId="18C8871F" w14:textId="77777777" w:rsidR="005F38A6" w:rsidRPr="00B60AB3" w:rsidRDefault="005F38A6" w:rsidP="006A7377">
            <w:pPr>
              <w:jc w:val="center"/>
              <w:rPr>
                <w:color w:val="000000"/>
                <w:sz w:val="22"/>
                <w:szCs w:val="22"/>
              </w:rPr>
            </w:pPr>
            <w:r w:rsidRPr="00B60AB3">
              <w:rPr>
                <w:color w:val="000000"/>
                <w:sz w:val="22"/>
                <w:szCs w:val="22"/>
              </w:rPr>
              <w:t>42.6</w:t>
            </w:r>
          </w:p>
        </w:tc>
        <w:tc>
          <w:tcPr>
            <w:tcW w:w="1200" w:type="dxa"/>
            <w:tcBorders>
              <w:top w:val="nil"/>
              <w:left w:val="single" w:sz="4" w:space="0" w:color="auto"/>
              <w:bottom w:val="single" w:sz="8" w:space="0" w:color="auto"/>
              <w:right w:val="single" w:sz="4" w:space="0" w:color="auto"/>
            </w:tcBorders>
            <w:shd w:val="clear" w:color="auto" w:fill="auto"/>
            <w:noWrap/>
            <w:vAlign w:val="center"/>
          </w:tcPr>
          <w:p w14:paraId="5FF475B8" w14:textId="77777777" w:rsidR="005F38A6" w:rsidRPr="00B60AB3" w:rsidRDefault="005F38A6" w:rsidP="006A7377">
            <w:pPr>
              <w:jc w:val="center"/>
              <w:rPr>
                <w:color w:val="000000"/>
                <w:sz w:val="22"/>
                <w:szCs w:val="22"/>
              </w:rPr>
            </w:pPr>
            <w:r w:rsidRPr="00B60AB3">
              <w:rPr>
                <w:color w:val="000000"/>
                <w:sz w:val="22"/>
                <w:szCs w:val="22"/>
              </w:rPr>
              <w:t>37.3</w:t>
            </w:r>
          </w:p>
        </w:tc>
        <w:tc>
          <w:tcPr>
            <w:tcW w:w="1200" w:type="dxa"/>
            <w:tcBorders>
              <w:top w:val="nil"/>
              <w:left w:val="single" w:sz="4" w:space="0" w:color="auto"/>
              <w:bottom w:val="single" w:sz="8" w:space="0" w:color="auto"/>
              <w:right w:val="single" w:sz="4" w:space="0" w:color="auto"/>
            </w:tcBorders>
            <w:shd w:val="clear" w:color="auto" w:fill="auto"/>
            <w:noWrap/>
            <w:vAlign w:val="center"/>
          </w:tcPr>
          <w:p w14:paraId="4054FC4B" w14:textId="77777777" w:rsidR="005F38A6" w:rsidRPr="00B60AB3" w:rsidRDefault="005F38A6" w:rsidP="006A7377">
            <w:pPr>
              <w:jc w:val="center"/>
              <w:rPr>
                <w:color w:val="000000"/>
                <w:sz w:val="22"/>
                <w:szCs w:val="22"/>
              </w:rPr>
            </w:pPr>
            <w:r w:rsidRPr="00B60AB3">
              <w:rPr>
                <w:color w:val="000000"/>
                <w:sz w:val="22"/>
                <w:szCs w:val="22"/>
              </w:rPr>
              <w:t>32.7</w:t>
            </w:r>
          </w:p>
        </w:tc>
        <w:tc>
          <w:tcPr>
            <w:tcW w:w="1200" w:type="dxa"/>
            <w:tcBorders>
              <w:top w:val="nil"/>
              <w:left w:val="single" w:sz="4" w:space="0" w:color="auto"/>
              <w:bottom w:val="single" w:sz="8" w:space="0" w:color="auto"/>
              <w:right w:val="single" w:sz="4" w:space="0" w:color="auto"/>
            </w:tcBorders>
            <w:shd w:val="clear" w:color="auto" w:fill="auto"/>
            <w:noWrap/>
            <w:vAlign w:val="center"/>
          </w:tcPr>
          <w:p w14:paraId="175FAB08" w14:textId="77777777" w:rsidR="005F38A6" w:rsidRPr="00B60AB3" w:rsidRDefault="005F38A6" w:rsidP="006A7377">
            <w:pPr>
              <w:jc w:val="center"/>
              <w:rPr>
                <w:color w:val="000000"/>
                <w:sz w:val="22"/>
                <w:szCs w:val="22"/>
              </w:rPr>
            </w:pPr>
            <w:r w:rsidRPr="00B60AB3">
              <w:rPr>
                <w:color w:val="000000"/>
                <w:sz w:val="22"/>
                <w:szCs w:val="22"/>
              </w:rPr>
              <w:t>27.0</w:t>
            </w:r>
          </w:p>
        </w:tc>
        <w:tc>
          <w:tcPr>
            <w:tcW w:w="1200" w:type="dxa"/>
            <w:tcBorders>
              <w:top w:val="nil"/>
              <w:left w:val="single" w:sz="4" w:space="0" w:color="auto"/>
              <w:bottom w:val="single" w:sz="8" w:space="0" w:color="auto"/>
              <w:right w:val="single" w:sz="4" w:space="0" w:color="auto"/>
            </w:tcBorders>
            <w:shd w:val="clear" w:color="auto" w:fill="auto"/>
            <w:noWrap/>
            <w:vAlign w:val="center"/>
          </w:tcPr>
          <w:p w14:paraId="4C3106F4" w14:textId="77777777" w:rsidR="005F38A6" w:rsidRPr="00B60AB3" w:rsidRDefault="005F38A6" w:rsidP="006A7377">
            <w:pPr>
              <w:jc w:val="center"/>
              <w:rPr>
                <w:color w:val="000000"/>
                <w:sz w:val="22"/>
                <w:szCs w:val="22"/>
              </w:rPr>
            </w:pPr>
            <w:r w:rsidRPr="00B60AB3">
              <w:rPr>
                <w:color w:val="000000"/>
                <w:sz w:val="22"/>
                <w:szCs w:val="22"/>
              </w:rPr>
              <w:t>2</w:t>
            </w:r>
            <w:r>
              <w:rPr>
                <w:color w:val="000000"/>
                <w:sz w:val="22"/>
                <w:szCs w:val="22"/>
              </w:rPr>
              <w:t>1</w:t>
            </w:r>
            <w:r w:rsidRPr="00B60AB3">
              <w:rPr>
                <w:color w:val="000000"/>
                <w:sz w:val="22"/>
                <w:szCs w:val="22"/>
              </w:rPr>
              <w:t>.</w:t>
            </w:r>
            <w:r>
              <w:rPr>
                <w:color w:val="000000"/>
                <w:sz w:val="22"/>
                <w:szCs w:val="22"/>
              </w:rPr>
              <w:t>6</w:t>
            </w:r>
          </w:p>
        </w:tc>
        <w:tc>
          <w:tcPr>
            <w:tcW w:w="951" w:type="dxa"/>
            <w:tcBorders>
              <w:top w:val="nil"/>
              <w:left w:val="single" w:sz="4" w:space="0" w:color="auto"/>
              <w:bottom w:val="single" w:sz="8" w:space="0" w:color="auto"/>
              <w:right w:val="single" w:sz="8" w:space="0" w:color="auto"/>
            </w:tcBorders>
            <w:vAlign w:val="center"/>
          </w:tcPr>
          <w:p w14:paraId="0FE4AF90" w14:textId="77777777" w:rsidR="005F38A6" w:rsidRPr="00B60AB3" w:rsidRDefault="005F38A6" w:rsidP="006A7377">
            <w:pPr>
              <w:jc w:val="center"/>
              <w:rPr>
                <w:color w:val="000000"/>
                <w:sz w:val="22"/>
                <w:szCs w:val="22"/>
              </w:rPr>
            </w:pPr>
            <w:r>
              <w:rPr>
                <w:color w:val="000000"/>
                <w:sz w:val="22"/>
                <w:szCs w:val="22"/>
              </w:rPr>
              <w:t>19.1</w:t>
            </w:r>
          </w:p>
        </w:tc>
      </w:tr>
    </w:tbl>
    <w:p w14:paraId="6C5F7AC5" w14:textId="77777777" w:rsidR="005F38A6" w:rsidRPr="00B60AB3" w:rsidRDefault="005F38A6" w:rsidP="005F38A6">
      <w:pPr>
        <w:spacing w:line="259" w:lineRule="auto"/>
        <w:jc w:val="both"/>
        <w:rPr>
          <w:rFonts w:eastAsia="Calibri"/>
          <w:noProof/>
          <w:sz w:val="16"/>
          <w:szCs w:val="16"/>
        </w:rPr>
      </w:pPr>
      <w:r w:rsidRPr="00B60AB3">
        <w:rPr>
          <w:rFonts w:eastAsia="Calibri"/>
          <w:noProof/>
          <w:sz w:val="16"/>
          <w:szCs w:val="16"/>
        </w:rPr>
        <w:t xml:space="preserve">   *al 30 de junio del 202</w:t>
      </w:r>
      <w:r>
        <w:rPr>
          <w:rFonts w:eastAsia="Calibri"/>
          <w:noProof/>
          <w:sz w:val="16"/>
          <w:szCs w:val="16"/>
        </w:rPr>
        <w:t>3</w:t>
      </w:r>
    </w:p>
    <w:p w14:paraId="25F5CC75" w14:textId="77777777" w:rsidR="005F38A6" w:rsidRDefault="005F38A6" w:rsidP="005F38A6">
      <w:pPr>
        <w:spacing w:line="259" w:lineRule="auto"/>
        <w:jc w:val="both"/>
        <w:rPr>
          <w:rFonts w:eastAsia="Calibri"/>
          <w:noProof/>
          <w:sz w:val="16"/>
          <w:szCs w:val="16"/>
        </w:rPr>
      </w:pPr>
      <w:r w:rsidRPr="00B60AB3">
        <w:rPr>
          <w:rFonts w:eastAsia="Calibri"/>
          <w:noProof/>
          <w:sz w:val="16"/>
          <w:szCs w:val="16"/>
        </w:rPr>
        <w:t xml:space="preserve">   Fuente: Dirección de Crédito Público.</w:t>
      </w:r>
    </w:p>
    <w:bookmarkEnd w:id="518"/>
    <w:p w14:paraId="61B165C4" w14:textId="77777777" w:rsidR="005F38A6" w:rsidRPr="001A37CA" w:rsidRDefault="005F38A6" w:rsidP="005F38A6">
      <w:pPr>
        <w:spacing w:line="259" w:lineRule="auto"/>
        <w:jc w:val="both"/>
        <w:rPr>
          <w:rFonts w:eastAsia="Calibri"/>
          <w:noProof/>
          <w:sz w:val="16"/>
          <w:szCs w:val="16"/>
        </w:rPr>
      </w:pPr>
    </w:p>
    <w:p w14:paraId="6D99F20F" w14:textId="15279D81" w:rsidR="005F38A6" w:rsidRPr="00F908A8" w:rsidRDefault="00D73789" w:rsidP="007F19DF">
      <w:pPr>
        <w:pStyle w:val="Ttulo2"/>
        <w:numPr>
          <w:ilvl w:val="2"/>
          <w:numId w:val="35"/>
        </w:numPr>
        <w:tabs>
          <w:tab w:val="left" w:pos="851"/>
        </w:tabs>
        <w:ind w:left="567" w:hanging="283"/>
        <w:rPr>
          <w:bCs/>
        </w:rPr>
      </w:pPr>
      <w:bookmarkStart w:id="519" w:name="_Toc114495270"/>
      <w:bookmarkStart w:id="520" w:name="_Toc144114416"/>
      <w:r>
        <w:rPr>
          <w:bCs/>
        </w:rPr>
        <w:t>O</w:t>
      </w:r>
      <w:r w:rsidRPr="00F908A8">
        <w:rPr>
          <w:bCs/>
        </w:rPr>
        <w:t xml:space="preserve">bligaciones financieras de las empresas públicas </w:t>
      </w:r>
      <w:bookmarkEnd w:id="519"/>
      <w:r w:rsidRPr="00F908A8">
        <w:rPr>
          <w:bCs/>
        </w:rPr>
        <w:t>de forma individual</w:t>
      </w:r>
      <w:bookmarkEnd w:id="520"/>
    </w:p>
    <w:p w14:paraId="45E80BD4" w14:textId="77777777" w:rsidR="005F38A6" w:rsidRPr="009015E1" w:rsidRDefault="005F38A6" w:rsidP="005F38A6">
      <w:pPr>
        <w:spacing w:line="259" w:lineRule="auto"/>
        <w:ind w:left="567"/>
        <w:jc w:val="both"/>
        <w:rPr>
          <w:rFonts w:eastAsia="Calibri"/>
        </w:rPr>
      </w:pPr>
    </w:p>
    <w:p w14:paraId="721AB0E2" w14:textId="77777777" w:rsidR="005F38A6" w:rsidRPr="00BC572D" w:rsidRDefault="005F38A6" w:rsidP="005F38A6">
      <w:pPr>
        <w:jc w:val="both"/>
        <w:rPr>
          <w:bCs/>
          <w:color w:val="000000" w:themeColor="text1"/>
          <w:lang w:val="es-MX"/>
        </w:rPr>
      </w:pPr>
      <w:r>
        <w:rPr>
          <w:bCs/>
          <w:color w:val="000000" w:themeColor="text1"/>
        </w:rPr>
        <w:t>En 2022</w:t>
      </w:r>
      <w:r w:rsidRPr="00BC572D">
        <w:rPr>
          <w:bCs/>
          <w:color w:val="000000" w:themeColor="text1"/>
          <w:lang w:val="es-MX"/>
        </w:rPr>
        <w:t xml:space="preserve"> FEGUA es la empresa</w:t>
      </w:r>
      <w:r>
        <w:rPr>
          <w:bCs/>
          <w:color w:val="000000" w:themeColor="text1"/>
          <w:lang w:val="es-MX"/>
        </w:rPr>
        <w:t xml:space="preserve"> nacional</w:t>
      </w:r>
      <w:r w:rsidRPr="00BC572D">
        <w:rPr>
          <w:bCs/>
          <w:color w:val="000000" w:themeColor="text1"/>
          <w:lang w:val="es-MX"/>
        </w:rPr>
        <w:t xml:space="preserve"> que posee la mayor obligación financiera </w:t>
      </w:r>
      <w:r>
        <w:rPr>
          <w:bCs/>
          <w:color w:val="000000" w:themeColor="text1"/>
          <w:lang w:val="es-MX"/>
        </w:rPr>
        <w:t>con relación</w:t>
      </w:r>
      <w:r w:rsidRPr="00BC572D">
        <w:rPr>
          <w:bCs/>
          <w:color w:val="000000" w:themeColor="text1"/>
          <w:lang w:val="es-MX"/>
        </w:rPr>
        <w:t xml:space="preserve"> a sus niveles de ingreso,</w:t>
      </w:r>
      <w:r>
        <w:rPr>
          <w:bCs/>
          <w:color w:val="000000" w:themeColor="text1"/>
          <w:lang w:val="es-MX"/>
        </w:rPr>
        <w:t xml:space="preserve"> teniendo un indicador de 195.5% (Q13.6 millones) de los cuales hay un endeudamiento por préstamos que equivale al 58.7% de sus ingresos, mientras que sus otras obligaciones equivalen al 136.8% y cabe mencionar que el total de sus obligaciones financieras se incrementaron en 86.8 puntos porcentuales respecto a lo observado en el año previo</w:t>
      </w:r>
      <w:r w:rsidRPr="00BC572D">
        <w:rPr>
          <w:bCs/>
          <w:color w:val="000000" w:themeColor="text1"/>
          <w:lang w:val="es-MX"/>
        </w:rPr>
        <w:t xml:space="preserve">. La segunda entidad con mayores obligaciones financieras es GUATEL con el </w:t>
      </w:r>
      <w:r>
        <w:rPr>
          <w:bCs/>
          <w:color w:val="000000" w:themeColor="text1"/>
          <w:lang w:val="es-MX"/>
        </w:rPr>
        <w:t>128.5</w:t>
      </w:r>
      <w:r w:rsidRPr="00BC572D">
        <w:rPr>
          <w:bCs/>
          <w:color w:val="000000" w:themeColor="text1"/>
          <w:lang w:val="es-MX"/>
        </w:rPr>
        <w:t>% (Q</w:t>
      </w:r>
      <w:r>
        <w:rPr>
          <w:bCs/>
          <w:color w:val="000000" w:themeColor="text1"/>
          <w:lang w:val="es-MX"/>
        </w:rPr>
        <w:t>26</w:t>
      </w:r>
      <w:r w:rsidRPr="00BC572D">
        <w:rPr>
          <w:bCs/>
          <w:color w:val="000000" w:themeColor="text1"/>
          <w:lang w:val="es-MX"/>
        </w:rPr>
        <w:t>.</w:t>
      </w:r>
      <w:r>
        <w:rPr>
          <w:bCs/>
          <w:color w:val="000000" w:themeColor="text1"/>
          <w:lang w:val="es-MX"/>
        </w:rPr>
        <w:t>0</w:t>
      </w:r>
      <w:r w:rsidRPr="00BC572D">
        <w:rPr>
          <w:bCs/>
          <w:color w:val="000000" w:themeColor="text1"/>
          <w:lang w:val="es-MX"/>
        </w:rPr>
        <w:t xml:space="preserve"> millones) de sus ingresos</w:t>
      </w:r>
      <w:r>
        <w:rPr>
          <w:bCs/>
          <w:color w:val="000000" w:themeColor="text1"/>
          <w:lang w:val="es-MX"/>
        </w:rPr>
        <w:t xml:space="preserve"> y que incrementó su indicador en 38.4 puntos porcentuales respecto al año anterior</w:t>
      </w:r>
      <w:r w:rsidRPr="00BC572D">
        <w:rPr>
          <w:bCs/>
          <w:color w:val="000000" w:themeColor="text1"/>
          <w:lang w:val="es-MX"/>
        </w:rPr>
        <w:t>, seguido de INDECA con un 3</w:t>
      </w:r>
      <w:r>
        <w:rPr>
          <w:bCs/>
          <w:color w:val="000000" w:themeColor="text1"/>
          <w:lang w:val="es-MX"/>
        </w:rPr>
        <w:t>5</w:t>
      </w:r>
      <w:r w:rsidRPr="00BC572D">
        <w:rPr>
          <w:bCs/>
          <w:color w:val="000000" w:themeColor="text1"/>
          <w:lang w:val="es-MX"/>
        </w:rPr>
        <w:t>.</w:t>
      </w:r>
      <w:r>
        <w:rPr>
          <w:bCs/>
          <w:color w:val="000000" w:themeColor="text1"/>
          <w:lang w:val="es-MX"/>
        </w:rPr>
        <w:t>3</w:t>
      </w:r>
      <w:r w:rsidRPr="00BC572D">
        <w:rPr>
          <w:bCs/>
          <w:color w:val="000000" w:themeColor="text1"/>
          <w:lang w:val="es-MX"/>
        </w:rPr>
        <w:t>% (Q5.</w:t>
      </w:r>
      <w:r>
        <w:rPr>
          <w:bCs/>
          <w:color w:val="000000" w:themeColor="text1"/>
          <w:lang w:val="es-MX"/>
        </w:rPr>
        <w:t>4</w:t>
      </w:r>
      <w:r w:rsidRPr="00BC572D">
        <w:rPr>
          <w:bCs/>
          <w:color w:val="000000" w:themeColor="text1"/>
          <w:lang w:val="es-MX"/>
        </w:rPr>
        <w:t xml:space="preserve"> millones)</w:t>
      </w:r>
      <w:r>
        <w:rPr>
          <w:bCs/>
          <w:color w:val="000000" w:themeColor="text1"/>
          <w:lang w:val="es-MX"/>
        </w:rPr>
        <w:t xml:space="preserve"> y disminuyó su indicador en 4.1 puntos porcentuales</w:t>
      </w:r>
      <w:r w:rsidRPr="00BC572D">
        <w:rPr>
          <w:bCs/>
          <w:color w:val="000000" w:themeColor="text1"/>
          <w:lang w:val="es-MX"/>
        </w:rPr>
        <w:t xml:space="preserve">, ZOLIC </w:t>
      </w:r>
      <w:r>
        <w:rPr>
          <w:bCs/>
          <w:color w:val="000000" w:themeColor="text1"/>
          <w:lang w:val="es-MX"/>
        </w:rPr>
        <w:t xml:space="preserve">tiene un indicador de </w:t>
      </w:r>
      <w:r w:rsidRPr="00BC572D">
        <w:rPr>
          <w:bCs/>
          <w:color w:val="000000" w:themeColor="text1"/>
          <w:lang w:val="es-MX"/>
        </w:rPr>
        <w:t xml:space="preserve"> </w:t>
      </w:r>
      <w:r>
        <w:rPr>
          <w:bCs/>
          <w:color w:val="000000" w:themeColor="text1"/>
          <w:lang w:val="es-MX"/>
        </w:rPr>
        <w:t>28</w:t>
      </w:r>
      <w:r w:rsidRPr="00BC572D">
        <w:rPr>
          <w:bCs/>
          <w:color w:val="000000" w:themeColor="text1"/>
          <w:lang w:val="es-MX"/>
        </w:rPr>
        <w:t>.</w:t>
      </w:r>
      <w:r>
        <w:rPr>
          <w:bCs/>
          <w:color w:val="000000" w:themeColor="text1"/>
          <w:lang w:val="es-MX"/>
        </w:rPr>
        <w:t>3</w:t>
      </w:r>
      <w:r w:rsidRPr="00BC572D">
        <w:rPr>
          <w:bCs/>
          <w:color w:val="000000" w:themeColor="text1"/>
          <w:lang w:val="es-MX"/>
        </w:rPr>
        <w:t>% (Q11.</w:t>
      </w:r>
      <w:r>
        <w:rPr>
          <w:bCs/>
          <w:color w:val="000000" w:themeColor="text1"/>
          <w:lang w:val="es-MX"/>
        </w:rPr>
        <w:t>3</w:t>
      </w:r>
      <w:r w:rsidRPr="00BC572D">
        <w:rPr>
          <w:bCs/>
          <w:color w:val="000000" w:themeColor="text1"/>
          <w:lang w:val="es-MX"/>
        </w:rPr>
        <w:t xml:space="preserve"> millones)</w:t>
      </w:r>
      <w:r>
        <w:rPr>
          <w:bCs/>
          <w:color w:val="000000" w:themeColor="text1"/>
          <w:lang w:val="es-MX"/>
        </w:rPr>
        <w:t xml:space="preserve"> siendo una reducción de 6.3 puntos porcentuales</w:t>
      </w:r>
      <w:r w:rsidRPr="00BC572D">
        <w:rPr>
          <w:bCs/>
          <w:color w:val="000000" w:themeColor="text1"/>
          <w:lang w:val="es-MX"/>
        </w:rPr>
        <w:t xml:space="preserve">, </w:t>
      </w:r>
      <w:r>
        <w:rPr>
          <w:bCs/>
          <w:color w:val="000000" w:themeColor="text1"/>
          <w:lang w:val="es-MX"/>
        </w:rPr>
        <w:t xml:space="preserve">el </w:t>
      </w:r>
      <w:r w:rsidRPr="00BC572D">
        <w:rPr>
          <w:bCs/>
          <w:color w:val="000000" w:themeColor="text1"/>
          <w:lang w:val="es-MX"/>
        </w:rPr>
        <w:t xml:space="preserve">INDE </w:t>
      </w:r>
      <w:r>
        <w:rPr>
          <w:bCs/>
          <w:color w:val="000000" w:themeColor="text1"/>
          <w:lang w:val="es-MX"/>
        </w:rPr>
        <w:t>tiene</w:t>
      </w:r>
      <w:r w:rsidRPr="00BC572D">
        <w:rPr>
          <w:bCs/>
          <w:color w:val="000000" w:themeColor="text1"/>
          <w:lang w:val="es-MX"/>
        </w:rPr>
        <w:t xml:space="preserve"> obligaciones financieras equivalentes al </w:t>
      </w:r>
      <w:r>
        <w:rPr>
          <w:bCs/>
          <w:color w:val="000000" w:themeColor="text1"/>
          <w:lang w:val="es-MX"/>
        </w:rPr>
        <w:t>27</w:t>
      </w:r>
      <w:r w:rsidRPr="00BC572D">
        <w:rPr>
          <w:bCs/>
          <w:color w:val="000000" w:themeColor="text1"/>
          <w:lang w:val="es-MX"/>
        </w:rPr>
        <w:t>.</w:t>
      </w:r>
      <w:r>
        <w:rPr>
          <w:bCs/>
          <w:color w:val="000000" w:themeColor="text1"/>
          <w:lang w:val="es-MX"/>
        </w:rPr>
        <w:t>0</w:t>
      </w:r>
      <w:r w:rsidRPr="00BC572D">
        <w:rPr>
          <w:bCs/>
          <w:color w:val="000000" w:themeColor="text1"/>
          <w:lang w:val="es-MX"/>
        </w:rPr>
        <w:t>% (Q</w:t>
      </w:r>
      <w:r>
        <w:rPr>
          <w:bCs/>
          <w:color w:val="000000" w:themeColor="text1"/>
          <w:lang w:val="es-MX"/>
        </w:rPr>
        <w:t>886</w:t>
      </w:r>
      <w:r w:rsidRPr="00BC572D">
        <w:rPr>
          <w:bCs/>
          <w:color w:val="000000" w:themeColor="text1"/>
          <w:lang w:val="es-MX"/>
        </w:rPr>
        <w:t>.</w:t>
      </w:r>
      <w:r>
        <w:rPr>
          <w:bCs/>
          <w:color w:val="000000" w:themeColor="text1"/>
          <w:lang w:val="es-MX"/>
        </w:rPr>
        <w:t>8</w:t>
      </w:r>
      <w:r w:rsidRPr="00BC572D">
        <w:rPr>
          <w:bCs/>
          <w:color w:val="000000" w:themeColor="text1"/>
          <w:lang w:val="es-MX"/>
        </w:rPr>
        <w:t xml:space="preserve"> millones)</w:t>
      </w:r>
      <w:r>
        <w:rPr>
          <w:bCs/>
          <w:color w:val="000000" w:themeColor="text1"/>
          <w:lang w:val="es-MX"/>
        </w:rPr>
        <w:t xml:space="preserve"> y redujeron su indicador en 5.8 puntos porcentuales</w:t>
      </w:r>
      <w:r w:rsidRPr="00BC572D">
        <w:rPr>
          <w:bCs/>
          <w:color w:val="000000" w:themeColor="text1"/>
          <w:lang w:val="es-MX"/>
        </w:rPr>
        <w:t xml:space="preserve">, EPQ </w:t>
      </w:r>
      <w:r>
        <w:rPr>
          <w:bCs/>
          <w:color w:val="000000" w:themeColor="text1"/>
          <w:lang w:val="es-MX"/>
        </w:rPr>
        <w:t>tiene 11.7</w:t>
      </w:r>
      <w:r w:rsidRPr="00BC572D">
        <w:rPr>
          <w:bCs/>
          <w:color w:val="000000" w:themeColor="text1"/>
          <w:lang w:val="es-MX"/>
        </w:rPr>
        <w:t>% (Q</w:t>
      </w:r>
      <w:r>
        <w:rPr>
          <w:bCs/>
          <w:color w:val="000000" w:themeColor="text1"/>
          <w:lang w:val="es-MX"/>
        </w:rPr>
        <w:t>93</w:t>
      </w:r>
      <w:r w:rsidRPr="00BC572D">
        <w:rPr>
          <w:bCs/>
          <w:color w:val="000000" w:themeColor="text1"/>
          <w:lang w:val="es-MX"/>
        </w:rPr>
        <w:t>.</w:t>
      </w:r>
      <w:r>
        <w:rPr>
          <w:bCs/>
          <w:color w:val="000000" w:themeColor="text1"/>
          <w:lang w:val="es-MX"/>
        </w:rPr>
        <w:t>5</w:t>
      </w:r>
      <w:r w:rsidRPr="00BC572D">
        <w:rPr>
          <w:bCs/>
          <w:color w:val="000000" w:themeColor="text1"/>
          <w:lang w:val="es-MX"/>
        </w:rPr>
        <w:t xml:space="preserve"> millones)</w:t>
      </w:r>
      <w:r>
        <w:rPr>
          <w:bCs/>
          <w:color w:val="000000" w:themeColor="text1"/>
          <w:lang w:val="es-MX"/>
        </w:rPr>
        <w:t xml:space="preserve"> y es un aumento de 2.0 puntos porcentuales</w:t>
      </w:r>
      <w:r w:rsidRPr="00BC572D">
        <w:rPr>
          <w:bCs/>
          <w:color w:val="000000" w:themeColor="text1"/>
          <w:lang w:val="es-MX"/>
        </w:rPr>
        <w:t xml:space="preserve">, EMPORNAC con el </w:t>
      </w:r>
      <w:r>
        <w:rPr>
          <w:bCs/>
          <w:color w:val="000000" w:themeColor="text1"/>
          <w:lang w:val="es-MX"/>
        </w:rPr>
        <w:t>5</w:t>
      </w:r>
      <w:r w:rsidRPr="00BC572D">
        <w:rPr>
          <w:bCs/>
          <w:color w:val="000000" w:themeColor="text1"/>
          <w:lang w:val="es-MX"/>
        </w:rPr>
        <w:t>.</w:t>
      </w:r>
      <w:r>
        <w:rPr>
          <w:bCs/>
          <w:color w:val="000000" w:themeColor="text1"/>
          <w:lang w:val="es-MX"/>
        </w:rPr>
        <w:t>2</w:t>
      </w:r>
      <w:r w:rsidRPr="00BC572D">
        <w:rPr>
          <w:bCs/>
          <w:color w:val="000000" w:themeColor="text1"/>
          <w:lang w:val="es-MX"/>
        </w:rPr>
        <w:t>% (Q</w:t>
      </w:r>
      <w:r>
        <w:rPr>
          <w:bCs/>
          <w:color w:val="000000" w:themeColor="text1"/>
          <w:lang w:val="es-MX"/>
        </w:rPr>
        <w:t>39.4</w:t>
      </w:r>
      <w:r w:rsidRPr="00BC572D">
        <w:rPr>
          <w:bCs/>
          <w:color w:val="000000" w:themeColor="text1"/>
          <w:lang w:val="es-MX"/>
        </w:rPr>
        <w:t xml:space="preserve"> millones)</w:t>
      </w:r>
      <w:r>
        <w:rPr>
          <w:bCs/>
          <w:color w:val="000000" w:themeColor="text1"/>
          <w:lang w:val="es-MX"/>
        </w:rPr>
        <w:t xml:space="preserve"> siendo un aumento de 0.4 puntos porcentuales </w:t>
      </w:r>
      <w:r w:rsidRPr="00BC572D">
        <w:rPr>
          <w:bCs/>
          <w:color w:val="000000" w:themeColor="text1"/>
          <w:lang w:val="es-MX"/>
        </w:rPr>
        <w:t>y por último EPNCH con un equivalente al 0.</w:t>
      </w:r>
      <w:r>
        <w:rPr>
          <w:bCs/>
          <w:color w:val="000000" w:themeColor="text1"/>
          <w:lang w:val="es-MX"/>
        </w:rPr>
        <w:t>7</w:t>
      </w:r>
      <w:r w:rsidRPr="00BC572D">
        <w:rPr>
          <w:bCs/>
          <w:color w:val="000000" w:themeColor="text1"/>
          <w:lang w:val="es-MX"/>
        </w:rPr>
        <w:t>% (Q0.0</w:t>
      </w:r>
      <w:r>
        <w:rPr>
          <w:bCs/>
          <w:color w:val="000000" w:themeColor="text1"/>
          <w:lang w:val="es-MX"/>
        </w:rPr>
        <w:t>4</w:t>
      </w:r>
      <w:r w:rsidRPr="00BC572D">
        <w:rPr>
          <w:bCs/>
          <w:color w:val="000000" w:themeColor="text1"/>
          <w:lang w:val="es-MX"/>
        </w:rPr>
        <w:t xml:space="preserve"> millones) respecto a </w:t>
      </w:r>
      <w:r>
        <w:rPr>
          <w:bCs/>
          <w:color w:val="000000" w:themeColor="text1"/>
          <w:lang w:val="es-MX"/>
        </w:rPr>
        <w:t>sus</w:t>
      </w:r>
      <w:r w:rsidRPr="00BC572D">
        <w:rPr>
          <w:bCs/>
          <w:color w:val="000000" w:themeColor="text1"/>
          <w:lang w:val="es-MX"/>
        </w:rPr>
        <w:t xml:space="preserve"> ingresos</w:t>
      </w:r>
      <w:r>
        <w:rPr>
          <w:bCs/>
          <w:color w:val="000000" w:themeColor="text1"/>
          <w:lang w:val="es-MX"/>
        </w:rPr>
        <w:t xml:space="preserve"> y un aumento de 0.6 puntos porcentuales respecto a su indicador de 2021</w:t>
      </w:r>
      <w:r w:rsidRPr="00BC572D">
        <w:rPr>
          <w:bCs/>
          <w:color w:val="000000" w:themeColor="text1"/>
          <w:lang w:val="es-MX"/>
        </w:rPr>
        <w:t>.</w:t>
      </w:r>
    </w:p>
    <w:p w14:paraId="0500CB63" w14:textId="77777777" w:rsidR="005F38A6" w:rsidRDefault="005F38A6" w:rsidP="005F38A6">
      <w:pPr>
        <w:spacing w:line="259" w:lineRule="auto"/>
        <w:ind w:left="567"/>
        <w:jc w:val="both"/>
        <w:rPr>
          <w:rFonts w:eastAsia="Calibri"/>
        </w:rPr>
      </w:pPr>
    </w:p>
    <w:p w14:paraId="2575EC0A" w14:textId="29E1B4C3" w:rsidR="00C66E93" w:rsidRPr="00C66E93" w:rsidRDefault="00C66E93" w:rsidP="00C66E93">
      <w:pPr>
        <w:keepNext/>
        <w:jc w:val="center"/>
        <w:rPr>
          <w:b/>
          <w:bCs/>
        </w:rPr>
      </w:pPr>
      <w:bookmarkStart w:id="521" w:name="_Toc143593634"/>
      <w:r w:rsidRPr="00C66E93">
        <w:rPr>
          <w:b/>
          <w:bCs/>
        </w:rPr>
        <w:t xml:space="preserve">Gráfico </w:t>
      </w:r>
      <w:r w:rsidRPr="00C66E93">
        <w:rPr>
          <w:b/>
          <w:bCs/>
        </w:rPr>
        <w:fldChar w:fldCharType="begin"/>
      </w:r>
      <w:r w:rsidRPr="00C66E93">
        <w:rPr>
          <w:b/>
          <w:bCs/>
        </w:rPr>
        <w:instrText xml:space="preserve"> SEQ Gráfico \* ARABIC </w:instrText>
      </w:r>
      <w:r w:rsidRPr="00C66E93">
        <w:rPr>
          <w:b/>
          <w:bCs/>
        </w:rPr>
        <w:fldChar w:fldCharType="separate"/>
      </w:r>
      <w:r w:rsidR="00A62AFA">
        <w:rPr>
          <w:b/>
          <w:bCs/>
          <w:noProof/>
        </w:rPr>
        <w:t>76</w:t>
      </w:r>
      <w:r w:rsidRPr="00C66E93">
        <w:rPr>
          <w:b/>
          <w:bCs/>
        </w:rPr>
        <w:fldChar w:fldCharType="end"/>
      </w:r>
      <w:r w:rsidRPr="00C66E93">
        <w:rPr>
          <w:b/>
          <w:bCs/>
        </w:rPr>
        <w:t xml:space="preserve">. </w:t>
      </w:r>
      <w:bookmarkStart w:id="522" w:name="_Toc114493899"/>
      <w:r w:rsidRPr="00C66E93">
        <w:rPr>
          <w:b/>
          <w:bCs/>
          <w:lang w:val="es-MX"/>
        </w:rPr>
        <w:t>Obligaciones financieras de las Empresas Públicas</w:t>
      </w:r>
      <w:bookmarkEnd w:id="522"/>
      <w:r w:rsidRPr="00C66E93">
        <w:rPr>
          <w:b/>
          <w:bCs/>
          <w:lang w:val="es-MX"/>
        </w:rPr>
        <w:t xml:space="preserve"> No Financieras</w:t>
      </w:r>
      <w:bookmarkEnd w:id="521"/>
    </w:p>
    <w:p w14:paraId="013DFC62" w14:textId="77777777" w:rsidR="005F38A6" w:rsidRPr="00C66E93" w:rsidRDefault="005F38A6" w:rsidP="005F38A6">
      <w:pPr>
        <w:ind w:left="785" w:right="49"/>
        <w:jc w:val="center"/>
        <w:rPr>
          <w:sz w:val="22"/>
          <w:szCs w:val="22"/>
          <w:lang w:val="es-MX"/>
        </w:rPr>
      </w:pPr>
      <w:r w:rsidRPr="00C66E93">
        <w:rPr>
          <w:sz w:val="22"/>
          <w:szCs w:val="22"/>
          <w:lang w:val="es-MX"/>
        </w:rPr>
        <w:t>Para el año 2022</w:t>
      </w:r>
    </w:p>
    <w:p w14:paraId="4207FB37" w14:textId="77777777" w:rsidR="005F38A6" w:rsidRPr="00C66E93" w:rsidRDefault="005F38A6" w:rsidP="005F38A6">
      <w:pPr>
        <w:jc w:val="center"/>
        <w:rPr>
          <w:sz w:val="22"/>
          <w:szCs w:val="22"/>
        </w:rPr>
      </w:pPr>
      <w:r w:rsidRPr="00C66E93">
        <w:rPr>
          <w:sz w:val="22"/>
          <w:szCs w:val="22"/>
        </w:rPr>
        <w:t>Como porcentaje de sus ingresos totales</w:t>
      </w:r>
    </w:p>
    <w:tbl>
      <w:tblPr>
        <w:tblStyle w:val="Tabladecuadrcula4-nfasis11"/>
        <w:tblW w:w="9632" w:type="dxa"/>
        <w:jc w:val="center"/>
        <w:tblCellMar>
          <w:left w:w="70" w:type="dxa"/>
          <w:right w:w="70" w:type="dxa"/>
        </w:tblCellMar>
        <w:tblLook w:val="04A0" w:firstRow="1" w:lastRow="0" w:firstColumn="1" w:lastColumn="0" w:noHBand="0" w:noVBand="1"/>
      </w:tblPr>
      <w:tblGrid>
        <w:gridCol w:w="4816"/>
        <w:gridCol w:w="4816"/>
      </w:tblGrid>
      <w:tr w:rsidR="005F38A6" w:rsidRPr="00F22FB7" w14:paraId="689B140D" w14:textId="77777777" w:rsidTr="007A0B9B">
        <w:trPr>
          <w:cnfStyle w:val="100000000000" w:firstRow="1" w:lastRow="0" w:firstColumn="0" w:lastColumn="0" w:oddVBand="0" w:evenVBand="0" w:oddHBand="0" w:evenHBand="0" w:firstRowFirstColumn="0" w:firstRowLastColumn="0" w:lastRowFirstColumn="0" w:lastRowLastColumn="0"/>
          <w:trHeight w:val="2357"/>
          <w:jc w:val="center"/>
        </w:trPr>
        <w:tc>
          <w:tcPr>
            <w:cnfStyle w:val="001000000000" w:firstRow="0" w:lastRow="0" w:firstColumn="1" w:lastColumn="0" w:oddVBand="0" w:evenVBand="0" w:oddHBand="0" w:evenHBand="0" w:firstRowFirstColumn="0" w:firstRowLastColumn="0" w:lastRowFirstColumn="0" w:lastRowLastColumn="0"/>
            <w:tcW w:w="4816" w:type="dxa"/>
            <w:tcBorders>
              <w:top w:val="nil"/>
              <w:left w:val="nil"/>
              <w:bottom w:val="nil"/>
            </w:tcBorders>
            <w:shd w:val="clear" w:color="auto" w:fill="auto"/>
          </w:tcPr>
          <w:p w14:paraId="473D4EFD" w14:textId="77777777" w:rsidR="005F38A6" w:rsidRPr="00F22FB7" w:rsidRDefault="005F38A6" w:rsidP="006A7377">
            <w:pPr>
              <w:spacing w:after="160" w:line="259" w:lineRule="auto"/>
              <w:jc w:val="both"/>
              <w:rPr>
                <w:rFonts w:eastAsia="Calibri"/>
                <w:sz w:val="18"/>
              </w:rPr>
            </w:pPr>
            <w:r>
              <w:rPr>
                <w:rFonts w:eastAsia="Calibri"/>
                <w:noProof/>
              </w:rPr>
              <w:drawing>
                <wp:inline distT="0" distB="0" distL="0" distR="0" wp14:anchorId="579F4EAD" wp14:editId="5BF1C18C">
                  <wp:extent cx="2926080" cy="2488565"/>
                  <wp:effectExtent l="0" t="0" r="7620" b="698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c>
          <w:tcPr>
            <w:tcW w:w="4816" w:type="dxa"/>
            <w:tcBorders>
              <w:top w:val="nil"/>
              <w:bottom w:val="nil"/>
              <w:right w:val="nil"/>
            </w:tcBorders>
            <w:shd w:val="clear" w:color="auto" w:fill="auto"/>
          </w:tcPr>
          <w:p w14:paraId="160C1555" w14:textId="77777777" w:rsidR="005F38A6" w:rsidRPr="00F22FB7" w:rsidRDefault="005F38A6" w:rsidP="006A7377">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eastAsia="Calibri"/>
                <w:sz w:val="6"/>
              </w:rPr>
            </w:pPr>
            <w:r>
              <w:rPr>
                <w:rFonts w:eastAsia="Calibri"/>
                <w:noProof/>
              </w:rPr>
              <w:drawing>
                <wp:inline distT="0" distB="0" distL="0" distR="0" wp14:anchorId="564546D9" wp14:editId="44C13B13">
                  <wp:extent cx="2926080" cy="2488759"/>
                  <wp:effectExtent l="0" t="0" r="7620" b="6985"/>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bl>
    <w:p w14:paraId="205D1D14" w14:textId="77777777" w:rsidR="005F38A6" w:rsidRPr="00706DBC" w:rsidRDefault="005F38A6" w:rsidP="005F38A6">
      <w:pPr>
        <w:jc w:val="both"/>
        <w:rPr>
          <w:rFonts w:eastAsia="Calibri"/>
          <w:sz w:val="16"/>
        </w:rPr>
      </w:pPr>
      <w:r w:rsidRPr="00706DBC">
        <w:rPr>
          <w:rFonts w:eastAsia="Calibri"/>
          <w:sz w:val="16"/>
        </w:rPr>
        <w:t xml:space="preserve">Fuente: </w:t>
      </w:r>
      <w:proofErr w:type="spellStart"/>
      <w:r w:rsidRPr="00706DBC">
        <w:rPr>
          <w:rFonts w:eastAsia="Calibri"/>
          <w:sz w:val="16"/>
        </w:rPr>
        <w:t>Sicoin</w:t>
      </w:r>
      <w:proofErr w:type="spellEnd"/>
      <w:r w:rsidRPr="00706DBC">
        <w:rPr>
          <w:rFonts w:eastAsia="Calibri"/>
          <w:sz w:val="16"/>
        </w:rPr>
        <w:t>.</w:t>
      </w:r>
    </w:p>
    <w:p w14:paraId="3A676046" w14:textId="77777777" w:rsidR="005F38A6" w:rsidRDefault="005F38A6" w:rsidP="005F38A6">
      <w:pPr>
        <w:jc w:val="both"/>
        <w:rPr>
          <w:bCs/>
          <w:color w:val="000000" w:themeColor="text1"/>
          <w:lang w:val="es-MX"/>
        </w:rPr>
      </w:pPr>
      <w:r>
        <w:rPr>
          <w:bCs/>
          <w:color w:val="000000" w:themeColor="text1"/>
        </w:rPr>
        <w:lastRenderedPageBreak/>
        <w:t>Respecto a las Empresas Públicas No Financieras Municipales</w:t>
      </w:r>
      <w:r w:rsidRPr="00BC572D">
        <w:rPr>
          <w:bCs/>
          <w:color w:val="000000" w:themeColor="text1"/>
          <w:lang w:val="es-MX"/>
        </w:rPr>
        <w:t>,</w:t>
      </w:r>
      <w:r>
        <w:rPr>
          <w:bCs/>
          <w:color w:val="000000" w:themeColor="text1"/>
          <w:lang w:val="es-MX"/>
        </w:rPr>
        <w:t xml:space="preserve"> en 2022 hubieron 4 entidades cuyas obligaciones financieras superan el 100% de sus ingresos, siendo la Empresa de Eléctrica de Jalapa, que tiene la mayor obligación financiera respecto a su nivel de ingresos con un indicador del 375.6% (Q176.3 millones) de los cuales la totalidad se produce por las otras obligaciones, ya que no cuenta con endeudamiento por préstamo y es oportuno mencionar que su indicador bajo en 18.2 puntos porcentuales respecto al año previo. </w:t>
      </w:r>
    </w:p>
    <w:p w14:paraId="2AE542E2" w14:textId="77777777" w:rsidR="005F38A6" w:rsidRDefault="005F38A6" w:rsidP="005F38A6">
      <w:pPr>
        <w:jc w:val="both"/>
        <w:rPr>
          <w:bCs/>
          <w:color w:val="000000" w:themeColor="text1"/>
          <w:lang w:val="es-MX"/>
        </w:rPr>
      </w:pPr>
    </w:p>
    <w:p w14:paraId="3843AFB2" w14:textId="77777777" w:rsidR="005F38A6" w:rsidRDefault="005F38A6" w:rsidP="005F38A6">
      <w:pPr>
        <w:jc w:val="both"/>
        <w:rPr>
          <w:bCs/>
          <w:color w:val="000000" w:themeColor="text1"/>
          <w:lang w:val="es-MX"/>
        </w:rPr>
      </w:pPr>
      <w:r>
        <w:rPr>
          <w:bCs/>
          <w:color w:val="000000" w:themeColor="text1"/>
          <w:lang w:val="es-MX"/>
        </w:rPr>
        <w:t>La segunda empresa con el indicador más alto es la Empresa Eléctrica de Puerto Barrios con un 274.7% (Q317.6 millones) y es una disminución de 9.2 puntos porcentuales respecto a lo observado en su indicador del año anterior. Le sigue la Empresa Eléctrica de Guastatoya con un indicador de 218.3% (Q102.9 millones) y es una reducción de 17.4 puntos porcentuales respecto al 2021.</w:t>
      </w:r>
    </w:p>
    <w:p w14:paraId="17B8001B" w14:textId="77777777" w:rsidR="005F38A6" w:rsidRDefault="005F38A6" w:rsidP="005F38A6">
      <w:pPr>
        <w:jc w:val="both"/>
        <w:rPr>
          <w:bCs/>
          <w:color w:val="000000" w:themeColor="text1"/>
          <w:lang w:val="es-MX"/>
        </w:rPr>
      </w:pPr>
    </w:p>
    <w:p w14:paraId="08E8C761" w14:textId="77777777" w:rsidR="005F38A6" w:rsidRDefault="005F38A6" w:rsidP="005F38A6">
      <w:pPr>
        <w:jc w:val="both"/>
        <w:rPr>
          <w:bCs/>
          <w:color w:val="000000" w:themeColor="text1"/>
          <w:lang w:val="es-MX"/>
        </w:rPr>
      </w:pPr>
      <w:r>
        <w:rPr>
          <w:bCs/>
          <w:color w:val="000000" w:themeColor="text1"/>
          <w:lang w:val="es-MX"/>
        </w:rPr>
        <w:t>EMPAGUA tiene un indicador de 132.6% (Q751.2 millones) de obligaciones financieras respecto a su nivel de ingresos y cabe mencionar que la entidad posee endeudamiento por prestamos equivalente al 19.1% (Q108.3 millones) y otras obligaciones por 113.5% (Q642.9 millones) de sus ingresos. Cabe señalar que en términos monetarios posee las obligaciones financieras más significativas de todo este subsector, representando el 54.8% de todas las obligaciones financieras de las Empresas Públicas No Financieras Municipales.</w:t>
      </w:r>
    </w:p>
    <w:p w14:paraId="65359739" w14:textId="77777777" w:rsidR="005F38A6" w:rsidRDefault="005F38A6" w:rsidP="005F38A6">
      <w:pPr>
        <w:jc w:val="both"/>
        <w:rPr>
          <w:bCs/>
          <w:color w:val="000000" w:themeColor="text1"/>
          <w:lang w:val="es-MX"/>
        </w:rPr>
      </w:pPr>
    </w:p>
    <w:p w14:paraId="53F74E62" w14:textId="77777777" w:rsidR="005F38A6" w:rsidRDefault="005F38A6" w:rsidP="005F38A6">
      <w:pPr>
        <w:jc w:val="both"/>
        <w:rPr>
          <w:bCs/>
          <w:color w:val="000000" w:themeColor="text1"/>
          <w:lang w:val="es-MX"/>
        </w:rPr>
      </w:pPr>
      <w:r>
        <w:rPr>
          <w:bCs/>
          <w:color w:val="000000" w:themeColor="text1"/>
          <w:lang w:val="es-MX"/>
        </w:rPr>
        <w:t>En cuanto a E</w:t>
      </w:r>
      <w:r w:rsidRPr="00E15FBA">
        <w:rPr>
          <w:bCs/>
          <w:color w:val="000000" w:themeColor="text1"/>
          <w:lang w:val="es-MX"/>
        </w:rPr>
        <w:t>MAPET</w:t>
      </w:r>
      <w:r>
        <w:rPr>
          <w:bCs/>
          <w:color w:val="000000" w:themeColor="text1"/>
          <w:lang w:val="es-MX"/>
        </w:rPr>
        <w:t>, Empresa Eléctrica de H</w:t>
      </w:r>
      <w:r w:rsidRPr="00E15FBA">
        <w:rPr>
          <w:bCs/>
          <w:color w:val="000000" w:themeColor="text1"/>
          <w:lang w:val="es-MX"/>
        </w:rPr>
        <w:t>uehuetenango</w:t>
      </w:r>
      <w:r>
        <w:rPr>
          <w:bCs/>
          <w:color w:val="000000" w:themeColor="text1"/>
          <w:lang w:val="es-MX"/>
        </w:rPr>
        <w:t>, Empresa Eléctrica de</w:t>
      </w:r>
      <w:r w:rsidRPr="00E15FBA">
        <w:rPr>
          <w:bCs/>
          <w:color w:val="000000" w:themeColor="text1"/>
          <w:lang w:val="es-MX"/>
        </w:rPr>
        <w:t xml:space="preserve"> Z</w:t>
      </w:r>
      <w:r>
        <w:rPr>
          <w:bCs/>
          <w:color w:val="000000" w:themeColor="text1"/>
          <w:lang w:val="es-MX"/>
        </w:rPr>
        <w:t xml:space="preserve">acapa, Empresa de Agua de </w:t>
      </w:r>
      <w:proofErr w:type="spellStart"/>
      <w:r>
        <w:rPr>
          <w:bCs/>
          <w:color w:val="000000" w:themeColor="text1"/>
          <w:lang w:val="es-MX"/>
        </w:rPr>
        <w:t>Jalapagua</w:t>
      </w:r>
      <w:proofErr w:type="spellEnd"/>
      <w:r>
        <w:rPr>
          <w:bCs/>
          <w:color w:val="000000" w:themeColor="text1"/>
          <w:lang w:val="es-MX"/>
        </w:rPr>
        <w:t xml:space="preserve">, la Empresa de Transporte de Guatemala, Empresa Eléctrica de </w:t>
      </w:r>
      <w:proofErr w:type="spellStart"/>
      <w:r>
        <w:rPr>
          <w:bCs/>
          <w:color w:val="000000" w:themeColor="text1"/>
          <w:lang w:val="es-MX"/>
        </w:rPr>
        <w:t>Gualan</w:t>
      </w:r>
      <w:proofErr w:type="spellEnd"/>
      <w:r>
        <w:rPr>
          <w:bCs/>
          <w:color w:val="000000" w:themeColor="text1"/>
          <w:lang w:val="es-MX"/>
        </w:rPr>
        <w:t xml:space="preserve"> y la Empresa Eléctrica de</w:t>
      </w:r>
      <w:r w:rsidRPr="00E15FBA">
        <w:rPr>
          <w:bCs/>
          <w:color w:val="000000" w:themeColor="text1"/>
          <w:lang w:val="es-MX"/>
        </w:rPr>
        <w:t xml:space="preserve"> </w:t>
      </w:r>
      <w:r>
        <w:rPr>
          <w:bCs/>
          <w:color w:val="000000" w:themeColor="text1"/>
          <w:lang w:val="es-MX"/>
        </w:rPr>
        <w:t xml:space="preserve">Joyabaj tuvieron indicadores por </w:t>
      </w:r>
      <w:r w:rsidRPr="00364891">
        <w:rPr>
          <w:bCs/>
          <w:color w:val="000000" w:themeColor="text1"/>
          <w:lang w:val="es-MX"/>
        </w:rPr>
        <w:t>11.8%</w:t>
      </w:r>
      <w:r>
        <w:rPr>
          <w:bCs/>
          <w:color w:val="000000" w:themeColor="text1"/>
          <w:lang w:val="es-MX"/>
        </w:rPr>
        <w:t xml:space="preserve"> (Q2.7 millones), </w:t>
      </w:r>
      <w:r w:rsidRPr="00364891">
        <w:rPr>
          <w:bCs/>
          <w:color w:val="000000" w:themeColor="text1"/>
          <w:lang w:val="es-MX"/>
        </w:rPr>
        <w:t>10.9%</w:t>
      </w:r>
      <w:r>
        <w:rPr>
          <w:bCs/>
          <w:color w:val="000000" w:themeColor="text1"/>
          <w:lang w:val="es-MX"/>
        </w:rPr>
        <w:t xml:space="preserve"> (Q8.1 millones), </w:t>
      </w:r>
      <w:r w:rsidRPr="00364891">
        <w:rPr>
          <w:bCs/>
          <w:color w:val="000000" w:themeColor="text1"/>
          <w:lang w:val="es-MX"/>
        </w:rPr>
        <w:t>7.9%</w:t>
      </w:r>
      <w:r>
        <w:rPr>
          <w:bCs/>
          <w:color w:val="000000" w:themeColor="text1"/>
          <w:lang w:val="es-MX"/>
        </w:rPr>
        <w:t xml:space="preserve"> (Q6.7 millones), </w:t>
      </w:r>
      <w:r w:rsidRPr="00364891">
        <w:rPr>
          <w:bCs/>
          <w:color w:val="000000" w:themeColor="text1"/>
          <w:lang w:val="es-MX"/>
        </w:rPr>
        <w:t>5.2%</w:t>
      </w:r>
      <w:r>
        <w:rPr>
          <w:bCs/>
          <w:color w:val="000000" w:themeColor="text1"/>
          <w:lang w:val="es-MX"/>
        </w:rPr>
        <w:t xml:space="preserve"> (Q0.4 millones), </w:t>
      </w:r>
      <w:r w:rsidRPr="00364891">
        <w:rPr>
          <w:bCs/>
          <w:color w:val="000000" w:themeColor="text1"/>
          <w:lang w:val="es-MX"/>
        </w:rPr>
        <w:t>3.9%</w:t>
      </w:r>
      <w:r>
        <w:rPr>
          <w:bCs/>
          <w:color w:val="000000" w:themeColor="text1"/>
          <w:lang w:val="es-MX"/>
        </w:rPr>
        <w:t xml:space="preserve"> (Q4.2 millones), </w:t>
      </w:r>
      <w:r w:rsidRPr="00364891">
        <w:rPr>
          <w:bCs/>
          <w:color w:val="000000" w:themeColor="text1"/>
          <w:lang w:val="es-MX"/>
        </w:rPr>
        <w:t>0.3%</w:t>
      </w:r>
      <w:r>
        <w:rPr>
          <w:bCs/>
          <w:color w:val="000000" w:themeColor="text1"/>
          <w:lang w:val="es-MX"/>
        </w:rPr>
        <w:t xml:space="preserve"> (Q0.06 millones) y el </w:t>
      </w:r>
      <w:r w:rsidRPr="00364891">
        <w:rPr>
          <w:bCs/>
          <w:color w:val="000000" w:themeColor="text1"/>
          <w:lang w:val="es-MX"/>
        </w:rPr>
        <w:t>0.1%</w:t>
      </w:r>
      <w:r>
        <w:rPr>
          <w:bCs/>
          <w:color w:val="000000" w:themeColor="text1"/>
          <w:lang w:val="es-MX"/>
        </w:rPr>
        <w:t xml:space="preserve"> (Q0.05 millones) respectivamente. Las 4 empresas restantes no poseen obligaciones financieras.  </w:t>
      </w:r>
    </w:p>
    <w:p w14:paraId="5186D5ED" w14:textId="77777777" w:rsidR="005F38A6" w:rsidRDefault="005F38A6" w:rsidP="005F38A6">
      <w:pPr>
        <w:jc w:val="both"/>
        <w:rPr>
          <w:bCs/>
          <w:color w:val="000000" w:themeColor="text1"/>
          <w:lang w:val="es-MX"/>
        </w:rPr>
      </w:pPr>
    </w:p>
    <w:p w14:paraId="3CC9B426" w14:textId="19BD6542" w:rsidR="005F38A6" w:rsidRPr="00D73789" w:rsidRDefault="00D73789" w:rsidP="007F19DF">
      <w:pPr>
        <w:pStyle w:val="Ttulo2"/>
        <w:numPr>
          <w:ilvl w:val="1"/>
          <w:numId w:val="35"/>
        </w:numPr>
        <w:ind w:left="426" w:hanging="284"/>
        <w:rPr>
          <w:bCs/>
          <w:sz w:val="22"/>
          <w:szCs w:val="22"/>
        </w:rPr>
      </w:pPr>
      <w:bookmarkStart w:id="523" w:name="_Toc114495271"/>
      <w:r>
        <w:rPr>
          <w:bCs/>
          <w:sz w:val="22"/>
          <w:szCs w:val="22"/>
        </w:rPr>
        <w:t xml:space="preserve"> </w:t>
      </w:r>
      <w:bookmarkStart w:id="524" w:name="_Toc144114417"/>
      <w:r>
        <w:rPr>
          <w:bCs/>
          <w:sz w:val="22"/>
          <w:szCs w:val="22"/>
        </w:rPr>
        <w:t>L</w:t>
      </w:r>
      <w:r w:rsidRPr="00D73789">
        <w:rPr>
          <w:bCs/>
          <w:sz w:val="22"/>
          <w:szCs w:val="22"/>
        </w:rPr>
        <w:t>iquidez financiera</w:t>
      </w:r>
      <w:bookmarkEnd w:id="523"/>
      <w:r w:rsidRPr="00D73789">
        <w:rPr>
          <w:bCs/>
          <w:sz w:val="22"/>
          <w:szCs w:val="22"/>
        </w:rPr>
        <w:t xml:space="preserve"> como grupo institucional</w:t>
      </w:r>
      <w:bookmarkEnd w:id="524"/>
    </w:p>
    <w:p w14:paraId="2110E17C" w14:textId="77777777" w:rsidR="005F38A6" w:rsidRDefault="005F38A6" w:rsidP="005F38A6">
      <w:pPr>
        <w:jc w:val="both"/>
      </w:pPr>
    </w:p>
    <w:p w14:paraId="1FA7170F" w14:textId="77777777" w:rsidR="005F38A6" w:rsidRDefault="005F38A6" w:rsidP="005F38A6">
      <w:pPr>
        <w:jc w:val="both"/>
      </w:pPr>
      <w:r>
        <w:t>Durante el 2022, las Empresas Públicas No Financieras Nacionales, como subgrupo institucional, mantuvieron un alto nivel de liquidez teniendo un indicador de 14.3 veces en el que sus activos corrientes superan a sus pasivos corrientes. En cuanto a las Empresas Públicas No Financieras Municipales, su nivel de liquidez disminuyó a 2.7 veces, siendo una caída de 1.2 respecto al indicador observado en el año previo.</w:t>
      </w:r>
    </w:p>
    <w:p w14:paraId="682C5916" w14:textId="77777777" w:rsidR="005F38A6" w:rsidRDefault="005F38A6" w:rsidP="005F38A6">
      <w:pPr>
        <w:jc w:val="both"/>
      </w:pPr>
    </w:p>
    <w:p w14:paraId="08629B81" w14:textId="77777777" w:rsidR="005F38A6" w:rsidRDefault="005F38A6" w:rsidP="005F38A6">
      <w:pPr>
        <w:jc w:val="both"/>
      </w:pPr>
      <w:r w:rsidRPr="003F453F">
        <w:t>Cabe mencionar que la reducción de liquidez no debe ser considerado como un indicador negativo, ya que mantener un alto grado de liquidez implica también la existencia de recursos ociosos y considerando que estas son empresas públicas, una liquidez muy alta puede ser contraproducente para el giro del negocio. También es importante recalcar que el tener el indicador de liquidez financiera menor a 1 puede ser considerado como un riesgo, derivado de los problemas que podrían surgir en las capacidades financieras para hacer frente a compromisos de pago a corto plazo.</w:t>
      </w:r>
    </w:p>
    <w:p w14:paraId="49F456AA" w14:textId="77777777" w:rsidR="005F38A6" w:rsidRDefault="005F38A6" w:rsidP="005F38A6">
      <w:pPr>
        <w:jc w:val="both"/>
      </w:pPr>
    </w:p>
    <w:p w14:paraId="3DAD9771" w14:textId="77777777" w:rsidR="005F38A6" w:rsidRDefault="005F38A6" w:rsidP="005F38A6">
      <w:pPr>
        <w:jc w:val="both"/>
      </w:pPr>
    </w:p>
    <w:p w14:paraId="2CE2652E" w14:textId="77777777" w:rsidR="009D7DE4" w:rsidRDefault="009D7DE4" w:rsidP="005F38A6">
      <w:pPr>
        <w:jc w:val="both"/>
      </w:pPr>
    </w:p>
    <w:p w14:paraId="1F35167A" w14:textId="755A1C80" w:rsidR="005F38A6" w:rsidRDefault="005F38A6" w:rsidP="005F38A6">
      <w:pPr>
        <w:jc w:val="both"/>
      </w:pPr>
    </w:p>
    <w:p w14:paraId="1D04578F" w14:textId="77777777" w:rsidR="00C66E93" w:rsidRDefault="00C66E93" w:rsidP="00C66E93">
      <w:pPr>
        <w:jc w:val="center"/>
      </w:pPr>
    </w:p>
    <w:p w14:paraId="52AC0B67" w14:textId="1840E461" w:rsidR="005F38A6" w:rsidRPr="00C66E93" w:rsidRDefault="00C66E93" w:rsidP="00C66E93">
      <w:pPr>
        <w:pStyle w:val="Descripcin"/>
        <w:rPr>
          <w:b w:val="0"/>
          <w:bCs/>
          <w:color w:val="auto"/>
          <w:lang w:val="es-MX"/>
        </w:rPr>
      </w:pPr>
      <w:bookmarkStart w:id="525" w:name="_Toc143593635"/>
      <w:r w:rsidRPr="00C66E93">
        <w:rPr>
          <w:color w:val="auto"/>
        </w:rPr>
        <w:lastRenderedPageBreak/>
        <w:t xml:space="preserve">Gráfico </w:t>
      </w:r>
      <w:r w:rsidRPr="00C66E93">
        <w:rPr>
          <w:color w:val="auto"/>
        </w:rPr>
        <w:fldChar w:fldCharType="begin"/>
      </w:r>
      <w:r w:rsidRPr="00C66E93">
        <w:rPr>
          <w:color w:val="auto"/>
        </w:rPr>
        <w:instrText xml:space="preserve"> SEQ Gráfico \* ARABIC </w:instrText>
      </w:r>
      <w:r w:rsidRPr="00C66E93">
        <w:rPr>
          <w:color w:val="auto"/>
        </w:rPr>
        <w:fldChar w:fldCharType="separate"/>
      </w:r>
      <w:r w:rsidR="00A62AFA">
        <w:rPr>
          <w:noProof/>
          <w:color w:val="auto"/>
        </w:rPr>
        <w:t>77</w:t>
      </w:r>
      <w:r w:rsidRPr="00C66E93">
        <w:rPr>
          <w:color w:val="auto"/>
        </w:rPr>
        <w:fldChar w:fldCharType="end"/>
      </w:r>
      <w:r w:rsidRPr="00C66E93">
        <w:rPr>
          <w:color w:val="auto"/>
        </w:rPr>
        <w:t xml:space="preserve">.  </w:t>
      </w:r>
      <w:bookmarkStart w:id="526" w:name="_Toc114493900"/>
      <w:r w:rsidRPr="00C66E93">
        <w:rPr>
          <w:bCs/>
          <w:color w:val="auto"/>
          <w:lang w:val="es-MX"/>
        </w:rPr>
        <w:t>Liquidez Financiera Empresas Públicas</w:t>
      </w:r>
      <w:bookmarkEnd w:id="526"/>
      <w:r w:rsidRPr="00C66E93">
        <w:rPr>
          <w:bCs/>
          <w:color w:val="auto"/>
          <w:lang w:val="es-MX"/>
        </w:rPr>
        <w:t xml:space="preserve"> No Financieras</w:t>
      </w:r>
      <w:bookmarkEnd w:id="525"/>
    </w:p>
    <w:p w14:paraId="2D3E5A64" w14:textId="77777777" w:rsidR="005F38A6" w:rsidRDefault="005F38A6" w:rsidP="005F38A6">
      <w:pPr>
        <w:jc w:val="center"/>
      </w:pPr>
      <w:r w:rsidRPr="003F453F">
        <w:t>Cantidad de veces que el activo corriente supera al pasivo corriente</w:t>
      </w:r>
    </w:p>
    <w:tbl>
      <w:tblPr>
        <w:tblW w:w="9182" w:type="dxa"/>
        <w:jc w:val="center"/>
        <w:tblLook w:val="04A0" w:firstRow="1" w:lastRow="0" w:firstColumn="1" w:lastColumn="0" w:noHBand="0" w:noVBand="1"/>
      </w:tblPr>
      <w:tblGrid>
        <w:gridCol w:w="4681"/>
        <w:gridCol w:w="4501"/>
      </w:tblGrid>
      <w:tr w:rsidR="005F38A6" w14:paraId="2D855C12" w14:textId="77777777" w:rsidTr="006A7377">
        <w:trPr>
          <w:trHeight w:val="2551"/>
          <w:jc w:val="center"/>
        </w:trPr>
        <w:tc>
          <w:tcPr>
            <w:tcW w:w="4681" w:type="dxa"/>
            <w:tcBorders>
              <w:right w:val="single" w:sz="4" w:space="0" w:color="auto"/>
            </w:tcBorders>
          </w:tcPr>
          <w:p w14:paraId="48E21C3C" w14:textId="77777777" w:rsidR="005F38A6" w:rsidRPr="00454230" w:rsidRDefault="005F38A6" w:rsidP="00C66E93">
            <w:pPr>
              <w:jc w:val="center"/>
              <w:rPr>
                <w:bCs/>
                <w:noProof/>
                <w:szCs w:val="22"/>
              </w:rPr>
            </w:pPr>
            <w:r w:rsidRPr="00454230">
              <w:rPr>
                <w:bCs/>
                <w:sz w:val="22"/>
                <w:szCs w:val="22"/>
              </w:rPr>
              <w:t>Nacionales</w:t>
            </w:r>
          </w:p>
          <w:p w14:paraId="256205F6" w14:textId="77777777" w:rsidR="005F38A6" w:rsidRDefault="005F38A6" w:rsidP="006A7377">
            <w:pPr>
              <w:rPr>
                <w:sz w:val="22"/>
              </w:rPr>
            </w:pPr>
            <w:r>
              <w:rPr>
                <w:noProof/>
                <w:sz w:val="22"/>
              </w:rPr>
              <w:drawing>
                <wp:inline distT="0" distB="0" distL="0" distR="0" wp14:anchorId="52206EB9" wp14:editId="41449B54">
                  <wp:extent cx="2798445" cy="1567542"/>
                  <wp:effectExtent l="0" t="0" r="1905" b="0"/>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c>
          <w:tcPr>
            <w:tcW w:w="4501" w:type="dxa"/>
            <w:tcBorders>
              <w:left w:val="single" w:sz="4" w:space="0" w:color="auto"/>
            </w:tcBorders>
          </w:tcPr>
          <w:p w14:paraId="3C8B71E1" w14:textId="77777777" w:rsidR="005F38A6" w:rsidRPr="00454230" w:rsidRDefault="005F38A6" w:rsidP="00C66E93">
            <w:pPr>
              <w:jc w:val="center"/>
              <w:rPr>
                <w:bCs/>
                <w:noProof/>
                <w:szCs w:val="22"/>
              </w:rPr>
            </w:pPr>
            <w:r>
              <w:rPr>
                <w:bCs/>
                <w:sz w:val="22"/>
                <w:szCs w:val="22"/>
              </w:rPr>
              <w:t>Municipales</w:t>
            </w:r>
          </w:p>
          <w:p w14:paraId="4C9C9177" w14:textId="77777777" w:rsidR="005F38A6" w:rsidRDefault="005F38A6" w:rsidP="006A7377">
            <w:pPr>
              <w:rPr>
                <w:sz w:val="22"/>
              </w:rPr>
            </w:pPr>
            <w:r>
              <w:rPr>
                <w:noProof/>
                <w:sz w:val="22"/>
              </w:rPr>
              <w:drawing>
                <wp:inline distT="0" distB="0" distL="0" distR="0" wp14:anchorId="0007C37B" wp14:editId="44E2F09E">
                  <wp:extent cx="2687320" cy="1531916"/>
                  <wp:effectExtent l="0" t="0" r="0"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bl>
    <w:p w14:paraId="7029F035" w14:textId="77777777" w:rsidR="005F38A6" w:rsidRPr="004C5FE3" w:rsidRDefault="005F38A6" w:rsidP="005F38A6">
      <w:pPr>
        <w:ind w:left="142"/>
        <w:rPr>
          <w:rFonts w:eastAsia="Calibri"/>
          <w:sz w:val="16"/>
        </w:rPr>
      </w:pPr>
      <w:r w:rsidRPr="004C5FE3">
        <w:rPr>
          <w:rFonts w:eastAsia="Calibri"/>
          <w:sz w:val="16"/>
        </w:rPr>
        <w:t xml:space="preserve">Fuente: </w:t>
      </w:r>
      <w:proofErr w:type="spellStart"/>
      <w:r w:rsidRPr="004C5FE3">
        <w:rPr>
          <w:rFonts w:eastAsia="Calibri"/>
          <w:sz w:val="16"/>
        </w:rPr>
        <w:t>Sicoin</w:t>
      </w:r>
      <w:proofErr w:type="spellEnd"/>
    </w:p>
    <w:p w14:paraId="13F12102" w14:textId="77777777" w:rsidR="005F38A6" w:rsidRPr="007A0B9B" w:rsidRDefault="005F38A6" w:rsidP="005F38A6">
      <w:pPr>
        <w:jc w:val="center"/>
        <w:rPr>
          <w:szCs w:val="28"/>
        </w:rPr>
      </w:pPr>
    </w:p>
    <w:p w14:paraId="248C1807" w14:textId="314FF852" w:rsidR="005F38A6" w:rsidRPr="00F908A8" w:rsidRDefault="005F38A6" w:rsidP="007F19DF">
      <w:pPr>
        <w:pStyle w:val="Ttulo2"/>
        <w:numPr>
          <w:ilvl w:val="2"/>
          <w:numId w:val="35"/>
        </w:numPr>
        <w:tabs>
          <w:tab w:val="left" w:pos="851"/>
        </w:tabs>
        <w:ind w:left="567" w:hanging="283"/>
        <w:rPr>
          <w:bCs/>
        </w:rPr>
      </w:pPr>
      <w:bookmarkStart w:id="527" w:name="_Toc144114418"/>
      <w:r w:rsidRPr="00F908A8">
        <w:rPr>
          <w:bCs/>
        </w:rPr>
        <w:t xml:space="preserve">Liquidez </w:t>
      </w:r>
      <w:r w:rsidR="00D73789">
        <w:rPr>
          <w:bCs/>
        </w:rPr>
        <w:t>f</w:t>
      </w:r>
      <w:r w:rsidRPr="00F908A8">
        <w:rPr>
          <w:bCs/>
        </w:rPr>
        <w:t>inanciera de forma individual</w:t>
      </w:r>
      <w:bookmarkEnd w:id="527"/>
    </w:p>
    <w:p w14:paraId="2D829744" w14:textId="77777777" w:rsidR="005F38A6" w:rsidRPr="00736CDB" w:rsidRDefault="005F38A6" w:rsidP="005F38A6"/>
    <w:p w14:paraId="05F1D390" w14:textId="77777777" w:rsidR="005F38A6" w:rsidRDefault="005F38A6" w:rsidP="005F38A6">
      <w:pPr>
        <w:jc w:val="both"/>
      </w:pPr>
      <w:r>
        <w:t xml:space="preserve">En el subgrupo de Empresas Públicas No Financieras Nacionales, es EPNCH la empresa con la mayor liquidez durante el 2022 con un indicador de 43.9 veces mayor sus activos corrientes respecto a los pasivos corrientes y cabe mencionar que su indicador disminuyó respecto a lo observado en el año previo que era de 220.5 veces. </w:t>
      </w:r>
    </w:p>
    <w:p w14:paraId="294DF635" w14:textId="77777777" w:rsidR="005F38A6" w:rsidRDefault="005F38A6" w:rsidP="005F38A6">
      <w:pPr>
        <w:jc w:val="both"/>
      </w:pPr>
    </w:p>
    <w:p w14:paraId="2EEB2041" w14:textId="77777777" w:rsidR="005F38A6" w:rsidRDefault="005F38A6" w:rsidP="005F38A6">
      <w:pPr>
        <w:jc w:val="both"/>
      </w:pPr>
      <w:r>
        <w:t>Por su parte, INDECA tiene una liquidez de 29.1 veces y disminuyó su liquidez respecto a 2021 cuando tenía un indicador de 50.2 veces. En el caso del INDE tiene un indicador de 15.3 veces, el cual aumentó en 1.3 respecto al año previo, le sigue EPQ con un indicador para 2022 de 15.2 veces en los que sus activos corrientes supera a sus pasivos corrientes con una reducción de 1.7 respecto al año previo, mientras que EMPORNAC tuvo una liquidez financiera de 14.1 veces y una disminución en su indicador en 3.4 respecto a 2021, GUATEL tuvo un indicador de 3.0 veces siendo una disminución de 2.0 respecto a su indicador anterior, ZOLIC tiene una liquidez de 2.5 veces y es una disminución de 0.3 y por último, FEGUA tiene una liquidez de 0.5 veces, siendo esta ultima la única entidad cuya liquidez es menor a 1 y es una diminución en su liquidez de 0.1 respeto a lo observado en 2021.</w:t>
      </w:r>
    </w:p>
    <w:p w14:paraId="0D411EA8" w14:textId="77777777" w:rsidR="005F38A6" w:rsidRDefault="005F38A6" w:rsidP="005F38A6">
      <w:pPr>
        <w:jc w:val="both"/>
      </w:pPr>
    </w:p>
    <w:p w14:paraId="1641B99F" w14:textId="4228D42B" w:rsidR="005F38A6" w:rsidRPr="00C66E93" w:rsidRDefault="00C66E93" w:rsidP="00C66E93">
      <w:pPr>
        <w:pStyle w:val="Descripcin"/>
        <w:rPr>
          <w:b w:val="0"/>
          <w:bCs/>
          <w:color w:val="auto"/>
        </w:rPr>
      </w:pPr>
      <w:bookmarkStart w:id="528" w:name="_Toc143593636"/>
      <w:bookmarkStart w:id="529" w:name="_Toc114493901"/>
      <w:r w:rsidRPr="00C66E93">
        <w:rPr>
          <w:color w:val="auto"/>
        </w:rPr>
        <w:t xml:space="preserve">Gráfico </w:t>
      </w:r>
      <w:r w:rsidRPr="00C66E93">
        <w:rPr>
          <w:color w:val="auto"/>
        </w:rPr>
        <w:fldChar w:fldCharType="begin"/>
      </w:r>
      <w:r w:rsidRPr="00C66E93">
        <w:rPr>
          <w:color w:val="auto"/>
        </w:rPr>
        <w:instrText xml:space="preserve"> SEQ Gráfico \* ARABIC </w:instrText>
      </w:r>
      <w:r w:rsidRPr="00C66E93">
        <w:rPr>
          <w:color w:val="auto"/>
        </w:rPr>
        <w:fldChar w:fldCharType="separate"/>
      </w:r>
      <w:r w:rsidR="00A62AFA">
        <w:rPr>
          <w:noProof/>
          <w:color w:val="auto"/>
        </w:rPr>
        <w:t>78</w:t>
      </w:r>
      <w:r w:rsidRPr="00C66E93">
        <w:rPr>
          <w:color w:val="auto"/>
        </w:rPr>
        <w:fldChar w:fldCharType="end"/>
      </w:r>
      <w:r w:rsidRPr="00C66E93">
        <w:rPr>
          <w:color w:val="auto"/>
        </w:rPr>
        <w:t xml:space="preserve">.  </w:t>
      </w:r>
      <w:r w:rsidRPr="00C66E93">
        <w:rPr>
          <w:bCs/>
          <w:color w:val="auto"/>
        </w:rPr>
        <w:t>Liquidez Financiera</w:t>
      </w:r>
      <w:bookmarkEnd w:id="528"/>
    </w:p>
    <w:p w14:paraId="727AD124" w14:textId="798B4776" w:rsidR="005F38A6" w:rsidRPr="009D7DE4" w:rsidRDefault="005F38A6" w:rsidP="009D7DE4">
      <w:pPr>
        <w:keepNext/>
        <w:jc w:val="center"/>
        <w:rPr>
          <w:b/>
        </w:rPr>
      </w:pPr>
      <w:r w:rsidRPr="009D7DE4">
        <w:rPr>
          <w:b/>
          <w:bCs/>
        </w:rPr>
        <w:t>De las Empresas Públicas No Financieras</w:t>
      </w:r>
      <w:r w:rsidRPr="00595C75">
        <w:rPr>
          <w:bCs/>
        </w:rPr>
        <w:t xml:space="preserve"> </w:t>
      </w:r>
      <w:r w:rsidRPr="009D7DE4">
        <w:rPr>
          <w:b/>
        </w:rPr>
        <w:t>Nacionales</w:t>
      </w:r>
      <w:bookmarkEnd w:id="529"/>
    </w:p>
    <w:p w14:paraId="6CB63DBF" w14:textId="77777777" w:rsidR="005F38A6" w:rsidRPr="00787335" w:rsidRDefault="005F38A6" w:rsidP="005F38A6">
      <w:pPr>
        <w:ind w:left="567"/>
        <w:jc w:val="center"/>
        <w:rPr>
          <w:rFonts w:eastAsia="Calibri"/>
          <w:b/>
        </w:rPr>
      </w:pPr>
      <w:r>
        <w:rPr>
          <w:rFonts w:eastAsia="Calibri"/>
        </w:rPr>
        <w:t>P</w:t>
      </w:r>
      <w:r w:rsidRPr="00A77EE7">
        <w:rPr>
          <w:rFonts w:eastAsia="Calibri"/>
        </w:rPr>
        <w:t>ara el 202</w:t>
      </w:r>
      <w:r>
        <w:rPr>
          <w:rFonts w:eastAsia="Calibri"/>
        </w:rPr>
        <w:t>2</w:t>
      </w:r>
    </w:p>
    <w:p w14:paraId="266BC957" w14:textId="77777777" w:rsidR="005F38A6" w:rsidRPr="009D7DE4" w:rsidRDefault="005F38A6" w:rsidP="005F38A6">
      <w:pPr>
        <w:jc w:val="center"/>
        <w:rPr>
          <w:b/>
          <w:bCs/>
        </w:rPr>
      </w:pPr>
      <w:r w:rsidRPr="009D7DE4">
        <w:rPr>
          <w:b/>
          <w:bCs/>
        </w:rPr>
        <w:t>Cantidad de veces que el activo corriente supera al pasivo corriente</w:t>
      </w:r>
    </w:p>
    <w:p w14:paraId="1017D950" w14:textId="77777777" w:rsidR="005F38A6" w:rsidRPr="0086367B" w:rsidRDefault="005F38A6" w:rsidP="005F38A6">
      <w:pPr>
        <w:jc w:val="center"/>
        <w:rPr>
          <w:i/>
          <w:iCs/>
        </w:rPr>
      </w:pPr>
      <w:r>
        <w:rPr>
          <w:noProof/>
        </w:rPr>
        <w:drawing>
          <wp:inline distT="0" distB="0" distL="0" distR="0" wp14:anchorId="5135BA4F" wp14:editId="1539592B">
            <wp:extent cx="4968240" cy="1759585"/>
            <wp:effectExtent l="0" t="0" r="381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7DF88935" w14:textId="77777777" w:rsidR="005F38A6" w:rsidRDefault="005F38A6" w:rsidP="005F38A6">
      <w:pPr>
        <w:ind w:firstLine="708"/>
        <w:rPr>
          <w:rFonts w:eastAsia="Calibri"/>
          <w:sz w:val="16"/>
        </w:rPr>
      </w:pPr>
      <w:r w:rsidRPr="004C5FE3">
        <w:rPr>
          <w:rFonts w:eastAsia="Calibri"/>
          <w:sz w:val="16"/>
        </w:rPr>
        <w:t xml:space="preserve">Fuente: </w:t>
      </w:r>
      <w:proofErr w:type="spellStart"/>
      <w:r w:rsidRPr="004C5FE3">
        <w:rPr>
          <w:rFonts w:eastAsia="Calibri"/>
          <w:sz w:val="16"/>
        </w:rPr>
        <w:t>Sicoin</w:t>
      </w:r>
      <w:proofErr w:type="spellEnd"/>
    </w:p>
    <w:p w14:paraId="42B4AA78" w14:textId="77777777" w:rsidR="005F38A6" w:rsidRDefault="005F38A6" w:rsidP="005F38A6">
      <w:pPr>
        <w:jc w:val="both"/>
      </w:pPr>
      <w:r>
        <w:lastRenderedPageBreak/>
        <w:t xml:space="preserve">En cuanto a las Empresas Públicas No Financieras Municipales, la Empresa Eléctrica de Gualán es quien tiene una mayor liquidez durante el 2022 con un indicador de 270.2 veces en donde sus activos corrientes superan a sus pasivos corrientes y este indicador se incrementó en 197.0 respecto a su indicador del año previo. La Empresa Eléctrica de Joyabaj tiene una liquidez de 34.7 veces con un disminución de 19.0 respecto a 2021, la Empresa Eléctrica de Zacapa tiene una liquidez de 22.1 veces y es una disminución 3.2 respecto a su liquidez del año anterior, seguido de la Empresa Eléctrica de Puerto Barrios con 12.8 veces que es una reducción de 5 en su indicador, la Empresa Eléctrica de Guastatoya tiene un indicador de 10.7 veces y siendo una disminución en 32.8 respecto al año previo, la Empresa Eléctrica de Huehuetenango tiene un indicador de 5.0 y este es una disminución de 1.9 respecto al año previo, EMPAGUA tiene una liquidez de 2.7 veces y es una reducción del indicador en 2 respecto a 2021, EMAPET de 1.4 veces con un aumento de 0.1 en su liquidez, la empresa de Agua de </w:t>
      </w:r>
      <w:proofErr w:type="spellStart"/>
      <w:r>
        <w:t>Jalapagua</w:t>
      </w:r>
      <w:proofErr w:type="spellEnd"/>
      <w:r>
        <w:t xml:space="preserve"> es de 1.1 veces siendo un incremento en su indicador por 0.1 y la Empresa de Transporte de Guatemala con 1.0 vez y un aumento de su liquidez por 0.5 respecto a lo observado en el año previo.</w:t>
      </w:r>
    </w:p>
    <w:p w14:paraId="27FC8CF2" w14:textId="77777777" w:rsidR="005F38A6" w:rsidRDefault="005F38A6" w:rsidP="005F38A6">
      <w:pPr>
        <w:jc w:val="both"/>
      </w:pPr>
    </w:p>
    <w:p w14:paraId="1EB7E11B" w14:textId="77777777" w:rsidR="005F38A6" w:rsidRDefault="005F38A6" w:rsidP="005F38A6">
      <w:pPr>
        <w:jc w:val="both"/>
      </w:pPr>
      <w:r>
        <w:t>En el caso de la Empresa Eléctrica de Jalapa es la única empresa entre este subgrupo institucional que posee un indicado inferior a 1, siendo este de 0.2 veces mientras que el resto de las entidades no poseen pasivos corrientes para 2022.</w:t>
      </w:r>
    </w:p>
    <w:p w14:paraId="0F437D56" w14:textId="77777777" w:rsidR="005F38A6" w:rsidRDefault="005F38A6" w:rsidP="005F38A6">
      <w:pPr>
        <w:jc w:val="both"/>
      </w:pPr>
    </w:p>
    <w:p w14:paraId="296686A9" w14:textId="03F27073" w:rsidR="00C66E93" w:rsidRPr="00C66E93" w:rsidRDefault="00C66E93" w:rsidP="00C66E93">
      <w:pPr>
        <w:keepNext/>
        <w:jc w:val="center"/>
        <w:rPr>
          <w:b/>
          <w:bCs/>
        </w:rPr>
      </w:pPr>
      <w:bookmarkStart w:id="530" w:name="_Toc143593637"/>
      <w:bookmarkStart w:id="531" w:name="_Toc114493902"/>
      <w:r w:rsidRPr="00C66E93">
        <w:rPr>
          <w:b/>
          <w:bCs/>
        </w:rPr>
        <w:t xml:space="preserve">Gráfico </w:t>
      </w:r>
      <w:r w:rsidRPr="00C66E93">
        <w:rPr>
          <w:b/>
          <w:bCs/>
        </w:rPr>
        <w:fldChar w:fldCharType="begin"/>
      </w:r>
      <w:r w:rsidRPr="00C66E93">
        <w:rPr>
          <w:b/>
          <w:bCs/>
        </w:rPr>
        <w:instrText xml:space="preserve"> SEQ Gráfico \* ARABIC </w:instrText>
      </w:r>
      <w:r w:rsidRPr="00C66E93">
        <w:rPr>
          <w:b/>
          <w:bCs/>
        </w:rPr>
        <w:fldChar w:fldCharType="separate"/>
      </w:r>
      <w:r w:rsidR="00A62AFA">
        <w:rPr>
          <w:b/>
          <w:bCs/>
          <w:noProof/>
        </w:rPr>
        <w:t>79</w:t>
      </w:r>
      <w:r w:rsidRPr="00C66E93">
        <w:rPr>
          <w:b/>
          <w:bCs/>
        </w:rPr>
        <w:fldChar w:fldCharType="end"/>
      </w:r>
      <w:r w:rsidRPr="00C66E93">
        <w:rPr>
          <w:b/>
          <w:bCs/>
        </w:rPr>
        <w:t>. Liquidez Financiera</w:t>
      </w:r>
      <w:bookmarkEnd w:id="530"/>
    </w:p>
    <w:p w14:paraId="53E3D1A9" w14:textId="1140CBEC" w:rsidR="005F38A6" w:rsidRPr="009D7DE4" w:rsidRDefault="005F38A6" w:rsidP="009D7DE4">
      <w:pPr>
        <w:keepNext/>
        <w:jc w:val="center"/>
        <w:rPr>
          <w:b/>
          <w:bCs/>
        </w:rPr>
      </w:pPr>
      <w:r w:rsidRPr="009D7DE4">
        <w:rPr>
          <w:b/>
          <w:bCs/>
        </w:rPr>
        <w:t>De las Empresas Públicas No Financieras Municipales</w:t>
      </w:r>
      <w:bookmarkEnd w:id="531"/>
    </w:p>
    <w:p w14:paraId="65EF13DD" w14:textId="77777777" w:rsidR="005F38A6" w:rsidRPr="004C5FE3" w:rsidRDefault="005F38A6" w:rsidP="009D7DE4">
      <w:pPr>
        <w:ind w:left="567"/>
        <w:jc w:val="center"/>
        <w:rPr>
          <w:rFonts w:eastAsia="Calibri"/>
          <w:b/>
        </w:rPr>
      </w:pPr>
      <w:r>
        <w:rPr>
          <w:rFonts w:eastAsia="Calibri"/>
        </w:rPr>
        <w:t>P</w:t>
      </w:r>
      <w:r w:rsidRPr="00A77EE7">
        <w:rPr>
          <w:rFonts w:eastAsia="Calibri"/>
        </w:rPr>
        <w:t>ara el 202</w:t>
      </w:r>
      <w:r>
        <w:rPr>
          <w:rFonts w:eastAsia="Calibri"/>
        </w:rPr>
        <w:t>2</w:t>
      </w:r>
    </w:p>
    <w:p w14:paraId="1FD9EC77" w14:textId="77777777" w:rsidR="005F38A6" w:rsidRPr="009D7DE4" w:rsidRDefault="005F38A6" w:rsidP="005F38A6">
      <w:pPr>
        <w:jc w:val="center"/>
        <w:rPr>
          <w:b/>
          <w:bCs/>
        </w:rPr>
      </w:pPr>
      <w:r w:rsidRPr="009D7DE4">
        <w:rPr>
          <w:b/>
          <w:bCs/>
        </w:rPr>
        <w:t>Cantidad de veces que el activo corriente supera al pasivo corriente</w:t>
      </w:r>
    </w:p>
    <w:p w14:paraId="06514948" w14:textId="77777777" w:rsidR="005F38A6" w:rsidRDefault="005F38A6" w:rsidP="005F38A6">
      <w:pPr>
        <w:jc w:val="both"/>
      </w:pPr>
      <w:r w:rsidRPr="00AF25F3">
        <w:rPr>
          <w:noProof/>
          <w:shd w:val="clear" w:color="auto" w:fill="BF8F00" w:themeFill="accent4" w:themeFillShade="BF"/>
        </w:rPr>
        <w:drawing>
          <wp:inline distT="0" distB="0" distL="0" distR="0" wp14:anchorId="541E92BF" wp14:editId="16712207">
            <wp:extent cx="5486400" cy="2961564"/>
            <wp:effectExtent l="0" t="0" r="0" b="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7774FD89" w14:textId="77777777" w:rsidR="005F38A6" w:rsidRPr="004C5FE3" w:rsidRDefault="005F38A6" w:rsidP="005F38A6">
      <w:pPr>
        <w:ind w:firstLine="284"/>
        <w:rPr>
          <w:rFonts w:eastAsia="Calibri"/>
          <w:sz w:val="16"/>
        </w:rPr>
      </w:pPr>
      <w:r w:rsidRPr="004C5FE3">
        <w:rPr>
          <w:rFonts w:eastAsia="Calibri"/>
          <w:sz w:val="16"/>
        </w:rPr>
        <w:t xml:space="preserve">Fuente: </w:t>
      </w:r>
      <w:proofErr w:type="spellStart"/>
      <w:r w:rsidRPr="004C5FE3">
        <w:rPr>
          <w:rFonts w:eastAsia="Calibri"/>
          <w:sz w:val="16"/>
        </w:rPr>
        <w:t>Sicoin</w:t>
      </w:r>
      <w:proofErr w:type="spellEnd"/>
    </w:p>
    <w:p w14:paraId="29FE41A6" w14:textId="77777777" w:rsidR="005F38A6" w:rsidRDefault="005F38A6" w:rsidP="005F38A6">
      <w:pPr>
        <w:jc w:val="both"/>
      </w:pPr>
    </w:p>
    <w:p w14:paraId="144263A1" w14:textId="77777777" w:rsidR="005F38A6" w:rsidRDefault="005F38A6" w:rsidP="005F38A6">
      <w:pPr>
        <w:jc w:val="both"/>
      </w:pPr>
      <w:r>
        <w:t xml:space="preserve">Las obligaciones financieras de las Empresas Públicas no Financieras Nacionales en 2022 equivalen al 0.14% del PIB y es oportuno resaltar que continua con la tendencia que se ha observado en los años anteriores al disminuir en 0.02 puntos porcentuales respecto a lo </w:t>
      </w:r>
      <w:r>
        <w:lastRenderedPageBreak/>
        <w:t>observado en 2021. Su endeudamiento por prestamos equivale a 0.11% del PIB mientras que sus otras obligaciones son de 0.03% del PIB.</w:t>
      </w:r>
    </w:p>
    <w:p w14:paraId="51F4E291" w14:textId="77777777" w:rsidR="005F38A6" w:rsidRDefault="005F38A6" w:rsidP="005F38A6">
      <w:pPr>
        <w:jc w:val="both"/>
        <w:rPr>
          <w:lang w:val="es-MX"/>
        </w:rPr>
      </w:pPr>
    </w:p>
    <w:p w14:paraId="3AA4AEAA" w14:textId="6A417284" w:rsidR="005F38A6" w:rsidRPr="00C66E93" w:rsidRDefault="00C66E93" w:rsidP="00C66E93">
      <w:pPr>
        <w:pStyle w:val="Descripcin"/>
        <w:rPr>
          <w:b w:val="0"/>
          <w:bCs/>
        </w:rPr>
      </w:pPr>
      <w:bookmarkStart w:id="532" w:name="_Toc143593638"/>
      <w:r w:rsidRPr="00C66E93">
        <w:rPr>
          <w:color w:val="auto"/>
        </w:rPr>
        <w:t xml:space="preserve">Gráfico </w:t>
      </w:r>
      <w:r w:rsidRPr="00C66E93">
        <w:rPr>
          <w:color w:val="auto"/>
        </w:rPr>
        <w:fldChar w:fldCharType="begin"/>
      </w:r>
      <w:r w:rsidRPr="00C66E93">
        <w:rPr>
          <w:color w:val="auto"/>
        </w:rPr>
        <w:instrText xml:space="preserve"> SEQ Gráfico \* ARABIC </w:instrText>
      </w:r>
      <w:r w:rsidRPr="00C66E93">
        <w:rPr>
          <w:color w:val="auto"/>
        </w:rPr>
        <w:fldChar w:fldCharType="separate"/>
      </w:r>
      <w:r w:rsidR="00A62AFA">
        <w:rPr>
          <w:noProof/>
          <w:color w:val="auto"/>
        </w:rPr>
        <w:t>80</w:t>
      </w:r>
      <w:r w:rsidRPr="00C66E93">
        <w:rPr>
          <w:color w:val="auto"/>
        </w:rPr>
        <w:fldChar w:fldCharType="end"/>
      </w:r>
      <w:r w:rsidRPr="00C66E93">
        <w:rPr>
          <w:color w:val="auto"/>
        </w:rPr>
        <w:t>. Obligaciones financieras de las Empresas Públicas No Financieras</w:t>
      </w:r>
      <w:bookmarkEnd w:id="532"/>
    </w:p>
    <w:p w14:paraId="5ACD8F5D" w14:textId="77777777" w:rsidR="005F38A6" w:rsidRDefault="005F38A6" w:rsidP="005F38A6">
      <w:pPr>
        <w:jc w:val="center"/>
        <w:rPr>
          <w:sz w:val="22"/>
        </w:rPr>
      </w:pPr>
      <w:r w:rsidRPr="00BB5E60">
        <w:rPr>
          <w:sz w:val="22"/>
        </w:rPr>
        <w:t>Como porcentaje de</w:t>
      </w:r>
      <w:r>
        <w:rPr>
          <w:sz w:val="22"/>
        </w:rPr>
        <w:t>l PIB</w:t>
      </w:r>
    </w:p>
    <w:tbl>
      <w:tblPr>
        <w:tblW w:w="9520" w:type="dxa"/>
        <w:jc w:val="center"/>
        <w:tblBorders>
          <w:insideV w:val="single" w:sz="4" w:space="0" w:color="auto"/>
        </w:tblBorders>
        <w:tblCellMar>
          <w:left w:w="70" w:type="dxa"/>
          <w:right w:w="70" w:type="dxa"/>
        </w:tblCellMar>
        <w:tblLook w:val="04A0" w:firstRow="1" w:lastRow="0" w:firstColumn="1" w:lastColumn="0" w:noHBand="0" w:noVBand="1"/>
      </w:tblPr>
      <w:tblGrid>
        <w:gridCol w:w="4760"/>
        <w:gridCol w:w="4760"/>
      </w:tblGrid>
      <w:tr w:rsidR="005F38A6" w14:paraId="4A7EFB05" w14:textId="77777777" w:rsidTr="006A7377">
        <w:trPr>
          <w:trHeight w:val="3840"/>
          <w:jc w:val="center"/>
        </w:trPr>
        <w:tc>
          <w:tcPr>
            <w:tcW w:w="4760" w:type="dxa"/>
          </w:tcPr>
          <w:p w14:paraId="31206496" w14:textId="77777777" w:rsidR="005F38A6" w:rsidRDefault="005F38A6" w:rsidP="006A7377">
            <w:pPr>
              <w:autoSpaceDE w:val="0"/>
              <w:autoSpaceDN w:val="0"/>
              <w:adjustRightInd w:val="0"/>
              <w:jc w:val="both"/>
              <w:rPr>
                <w:rFonts w:eastAsia="Calibri"/>
                <w:lang w:eastAsia="en-US"/>
              </w:rPr>
            </w:pPr>
            <w:r>
              <w:rPr>
                <w:rFonts w:eastAsia="Calibri"/>
                <w:noProof/>
              </w:rPr>
              <w:drawing>
                <wp:inline distT="0" distB="0" distL="0" distR="0" wp14:anchorId="300BF588" wp14:editId="55D738CC">
                  <wp:extent cx="2926800" cy="2552400"/>
                  <wp:effectExtent l="0" t="0" r="6985" b="635"/>
                  <wp:docPr id="30153740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c>
          <w:tcPr>
            <w:tcW w:w="4760" w:type="dxa"/>
          </w:tcPr>
          <w:p w14:paraId="42BF9334" w14:textId="77777777" w:rsidR="005F38A6" w:rsidRDefault="005F38A6" w:rsidP="006A7377">
            <w:pPr>
              <w:autoSpaceDE w:val="0"/>
              <w:autoSpaceDN w:val="0"/>
              <w:adjustRightInd w:val="0"/>
              <w:rPr>
                <w:rFonts w:eastAsia="Calibri"/>
                <w:lang w:eastAsia="en-US"/>
              </w:rPr>
            </w:pPr>
            <w:r>
              <w:rPr>
                <w:rFonts w:eastAsia="Calibri"/>
                <w:noProof/>
              </w:rPr>
              <w:drawing>
                <wp:inline distT="0" distB="0" distL="0" distR="0" wp14:anchorId="3CAAD482" wp14:editId="00A7565F">
                  <wp:extent cx="2926800" cy="2552400"/>
                  <wp:effectExtent l="0" t="0" r="6985" b="635"/>
                  <wp:docPr id="67435656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bl>
    <w:p w14:paraId="0470D373" w14:textId="77777777" w:rsidR="005F38A6" w:rsidRPr="00706DBC" w:rsidRDefault="005F38A6" w:rsidP="005F38A6">
      <w:pPr>
        <w:ind w:left="567"/>
        <w:jc w:val="both"/>
        <w:rPr>
          <w:rFonts w:eastAsia="Calibri"/>
          <w:sz w:val="16"/>
        </w:rPr>
      </w:pPr>
      <w:r w:rsidRPr="00706DBC">
        <w:rPr>
          <w:rFonts w:eastAsia="Calibri"/>
          <w:sz w:val="16"/>
        </w:rPr>
        <w:t xml:space="preserve">Fuente: </w:t>
      </w:r>
      <w:proofErr w:type="spellStart"/>
      <w:r w:rsidRPr="00706DBC">
        <w:rPr>
          <w:rFonts w:eastAsia="Calibri"/>
          <w:sz w:val="16"/>
        </w:rPr>
        <w:t>Sicoin</w:t>
      </w:r>
      <w:proofErr w:type="spellEnd"/>
      <w:r w:rsidRPr="00706DBC">
        <w:rPr>
          <w:rFonts w:eastAsia="Calibri"/>
          <w:sz w:val="16"/>
        </w:rPr>
        <w:t>.</w:t>
      </w:r>
    </w:p>
    <w:p w14:paraId="776C9414" w14:textId="77777777" w:rsidR="005F38A6" w:rsidRDefault="005F38A6" w:rsidP="005F38A6">
      <w:pPr>
        <w:jc w:val="both"/>
      </w:pPr>
    </w:p>
    <w:p w14:paraId="1B79B10A" w14:textId="77777777" w:rsidR="005F38A6" w:rsidRDefault="005F38A6" w:rsidP="005F38A6">
      <w:pPr>
        <w:jc w:val="both"/>
      </w:pPr>
      <w:r>
        <w:t xml:space="preserve">En cuanto a las obligaciones financieras de las Empresas Públicas No Financieras Municipales, en 2022 hubo una disminución teniendo un indicador del 0.18% del PIB y siendo una reducción en 0.03 puntos porcentuales respecto a lo observado en 2021. El endeudamiento por préstamos se sitúa en torno al 0.01% del PIB mientras que sus otras obligaciones por pagar equivalen al 0.17% del PIB. </w:t>
      </w:r>
    </w:p>
    <w:p w14:paraId="26898428" w14:textId="77777777" w:rsidR="005F38A6" w:rsidRDefault="005F38A6" w:rsidP="005F38A6">
      <w:pPr>
        <w:jc w:val="both"/>
      </w:pPr>
    </w:p>
    <w:p w14:paraId="049FBCDD" w14:textId="77777777" w:rsidR="005F38A6" w:rsidRPr="00491B04" w:rsidRDefault="005F38A6" w:rsidP="005F38A6">
      <w:pPr>
        <w:jc w:val="both"/>
        <w:rPr>
          <w:bCs/>
          <w:lang w:val="es-MX"/>
        </w:rPr>
      </w:pPr>
      <w:r>
        <w:rPr>
          <w:bCs/>
          <w:lang w:val="es-MX"/>
        </w:rPr>
        <w:t>Por último, e</w:t>
      </w:r>
      <w:r w:rsidRPr="00D74301">
        <w:rPr>
          <w:bCs/>
          <w:lang w:val="es-MX"/>
        </w:rPr>
        <w:t xml:space="preserve">s oportuno señalar que las obligaciones financieras de las empresas municipales son principalmente de carácter comercial y no por concepto de préstamos adquiridos con bancos del sistema, lo cual permite contar con un mayor margen de negociación en caso fuese necesario garantizar por parte del gobierno el pago </w:t>
      </w:r>
      <w:r>
        <w:rPr>
          <w:bCs/>
          <w:lang w:val="es-MX"/>
        </w:rPr>
        <w:t>de</w:t>
      </w:r>
      <w:r w:rsidRPr="00D74301">
        <w:rPr>
          <w:bCs/>
          <w:lang w:val="es-MX"/>
        </w:rPr>
        <w:t xml:space="preserve"> estas obligaciones.</w:t>
      </w:r>
    </w:p>
    <w:p w14:paraId="7F1D24F3" w14:textId="77777777" w:rsidR="005F38A6" w:rsidRPr="00A25032" w:rsidRDefault="005F38A6" w:rsidP="005F38A6">
      <w:pPr>
        <w:jc w:val="both"/>
        <w:rPr>
          <w:lang w:val="es-MX"/>
        </w:rPr>
      </w:pPr>
    </w:p>
    <w:p w14:paraId="1C1F8719" w14:textId="77777777" w:rsidR="005F38A6" w:rsidRDefault="005F38A6" w:rsidP="005F38A6">
      <w:pPr>
        <w:jc w:val="both"/>
      </w:pPr>
      <w:r>
        <w:t>Adicionalmente, e</w:t>
      </w:r>
      <w:r w:rsidRPr="00D74301">
        <w:t>l INDE es la empresa nacional</w:t>
      </w:r>
      <w:r>
        <w:t xml:space="preserve"> más grande, y es relevante considerar que antes y después de la transferencia que recibe desde el gobierno central continúa con un resultado superavitario, la amplia disminución respecto al resultado superavitario obtenido en 2021, se debe a que en 2022 se aprobaron 2 decretos para el fortalecimiento del aporte social de la tarifa eléctrica (</w:t>
      </w:r>
      <w:r w:rsidRPr="0094611D">
        <w:t>anteriormente la tarifa social únicamente aplicaba a rangos de consumo de 1 a 88 kWh</w:t>
      </w:r>
      <w:r>
        <w:t>).</w:t>
      </w:r>
    </w:p>
    <w:p w14:paraId="008E97A3" w14:textId="77777777" w:rsidR="005F38A6" w:rsidRDefault="005F38A6" w:rsidP="005F38A6">
      <w:pPr>
        <w:jc w:val="both"/>
      </w:pPr>
    </w:p>
    <w:p w14:paraId="795BFB9D" w14:textId="77777777" w:rsidR="005F38A6" w:rsidRPr="0094611D" w:rsidRDefault="005F38A6" w:rsidP="000E12CF">
      <w:pPr>
        <w:numPr>
          <w:ilvl w:val="0"/>
          <w:numId w:val="13"/>
        </w:numPr>
        <w:contextualSpacing/>
        <w:jc w:val="both"/>
        <w:rPr>
          <w:color w:val="000000"/>
        </w:rPr>
      </w:pPr>
      <w:r>
        <w:rPr>
          <w:color w:val="000000"/>
        </w:rPr>
        <w:t>El D</w:t>
      </w:r>
      <w:r w:rsidRPr="0094611D">
        <w:rPr>
          <w:color w:val="000000"/>
        </w:rPr>
        <w:t>ecreto 25-2022, estuvo enfocado en usuarios regulados de distribución final de energía eléctrica que consuman mensualmente entre 89 kWh hasta 100 kWh al mes, pagando una tarifa de Q1.00 por kWh</w:t>
      </w:r>
    </w:p>
    <w:p w14:paraId="58D0A71A" w14:textId="77777777" w:rsidR="005F38A6" w:rsidRPr="0094611D" w:rsidRDefault="005F38A6" w:rsidP="000E12CF">
      <w:pPr>
        <w:numPr>
          <w:ilvl w:val="0"/>
          <w:numId w:val="13"/>
        </w:numPr>
        <w:contextualSpacing/>
        <w:jc w:val="both"/>
        <w:rPr>
          <w:color w:val="000000"/>
        </w:rPr>
      </w:pPr>
      <w:r>
        <w:rPr>
          <w:color w:val="000000"/>
        </w:rPr>
        <w:t xml:space="preserve">El </w:t>
      </w:r>
      <w:r w:rsidRPr="0094611D">
        <w:rPr>
          <w:color w:val="000000"/>
        </w:rPr>
        <w:t xml:space="preserve">Decreto 43-2022, amplia a los beneficiarios del aporte social a la energía eléctrica al cubrir a los usuarios regulados que consuman entre 101 kWh hasta 125 kWh. </w:t>
      </w:r>
    </w:p>
    <w:p w14:paraId="57A77992" w14:textId="77777777" w:rsidR="005F38A6" w:rsidRDefault="005F38A6" w:rsidP="005F38A6">
      <w:pPr>
        <w:jc w:val="both"/>
      </w:pPr>
    </w:p>
    <w:p w14:paraId="4EEFA9CF" w14:textId="77777777" w:rsidR="005F38A6" w:rsidRDefault="005F38A6" w:rsidP="005F38A6">
      <w:pPr>
        <w:jc w:val="both"/>
      </w:pPr>
      <w:r>
        <w:lastRenderedPageBreak/>
        <w:t xml:space="preserve">Esto es relevante en el contexto de alza de los costos a nivel nacional e internacional de producción de la energía eléctrica con lo cual se beneficia a los usuarios regulados, beneficiando a las familias guatemaltecas. Asimismo, la ampliación del subsidio por la tarifa social de energía eléctrica fue cubierta en buena medida por el gobierno, pero en parte también por el INDE. </w:t>
      </w:r>
    </w:p>
    <w:p w14:paraId="19911293" w14:textId="77777777" w:rsidR="005F38A6" w:rsidRDefault="005F38A6" w:rsidP="005F38A6">
      <w:pPr>
        <w:jc w:val="both"/>
      </w:pPr>
    </w:p>
    <w:p w14:paraId="3E681304" w14:textId="78DBBB56" w:rsidR="005F38A6" w:rsidRPr="00C36261" w:rsidRDefault="005F38A6" w:rsidP="007F19DF">
      <w:pPr>
        <w:pStyle w:val="Prrafodelista"/>
        <w:numPr>
          <w:ilvl w:val="0"/>
          <w:numId w:val="44"/>
        </w:numPr>
        <w:spacing w:line="259" w:lineRule="auto"/>
        <w:ind w:left="284" w:hanging="284"/>
        <w:jc w:val="both"/>
        <w:outlineLvl w:val="0"/>
        <w:rPr>
          <w:b/>
          <w:bCs/>
        </w:rPr>
      </w:pPr>
      <w:bookmarkStart w:id="533" w:name="_Toc81305681"/>
      <w:bookmarkStart w:id="534" w:name="_Toc114495281"/>
      <w:bookmarkStart w:id="535" w:name="_Toc144114419"/>
      <w:r w:rsidRPr="00C36261">
        <w:rPr>
          <w:b/>
          <w:bCs/>
        </w:rPr>
        <w:t xml:space="preserve">Pasivos contingentes por Demandas Judiciales </w:t>
      </w:r>
      <w:r w:rsidR="00D73789">
        <w:rPr>
          <w:b/>
          <w:bCs/>
        </w:rPr>
        <w:t>C</w:t>
      </w:r>
      <w:r w:rsidRPr="00C36261">
        <w:rPr>
          <w:b/>
          <w:bCs/>
        </w:rPr>
        <w:t>ontra el Estado</w:t>
      </w:r>
      <w:bookmarkEnd w:id="533"/>
      <w:bookmarkEnd w:id="534"/>
      <w:bookmarkEnd w:id="535"/>
    </w:p>
    <w:p w14:paraId="39AE68AE" w14:textId="77777777" w:rsidR="005F38A6" w:rsidRPr="00535925" w:rsidRDefault="005F38A6" w:rsidP="005F38A6">
      <w:pPr>
        <w:widowControl w:val="0"/>
        <w:ind w:left="567"/>
        <w:jc w:val="both"/>
        <w:rPr>
          <w:rFonts w:eastAsia="OptimaLTStd"/>
          <w:color w:val="FF0000"/>
        </w:rPr>
      </w:pPr>
    </w:p>
    <w:p w14:paraId="72F2A816" w14:textId="77777777" w:rsidR="005F38A6" w:rsidRPr="00535925" w:rsidRDefault="005F38A6" w:rsidP="000E12CF">
      <w:pPr>
        <w:keepNext/>
        <w:numPr>
          <w:ilvl w:val="0"/>
          <w:numId w:val="14"/>
        </w:numPr>
        <w:ind w:right="49"/>
        <w:outlineLvl w:val="0"/>
        <w:rPr>
          <w:b/>
          <w:vanish/>
          <w:color w:val="1F3864" w:themeColor="accent1" w:themeShade="80"/>
        </w:rPr>
      </w:pPr>
      <w:bookmarkStart w:id="536" w:name="_Toc110522960"/>
      <w:bookmarkStart w:id="537" w:name="_Toc114066664"/>
      <w:bookmarkStart w:id="538" w:name="_Toc114473986"/>
      <w:bookmarkStart w:id="539" w:name="_Toc114476033"/>
      <w:bookmarkStart w:id="540" w:name="_Toc114476140"/>
      <w:bookmarkStart w:id="541" w:name="_Toc114476226"/>
      <w:bookmarkStart w:id="542" w:name="_Toc114476293"/>
      <w:bookmarkStart w:id="543" w:name="_Toc114476366"/>
      <w:bookmarkStart w:id="544" w:name="_Toc114476431"/>
      <w:bookmarkStart w:id="545" w:name="_Toc114492517"/>
      <w:bookmarkStart w:id="546" w:name="_Toc114492717"/>
      <w:bookmarkStart w:id="547" w:name="_Toc114493827"/>
      <w:bookmarkStart w:id="548" w:name="_Toc114495282"/>
      <w:bookmarkStart w:id="549" w:name="_Toc143252245"/>
      <w:bookmarkStart w:id="550" w:name="_Toc143252389"/>
      <w:bookmarkStart w:id="551" w:name="_Toc143252531"/>
      <w:bookmarkStart w:id="552" w:name="_Toc143874061"/>
      <w:bookmarkStart w:id="553" w:name="_Toc143874206"/>
      <w:bookmarkStart w:id="554" w:name="_Toc144113972"/>
      <w:bookmarkStart w:id="555" w:name="_Toc144114130"/>
      <w:bookmarkStart w:id="556" w:name="_Toc144114276"/>
      <w:bookmarkStart w:id="557" w:name="_Toc144114420"/>
      <w:bookmarkStart w:id="558" w:name="_Toc81305682"/>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62273BC4" w14:textId="77777777" w:rsidR="005F38A6" w:rsidRPr="00535925" w:rsidRDefault="005F38A6" w:rsidP="000E12CF">
      <w:pPr>
        <w:keepNext/>
        <w:numPr>
          <w:ilvl w:val="0"/>
          <w:numId w:val="14"/>
        </w:numPr>
        <w:ind w:right="49"/>
        <w:outlineLvl w:val="0"/>
        <w:rPr>
          <w:b/>
          <w:vanish/>
          <w:color w:val="1F3864" w:themeColor="accent1" w:themeShade="80"/>
        </w:rPr>
      </w:pPr>
      <w:bookmarkStart w:id="559" w:name="_Toc110522961"/>
      <w:bookmarkStart w:id="560" w:name="_Toc114066665"/>
      <w:bookmarkStart w:id="561" w:name="_Toc114473987"/>
      <w:bookmarkStart w:id="562" w:name="_Toc114476034"/>
      <w:bookmarkStart w:id="563" w:name="_Toc114476141"/>
      <w:bookmarkStart w:id="564" w:name="_Toc114476227"/>
      <w:bookmarkStart w:id="565" w:name="_Toc114476294"/>
      <w:bookmarkStart w:id="566" w:name="_Toc114476367"/>
      <w:bookmarkStart w:id="567" w:name="_Toc114476432"/>
      <w:bookmarkStart w:id="568" w:name="_Toc114492518"/>
      <w:bookmarkStart w:id="569" w:name="_Toc114492718"/>
      <w:bookmarkStart w:id="570" w:name="_Toc114493828"/>
      <w:bookmarkStart w:id="571" w:name="_Toc114495283"/>
      <w:bookmarkStart w:id="572" w:name="_Toc143252246"/>
      <w:bookmarkStart w:id="573" w:name="_Toc143252390"/>
      <w:bookmarkStart w:id="574" w:name="_Toc143252532"/>
      <w:bookmarkStart w:id="575" w:name="_Toc143874062"/>
      <w:bookmarkStart w:id="576" w:name="_Toc143874207"/>
      <w:bookmarkStart w:id="577" w:name="_Toc144113973"/>
      <w:bookmarkStart w:id="578" w:name="_Toc144114131"/>
      <w:bookmarkStart w:id="579" w:name="_Toc144114277"/>
      <w:bookmarkStart w:id="580" w:name="_Toc144114421"/>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162CBE13" w14:textId="77777777" w:rsidR="005F38A6" w:rsidRPr="00535925" w:rsidRDefault="005F38A6" w:rsidP="000E12CF">
      <w:pPr>
        <w:keepNext/>
        <w:numPr>
          <w:ilvl w:val="0"/>
          <w:numId w:val="14"/>
        </w:numPr>
        <w:ind w:right="49"/>
        <w:outlineLvl w:val="0"/>
        <w:rPr>
          <w:b/>
          <w:vanish/>
          <w:color w:val="1F3864" w:themeColor="accent1" w:themeShade="80"/>
        </w:rPr>
      </w:pPr>
      <w:bookmarkStart w:id="581" w:name="_Toc110522962"/>
      <w:bookmarkStart w:id="582" w:name="_Toc114066666"/>
      <w:bookmarkStart w:id="583" w:name="_Toc114473988"/>
      <w:bookmarkStart w:id="584" w:name="_Toc114476035"/>
      <w:bookmarkStart w:id="585" w:name="_Toc114476142"/>
      <w:bookmarkStart w:id="586" w:name="_Toc114476228"/>
      <w:bookmarkStart w:id="587" w:name="_Toc114476295"/>
      <w:bookmarkStart w:id="588" w:name="_Toc114476368"/>
      <w:bookmarkStart w:id="589" w:name="_Toc114476433"/>
      <w:bookmarkStart w:id="590" w:name="_Toc114492519"/>
      <w:bookmarkStart w:id="591" w:name="_Toc114492719"/>
      <w:bookmarkStart w:id="592" w:name="_Toc114493829"/>
      <w:bookmarkStart w:id="593" w:name="_Toc114495284"/>
      <w:bookmarkStart w:id="594" w:name="_Toc143252247"/>
      <w:bookmarkStart w:id="595" w:name="_Toc143252391"/>
      <w:bookmarkStart w:id="596" w:name="_Toc143252533"/>
      <w:bookmarkStart w:id="597" w:name="_Toc143874063"/>
      <w:bookmarkStart w:id="598" w:name="_Toc143874208"/>
      <w:bookmarkStart w:id="599" w:name="_Toc144113974"/>
      <w:bookmarkStart w:id="600" w:name="_Toc144114132"/>
      <w:bookmarkStart w:id="601" w:name="_Toc144114278"/>
      <w:bookmarkStart w:id="602" w:name="_Toc144114422"/>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4D8499A5" w14:textId="77777777" w:rsidR="005F38A6" w:rsidRPr="00535925" w:rsidRDefault="005F38A6" w:rsidP="000E12CF">
      <w:pPr>
        <w:keepNext/>
        <w:numPr>
          <w:ilvl w:val="0"/>
          <w:numId w:val="14"/>
        </w:numPr>
        <w:ind w:right="49"/>
        <w:outlineLvl w:val="0"/>
        <w:rPr>
          <w:b/>
          <w:vanish/>
          <w:color w:val="1F3864" w:themeColor="accent1" w:themeShade="80"/>
        </w:rPr>
      </w:pPr>
      <w:bookmarkStart w:id="603" w:name="_Toc110522963"/>
      <w:bookmarkStart w:id="604" w:name="_Toc114066667"/>
      <w:bookmarkStart w:id="605" w:name="_Toc114473989"/>
      <w:bookmarkStart w:id="606" w:name="_Toc114476036"/>
      <w:bookmarkStart w:id="607" w:name="_Toc114476143"/>
      <w:bookmarkStart w:id="608" w:name="_Toc114476229"/>
      <w:bookmarkStart w:id="609" w:name="_Toc114476296"/>
      <w:bookmarkStart w:id="610" w:name="_Toc114476369"/>
      <w:bookmarkStart w:id="611" w:name="_Toc114476434"/>
      <w:bookmarkStart w:id="612" w:name="_Toc114492520"/>
      <w:bookmarkStart w:id="613" w:name="_Toc114492720"/>
      <w:bookmarkStart w:id="614" w:name="_Toc114493830"/>
      <w:bookmarkStart w:id="615" w:name="_Toc114495285"/>
      <w:bookmarkStart w:id="616" w:name="_Toc143252248"/>
      <w:bookmarkStart w:id="617" w:name="_Toc143252392"/>
      <w:bookmarkStart w:id="618" w:name="_Toc143252534"/>
      <w:bookmarkStart w:id="619" w:name="_Toc143874064"/>
      <w:bookmarkStart w:id="620" w:name="_Toc143874209"/>
      <w:bookmarkStart w:id="621" w:name="_Toc144113975"/>
      <w:bookmarkStart w:id="622" w:name="_Toc144114133"/>
      <w:bookmarkStart w:id="623" w:name="_Toc144114279"/>
      <w:bookmarkStart w:id="624" w:name="_Toc144114423"/>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7307385D" w14:textId="77777777" w:rsidR="005F38A6" w:rsidRPr="00535925" w:rsidRDefault="005F38A6" w:rsidP="000E12CF">
      <w:pPr>
        <w:keepNext/>
        <w:numPr>
          <w:ilvl w:val="0"/>
          <w:numId w:val="14"/>
        </w:numPr>
        <w:ind w:right="49"/>
        <w:outlineLvl w:val="0"/>
        <w:rPr>
          <w:b/>
          <w:vanish/>
          <w:color w:val="1F3864" w:themeColor="accent1" w:themeShade="80"/>
        </w:rPr>
      </w:pPr>
      <w:bookmarkStart w:id="625" w:name="_Toc110522964"/>
      <w:bookmarkStart w:id="626" w:name="_Toc114066668"/>
      <w:bookmarkStart w:id="627" w:name="_Toc114473990"/>
      <w:bookmarkStart w:id="628" w:name="_Toc114476037"/>
      <w:bookmarkStart w:id="629" w:name="_Toc114476144"/>
      <w:bookmarkStart w:id="630" w:name="_Toc114476230"/>
      <w:bookmarkStart w:id="631" w:name="_Toc114476297"/>
      <w:bookmarkStart w:id="632" w:name="_Toc114476370"/>
      <w:bookmarkStart w:id="633" w:name="_Toc114476435"/>
      <w:bookmarkStart w:id="634" w:name="_Toc114492521"/>
      <w:bookmarkStart w:id="635" w:name="_Toc114492721"/>
      <w:bookmarkStart w:id="636" w:name="_Toc114493831"/>
      <w:bookmarkStart w:id="637" w:name="_Toc114495286"/>
      <w:bookmarkStart w:id="638" w:name="_Toc143252249"/>
      <w:bookmarkStart w:id="639" w:name="_Toc143252393"/>
      <w:bookmarkStart w:id="640" w:name="_Toc143252535"/>
      <w:bookmarkStart w:id="641" w:name="_Toc143874065"/>
      <w:bookmarkStart w:id="642" w:name="_Toc143874210"/>
      <w:bookmarkStart w:id="643" w:name="_Toc144113976"/>
      <w:bookmarkStart w:id="644" w:name="_Toc144114134"/>
      <w:bookmarkStart w:id="645" w:name="_Toc144114280"/>
      <w:bookmarkStart w:id="646" w:name="_Toc1441144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770A376D" w14:textId="77777777" w:rsidR="005F38A6" w:rsidRPr="00535925" w:rsidRDefault="005F38A6" w:rsidP="000E12CF">
      <w:pPr>
        <w:keepNext/>
        <w:numPr>
          <w:ilvl w:val="0"/>
          <w:numId w:val="14"/>
        </w:numPr>
        <w:ind w:right="49"/>
        <w:outlineLvl w:val="0"/>
        <w:rPr>
          <w:b/>
          <w:vanish/>
          <w:color w:val="1F3864" w:themeColor="accent1" w:themeShade="80"/>
        </w:rPr>
      </w:pPr>
      <w:bookmarkStart w:id="647" w:name="_Toc110522965"/>
      <w:bookmarkStart w:id="648" w:name="_Toc114066669"/>
      <w:bookmarkStart w:id="649" w:name="_Toc114473991"/>
      <w:bookmarkStart w:id="650" w:name="_Toc114476038"/>
      <w:bookmarkStart w:id="651" w:name="_Toc114476145"/>
      <w:bookmarkStart w:id="652" w:name="_Toc114476231"/>
      <w:bookmarkStart w:id="653" w:name="_Toc114476298"/>
      <w:bookmarkStart w:id="654" w:name="_Toc114476371"/>
      <w:bookmarkStart w:id="655" w:name="_Toc114476436"/>
      <w:bookmarkStart w:id="656" w:name="_Toc114492522"/>
      <w:bookmarkStart w:id="657" w:name="_Toc114492722"/>
      <w:bookmarkStart w:id="658" w:name="_Toc114493832"/>
      <w:bookmarkStart w:id="659" w:name="_Toc114495287"/>
      <w:bookmarkStart w:id="660" w:name="_Toc143252250"/>
      <w:bookmarkStart w:id="661" w:name="_Toc143252394"/>
      <w:bookmarkStart w:id="662" w:name="_Toc143252536"/>
      <w:bookmarkStart w:id="663" w:name="_Toc143874066"/>
      <w:bookmarkStart w:id="664" w:name="_Toc143874211"/>
      <w:bookmarkStart w:id="665" w:name="_Toc144113977"/>
      <w:bookmarkStart w:id="666" w:name="_Toc144114135"/>
      <w:bookmarkStart w:id="667" w:name="_Toc144114281"/>
      <w:bookmarkStart w:id="668" w:name="_Toc144114425"/>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5DFD4350" w14:textId="77777777" w:rsidR="005F38A6" w:rsidRPr="00535925" w:rsidRDefault="005F38A6" w:rsidP="000E12CF">
      <w:pPr>
        <w:keepNext/>
        <w:numPr>
          <w:ilvl w:val="0"/>
          <w:numId w:val="14"/>
        </w:numPr>
        <w:ind w:right="49"/>
        <w:outlineLvl w:val="0"/>
        <w:rPr>
          <w:b/>
          <w:vanish/>
          <w:color w:val="1F3864" w:themeColor="accent1" w:themeShade="80"/>
        </w:rPr>
      </w:pPr>
      <w:bookmarkStart w:id="669" w:name="_Toc110522966"/>
      <w:bookmarkStart w:id="670" w:name="_Toc114066670"/>
      <w:bookmarkStart w:id="671" w:name="_Toc114473992"/>
      <w:bookmarkStart w:id="672" w:name="_Toc114476039"/>
      <w:bookmarkStart w:id="673" w:name="_Toc114476146"/>
      <w:bookmarkStart w:id="674" w:name="_Toc114476232"/>
      <w:bookmarkStart w:id="675" w:name="_Toc114476299"/>
      <w:bookmarkStart w:id="676" w:name="_Toc114476372"/>
      <w:bookmarkStart w:id="677" w:name="_Toc114476437"/>
      <w:bookmarkStart w:id="678" w:name="_Toc114492523"/>
      <w:bookmarkStart w:id="679" w:name="_Toc114492723"/>
      <w:bookmarkStart w:id="680" w:name="_Toc114493833"/>
      <w:bookmarkStart w:id="681" w:name="_Toc114495288"/>
      <w:bookmarkStart w:id="682" w:name="_Toc143252251"/>
      <w:bookmarkStart w:id="683" w:name="_Toc143252395"/>
      <w:bookmarkStart w:id="684" w:name="_Toc143252537"/>
      <w:bookmarkStart w:id="685" w:name="_Toc143874067"/>
      <w:bookmarkStart w:id="686" w:name="_Toc143874212"/>
      <w:bookmarkStart w:id="687" w:name="_Toc144113978"/>
      <w:bookmarkStart w:id="688" w:name="_Toc144114136"/>
      <w:bookmarkStart w:id="689" w:name="_Toc144114282"/>
      <w:bookmarkStart w:id="690" w:name="_Toc144114426"/>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6D41970A" w14:textId="77777777" w:rsidR="00096829" w:rsidRPr="00096829" w:rsidRDefault="00096829" w:rsidP="00096829">
      <w:pPr>
        <w:pStyle w:val="Prrafodelista"/>
        <w:keepNext/>
        <w:widowControl w:val="0"/>
        <w:numPr>
          <w:ilvl w:val="0"/>
          <w:numId w:val="35"/>
        </w:numPr>
        <w:contextualSpacing w:val="0"/>
        <w:outlineLvl w:val="1"/>
        <w:rPr>
          <w:rFonts w:eastAsiaTheme="minorHAnsi"/>
          <w:b/>
          <w:bCs/>
          <w:vanish/>
          <w:color w:val="000000"/>
          <w:lang w:eastAsia="en-US"/>
        </w:rPr>
      </w:pPr>
      <w:bookmarkStart w:id="691" w:name="_Toc143252252"/>
      <w:bookmarkStart w:id="692" w:name="_Toc143252396"/>
      <w:bookmarkStart w:id="693" w:name="_Toc143252538"/>
      <w:bookmarkStart w:id="694" w:name="_Toc143874068"/>
      <w:bookmarkStart w:id="695" w:name="_Toc143874213"/>
      <w:bookmarkStart w:id="696" w:name="_Toc144113979"/>
      <w:bookmarkStart w:id="697" w:name="_Toc144114137"/>
      <w:bookmarkStart w:id="698" w:name="_Toc144114283"/>
      <w:bookmarkStart w:id="699" w:name="_Toc144114427"/>
      <w:bookmarkStart w:id="700" w:name="_Toc114495289"/>
      <w:bookmarkEnd w:id="691"/>
      <w:bookmarkEnd w:id="692"/>
      <w:bookmarkEnd w:id="693"/>
      <w:bookmarkEnd w:id="694"/>
      <w:bookmarkEnd w:id="695"/>
      <w:bookmarkEnd w:id="696"/>
      <w:bookmarkEnd w:id="697"/>
      <w:bookmarkEnd w:id="698"/>
      <w:bookmarkEnd w:id="699"/>
    </w:p>
    <w:p w14:paraId="580C317F" w14:textId="375905D5" w:rsidR="005F38A6" w:rsidRPr="00096829" w:rsidRDefault="005F38A6" w:rsidP="007F19DF">
      <w:pPr>
        <w:pStyle w:val="Ttulo2"/>
        <w:numPr>
          <w:ilvl w:val="1"/>
          <w:numId w:val="35"/>
        </w:numPr>
        <w:tabs>
          <w:tab w:val="left" w:pos="567"/>
        </w:tabs>
        <w:ind w:left="426" w:hanging="284"/>
        <w:rPr>
          <w:bCs/>
        </w:rPr>
      </w:pPr>
      <w:bookmarkStart w:id="701" w:name="_Toc144114428"/>
      <w:r w:rsidRPr="00096829">
        <w:rPr>
          <w:bCs/>
        </w:rPr>
        <w:t>Aspectos generales</w:t>
      </w:r>
      <w:bookmarkEnd w:id="558"/>
      <w:bookmarkEnd w:id="700"/>
      <w:bookmarkEnd w:id="701"/>
    </w:p>
    <w:p w14:paraId="66D3C261" w14:textId="77777777" w:rsidR="005F38A6" w:rsidRPr="00535925" w:rsidRDefault="005F38A6" w:rsidP="005F38A6">
      <w:pPr>
        <w:widowControl w:val="0"/>
        <w:ind w:left="567"/>
        <w:jc w:val="both"/>
      </w:pPr>
    </w:p>
    <w:p w14:paraId="64D4FCFF" w14:textId="77777777" w:rsidR="005F38A6" w:rsidRDefault="005F38A6" w:rsidP="005F38A6">
      <w:pPr>
        <w:widowControl w:val="0"/>
        <w:jc w:val="both"/>
      </w:pPr>
      <w:r w:rsidRPr="00535925">
        <w:t xml:space="preserve">Las demandas judiciales en contra del Estado </w:t>
      </w:r>
      <w:r>
        <w:t xml:space="preserve">son consideradas </w:t>
      </w:r>
      <w:r w:rsidRPr="00535925">
        <w:t xml:space="preserve">como una contingencia que podría surgir en el futuro por los actos que el gobierno ha realizado para el cumplimiento de la función pública que ante la ocurrencia de un determinado evento generó una demanda contra el Estado. </w:t>
      </w:r>
      <w:r>
        <w:t>Estas se clasifican como explícitas dado que se encuentran definidos por leyes o contratos suscritos, así como exógenos, por encontrarse fuera del control del gobierno, debido a que las acciones legales contra el Estado provienen de terceros y su exposición es de origen diverso como el económico, social, laboral, civil, derechos humanos e incluso ambiental.</w:t>
      </w:r>
    </w:p>
    <w:p w14:paraId="59FAA2D8" w14:textId="77777777" w:rsidR="005F38A6" w:rsidRDefault="005F38A6" w:rsidP="005F38A6">
      <w:pPr>
        <w:widowControl w:val="0"/>
        <w:jc w:val="both"/>
      </w:pPr>
    </w:p>
    <w:p w14:paraId="7F461AFF" w14:textId="77777777" w:rsidR="005F38A6" w:rsidRDefault="005F38A6" w:rsidP="005F38A6">
      <w:pPr>
        <w:widowControl w:val="0"/>
        <w:jc w:val="both"/>
      </w:pPr>
      <w:r w:rsidRPr="00535925">
        <w:t xml:space="preserve">Se puede observar que existe una tendencia al alza de casos judiciales en los que el Estado es parte procesal, lo cual comenzó a hacerse notable en el contexto de las profundas reformas normativas e institucionales en América Latina y en Guatemala en las dos últimas décadas.  Además, de las modificaciones legales que se introdujeron para extender el ámbito de los derechos públicos al conjunto de la ciudadanía, así como también la notable mejora del acceso de la población a los servicios de los tribunales, que aplica muy bien en el caso de las demandas laborales o de proveedores y contratistas del Estado, así como las relacionadas con Derechos Humanos. Asimismo, otros factores han contribuido al continuo aumento de casos en los que el Estado es parte, derivado de inversiones directas de compañías extranjeras relacionadas a privatizaciones, concesiones para explotación minera, entre otras.  Las demandas interpuestas contra el Estado vienen acompañadas de pretensiones económicas en la forma de indemnizaciones o reparaciones por el daño supuestamente infligido por la administración pública. </w:t>
      </w:r>
    </w:p>
    <w:p w14:paraId="3F86A35F" w14:textId="77777777" w:rsidR="005F38A6" w:rsidRDefault="005F38A6" w:rsidP="005F38A6">
      <w:pPr>
        <w:widowControl w:val="0"/>
        <w:jc w:val="both"/>
      </w:pPr>
    </w:p>
    <w:p w14:paraId="2B363B5F" w14:textId="77777777" w:rsidR="005F38A6" w:rsidRPr="00535925" w:rsidRDefault="005F38A6" w:rsidP="005F38A6">
      <w:pPr>
        <w:widowControl w:val="0"/>
        <w:jc w:val="both"/>
      </w:pPr>
      <w:r>
        <w:t xml:space="preserve">Lo anterior muestra la importancia que tiene en la actualidad los servicios jurídicos del Estado para reducir el riesgo fiscal que representan las demandas contra el Estado. La efectividad de los organismos de defensa jurídica como la Procuraduría General de la Nación o la contratación adecuada de juristas internacionales para defender los casos por arbitraje internacional puede coadyuvar a reducir los costos por litigios y por ende la mitigación del riesgo fiscal respectivo. </w:t>
      </w:r>
    </w:p>
    <w:p w14:paraId="5A906667" w14:textId="77777777" w:rsidR="005F38A6" w:rsidRPr="00535925" w:rsidRDefault="005F38A6" w:rsidP="005F38A6">
      <w:pPr>
        <w:widowControl w:val="0"/>
        <w:ind w:left="567"/>
        <w:jc w:val="both"/>
      </w:pPr>
    </w:p>
    <w:p w14:paraId="70B574C7" w14:textId="77777777" w:rsidR="005F38A6" w:rsidRPr="00096829" w:rsidRDefault="005F38A6" w:rsidP="007F19DF">
      <w:pPr>
        <w:pStyle w:val="Ttulo2"/>
        <w:numPr>
          <w:ilvl w:val="1"/>
          <w:numId w:val="35"/>
        </w:numPr>
        <w:ind w:left="426" w:hanging="284"/>
        <w:rPr>
          <w:bCs/>
        </w:rPr>
      </w:pPr>
      <w:bookmarkStart w:id="702" w:name="_Toc81305683"/>
      <w:bookmarkStart w:id="703" w:name="_Toc114495290"/>
      <w:bookmarkStart w:id="704" w:name="_Toc144114429"/>
      <w:r w:rsidRPr="00096829">
        <w:rPr>
          <w:bCs/>
        </w:rPr>
        <w:t>Evolución del gasto en sentencias judiciales</w:t>
      </w:r>
      <w:bookmarkEnd w:id="702"/>
      <w:bookmarkEnd w:id="703"/>
      <w:bookmarkEnd w:id="704"/>
    </w:p>
    <w:p w14:paraId="7C4DDDB1" w14:textId="77777777" w:rsidR="005F38A6" w:rsidRPr="00535925" w:rsidRDefault="005F38A6" w:rsidP="005F38A6">
      <w:pPr>
        <w:widowControl w:val="0"/>
        <w:ind w:left="567"/>
        <w:jc w:val="both"/>
        <w:rPr>
          <w:rFonts w:eastAsia="OptimaLTStd"/>
          <w:color w:val="FF0000"/>
        </w:rPr>
      </w:pPr>
    </w:p>
    <w:p w14:paraId="523EC29D" w14:textId="77777777" w:rsidR="005F38A6" w:rsidRPr="00535925" w:rsidRDefault="005F38A6" w:rsidP="005F38A6">
      <w:pPr>
        <w:widowControl w:val="0"/>
        <w:jc w:val="both"/>
      </w:pPr>
      <w:r w:rsidRPr="00535925">
        <w:t xml:space="preserve">Se analizó el comportamiento del gasto en sentencias judiciales que ha realizado el gobierno en el período 2010-2022, en el cual se observa que, en los primeros 5 años el gasto se mantuvo más o menos constante con un promedio de Q62.5 millones anuales. Sin embargo, recientemente ha experimentado un comportamiento creciente, principalmente a partir de 2016 en donde este tipo de gasto ha aumentado de manera importante.  La causa principal es </w:t>
      </w:r>
      <w:r w:rsidRPr="00535925">
        <w:lastRenderedPageBreak/>
        <w:t>derivada de las sentencias de los tribunales de justicia asociados en su mayoría a demandas de índole laboral en los diferentes ministerios y secretarías de Estado.</w:t>
      </w:r>
    </w:p>
    <w:p w14:paraId="4CBCEFDB" w14:textId="77777777" w:rsidR="005F38A6" w:rsidRPr="00535925" w:rsidRDefault="005F38A6" w:rsidP="005F38A6">
      <w:pPr>
        <w:widowControl w:val="0"/>
        <w:jc w:val="both"/>
      </w:pPr>
    </w:p>
    <w:p w14:paraId="074A70D7" w14:textId="77777777" w:rsidR="005F38A6" w:rsidRPr="00535925" w:rsidRDefault="005F38A6" w:rsidP="005F38A6">
      <w:pPr>
        <w:widowControl w:val="0"/>
        <w:jc w:val="both"/>
      </w:pPr>
      <w:r w:rsidRPr="00535925">
        <w:t>Sin embargo, es importante indicar que en 2019 hubo eventos extraordinarios como lo acontecido en el Ministerio de Salud Pública y Asistencia Social, debido a la resolución del tribunal de justicia como resultado de un conflicto colectivo de carácter económico generado en el Hospital General San Juan de Dios, cuya resolución tuvo un impacto de al menos Q100.0 millones sobre lo pagado, en promedio, en años anteriores.</w:t>
      </w:r>
    </w:p>
    <w:p w14:paraId="4DD79822" w14:textId="77777777" w:rsidR="005F38A6" w:rsidRPr="00535925" w:rsidRDefault="005F38A6" w:rsidP="005F38A6">
      <w:pPr>
        <w:widowControl w:val="0"/>
        <w:jc w:val="both"/>
      </w:pPr>
    </w:p>
    <w:p w14:paraId="62F43ABF" w14:textId="77777777" w:rsidR="005F38A6" w:rsidRPr="00535925" w:rsidRDefault="005F38A6" w:rsidP="005F38A6">
      <w:pPr>
        <w:widowControl w:val="0"/>
        <w:jc w:val="both"/>
      </w:pPr>
      <w:r w:rsidRPr="00535925">
        <w:t>Asimismo, en la Comisión Presidencial Coordinadora de la Política del Ejecutivo en Materia de Derechos Humanos tuvo que atender gastos adicionales derivado de sentencias internacionales en materia de derechos humanos que fue cerca de Q40.0 millones adicionales a lo realizado en 2018, es importante indicar que en 2020 esta obligación disminuyó nuevamente.</w:t>
      </w:r>
    </w:p>
    <w:p w14:paraId="4E7EAEE4" w14:textId="77777777" w:rsidR="005F38A6" w:rsidRPr="00535925" w:rsidRDefault="005F38A6" w:rsidP="005F38A6">
      <w:pPr>
        <w:widowControl w:val="0"/>
        <w:jc w:val="both"/>
      </w:pPr>
    </w:p>
    <w:p w14:paraId="6D08442E" w14:textId="77777777" w:rsidR="005F38A6" w:rsidRPr="00F951F4" w:rsidRDefault="005F38A6" w:rsidP="005F38A6">
      <w:pPr>
        <w:widowControl w:val="0"/>
        <w:jc w:val="both"/>
      </w:pPr>
      <w:r w:rsidRPr="00F951F4">
        <w:t xml:space="preserve">En 2020, apareció un nuevo tipo de sentencia procedente de arbitrajes internacionales, en la cual el Ministerio de Economía tuvo que realizar un pago por Q292.5 millones, derivado del laudo dictado a favor de Teco Guatemala Holdings LLC, siendo el año donde se reporta un aumento importante en términos de pago por sentencias judiciales, por parte del gobierno. </w:t>
      </w:r>
    </w:p>
    <w:p w14:paraId="712C935E" w14:textId="77777777" w:rsidR="005F38A6" w:rsidRDefault="005F38A6" w:rsidP="005F38A6">
      <w:pPr>
        <w:widowControl w:val="0"/>
        <w:jc w:val="both"/>
        <w:rPr>
          <w:highlight w:val="yellow"/>
        </w:rPr>
      </w:pPr>
    </w:p>
    <w:p w14:paraId="561E6453" w14:textId="77777777" w:rsidR="005F38A6" w:rsidRPr="00414EC0" w:rsidRDefault="005F38A6" w:rsidP="005F38A6">
      <w:pPr>
        <w:widowControl w:val="0"/>
        <w:jc w:val="both"/>
      </w:pPr>
      <w:r w:rsidRPr="00414EC0">
        <w:t>Este caso es importante para el análisis, dado que una autoridad jurisdiccional en los EE.UU. tomó acciones precautorias a favor de Teco Guatemala Holdings, en el marco de la disputa comercial con la República de Guatemala. Derivado de lo anterior, se embargó una cuenta internacional del Gobierno de Guatemala que era utilizada para el pago de sus compromisos de deuda. Por ello, la agencia calificadora de riesgo Fitch Ratings colocó la calificación de riesgo crediticio de Guatemala en el criterio: “Calificación en Observación Negativa”, siendo justificado como producto de un atraso temporal en el pago de intereses que correspondían a un Eurobono (con vencimiento 2026), y se redujo la calificación de dicho Eurobono de BB- con perspectiva estable a C.</w:t>
      </w:r>
      <w:r>
        <w:t xml:space="preserve"> Sin embargo, es relevante indicar que el pago se realizó dentro del período de gracia de 30 días, por lo cual no fue considerado como un incumplimiento, únicamente como un atraso.</w:t>
      </w:r>
    </w:p>
    <w:p w14:paraId="66FBA2A3" w14:textId="77777777" w:rsidR="005F38A6" w:rsidRDefault="005F38A6" w:rsidP="005F38A6">
      <w:pPr>
        <w:widowControl w:val="0"/>
        <w:jc w:val="both"/>
      </w:pPr>
    </w:p>
    <w:p w14:paraId="5E9B22ED" w14:textId="77777777" w:rsidR="005F38A6" w:rsidRDefault="005F38A6" w:rsidP="005F38A6">
      <w:pPr>
        <w:widowControl w:val="0"/>
        <w:jc w:val="both"/>
      </w:pPr>
      <w:r>
        <w:t xml:space="preserve">Las autoridades del país lograron solventar la situación legal y se levantó el embargo </w:t>
      </w:r>
      <w:r w:rsidRPr="00494AD4">
        <w:t>efectuado por Teco Guatemala Holdings, luego de realizar el pago de Q292.5 millones. La resolución de este conflicto se considera relevante dado que permitió que los fondos que se encontraban retenidos y servían para el pago a los inversionistas de bonos soberanos de la República de Guatemala fueran liberados, normalizando sus operaciones con bancos internacionales y contribuyendo a mantener el buen clima de negocios e inversiones para Guatemala.</w:t>
      </w:r>
    </w:p>
    <w:p w14:paraId="0097C487" w14:textId="77777777" w:rsidR="005F38A6" w:rsidRDefault="005F38A6" w:rsidP="005F38A6">
      <w:pPr>
        <w:widowControl w:val="0"/>
        <w:jc w:val="both"/>
      </w:pPr>
    </w:p>
    <w:p w14:paraId="595B2E22" w14:textId="77777777" w:rsidR="005F38A6" w:rsidRDefault="005F38A6" w:rsidP="005F38A6">
      <w:pPr>
        <w:widowControl w:val="0"/>
        <w:jc w:val="both"/>
      </w:pPr>
      <w:r w:rsidRPr="00535925">
        <w:t>Posteriormente en 2021 se normalizó el pago por sentencia judiciales reduciendo el nivel a Q189 millones, y para</w:t>
      </w:r>
      <w:r>
        <w:t xml:space="preserve"> 2022 se tiene que el monto por demandas judiciales ascendió a Q630 millones, siendo el año con la mayor erogación de recursos por este concepto. </w:t>
      </w:r>
    </w:p>
    <w:p w14:paraId="1A05A5F2" w14:textId="77777777" w:rsidR="005F38A6" w:rsidRDefault="005F38A6" w:rsidP="005F38A6">
      <w:pPr>
        <w:widowControl w:val="0"/>
        <w:jc w:val="both"/>
        <w:rPr>
          <w:highlight w:val="yellow"/>
        </w:rPr>
      </w:pPr>
    </w:p>
    <w:p w14:paraId="65BC00D0" w14:textId="77777777" w:rsidR="005F38A6" w:rsidRPr="00792AC7" w:rsidRDefault="005F38A6" w:rsidP="005F38A6">
      <w:pPr>
        <w:widowControl w:val="0"/>
        <w:jc w:val="both"/>
      </w:pPr>
      <w:r>
        <w:t>E</w:t>
      </w:r>
      <w:r w:rsidRPr="00792AC7">
        <w:t xml:space="preserve">n 2022 nuevamente se dio un pago a favor de la empresa Teco Guatemala Holdings por </w:t>
      </w:r>
      <w:r>
        <w:t>Q337.6 millones (</w:t>
      </w:r>
      <w:r w:rsidRPr="00792AC7">
        <w:t>US$46.0 millones</w:t>
      </w:r>
      <w:r>
        <w:t>)</w:t>
      </w:r>
      <w:r w:rsidRPr="00792AC7">
        <w:t xml:space="preserve">. El tribunal arbitral determino que la República de Guatemala debía pagar la suma de US$64.7 millones, por el incumplimiento de las normas </w:t>
      </w:r>
      <w:r w:rsidRPr="00792AC7">
        <w:lastRenderedPageBreak/>
        <w:t>jurídicas, derivado del proceso de fijación de tarifas de distribución de energía eléctrica para el quinquenio 2008-2013 realizado por la Comisión Nacional de Energía Eléctrica.</w:t>
      </w:r>
      <w:r w:rsidRPr="00792AC7">
        <w:cr/>
      </w:r>
    </w:p>
    <w:p w14:paraId="78782BD6" w14:textId="77777777" w:rsidR="005F38A6" w:rsidRDefault="005F38A6" w:rsidP="005F38A6">
      <w:pPr>
        <w:widowControl w:val="0"/>
        <w:jc w:val="both"/>
      </w:pPr>
      <w:r w:rsidRPr="00792AC7">
        <w:t>Derivado de esto, se determinó a través de análisis técnicos y jurídicos, la conveniencia a los intereses del Estado de finalizar el litigio por medio de una transacción y así evitar nuevas demandas internacionales y gastos legales adicionales, reduciendo la suma adeudada, por lo que Teco otorgó una reducción de US$18.7 millones a favor de Guatemala del monto indemnizatorio, asimismo Teco aceptaría de forma expresa e irrevocable que el monto a pagar a su favor sería de US$46.0 millones, con ello se concluyó absoluta y definitivamente el laudo.</w:t>
      </w:r>
    </w:p>
    <w:p w14:paraId="3536AFBF" w14:textId="77777777" w:rsidR="005F38A6" w:rsidRDefault="005F38A6" w:rsidP="005F38A6">
      <w:pPr>
        <w:widowControl w:val="0"/>
        <w:jc w:val="both"/>
      </w:pPr>
    </w:p>
    <w:p w14:paraId="0E0107BC" w14:textId="77777777" w:rsidR="005F38A6" w:rsidRDefault="005F38A6" w:rsidP="005F38A6">
      <w:pPr>
        <w:widowControl w:val="0"/>
        <w:jc w:val="both"/>
      </w:pPr>
      <w:r>
        <w:t>Para 2023, para este rubro se contempla un presupuesto al 30 de junio de Q610 millones, habiéndose ejecutado ya Q167 millones.</w:t>
      </w:r>
      <w:bookmarkStart w:id="705" w:name="_Toc114493918"/>
    </w:p>
    <w:p w14:paraId="58926680" w14:textId="77777777" w:rsidR="005F38A6" w:rsidRDefault="005F38A6" w:rsidP="005F38A6">
      <w:pPr>
        <w:widowControl w:val="0"/>
        <w:jc w:val="both"/>
      </w:pPr>
    </w:p>
    <w:p w14:paraId="037326FA" w14:textId="0D92D94C" w:rsidR="005F38A6" w:rsidRPr="00C66E93" w:rsidRDefault="00C66E93" w:rsidP="00C66E93">
      <w:pPr>
        <w:pStyle w:val="Descripcin"/>
        <w:rPr>
          <w:b w:val="0"/>
          <w:color w:val="auto"/>
        </w:rPr>
      </w:pPr>
      <w:bookmarkStart w:id="706" w:name="_Toc143593639"/>
      <w:bookmarkEnd w:id="705"/>
      <w:r w:rsidRPr="00C66E93">
        <w:rPr>
          <w:color w:val="auto"/>
        </w:rPr>
        <w:t xml:space="preserve">Gráfico </w:t>
      </w:r>
      <w:r w:rsidRPr="00C66E93">
        <w:rPr>
          <w:color w:val="auto"/>
        </w:rPr>
        <w:fldChar w:fldCharType="begin"/>
      </w:r>
      <w:r w:rsidRPr="00C66E93">
        <w:rPr>
          <w:color w:val="auto"/>
        </w:rPr>
        <w:instrText xml:space="preserve"> SEQ Gráfico \* ARABIC </w:instrText>
      </w:r>
      <w:r w:rsidRPr="00C66E93">
        <w:rPr>
          <w:color w:val="auto"/>
        </w:rPr>
        <w:fldChar w:fldCharType="separate"/>
      </w:r>
      <w:r w:rsidR="00A62AFA">
        <w:rPr>
          <w:noProof/>
          <w:color w:val="auto"/>
        </w:rPr>
        <w:t>81</w:t>
      </w:r>
      <w:r w:rsidRPr="00C66E93">
        <w:rPr>
          <w:color w:val="auto"/>
        </w:rPr>
        <w:fldChar w:fldCharType="end"/>
      </w:r>
      <w:r w:rsidRPr="00C66E93">
        <w:rPr>
          <w:color w:val="auto"/>
        </w:rPr>
        <w:t>.  Gasto en Sentencias Judiciales</w:t>
      </w:r>
      <w:bookmarkEnd w:id="706"/>
    </w:p>
    <w:p w14:paraId="73AAFC90" w14:textId="77777777" w:rsidR="005F38A6" w:rsidRPr="00535925" w:rsidRDefault="005F38A6" w:rsidP="005F38A6">
      <w:pPr>
        <w:widowControl w:val="0"/>
        <w:ind w:left="567"/>
        <w:jc w:val="center"/>
      </w:pPr>
      <w:r w:rsidRPr="00535925">
        <w:t>2010 – 202</w:t>
      </w:r>
      <w:r>
        <w:t>3</w:t>
      </w:r>
      <w:r w:rsidRPr="00535925">
        <w:t>*</w:t>
      </w:r>
    </w:p>
    <w:p w14:paraId="01A825EA" w14:textId="77777777" w:rsidR="005F38A6" w:rsidRDefault="005F38A6" w:rsidP="00C66E93">
      <w:pPr>
        <w:widowControl w:val="0"/>
        <w:ind w:left="284"/>
        <w:jc w:val="center"/>
      </w:pPr>
      <w:r w:rsidRPr="005B4F7D">
        <w:rPr>
          <w:noProof/>
        </w:rPr>
        <mc:AlternateContent>
          <mc:Choice Requires="wps">
            <w:drawing>
              <wp:anchor distT="45720" distB="45720" distL="114300" distR="114300" simplePos="0" relativeHeight="251662336" behindDoc="0" locked="0" layoutInCell="1" allowOverlap="1" wp14:anchorId="61369FBB" wp14:editId="079AC47E">
                <wp:simplePos x="0" y="0"/>
                <wp:positionH relativeFrom="column">
                  <wp:posOffset>4961255</wp:posOffset>
                </wp:positionH>
                <wp:positionV relativeFrom="paragraph">
                  <wp:posOffset>235585</wp:posOffset>
                </wp:positionV>
                <wp:extent cx="680085" cy="394462"/>
                <wp:effectExtent l="0" t="0" r="0" b="571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94462"/>
                        </a:xfrm>
                        <a:prstGeom prst="rect">
                          <a:avLst/>
                        </a:prstGeom>
                        <a:noFill/>
                        <a:ln w="9525">
                          <a:noFill/>
                          <a:miter lim="800000"/>
                          <a:headEnd/>
                          <a:tailEnd/>
                        </a:ln>
                      </wps:spPr>
                      <wps:txbx>
                        <w:txbxContent>
                          <w:p w14:paraId="3B6E77F2" w14:textId="77777777" w:rsidR="005F38A6" w:rsidRPr="00BF551C" w:rsidRDefault="005F38A6" w:rsidP="005F38A6">
                            <w:pPr>
                              <w:jc w:val="center"/>
                              <w:rPr>
                                <w:b/>
                                <w:bCs/>
                                <w:color w:val="0D0D0D" w:themeColor="text1" w:themeTint="F2"/>
                                <w:sz w:val="14"/>
                                <w:szCs w:val="14"/>
                              </w:rPr>
                            </w:pPr>
                            <w:r w:rsidRPr="00BF551C">
                              <w:rPr>
                                <w:b/>
                                <w:bCs/>
                                <w:color w:val="0D0D0D" w:themeColor="text1" w:themeTint="F2"/>
                                <w:sz w:val="14"/>
                                <w:szCs w:val="14"/>
                              </w:rPr>
                              <w:t>Presupuesto</w:t>
                            </w:r>
                          </w:p>
                          <w:p w14:paraId="17FC5649" w14:textId="77777777" w:rsidR="005F38A6" w:rsidRPr="00BF551C" w:rsidRDefault="005F38A6" w:rsidP="005F38A6">
                            <w:pPr>
                              <w:jc w:val="center"/>
                              <w:rPr>
                                <w:b/>
                                <w:bCs/>
                                <w:color w:val="0D0D0D" w:themeColor="text1" w:themeTint="F2"/>
                                <w:sz w:val="14"/>
                                <w:szCs w:val="14"/>
                              </w:rPr>
                            </w:pPr>
                            <w:r w:rsidRPr="00BF551C">
                              <w:rPr>
                                <w:b/>
                                <w:bCs/>
                                <w:color w:val="0D0D0D" w:themeColor="text1" w:themeTint="F2"/>
                                <w:sz w:val="14"/>
                                <w:szCs w:val="14"/>
                              </w:rPr>
                              <w:t>Vigente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9FBB" id="Cuadro de texto 2" o:spid="_x0000_s1062" type="#_x0000_t202" style="position:absolute;left:0;text-align:left;margin-left:390.65pt;margin-top:18.55pt;width:53.55pt;height:31.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" filled="f" stroked="f">
                <v:textbox>
                  <w:txbxContent>
                    <w:p w14:paraId="3B6E77F2" w14:textId="77777777" w:rsidR="005F38A6" w:rsidRPr="00BF551C" w:rsidRDefault="005F38A6" w:rsidP="005F38A6">
                      <w:pPr>
                        <w:jc w:val="center"/>
                        <w:rPr>
                          <w:b/>
                          <w:bCs/>
                          <w:color w:val="0D0D0D" w:themeColor="text1" w:themeTint="F2"/>
                          <w:sz w:val="14"/>
                          <w:szCs w:val="14"/>
                        </w:rPr>
                      </w:pPr>
                      <w:r w:rsidRPr="00BF551C">
                        <w:rPr>
                          <w:b/>
                          <w:bCs/>
                          <w:color w:val="0D0D0D" w:themeColor="text1" w:themeTint="F2"/>
                          <w:sz w:val="14"/>
                          <w:szCs w:val="14"/>
                        </w:rPr>
                        <w:t>Presupuesto</w:t>
                      </w:r>
                    </w:p>
                    <w:p w14:paraId="17FC5649" w14:textId="77777777" w:rsidR="005F38A6" w:rsidRPr="00BF551C" w:rsidRDefault="005F38A6" w:rsidP="005F38A6">
                      <w:pPr>
                        <w:jc w:val="center"/>
                        <w:rPr>
                          <w:b/>
                          <w:bCs/>
                          <w:color w:val="0D0D0D" w:themeColor="text1" w:themeTint="F2"/>
                          <w:sz w:val="14"/>
                          <w:szCs w:val="14"/>
                        </w:rPr>
                      </w:pPr>
                      <w:r w:rsidRPr="00BF551C">
                        <w:rPr>
                          <w:b/>
                          <w:bCs/>
                          <w:color w:val="0D0D0D" w:themeColor="text1" w:themeTint="F2"/>
                          <w:sz w:val="14"/>
                          <w:szCs w:val="14"/>
                        </w:rPr>
                        <w:t>Vigente</w:t>
                      </w:r>
                    </w:p>
                  </w:txbxContent>
                </v:textbox>
              </v:shape>
            </w:pict>
          </mc:Fallback>
        </mc:AlternateContent>
      </w:r>
      <w:r w:rsidRPr="00535925">
        <w:t>Millones de quetzales</w:t>
      </w:r>
      <w:r w:rsidRPr="00262771">
        <w:rPr>
          <w:noProof/>
          <w:shd w:val="clear" w:color="auto" w:fill="002060"/>
        </w:rPr>
        <w:drawing>
          <wp:inline distT="0" distB="0" distL="0" distR="0" wp14:anchorId="5770DD67" wp14:editId="1FEAAB23">
            <wp:extent cx="5486400" cy="2523506"/>
            <wp:effectExtent l="0" t="0" r="0"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2AC33064" w14:textId="77777777" w:rsidR="005F38A6" w:rsidRDefault="005F38A6" w:rsidP="005F38A6">
      <w:pPr>
        <w:ind w:left="567"/>
        <w:rPr>
          <w:sz w:val="16"/>
          <w:lang w:val="es-ES"/>
        </w:rPr>
      </w:pPr>
      <w:r>
        <w:rPr>
          <w:sz w:val="16"/>
          <w:lang w:val="es-ES"/>
        </w:rPr>
        <w:t>*Cifras a junio 2023</w:t>
      </w:r>
    </w:p>
    <w:p w14:paraId="1D243084" w14:textId="77777777" w:rsidR="005F38A6" w:rsidRPr="00535925" w:rsidRDefault="005F38A6" w:rsidP="005F38A6">
      <w:pPr>
        <w:ind w:left="567"/>
        <w:rPr>
          <w:sz w:val="16"/>
          <w:lang w:val="es-ES"/>
        </w:rPr>
      </w:pPr>
      <w:r w:rsidRPr="00535925">
        <w:rPr>
          <w:sz w:val="16"/>
          <w:lang w:val="es-ES"/>
        </w:rPr>
        <w:t xml:space="preserve">Fuente: </w:t>
      </w:r>
      <w:proofErr w:type="spellStart"/>
      <w:r w:rsidRPr="00535925">
        <w:rPr>
          <w:sz w:val="16"/>
          <w:lang w:val="es-ES"/>
        </w:rPr>
        <w:t>Sicoin</w:t>
      </w:r>
      <w:proofErr w:type="spellEnd"/>
      <w:r w:rsidRPr="00535925">
        <w:rPr>
          <w:sz w:val="16"/>
          <w:lang w:val="es-ES"/>
        </w:rPr>
        <w:t>.</w:t>
      </w:r>
    </w:p>
    <w:p w14:paraId="1066022C" w14:textId="77777777" w:rsidR="005F38A6" w:rsidRDefault="005F38A6" w:rsidP="005F38A6">
      <w:pPr>
        <w:widowControl w:val="0"/>
        <w:ind w:left="708" w:hanging="141"/>
        <w:jc w:val="center"/>
      </w:pPr>
    </w:p>
    <w:p w14:paraId="346E1562" w14:textId="77777777" w:rsidR="005F38A6" w:rsidRDefault="005F38A6" w:rsidP="005F38A6">
      <w:pPr>
        <w:widowControl w:val="0"/>
        <w:jc w:val="both"/>
      </w:pPr>
      <w:r w:rsidRPr="00535925">
        <w:t xml:space="preserve">Merece especial atención, el hecho de que, aunque este gasto ha mostrado un comportamiento creciente en los últimos años, su participación en términos de los ingresos tributarios es </w:t>
      </w:r>
      <w:r>
        <w:t xml:space="preserve">en promedio </w:t>
      </w:r>
      <w:r w:rsidRPr="00535925">
        <w:t>0.</w:t>
      </w:r>
      <w:r>
        <w:t>3</w:t>
      </w:r>
      <w:r w:rsidRPr="00535925">
        <w:t xml:space="preserve">% </w:t>
      </w:r>
      <w:r>
        <w:t xml:space="preserve">y de 0.03% del PIB, siendo bastante bajo. Existen excepciones, como las observadas en 2020 y 2022, cuando la participación en término de los ingresos tributarios aumento a 0.7% para ambos años y en términos del PIB a 0.07% y 0.09% respectivamente, por la </w:t>
      </w:r>
      <w:r w:rsidRPr="00535925">
        <w:t>sentencia por arbitraje internacional de inversión de la Empresa TECO</w:t>
      </w:r>
      <w:r>
        <w:t xml:space="preserve"> en ambos años</w:t>
      </w:r>
      <w:r w:rsidRPr="00535925">
        <w:t xml:space="preserve">. </w:t>
      </w:r>
    </w:p>
    <w:p w14:paraId="7E37260E" w14:textId="77777777" w:rsidR="005F38A6" w:rsidRDefault="005F38A6" w:rsidP="005F38A6">
      <w:pPr>
        <w:widowControl w:val="0"/>
        <w:jc w:val="both"/>
      </w:pPr>
    </w:p>
    <w:p w14:paraId="24BBDA4A" w14:textId="40C98203" w:rsidR="005F38A6" w:rsidRDefault="005F38A6" w:rsidP="005F38A6">
      <w:pPr>
        <w:widowControl w:val="0"/>
        <w:jc w:val="both"/>
      </w:pPr>
      <w:r w:rsidRPr="00535925">
        <w:t xml:space="preserve">No obstante, en 2021 y al </w:t>
      </w:r>
      <w:r>
        <w:t>30</w:t>
      </w:r>
      <w:r w:rsidRPr="00535925">
        <w:t xml:space="preserve"> de </w:t>
      </w:r>
      <w:r>
        <w:t>junio</w:t>
      </w:r>
      <w:r w:rsidRPr="00535925">
        <w:t xml:space="preserve"> de 202</w:t>
      </w:r>
      <w:r>
        <w:t>3</w:t>
      </w:r>
      <w:r w:rsidRPr="00535925">
        <w:t xml:space="preserve">, retorna al nivel previo obtenido </w:t>
      </w:r>
      <w:r>
        <w:t xml:space="preserve">de </w:t>
      </w:r>
      <w:r w:rsidRPr="00535925">
        <w:t>0.</w:t>
      </w:r>
      <w:r>
        <w:t>02</w:t>
      </w:r>
      <w:r w:rsidRPr="00535925">
        <w:t>%</w:t>
      </w:r>
      <w:r>
        <w:t xml:space="preserve"> del PIB</w:t>
      </w:r>
      <w:r w:rsidRPr="00535925">
        <w:t xml:space="preserve"> y se tiene asignado en 202</w:t>
      </w:r>
      <w:r>
        <w:t>3</w:t>
      </w:r>
      <w:r w:rsidRPr="00535925">
        <w:t xml:space="preserve"> </w:t>
      </w:r>
      <w:r>
        <w:t>u</w:t>
      </w:r>
      <w:r w:rsidRPr="00535925">
        <w:t>n</w:t>
      </w:r>
      <w:r>
        <w:t xml:space="preserve"> presupuesto </w:t>
      </w:r>
      <w:r w:rsidRPr="00535925">
        <w:t>equivalente a 0.</w:t>
      </w:r>
      <w:r>
        <w:t>0</w:t>
      </w:r>
      <w:r w:rsidRPr="00535925">
        <w:t>7%</w:t>
      </w:r>
      <w:r>
        <w:t xml:space="preserve"> del PIB</w:t>
      </w:r>
      <w:r w:rsidRPr="00535925">
        <w:t xml:space="preserve"> p</w:t>
      </w:r>
      <w:r>
        <w:t>ara atender</w:t>
      </w:r>
      <w:r w:rsidRPr="00535925">
        <w:t xml:space="preserve"> cualquier contingencia adicional. Asimismo, de no darse eventos extraordinarios se puede afirmar que para el período 202</w:t>
      </w:r>
      <w:r>
        <w:t>4</w:t>
      </w:r>
      <w:r w:rsidRPr="00535925">
        <w:t>-202</w:t>
      </w:r>
      <w:r>
        <w:t>8</w:t>
      </w:r>
      <w:r w:rsidRPr="00535925">
        <w:t>, este indicador podría ubicarse entre 0.</w:t>
      </w:r>
      <w:r>
        <w:t>0</w:t>
      </w:r>
      <w:r w:rsidRPr="00535925">
        <w:t>2% y 0.</w:t>
      </w:r>
      <w:r>
        <w:t>0</w:t>
      </w:r>
      <w:r w:rsidRPr="00535925">
        <w:t xml:space="preserve">7% </w:t>
      </w:r>
      <w:r>
        <w:t xml:space="preserve">del PIB </w:t>
      </w:r>
      <w:r w:rsidRPr="00535925">
        <w:t>en cada año.</w:t>
      </w:r>
    </w:p>
    <w:p w14:paraId="0D8D958B" w14:textId="77777777" w:rsidR="00C66E93" w:rsidRDefault="00C66E93" w:rsidP="005F38A6">
      <w:pPr>
        <w:widowControl w:val="0"/>
        <w:jc w:val="both"/>
      </w:pPr>
    </w:p>
    <w:p w14:paraId="79220A37" w14:textId="7024384C" w:rsidR="00C66E93" w:rsidRPr="00C66E93" w:rsidRDefault="00C66E93" w:rsidP="00C66E93">
      <w:pPr>
        <w:pStyle w:val="Descripcin"/>
        <w:rPr>
          <w:color w:val="auto"/>
          <w:lang w:val="es-MX"/>
        </w:rPr>
      </w:pPr>
      <w:r w:rsidRPr="00C66E93">
        <w:rPr>
          <w:color w:val="auto"/>
        </w:rPr>
        <w:lastRenderedPageBreak/>
        <w:t xml:space="preserve">Recuadro </w:t>
      </w:r>
      <w:r w:rsidRPr="00C66E93">
        <w:rPr>
          <w:color w:val="auto"/>
        </w:rPr>
        <w:fldChar w:fldCharType="begin"/>
      </w:r>
      <w:r w:rsidRPr="00C66E93">
        <w:rPr>
          <w:color w:val="auto"/>
        </w:rPr>
        <w:instrText xml:space="preserve"> SEQ Recuadro \* ARABIC </w:instrText>
      </w:r>
      <w:r w:rsidRPr="00C66E93">
        <w:rPr>
          <w:color w:val="auto"/>
        </w:rPr>
        <w:fldChar w:fldCharType="separate"/>
      </w:r>
      <w:r w:rsidR="00A62AFA">
        <w:rPr>
          <w:noProof/>
          <w:color w:val="auto"/>
        </w:rPr>
        <w:t>2</w:t>
      </w:r>
      <w:r w:rsidRPr="00C66E93">
        <w:rPr>
          <w:color w:val="auto"/>
        </w:rPr>
        <w:fldChar w:fldCharType="end"/>
      </w:r>
      <w:r w:rsidRPr="00C66E93">
        <w:rPr>
          <w:color w:val="auto"/>
        </w:rPr>
        <w:t>.  Honduras retira demanda contra Guatemala a la espera de visualizar resultados</w:t>
      </w:r>
      <w:r w:rsidR="0038655C">
        <w:rPr>
          <w:color w:val="auto"/>
        </w:rPr>
        <w:t xml:space="preserve"> en materia medioambiental</w:t>
      </w:r>
    </w:p>
    <w:p w14:paraId="79AF19B0"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r w:rsidRPr="009D7DE4">
        <w:rPr>
          <w:rFonts w:eastAsiaTheme="minorEastAsia"/>
          <w:bCs/>
          <w:sz w:val="20"/>
          <w:szCs w:val="20"/>
          <w:lang w:val="es-MX"/>
        </w:rPr>
        <w:t xml:space="preserve">Desde hace varios años, Honduras ha documentado la llegada de toneladas de basura a la Bahía de Omoa, uno de los principales destinos turísticos de los hondureños, vía el río Motagua cuyo caudal atraviesa alrededor de 90 municipios de Guatemala, aunque Guatemala considera que varios municipios hondureños también tienen participación en el problema. </w:t>
      </w:r>
    </w:p>
    <w:p w14:paraId="4D797FEE"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rPr>
          <w:rFonts w:eastAsiaTheme="minorEastAsia"/>
          <w:b/>
          <w:sz w:val="20"/>
          <w:szCs w:val="20"/>
          <w:lang w:val="es-MX"/>
        </w:rPr>
      </w:pPr>
    </w:p>
    <w:p w14:paraId="492DA534"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r w:rsidRPr="009D7DE4">
        <w:rPr>
          <w:rFonts w:eastAsiaTheme="minorEastAsia"/>
          <w:bCs/>
          <w:sz w:val="20"/>
          <w:szCs w:val="20"/>
          <w:lang w:val="es-MX"/>
        </w:rPr>
        <w:t>Por lo anterior, Honduras ha</w:t>
      </w:r>
      <w:r w:rsidRPr="009D7DE4">
        <w:rPr>
          <w:rFonts w:eastAsiaTheme="minorEastAsia"/>
          <w:b/>
          <w:sz w:val="20"/>
          <w:szCs w:val="20"/>
          <w:lang w:val="es-MX"/>
        </w:rPr>
        <w:t xml:space="preserve"> </w:t>
      </w:r>
      <w:r w:rsidRPr="009D7DE4">
        <w:rPr>
          <w:rFonts w:eastAsiaTheme="minorEastAsia"/>
          <w:bCs/>
          <w:sz w:val="20"/>
          <w:szCs w:val="20"/>
          <w:lang w:val="es-MX"/>
        </w:rPr>
        <w:t>considerado que tiene materia jurídica para emprender un proceso de demanda contra Guatemala derivado del daño ambiental y económico que ocasiona la contaminación de desechos que llega a sus playas; esto podría constituir un nuevo frente en materia de demandas judiciales, derivado que sería la primera en materia ambiental internacional y la primera que podría presentarse de un Estado contra el Estado de Guatemala.</w:t>
      </w:r>
    </w:p>
    <w:p w14:paraId="77278A43"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p>
    <w:p w14:paraId="42F02C64"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r w:rsidRPr="009D7DE4">
        <w:rPr>
          <w:rFonts w:eastAsiaTheme="minorEastAsia"/>
          <w:bCs/>
          <w:sz w:val="20"/>
          <w:szCs w:val="20"/>
          <w:lang w:val="es-MX"/>
        </w:rPr>
        <w:t>A finales del 2022, diputados del Congreso de la República de Honduras presentaron una iniciativa de ley para buscar un mecanismo que permitiera demandar a Guatemala por los daños causados, estaba en análisis la viabilidad de un arbitraje internacional, debido al agotamiento de las instancias diplomáticas, siendo evidente el incumplimiento por parte del Estado de Guatemala en evitar el arribo de desechos sólidos a territorio hondureño, afectando la actividad turística y comercial del área afectada, que abarca alrededor de 45 kilómetros de línea costera.</w:t>
      </w:r>
    </w:p>
    <w:p w14:paraId="12E3E281"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p>
    <w:p w14:paraId="4B753119"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r w:rsidRPr="009D7DE4">
        <w:rPr>
          <w:rFonts w:eastAsiaTheme="minorEastAsia"/>
          <w:bCs/>
          <w:sz w:val="20"/>
          <w:szCs w:val="20"/>
          <w:lang w:val="es-MX"/>
        </w:rPr>
        <w:t>En el contenido de la iniciativa de ley, se dispone que las secretarías de Estado, la Procuraduría General de la República y la cooperación internacional, entre otras, constituyan un equipo técnico y diplomático con carácter permanente y asesoría internacional, siendo el objetivo aplicar los mecanismos legales internacionales que obliguen a Guatemala a buscar soluciones. En otro artículo, se autoriza un estudio de los costos mensuales de limpieza, periodicidad y cantidad de desechos de las playas de Omoa.</w:t>
      </w:r>
    </w:p>
    <w:p w14:paraId="69E97BCC"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p>
    <w:p w14:paraId="3D3F3AA5"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r w:rsidRPr="009D7DE4">
        <w:rPr>
          <w:rFonts w:eastAsiaTheme="minorEastAsia"/>
          <w:bCs/>
          <w:sz w:val="20"/>
          <w:szCs w:val="20"/>
          <w:lang w:val="es-MX"/>
        </w:rPr>
        <w:t xml:space="preserve">Además del monto que podría suponer la demanda judicial, llegar a esta instancia podría deteriorar las relaciones bilaterales, ante los constantes ultimátum del vecino país y las tensiones que la situación genera. </w:t>
      </w:r>
    </w:p>
    <w:p w14:paraId="13EC146C"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r w:rsidRPr="009D7DE4">
        <w:rPr>
          <w:rFonts w:eastAsiaTheme="minorEastAsia"/>
          <w:bCs/>
          <w:sz w:val="20"/>
          <w:szCs w:val="20"/>
          <w:lang w:val="es-MX"/>
        </w:rPr>
        <w:t>En estos casos, lo ideal es evitar todo tipo de demandas internacionales y que los países logren un acuerdo conciliatorio, por ejemplo, a través de un resarcimiento o proyectos que mitiguen la llegada de desechos sólidos y la afectación que se está ocasionando al país vecino.</w:t>
      </w:r>
    </w:p>
    <w:p w14:paraId="62D8201D"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p>
    <w:p w14:paraId="1854F12C"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r w:rsidRPr="009D7DE4">
        <w:rPr>
          <w:rFonts w:eastAsiaTheme="minorEastAsia"/>
          <w:bCs/>
          <w:sz w:val="20"/>
          <w:szCs w:val="20"/>
          <w:lang w:val="es-MX"/>
        </w:rPr>
        <w:t xml:space="preserve">En ese sentido, el gobierno de Guatemala ha tomado acciones puntuales como la creación de mesas técnicas de trabajo, con acciones concretas como la implementación de </w:t>
      </w:r>
      <w:proofErr w:type="spellStart"/>
      <w:r w:rsidRPr="009D7DE4">
        <w:rPr>
          <w:rFonts w:eastAsiaTheme="minorEastAsia"/>
          <w:bCs/>
          <w:sz w:val="20"/>
          <w:szCs w:val="20"/>
          <w:lang w:val="es-MX"/>
        </w:rPr>
        <w:t>biobardas</w:t>
      </w:r>
      <w:proofErr w:type="spellEnd"/>
      <w:r w:rsidRPr="009D7DE4">
        <w:rPr>
          <w:rFonts w:eastAsiaTheme="minorEastAsia"/>
          <w:bCs/>
          <w:sz w:val="20"/>
          <w:szCs w:val="20"/>
          <w:lang w:val="es-MX"/>
        </w:rPr>
        <w:t xml:space="preserve">, la construcción de un sistema industrial de retención de desechos sólidos, pero debido a los recientes inviernos con precipitaciones más fuertes, los caudales arrastran mayor cantidad de desechos, lo cual ha provocado el colapso de estas medidas paliativas. </w:t>
      </w:r>
    </w:p>
    <w:p w14:paraId="0DB4E966"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p>
    <w:p w14:paraId="706A9B4F"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r w:rsidRPr="009D7DE4">
        <w:rPr>
          <w:rFonts w:eastAsiaTheme="minorEastAsia"/>
          <w:bCs/>
          <w:sz w:val="20"/>
          <w:szCs w:val="20"/>
          <w:lang w:val="es-MX"/>
        </w:rPr>
        <w:t>En años recientes, Guatemala ha contado con el apoyo de “</w:t>
      </w:r>
      <w:proofErr w:type="spellStart"/>
      <w:r w:rsidRPr="009D7DE4">
        <w:rPr>
          <w:rFonts w:eastAsiaTheme="minorEastAsia"/>
          <w:bCs/>
          <w:sz w:val="20"/>
          <w:szCs w:val="20"/>
          <w:lang w:val="es-MX"/>
        </w:rPr>
        <w:t>The</w:t>
      </w:r>
      <w:proofErr w:type="spellEnd"/>
      <w:r w:rsidRPr="009D7DE4">
        <w:rPr>
          <w:rFonts w:eastAsiaTheme="minorEastAsia"/>
          <w:bCs/>
          <w:sz w:val="20"/>
          <w:szCs w:val="20"/>
          <w:lang w:val="es-MX"/>
        </w:rPr>
        <w:t xml:space="preserve"> </w:t>
      </w:r>
      <w:proofErr w:type="spellStart"/>
      <w:r w:rsidRPr="009D7DE4">
        <w:rPr>
          <w:rFonts w:eastAsiaTheme="minorEastAsia"/>
          <w:bCs/>
          <w:sz w:val="20"/>
          <w:szCs w:val="20"/>
          <w:lang w:val="es-MX"/>
        </w:rPr>
        <w:t>Ocean</w:t>
      </w:r>
      <w:proofErr w:type="spellEnd"/>
      <w:r w:rsidRPr="009D7DE4">
        <w:rPr>
          <w:rFonts w:eastAsiaTheme="minorEastAsia"/>
          <w:bCs/>
          <w:sz w:val="20"/>
          <w:szCs w:val="20"/>
          <w:lang w:val="es-MX"/>
        </w:rPr>
        <w:t xml:space="preserve"> </w:t>
      </w:r>
      <w:proofErr w:type="spellStart"/>
      <w:r w:rsidRPr="009D7DE4">
        <w:rPr>
          <w:rFonts w:eastAsiaTheme="minorEastAsia"/>
          <w:bCs/>
          <w:sz w:val="20"/>
          <w:szCs w:val="20"/>
          <w:lang w:val="es-MX"/>
        </w:rPr>
        <w:t>Cleanup</w:t>
      </w:r>
      <w:proofErr w:type="spellEnd"/>
      <w:r w:rsidRPr="009D7DE4">
        <w:rPr>
          <w:rFonts w:eastAsiaTheme="minorEastAsia"/>
          <w:bCs/>
          <w:sz w:val="20"/>
          <w:szCs w:val="20"/>
          <w:lang w:val="es-MX"/>
        </w:rPr>
        <w:t xml:space="preserve">”, que es una organización sin fines de lucro que desarrolla tecnología para eliminar el plástico del océano, cuyo objetivo es limpiar el 90% de la contaminación plástica flotante del océano. En ese sentido, en 2022 instalaron una barda denominada Interceptor </w:t>
      </w:r>
      <w:proofErr w:type="spellStart"/>
      <w:r w:rsidRPr="009D7DE4">
        <w:rPr>
          <w:rFonts w:eastAsiaTheme="minorEastAsia"/>
          <w:bCs/>
          <w:sz w:val="20"/>
          <w:szCs w:val="20"/>
          <w:lang w:val="es-MX"/>
        </w:rPr>
        <w:t>Trashfence</w:t>
      </w:r>
      <w:proofErr w:type="spellEnd"/>
      <w:r w:rsidRPr="009D7DE4">
        <w:rPr>
          <w:rFonts w:eastAsiaTheme="minorEastAsia"/>
          <w:bCs/>
          <w:sz w:val="20"/>
          <w:szCs w:val="20"/>
          <w:lang w:val="es-MX"/>
        </w:rPr>
        <w:t>, pero esta no resistió la cantidad de basura y la barda fue desbordada. Para 2023, “</w:t>
      </w:r>
      <w:proofErr w:type="spellStart"/>
      <w:r w:rsidRPr="009D7DE4">
        <w:rPr>
          <w:rFonts w:eastAsiaTheme="minorEastAsia"/>
          <w:bCs/>
          <w:sz w:val="20"/>
          <w:szCs w:val="20"/>
          <w:lang w:val="es-MX"/>
        </w:rPr>
        <w:t>The</w:t>
      </w:r>
      <w:proofErr w:type="spellEnd"/>
      <w:r w:rsidRPr="009D7DE4">
        <w:rPr>
          <w:rFonts w:eastAsiaTheme="minorEastAsia"/>
          <w:bCs/>
          <w:sz w:val="20"/>
          <w:szCs w:val="20"/>
          <w:lang w:val="es-MX"/>
        </w:rPr>
        <w:t xml:space="preserve"> </w:t>
      </w:r>
      <w:proofErr w:type="spellStart"/>
      <w:r w:rsidRPr="009D7DE4">
        <w:rPr>
          <w:rFonts w:eastAsiaTheme="minorEastAsia"/>
          <w:bCs/>
          <w:sz w:val="20"/>
          <w:szCs w:val="20"/>
          <w:lang w:val="es-MX"/>
        </w:rPr>
        <w:t>Ocean</w:t>
      </w:r>
      <w:proofErr w:type="spellEnd"/>
      <w:r w:rsidRPr="009D7DE4">
        <w:rPr>
          <w:rFonts w:eastAsiaTheme="minorEastAsia"/>
          <w:bCs/>
          <w:sz w:val="20"/>
          <w:szCs w:val="20"/>
          <w:lang w:val="es-MX"/>
        </w:rPr>
        <w:t xml:space="preserve"> </w:t>
      </w:r>
      <w:proofErr w:type="spellStart"/>
      <w:r w:rsidRPr="009D7DE4">
        <w:rPr>
          <w:rFonts w:eastAsiaTheme="minorEastAsia"/>
          <w:bCs/>
          <w:sz w:val="20"/>
          <w:szCs w:val="20"/>
          <w:lang w:val="es-MX"/>
        </w:rPr>
        <w:t>Cleanup</w:t>
      </w:r>
      <w:proofErr w:type="spellEnd"/>
      <w:r w:rsidRPr="009D7DE4">
        <w:rPr>
          <w:rFonts w:eastAsiaTheme="minorEastAsia"/>
          <w:bCs/>
          <w:sz w:val="20"/>
          <w:szCs w:val="20"/>
          <w:lang w:val="es-MX"/>
        </w:rPr>
        <w:t>” se concentra en la construcción de una barricada interceptora denominada Interceptor 006, que contiene anclajes más profundos y que busca detener toneladas de basura y desechos plásticos, especialmente en la temporada de lluvias en el río Las Vacas, que posteriormente fluyen a partir de ahí hacía el río Motagua, llegando finalmente al Mar Caribe y afectando las playas de Omoa en Honduras.</w:t>
      </w:r>
    </w:p>
    <w:p w14:paraId="44D51AD0" w14:textId="77777777"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p>
    <w:p w14:paraId="4B807CFE" w14:textId="2D6D1962" w:rsidR="005F38A6" w:rsidRPr="009D7DE4" w:rsidRDefault="005F38A6" w:rsidP="00C66E93">
      <w:pPr>
        <w:pBdr>
          <w:top w:val="single" w:sz="4" w:space="0" w:color="auto"/>
          <w:left w:val="single" w:sz="4" w:space="4" w:color="auto"/>
          <w:bottom w:val="single" w:sz="4" w:space="1" w:color="auto"/>
          <w:right w:val="single" w:sz="4" w:space="4" w:color="auto"/>
        </w:pBdr>
        <w:shd w:val="clear" w:color="auto" w:fill="D9E2F3" w:themeFill="accent1" w:themeFillTint="33"/>
        <w:tabs>
          <w:tab w:val="left" w:pos="8647"/>
        </w:tabs>
        <w:ind w:left="142" w:right="191"/>
        <w:contextualSpacing/>
        <w:jc w:val="both"/>
        <w:rPr>
          <w:rFonts w:eastAsiaTheme="minorEastAsia"/>
          <w:bCs/>
          <w:sz w:val="20"/>
          <w:szCs w:val="20"/>
          <w:lang w:val="es-MX"/>
        </w:rPr>
      </w:pPr>
      <w:r w:rsidRPr="009D7DE4">
        <w:rPr>
          <w:rFonts w:eastAsiaTheme="minorEastAsia"/>
          <w:bCs/>
          <w:sz w:val="20"/>
          <w:szCs w:val="20"/>
          <w:lang w:val="es-MX"/>
        </w:rPr>
        <w:t xml:space="preserve">Asimismo, el Ministerio de Ambiente y Recursos Naturales (MARN) presentó la “Estrategia Integral de Intervención de la Cuenca del río Motagua”, la cual, de llegarse a implementar, podría costar, de acuerdo a las estimaciones de la entidad, US$200 millones. En el primer trimestre de 2023, Honduras declinó de la denuncia contra Guatemala, dado que el país se comprometió a implementar una estrategia de limpieza de las aguas del río Motagua, contemplando toda la trayectoria del río, incluyendo los departamentos y, especialmente, a los municipios que abarca. Si bien este riesgo fiscal de momento se encuentra contenido, aún se mantiene latente. </w:t>
      </w:r>
    </w:p>
    <w:p w14:paraId="3409D914" w14:textId="77777777" w:rsidR="005F38A6" w:rsidRPr="00096829" w:rsidRDefault="005F38A6" w:rsidP="007F19DF">
      <w:pPr>
        <w:pStyle w:val="Ttulo2"/>
        <w:numPr>
          <w:ilvl w:val="1"/>
          <w:numId w:val="35"/>
        </w:numPr>
        <w:ind w:left="426" w:hanging="284"/>
        <w:rPr>
          <w:bCs/>
        </w:rPr>
      </w:pPr>
      <w:bookmarkStart w:id="707" w:name="_Toc81305684"/>
      <w:bookmarkStart w:id="708" w:name="_Toc114495291"/>
      <w:bookmarkStart w:id="709" w:name="_Toc144114430"/>
      <w:r w:rsidRPr="00096829">
        <w:rPr>
          <w:bCs/>
        </w:rPr>
        <w:lastRenderedPageBreak/>
        <w:t>Arbitraje internacional</w:t>
      </w:r>
      <w:bookmarkEnd w:id="707"/>
      <w:bookmarkEnd w:id="708"/>
      <w:bookmarkEnd w:id="709"/>
    </w:p>
    <w:p w14:paraId="78D997D9" w14:textId="77777777" w:rsidR="005F38A6" w:rsidRPr="00535925" w:rsidRDefault="005F38A6" w:rsidP="005F38A6">
      <w:pPr>
        <w:widowControl w:val="0"/>
        <w:ind w:left="567"/>
        <w:jc w:val="both"/>
        <w:rPr>
          <w:rFonts w:eastAsia="OptimaLTStd"/>
          <w:color w:val="FF0000"/>
        </w:rPr>
      </w:pPr>
    </w:p>
    <w:p w14:paraId="4EA359E4" w14:textId="77777777" w:rsidR="005F38A6" w:rsidRPr="00535925" w:rsidRDefault="005F38A6" w:rsidP="005F38A6">
      <w:pPr>
        <w:widowControl w:val="0"/>
        <w:jc w:val="both"/>
      </w:pPr>
      <w:r w:rsidRPr="00535925">
        <w:t>Dada la importancia que tuvo en 2020</w:t>
      </w:r>
      <w:r>
        <w:t xml:space="preserve"> y 2022</w:t>
      </w:r>
      <w:r w:rsidRPr="00535925">
        <w:t>, este tipo de sentencias, en este apartado se trata de definir y evaluar en la medida de lo posible este tipo de demandas judiciales para la mejor compresión de los analistas económicos.</w:t>
      </w:r>
    </w:p>
    <w:p w14:paraId="6BBC559E" w14:textId="77777777" w:rsidR="005F38A6" w:rsidRPr="00535925" w:rsidRDefault="005F38A6" w:rsidP="005F38A6">
      <w:pPr>
        <w:widowControl w:val="0"/>
        <w:jc w:val="both"/>
      </w:pPr>
    </w:p>
    <w:p w14:paraId="332D8DC7" w14:textId="77777777" w:rsidR="005F38A6" w:rsidRPr="00535925" w:rsidRDefault="005F38A6" w:rsidP="005F38A6">
      <w:pPr>
        <w:widowControl w:val="0"/>
        <w:jc w:val="both"/>
      </w:pPr>
      <w:r w:rsidRPr="00535925">
        <w:t>El arbitraje es un método alternativo de resolución de conflictos mayormente usado para dilucidar disputas comerciales internacionales, en los mismos las partes deciden no someter su controversia a la jurisdicción de un país, sino a la tutela de un tribunal arbitral.</w:t>
      </w:r>
    </w:p>
    <w:p w14:paraId="75A4DD09" w14:textId="77777777" w:rsidR="005F38A6" w:rsidRPr="00535925" w:rsidRDefault="005F38A6" w:rsidP="005F38A6">
      <w:pPr>
        <w:widowControl w:val="0"/>
        <w:jc w:val="both"/>
      </w:pPr>
    </w:p>
    <w:p w14:paraId="50C0A8FD" w14:textId="77777777" w:rsidR="005F38A6" w:rsidRPr="00535925" w:rsidRDefault="005F38A6" w:rsidP="005F38A6">
      <w:pPr>
        <w:widowControl w:val="0"/>
        <w:jc w:val="both"/>
      </w:pPr>
      <w:r w:rsidRPr="00535925">
        <w:t xml:space="preserve">Para que exista un arbitraje internacional, debe de existir un instrumento que permita a los Estados o inversionistas someterse a la jurisdicción de un tribunal arbitral, regularmente esto se materializa por medio de cláusulas de arbitraje contenidas en Acuerdos de Inversión, Tratados de Libre Comercio o Acuerdos Comerciales entre Estados, en las mismas se establece regularmente que de existir algún tipo de controversia entre las partes siempre que las mismas no pueda solucionarla mediante consultas o negociaciones, podrán someterse a arbitraje. </w:t>
      </w:r>
    </w:p>
    <w:p w14:paraId="0A1FE288" w14:textId="77777777" w:rsidR="005F38A6" w:rsidRDefault="005F38A6" w:rsidP="005F38A6">
      <w:pPr>
        <w:widowControl w:val="0"/>
        <w:jc w:val="both"/>
      </w:pPr>
    </w:p>
    <w:p w14:paraId="04422F1C" w14:textId="77777777" w:rsidR="005F38A6" w:rsidRDefault="005F38A6" w:rsidP="005F38A6">
      <w:pPr>
        <w:widowControl w:val="0"/>
        <w:jc w:val="both"/>
      </w:pPr>
      <w:r>
        <w:t xml:space="preserve">Aunque no existe una clasificación doctrinaria de los arbitrajes, estos se podrían dividir de la siguiente forma: </w:t>
      </w:r>
    </w:p>
    <w:p w14:paraId="7A160562" w14:textId="77777777" w:rsidR="005F38A6" w:rsidRDefault="005F38A6" w:rsidP="005F38A6">
      <w:pPr>
        <w:widowControl w:val="0"/>
        <w:jc w:val="both"/>
      </w:pPr>
    </w:p>
    <w:p w14:paraId="39D973FE" w14:textId="77777777" w:rsidR="005F38A6" w:rsidRPr="007E065F" w:rsidRDefault="005F38A6" w:rsidP="000E12CF">
      <w:pPr>
        <w:numPr>
          <w:ilvl w:val="0"/>
          <w:numId w:val="16"/>
        </w:numPr>
        <w:ind w:left="426"/>
        <w:jc w:val="both"/>
        <w:rPr>
          <w:bCs/>
          <w:lang w:val="es-MX"/>
        </w:rPr>
      </w:pPr>
      <w:r w:rsidRPr="0038655C">
        <w:rPr>
          <w:b/>
          <w:lang w:val="es-MX"/>
        </w:rPr>
        <w:t>Doméstico o Nacional:</w:t>
      </w:r>
      <w:r w:rsidRPr="007E065F">
        <w:rPr>
          <w:bCs/>
          <w:lang w:val="es-MX"/>
        </w:rPr>
        <w:t xml:space="preserve"> Es el arbitraje en el que un ente especializado denominado Tribunal </w:t>
      </w:r>
      <w:r>
        <w:rPr>
          <w:bCs/>
          <w:lang w:val="es-MX"/>
        </w:rPr>
        <w:t>A</w:t>
      </w:r>
      <w:r w:rsidRPr="007E065F">
        <w:rPr>
          <w:bCs/>
          <w:lang w:val="es-MX"/>
        </w:rPr>
        <w:t xml:space="preserve">rbitral, actúa como juez en la solución de una controversia, emitiendo un fallo llamado laudo arbitral, el cual posee los mismos efectos legales que los de una sentencia judicial. Estos arbitrajes se rigen por la ley aplicable de la jurisdicción donde se firma el contrato, convenio, acuerdo, etc. o bien la que se pacte por las partes. </w:t>
      </w:r>
    </w:p>
    <w:p w14:paraId="23FAA6E1" w14:textId="77777777" w:rsidR="0038655C" w:rsidRDefault="0038655C" w:rsidP="0038655C">
      <w:pPr>
        <w:ind w:left="426"/>
        <w:jc w:val="both"/>
        <w:rPr>
          <w:bCs/>
          <w:lang w:val="es-MX"/>
        </w:rPr>
      </w:pPr>
    </w:p>
    <w:p w14:paraId="4C5C0950" w14:textId="3890BEF6" w:rsidR="005F38A6" w:rsidRPr="007E065F" w:rsidRDefault="005F38A6" w:rsidP="000E12CF">
      <w:pPr>
        <w:numPr>
          <w:ilvl w:val="0"/>
          <w:numId w:val="16"/>
        </w:numPr>
        <w:ind w:left="426"/>
        <w:jc w:val="both"/>
        <w:rPr>
          <w:bCs/>
          <w:lang w:val="es-MX"/>
        </w:rPr>
      </w:pPr>
      <w:r w:rsidRPr="0038655C">
        <w:rPr>
          <w:b/>
          <w:lang w:val="es-MX"/>
        </w:rPr>
        <w:t>Internacionales:</w:t>
      </w:r>
      <w:r w:rsidRPr="007E065F">
        <w:rPr>
          <w:bCs/>
          <w:lang w:val="es-MX"/>
        </w:rPr>
        <w:t xml:space="preserve"> Surgen derivado de una relación jurídica que se encuentra supeditada a más de un ordenamiento jurídico, ya sea por:  a) la nacionalidad o el domicilio de las partes, b) lugar de celebración o ejecución del convenio arbitral, c) ley aplicable al procedimiento, d) ley aplicable el fondo de la controversia, e) sede del tribunal arbitral, f) obligación que dio origen al conflicto. Asimismo, el arbitraje internacional se subdivide en: </w:t>
      </w:r>
    </w:p>
    <w:p w14:paraId="01DE1CF4" w14:textId="77777777" w:rsidR="005F38A6" w:rsidRPr="007E065F" w:rsidRDefault="005F38A6" w:rsidP="005F38A6">
      <w:pPr>
        <w:jc w:val="both"/>
        <w:rPr>
          <w:bCs/>
          <w:lang w:val="es-MX"/>
        </w:rPr>
      </w:pPr>
    </w:p>
    <w:p w14:paraId="41097CC8" w14:textId="77777777" w:rsidR="005F38A6" w:rsidRPr="007E065F" w:rsidRDefault="005F38A6" w:rsidP="00037E1D">
      <w:pPr>
        <w:numPr>
          <w:ilvl w:val="0"/>
          <w:numId w:val="49"/>
        </w:numPr>
        <w:ind w:left="851"/>
        <w:jc w:val="both"/>
        <w:rPr>
          <w:bCs/>
          <w:lang w:val="es-MX"/>
        </w:rPr>
      </w:pPr>
      <w:r w:rsidRPr="0038655C">
        <w:rPr>
          <w:b/>
          <w:lang w:val="es-MX"/>
        </w:rPr>
        <w:t>Arbitraje Comercial Internacional:</w:t>
      </w:r>
      <w:r w:rsidRPr="007E065F">
        <w:rPr>
          <w:bCs/>
          <w:lang w:val="es-MX"/>
        </w:rPr>
        <w:t xml:space="preserve"> Es una forma de resolución de conflictos y disputas comerciales entre personas físicas o jurídicas de diferentes Estados, por medio de árbitros designados por estas, de forma voluntaria, para resolver sus desavenencias evitando asistir a los tribunales.</w:t>
      </w:r>
    </w:p>
    <w:p w14:paraId="08F6F913" w14:textId="77777777" w:rsidR="0038655C" w:rsidRPr="0038655C" w:rsidRDefault="0038655C" w:rsidP="0038655C">
      <w:pPr>
        <w:ind w:left="851"/>
        <w:jc w:val="both"/>
        <w:rPr>
          <w:lang w:val="es-MX"/>
        </w:rPr>
      </w:pPr>
    </w:p>
    <w:p w14:paraId="2404CAB8" w14:textId="61E0D277" w:rsidR="005F38A6" w:rsidRPr="007E065F" w:rsidRDefault="005F38A6" w:rsidP="00037E1D">
      <w:pPr>
        <w:numPr>
          <w:ilvl w:val="0"/>
          <w:numId w:val="49"/>
        </w:numPr>
        <w:ind w:left="851"/>
        <w:jc w:val="both"/>
        <w:rPr>
          <w:lang w:val="es-MX"/>
        </w:rPr>
      </w:pPr>
      <w:r w:rsidRPr="0038655C">
        <w:rPr>
          <w:b/>
          <w:lang w:val="es-MX"/>
        </w:rPr>
        <w:t>Arbitraje de Inversión Internacional:</w:t>
      </w:r>
      <w:r w:rsidRPr="007E065F">
        <w:rPr>
          <w:bCs/>
          <w:lang w:val="es-MX"/>
        </w:rPr>
        <w:t xml:space="preserve"> También llamados de Solución de controversias inversor-Estado, los cuales surge como una reclamación</w:t>
      </w:r>
      <w:r w:rsidRPr="007E065F">
        <w:rPr>
          <w:lang w:val="es-MX"/>
        </w:rPr>
        <w:t xml:space="preserve"> hecha por el inversionista hacia el Estado, en virtud de una afectación a la inversión de este por medio de una violación cometida por el Estado a los términos contenidos en un Acuerdo de Inversión o Tratado de Libre Comercio. También se aplica a demandas de Estados hacia inversores, pero estas son menos comunes. </w:t>
      </w:r>
    </w:p>
    <w:p w14:paraId="66E1B8F4" w14:textId="77777777" w:rsidR="005F38A6" w:rsidRPr="007E065F" w:rsidRDefault="005F38A6" w:rsidP="005F38A6">
      <w:pPr>
        <w:widowControl w:val="0"/>
        <w:jc w:val="both"/>
        <w:rPr>
          <w:lang w:val="es-MX"/>
        </w:rPr>
      </w:pPr>
    </w:p>
    <w:p w14:paraId="7C8146BF" w14:textId="77777777" w:rsidR="005F38A6" w:rsidRPr="002954EE" w:rsidRDefault="005F38A6" w:rsidP="005F38A6">
      <w:pPr>
        <w:jc w:val="both"/>
        <w:rPr>
          <w:lang w:val="es-MX"/>
        </w:rPr>
      </w:pPr>
      <w:r w:rsidRPr="002954EE">
        <w:rPr>
          <w:lang w:val="es-MX"/>
        </w:rPr>
        <w:lastRenderedPageBreak/>
        <w:t>Por otro lado, es importante conocer el tiempo promedio que puede llevar un proceso de arbitraje.  En ese sentido, un arbitraje de inversión puede demorar en promedio hasta tres años</w:t>
      </w:r>
      <w:r w:rsidRPr="002954EE">
        <w:rPr>
          <w:vertAlign w:val="superscript"/>
          <w:lang w:val="es-MX"/>
        </w:rPr>
        <w:footnoteReference w:id="12"/>
      </w:r>
      <w:r w:rsidRPr="002954EE">
        <w:rPr>
          <w:lang w:val="es-MX"/>
        </w:rPr>
        <w:t xml:space="preserve"> contados desde la constitución del tribunal arbitral hasta la emisión del laudo. Vale la pena resaltar que los laudos arbitrales no son apelables. Sin embargo, están sujetos a ciertos motivos muy limitados de anulación, lo cual en determinado momento podría extender el plazo de la controversia si se plantea una anulación al laudo hasta que este se anule o se confirme, lo cual implicaría la extensión del proceso hasta por dos años más.</w:t>
      </w:r>
    </w:p>
    <w:p w14:paraId="068412FD" w14:textId="77777777" w:rsidR="005F38A6" w:rsidRPr="002954EE" w:rsidRDefault="005F38A6" w:rsidP="005F38A6">
      <w:pPr>
        <w:widowControl w:val="0"/>
        <w:jc w:val="both"/>
        <w:rPr>
          <w:lang w:val="es-MX"/>
        </w:rPr>
      </w:pPr>
    </w:p>
    <w:p w14:paraId="13D9224B" w14:textId="77777777" w:rsidR="005F38A6" w:rsidRDefault="005F38A6" w:rsidP="005F38A6">
      <w:pPr>
        <w:widowControl w:val="0"/>
        <w:jc w:val="both"/>
      </w:pPr>
      <w:r w:rsidRPr="00535925">
        <w:t>Las instituciones administradoras de procesos de arbitraje pueden ser: a) Centro internacional de Solución de Controversias de Inversión (CIADI), b) Corte Permanente de Arbitraje (CPA), c) Cámara Internacional de Comercio (ICC).  Asimismo, los arbitrajes se rigen por las reglas de CNUDMI (Comisión de las Naciones Unidas para el Derecho Mercantil) o bien por las Reglas del Convenio CIADI (Centro Internacional de Arreglo de Diferencias Relativas a Inversiones).</w:t>
      </w:r>
    </w:p>
    <w:p w14:paraId="0C055B6F" w14:textId="77777777" w:rsidR="005F38A6" w:rsidRDefault="005F38A6" w:rsidP="005F38A6">
      <w:pPr>
        <w:widowControl w:val="0"/>
        <w:jc w:val="both"/>
      </w:pPr>
    </w:p>
    <w:p w14:paraId="4491700A" w14:textId="77777777" w:rsidR="005F38A6" w:rsidRPr="00BA7A14" w:rsidRDefault="005F38A6" w:rsidP="005F38A6">
      <w:pPr>
        <w:widowControl w:val="0"/>
        <w:jc w:val="both"/>
      </w:pPr>
      <w:r w:rsidRPr="00BA7A14">
        <w:t>Resulta frecuente que un componente importante de los casos de arbitraje sean en contra del Estado, en la página de CIADI en la búsqueda por casos aparece un recuento de 961 casos</w:t>
      </w:r>
      <w:r>
        <w:rPr>
          <w:rStyle w:val="Refdenotaalpie"/>
        </w:rPr>
        <w:footnoteReference w:id="13"/>
      </w:r>
      <w:r w:rsidRPr="00BA7A14">
        <w:t xml:space="preserve"> de los cuales puede apreciarse que la gran mayoría son demandas que inversionistas han planteado en contra de los Estados, profundizar respecto a cuantos laudos ha emitido el CIADI a favor de los inversionistas resulta complejo derivado que casi todas las actuaciones están sujetas a cláusulas de confidencialidad y la mayoría de las veces no se encuentran publicados los laudos arbitrales. </w:t>
      </w:r>
    </w:p>
    <w:p w14:paraId="1A840AC0" w14:textId="77777777" w:rsidR="005F38A6" w:rsidRPr="00BA7A14" w:rsidRDefault="005F38A6" w:rsidP="005F38A6">
      <w:pPr>
        <w:widowControl w:val="0"/>
        <w:jc w:val="both"/>
        <w:rPr>
          <w:highlight w:val="yellow"/>
        </w:rPr>
      </w:pPr>
    </w:p>
    <w:p w14:paraId="569D166E" w14:textId="77777777" w:rsidR="005F38A6" w:rsidRDefault="005F38A6" w:rsidP="005F38A6">
      <w:pPr>
        <w:widowControl w:val="0"/>
        <w:jc w:val="both"/>
      </w:pPr>
      <w:r w:rsidRPr="00F42273">
        <w:t>Es importante resaltar, el auge que ha tenido esta modalidad de procesos, en el informe anual de 2022 que elabora el CIADI, establece que los casos administrados a nivel mundial han tenido un aumento importante a lo largo del tiempo llegando a 346 casos, hubo 50 nuevos casos registrados y 77 procedimientos concluidos</w:t>
      </w:r>
      <w:r w:rsidRPr="00F42273">
        <w:rPr>
          <w:rStyle w:val="Refdenotaalpie"/>
        </w:rPr>
        <w:footnoteReference w:id="14"/>
      </w:r>
      <w:r w:rsidRPr="00F42273">
        <w:t>.</w:t>
      </w:r>
    </w:p>
    <w:p w14:paraId="4AE9622F" w14:textId="77777777" w:rsidR="00703504" w:rsidRDefault="00703504" w:rsidP="00C66E93">
      <w:pPr>
        <w:widowControl w:val="0"/>
        <w:rPr>
          <w:b/>
        </w:rPr>
      </w:pPr>
    </w:p>
    <w:p w14:paraId="5F3BC706" w14:textId="638C6FF1" w:rsidR="005F38A6" w:rsidRPr="00C66E93" w:rsidRDefault="00C66E93" w:rsidP="00C66E93">
      <w:pPr>
        <w:pStyle w:val="Descripcin"/>
        <w:rPr>
          <w:b w:val="0"/>
          <w:color w:val="auto"/>
        </w:rPr>
      </w:pPr>
      <w:bookmarkStart w:id="710" w:name="_Toc143593640"/>
      <w:r w:rsidRPr="00C66E93">
        <w:rPr>
          <w:color w:val="auto"/>
        </w:rPr>
        <w:t xml:space="preserve">Gráfico </w:t>
      </w:r>
      <w:r w:rsidRPr="00C66E93">
        <w:rPr>
          <w:color w:val="auto"/>
        </w:rPr>
        <w:fldChar w:fldCharType="begin"/>
      </w:r>
      <w:r w:rsidRPr="00C66E93">
        <w:rPr>
          <w:color w:val="auto"/>
        </w:rPr>
        <w:instrText xml:space="preserve"> SEQ Gráfico \* ARABIC </w:instrText>
      </w:r>
      <w:r w:rsidRPr="00C66E93">
        <w:rPr>
          <w:color w:val="auto"/>
        </w:rPr>
        <w:fldChar w:fldCharType="separate"/>
      </w:r>
      <w:r w:rsidR="00A62AFA">
        <w:rPr>
          <w:noProof/>
          <w:color w:val="auto"/>
        </w:rPr>
        <w:t>82</w:t>
      </w:r>
      <w:r w:rsidRPr="00C66E93">
        <w:rPr>
          <w:color w:val="auto"/>
        </w:rPr>
        <w:fldChar w:fldCharType="end"/>
      </w:r>
      <w:r w:rsidRPr="00C66E93">
        <w:rPr>
          <w:color w:val="auto"/>
        </w:rPr>
        <w:t>.  Casos administrados por CIADI</w:t>
      </w:r>
      <w:bookmarkEnd w:id="710"/>
    </w:p>
    <w:p w14:paraId="134F1417" w14:textId="77777777" w:rsidR="005F38A6" w:rsidRPr="00C66E93" w:rsidRDefault="005F38A6" w:rsidP="005F38A6">
      <w:pPr>
        <w:widowControl w:val="0"/>
        <w:ind w:left="567"/>
        <w:jc w:val="center"/>
        <w:rPr>
          <w:sz w:val="22"/>
          <w:szCs w:val="22"/>
        </w:rPr>
      </w:pPr>
      <w:r w:rsidRPr="00C66E93">
        <w:rPr>
          <w:sz w:val="22"/>
          <w:szCs w:val="22"/>
        </w:rPr>
        <w:t>Número de casos</w:t>
      </w:r>
    </w:p>
    <w:p w14:paraId="5BC260D7" w14:textId="77777777" w:rsidR="005F38A6" w:rsidRDefault="005F38A6" w:rsidP="005F38A6">
      <w:pPr>
        <w:widowControl w:val="0"/>
        <w:jc w:val="both"/>
      </w:pPr>
      <w:r>
        <w:rPr>
          <w:noProof/>
        </w:rPr>
        <w:drawing>
          <wp:inline distT="0" distB="0" distL="0" distR="0" wp14:anchorId="08B414B7" wp14:editId="423936AC">
            <wp:extent cx="5486400" cy="2250219"/>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4B09F192" w14:textId="77777777" w:rsidR="005F38A6" w:rsidRPr="00F42273" w:rsidRDefault="005F38A6" w:rsidP="005F38A6">
      <w:pPr>
        <w:widowControl w:val="0"/>
        <w:jc w:val="both"/>
        <w:rPr>
          <w:sz w:val="16"/>
          <w:szCs w:val="16"/>
        </w:rPr>
      </w:pPr>
      <w:r w:rsidRPr="00F42273">
        <w:rPr>
          <w:sz w:val="16"/>
          <w:szCs w:val="16"/>
        </w:rPr>
        <w:t>Fuente: Reporte anual 2022 de CIADI</w:t>
      </w:r>
    </w:p>
    <w:p w14:paraId="2E711C6E" w14:textId="77777777" w:rsidR="005F38A6" w:rsidRPr="00535925" w:rsidRDefault="005F38A6" w:rsidP="005F38A6">
      <w:pPr>
        <w:widowControl w:val="0"/>
        <w:jc w:val="both"/>
      </w:pPr>
      <w:r w:rsidRPr="00535925">
        <w:lastRenderedPageBreak/>
        <w:t>Para el caso de las demandas presentadas ante el CIADI, los laudos emitidos por este son obligatoriedad para las partes de conformidad con el artículo 53 del Convenio CIADI</w:t>
      </w:r>
      <w:r>
        <w:rPr>
          <w:rStyle w:val="Refdenotaalpie"/>
        </w:rPr>
        <w:footnoteReference w:id="15"/>
      </w:r>
      <w:r w:rsidRPr="00535925">
        <w:t xml:space="preserve">, los laudos no tienen un plazo para hacerse efectivos, pero dado que la mayoría computan monto de deuda más intereses hasta la fecha en que se cumpla con la obligación, dependerá de cada Estado y de su normativa legal el tiempo para poder hacer efectivo el mismo.  </w:t>
      </w:r>
    </w:p>
    <w:p w14:paraId="445C7450" w14:textId="77777777" w:rsidR="005F38A6" w:rsidRPr="00535925" w:rsidRDefault="005F38A6" w:rsidP="005F38A6">
      <w:pPr>
        <w:widowControl w:val="0"/>
        <w:jc w:val="both"/>
      </w:pPr>
    </w:p>
    <w:p w14:paraId="29E6FE6D" w14:textId="77777777" w:rsidR="005F38A6" w:rsidRPr="00535925" w:rsidRDefault="005F38A6" w:rsidP="005F38A6">
      <w:pPr>
        <w:widowControl w:val="0"/>
        <w:jc w:val="both"/>
      </w:pPr>
      <w:r w:rsidRPr="00535925">
        <w:t xml:space="preserve">Guatemala de conformidad con la información </w:t>
      </w:r>
      <w:r w:rsidRPr="002D0EA4">
        <w:t>recabada al 30 de junio de 2023, ha sido objeto de 11 arbitrajes de inversión estado-inversionista, de los cuales 6 procesos están finalizados con laudo arbitral, 3 de ellos fueron a favor del Estado de Guatemala y 3 de ellos tienen laudo arbitral en contra, los cuales, se pagaron en 2013, 2020 y</w:t>
      </w:r>
      <w:r>
        <w:t xml:space="preserve"> 2022</w:t>
      </w:r>
      <w:r w:rsidRPr="00535925">
        <w:t xml:space="preserve">, el otro caso las autoridades lo impugnaron mediante un proceso de anulación, que estaría pendiente que el tribunal de arbitraje emita su sentencia. Asimismo, adicionalmente hay </w:t>
      </w:r>
      <w:r>
        <w:t>4</w:t>
      </w:r>
      <w:r w:rsidRPr="00535925">
        <w:t xml:space="preserve"> casos activos en los tribunales internacionales,</w:t>
      </w:r>
      <w:r>
        <w:t xml:space="preserve"> cuyas reclamaciones ascienden a US$1,081.0 millones,</w:t>
      </w:r>
      <w:r w:rsidRPr="00535925">
        <w:t xml:space="preserve"> siendo estos los siguientes:</w:t>
      </w:r>
    </w:p>
    <w:p w14:paraId="1DBB5B84" w14:textId="77777777" w:rsidR="005F38A6" w:rsidRPr="00535925" w:rsidRDefault="005F38A6" w:rsidP="005F38A6">
      <w:pPr>
        <w:jc w:val="both"/>
        <w:rPr>
          <w:lang w:val="es-MX"/>
        </w:rPr>
      </w:pPr>
    </w:p>
    <w:p w14:paraId="37B2881B" w14:textId="6BC46E85" w:rsidR="005F38A6" w:rsidRPr="00C66E93" w:rsidRDefault="00C66E93" w:rsidP="00C66E93">
      <w:pPr>
        <w:pStyle w:val="Descripcin"/>
        <w:keepNext/>
        <w:rPr>
          <w:color w:val="auto"/>
        </w:rPr>
      </w:pPr>
      <w:bookmarkStart w:id="711" w:name="_Toc114493937"/>
      <w:bookmarkStart w:id="712" w:name="_Toc143593537"/>
      <w:r w:rsidRPr="00C66E93">
        <w:rPr>
          <w:color w:val="auto"/>
        </w:rPr>
        <w:t xml:space="preserve">Tabla </w:t>
      </w:r>
      <w:r w:rsidRPr="00C66E93">
        <w:rPr>
          <w:color w:val="auto"/>
        </w:rPr>
        <w:fldChar w:fldCharType="begin"/>
      </w:r>
      <w:r w:rsidRPr="00C66E93">
        <w:rPr>
          <w:color w:val="auto"/>
        </w:rPr>
        <w:instrText xml:space="preserve"> SEQ Tabla \* ARABIC </w:instrText>
      </w:r>
      <w:r w:rsidRPr="00C66E93">
        <w:rPr>
          <w:color w:val="auto"/>
        </w:rPr>
        <w:fldChar w:fldCharType="separate"/>
      </w:r>
      <w:r w:rsidR="00A62AFA">
        <w:rPr>
          <w:noProof/>
          <w:color w:val="auto"/>
        </w:rPr>
        <w:t>35</w:t>
      </w:r>
      <w:r w:rsidRPr="00C66E93">
        <w:rPr>
          <w:color w:val="auto"/>
        </w:rPr>
        <w:fldChar w:fldCharType="end"/>
      </w:r>
      <w:r w:rsidRPr="00C66E93">
        <w:rPr>
          <w:color w:val="auto"/>
        </w:rPr>
        <w:t xml:space="preserve">.  </w:t>
      </w:r>
      <w:r w:rsidR="005F38A6" w:rsidRPr="00C66E93">
        <w:rPr>
          <w:bCs/>
          <w:color w:val="auto"/>
          <w:lang w:val="es-MX"/>
        </w:rPr>
        <w:t>Arbitrajes internacional activos</w:t>
      </w:r>
      <w:bookmarkEnd w:id="711"/>
      <w:bookmarkEnd w:id="712"/>
    </w:p>
    <w:p w14:paraId="571C53A4" w14:textId="77777777" w:rsidR="005F38A6" w:rsidRPr="00C66E93" w:rsidRDefault="005F38A6" w:rsidP="005F38A6">
      <w:pPr>
        <w:keepNext/>
        <w:widowControl w:val="0"/>
        <w:jc w:val="center"/>
        <w:rPr>
          <w:sz w:val="22"/>
          <w:szCs w:val="22"/>
          <w:lang w:val="es-MX"/>
        </w:rPr>
      </w:pPr>
      <w:r w:rsidRPr="00C66E93">
        <w:rPr>
          <w:sz w:val="22"/>
          <w:szCs w:val="22"/>
          <w:lang w:val="es-MX"/>
        </w:rPr>
        <w:t>(millones de US dólares)</w:t>
      </w:r>
    </w:p>
    <w:tbl>
      <w:tblPr>
        <w:tblW w:w="7787" w:type="dxa"/>
        <w:jc w:val="center"/>
        <w:tblCellMar>
          <w:left w:w="70" w:type="dxa"/>
          <w:right w:w="70" w:type="dxa"/>
        </w:tblCellMar>
        <w:tblLook w:val="04A0" w:firstRow="1" w:lastRow="0" w:firstColumn="1" w:lastColumn="0" w:noHBand="0" w:noVBand="1"/>
      </w:tblPr>
      <w:tblGrid>
        <w:gridCol w:w="5324"/>
        <w:gridCol w:w="1187"/>
        <w:gridCol w:w="1276"/>
      </w:tblGrid>
      <w:tr w:rsidR="005F38A6" w:rsidRPr="00535925" w14:paraId="4BB3AA9C" w14:textId="77777777" w:rsidTr="007A0B9B">
        <w:trPr>
          <w:trHeight w:val="186"/>
          <w:jc w:val="center"/>
        </w:trPr>
        <w:tc>
          <w:tcPr>
            <w:tcW w:w="5324" w:type="dxa"/>
            <w:tcBorders>
              <w:top w:val="single" w:sz="8" w:space="0" w:color="auto"/>
              <w:left w:val="single" w:sz="8" w:space="0" w:color="auto"/>
              <w:bottom w:val="single" w:sz="8" w:space="0" w:color="auto"/>
              <w:right w:val="single" w:sz="4" w:space="0" w:color="auto"/>
            </w:tcBorders>
            <w:shd w:val="clear" w:color="auto" w:fill="8EAADB" w:themeFill="accent1" w:themeFillTint="99"/>
            <w:noWrap/>
            <w:vAlign w:val="center"/>
            <w:hideMark/>
          </w:tcPr>
          <w:p w14:paraId="74C1A0A1" w14:textId="77777777" w:rsidR="005F38A6" w:rsidRPr="00A77D12" w:rsidRDefault="005F38A6" w:rsidP="006A7377">
            <w:pPr>
              <w:jc w:val="center"/>
              <w:rPr>
                <w:rFonts w:ascii="Calibri" w:hAnsi="Calibri" w:cs="Calibri"/>
                <w:b/>
                <w:bCs/>
                <w:color w:val="000000"/>
                <w:sz w:val="22"/>
                <w:szCs w:val="22"/>
              </w:rPr>
            </w:pPr>
            <w:r w:rsidRPr="00A77D12">
              <w:rPr>
                <w:rFonts w:ascii="Calibri" w:hAnsi="Calibri" w:cs="Calibri"/>
                <w:b/>
                <w:bCs/>
                <w:color w:val="000000"/>
                <w:sz w:val="22"/>
                <w:szCs w:val="22"/>
              </w:rPr>
              <w:t>Descripción</w:t>
            </w:r>
          </w:p>
        </w:tc>
        <w:tc>
          <w:tcPr>
            <w:tcW w:w="1187" w:type="dxa"/>
            <w:tcBorders>
              <w:top w:val="single" w:sz="8" w:space="0" w:color="auto"/>
              <w:left w:val="nil"/>
              <w:bottom w:val="single" w:sz="8" w:space="0" w:color="auto"/>
              <w:right w:val="single" w:sz="4" w:space="0" w:color="auto"/>
            </w:tcBorders>
            <w:shd w:val="clear" w:color="auto" w:fill="8EAADB" w:themeFill="accent1" w:themeFillTint="99"/>
            <w:noWrap/>
            <w:vAlign w:val="center"/>
            <w:hideMark/>
          </w:tcPr>
          <w:p w14:paraId="433C2977" w14:textId="77777777" w:rsidR="005F38A6" w:rsidRPr="00A77D12" w:rsidRDefault="005F38A6" w:rsidP="006A7377">
            <w:pPr>
              <w:jc w:val="center"/>
              <w:rPr>
                <w:rFonts w:ascii="Calibri" w:hAnsi="Calibri" w:cs="Calibri"/>
                <w:b/>
                <w:bCs/>
                <w:color w:val="000000"/>
                <w:sz w:val="22"/>
                <w:szCs w:val="22"/>
              </w:rPr>
            </w:pPr>
            <w:r w:rsidRPr="00A77D12">
              <w:rPr>
                <w:rFonts w:ascii="Calibri" w:hAnsi="Calibri" w:cs="Calibri"/>
                <w:b/>
                <w:bCs/>
                <w:color w:val="000000"/>
                <w:sz w:val="22"/>
                <w:szCs w:val="22"/>
              </w:rPr>
              <w:t>No. Casos</w:t>
            </w:r>
          </w:p>
        </w:tc>
        <w:tc>
          <w:tcPr>
            <w:tcW w:w="1276" w:type="dxa"/>
            <w:tcBorders>
              <w:top w:val="single" w:sz="8" w:space="0" w:color="auto"/>
              <w:left w:val="nil"/>
              <w:bottom w:val="single" w:sz="8" w:space="0" w:color="auto"/>
              <w:right w:val="single" w:sz="8" w:space="0" w:color="auto"/>
            </w:tcBorders>
            <w:shd w:val="clear" w:color="auto" w:fill="8EAADB" w:themeFill="accent1" w:themeFillTint="99"/>
            <w:noWrap/>
            <w:vAlign w:val="center"/>
            <w:hideMark/>
          </w:tcPr>
          <w:p w14:paraId="760F8023" w14:textId="77777777" w:rsidR="005F38A6" w:rsidRPr="00A77D12" w:rsidRDefault="005F38A6" w:rsidP="006A7377">
            <w:pPr>
              <w:jc w:val="center"/>
              <w:rPr>
                <w:rFonts w:ascii="Calibri" w:hAnsi="Calibri" w:cs="Calibri"/>
                <w:b/>
                <w:bCs/>
                <w:color w:val="000000"/>
                <w:sz w:val="22"/>
                <w:szCs w:val="22"/>
              </w:rPr>
            </w:pPr>
            <w:r w:rsidRPr="00A77D12">
              <w:rPr>
                <w:rFonts w:ascii="Calibri" w:hAnsi="Calibri" w:cs="Calibri"/>
                <w:b/>
                <w:bCs/>
                <w:color w:val="000000"/>
                <w:sz w:val="22"/>
                <w:szCs w:val="22"/>
              </w:rPr>
              <w:t>Monto</w:t>
            </w:r>
          </w:p>
        </w:tc>
      </w:tr>
      <w:tr w:rsidR="005F38A6" w:rsidRPr="00535925" w14:paraId="167FBC8F" w14:textId="77777777" w:rsidTr="007A0B9B">
        <w:trPr>
          <w:trHeight w:val="178"/>
          <w:jc w:val="center"/>
        </w:trPr>
        <w:tc>
          <w:tcPr>
            <w:tcW w:w="5324" w:type="dxa"/>
            <w:tcBorders>
              <w:top w:val="nil"/>
              <w:left w:val="single" w:sz="8" w:space="0" w:color="auto"/>
              <w:bottom w:val="single" w:sz="4" w:space="0" w:color="auto"/>
              <w:right w:val="single" w:sz="4" w:space="0" w:color="auto"/>
            </w:tcBorders>
            <w:shd w:val="clear" w:color="000000" w:fill="FFFFFF"/>
            <w:noWrap/>
            <w:vAlign w:val="bottom"/>
            <w:hideMark/>
          </w:tcPr>
          <w:p w14:paraId="46A51217" w14:textId="77777777" w:rsidR="005F38A6" w:rsidRPr="00A77D12" w:rsidRDefault="005F38A6" w:rsidP="006A7377">
            <w:pPr>
              <w:jc w:val="center"/>
              <w:rPr>
                <w:rFonts w:ascii="Calibri" w:hAnsi="Calibri" w:cs="Calibri"/>
                <w:b/>
                <w:bCs/>
                <w:color w:val="000000"/>
                <w:sz w:val="22"/>
                <w:szCs w:val="22"/>
              </w:rPr>
            </w:pPr>
            <w:r w:rsidRPr="00A77D12">
              <w:rPr>
                <w:rFonts w:ascii="Calibri" w:hAnsi="Calibri" w:cs="Calibri"/>
                <w:b/>
                <w:bCs/>
                <w:color w:val="000000"/>
                <w:sz w:val="22"/>
                <w:szCs w:val="22"/>
              </w:rPr>
              <w:t>Total</w:t>
            </w:r>
          </w:p>
        </w:tc>
        <w:tc>
          <w:tcPr>
            <w:tcW w:w="1187" w:type="dxa"/>
            <w:tcBorders>
              <w:top w:val="nil"/>
              <w:left w:val="nil"/>
              <w:bottom w:val="single" w:sz="4" w:space="0" w:color="auto"/>
              <w:right w:val="single" w:sz="4" w:space="0" w:color="auto"/>
            </w:tcBorders>
            <w:shd w:val="clear" w:color="000000" w:fill="FFFFFF"/>
            <w:noWrap/>
            <w:vAlign w:val="bottom"/>
            <w:hideMark/>
          </w:tcPr>
          <w:p w14:paraId="45B3DA04" w14:textId="77777777" w:rsidR="005F38A6" w:rsidRPr="00A77D12" w:rsidRDefault="005F38A6" w:rsidP="006A7377">
            <w:pPr>
              <w:jc w:val="center"/>
              <w:rPr>
                <w:b/>
                <w:bCs/>
                <w:color w:val="000000"/>
                <w:sz w:val="22"/>
                <w:szCs w:val="22"/>
              </w:rPr>
            </w:pPr>
            <w:r w:rsidRPr="00A77D12">
              <w:rPr>
                <w:b/>
                <w:bCs/>
                <w:color w:val="000000"/>
                <w:sz w:val="22"/>
                <w:szCs w:val="22"/>
              </w:rPr>
              <w:t>4</w:t>
            </w:r>
          </w:p>
        </w:tc>
        <w:tc>
          <w:tcPr>
            <w:tcW w:w="1276" w:type="dxa"/>
            <w:tcBorders>
              <w:top w:val="nil"/>
              <w:left w:val="nil"/>
              <w:bottom w:val="single" w:sz="4" w:space="0" w:color="auto"/>
              <w:right w:val="single" w:sz="8" w:space="0" w:color="auto"/>
            </w:tcBorders>
            <w:shd w:val="clear" w:color="000000" w:fill="FFFFFF"/>
            <w:noWrap/>
            <w:vAlign w:val="bottom"/>
            <w:hideMark/>
          </w:tcPr>
          <w:p w14:paraId="1FBFA73E" w14:textId="77777777" w:rsidR="005F38A6" w:rsidRPr="00A77D12" w:rsidRDefault="005F38A6" w:rsidP="006A7377">
            <w:pPr>
              <w:jc w:val="center"/>
              <w:rPr>
                <w:b/>
                <w:bCs/>
                <w:color w:val="000000"/>
                <w:sz w:val="22"/>
                <w:szCs w:val="22"/>
              </w:rPr>
            </w:pPr>
            <w:r w:rsidRPr="00A77D12">
              <w:rPr>
                <w:b/>
                <w:bCs/>
                <w:color w:val="000000"/>
                <w:sz w:val="22"/>
                <w:szCs w:val="22"/>
              </w:rPr>
              <w:t>1,081.0</w:t>
            </w:r>
          </w:p>
        </w:tc>
      </w:tr>
      <w:tr w:rsidR="005F38A6" w:rsidRPr="00535925" w14:paraId="3D87DB02" w14:textId="77777777" w:rsidTr="007A0B9B">
        <w:trPr>
          <w:trHeight w:val="432"/>
          <w:jc w:val="center"/>
        </w:trPr>
        <w:tc>
          <w:tcPr>
            <w:tcW w:w="5324" w:type="dxa"/>
            <w:tcBorders>
              <w:top w:val="nil"/>
              <w:left w:val="single" w:sz="8" w:space="0" w:color="auto"/>
              <w:bottom w:val="single" w:sz="4" w:space="0" w:color="auto"/>
              <w:right w:val="single" w:sz="4" w:space="0" w:color="auto"/>
            </w:tcBorders>
            <w:shd w:val="clear" w:color="000000" w:fill="FFFFFF"/>
            <w:vAlign w:val="center"/>
            <w:hideMark/>
          </w:tcPr>
          <w:p w14:paraId="3D7174EB" w14:textId="77777777" w:rsidR="005F38A6" w:rsidRPr="00A77D12" w:rsidRDefault="005F38A6" w:rsidP="006A7377">
            <w:pPr>
              <w:rPr>
                <w:color w:val="000000"/>
                <w:sz w:val="22"/>
                <w:szCs w:val="22"/>
              </w:rPr>
            </w:pPr>
            <w:r w:rsidRPr="00A77D12">
              <w:rPr>
                <w:color w:val="000000"/>
                <w:sz w:val="22"/>
                <w:szCs w:val="22"/>
              </w:rPr>
              <w:t xml:space="preserve">Daniel W. </w:t>
            </w:r>
            <w:proofErr w:type="spellStart"/>
            <w:r w:rsidRPr="00A77D12">
              <w:rPr>
                <w:color w:val="000000"/>
                <w:sz w:val="22"/>
                <w:szCs w:val="22"/>
              </w:rPr>
              <w:t>Kappes</w:t>
            </w:r>
            <w:proofErr w:type="spellEnd"/>
            <w:r w:rsidRPr="00A77D12">
              <w:rPr>
                <w:color w:val="000000"/>
                <w:sz w:val="22"/>
                <w:szCs w:val="22"/>
              </w:rPr>
              <w:t xml:space="preserve"> y </w:t>
            </w:r>
            <w:proofErr w:type="spellStart"/>
            <w:r w:rsidRPr="00A77D12">
              <w:rPr>
                <w:color w:val="000000"/>
                <w:sz w:val="22"/>
                <w:szCs w:val="22"/>
              </w:rPr>
              <w:t>Kappes</w:t>
            </w:r>
            <w:proofErr w:type="spellEnd"/>
            <w:r w:rsidRPr="00A77D12">
              <w:rPr>
                <w:color w:val="000000"/>
                <w:sz w:val="22"/>
                <w:szCs w:val="22"/>
              </w:rPr>
              <w:t xml:space="preserve">, </w:t>
            </w:r>
            <w:proofErr w:type="spellStart"/>
            <w:r w:rsidRPr="00A77D12">
              <w:rPr>
                <w:color w:val="000000"/>
                <w:sz w:val="22"/>
                <w:szCs w:val="22"/>
              </w:rPr>
              <w:t>Cassiday</w:t>
            </w:r>
            <w:proofErr w:type="spellEnd"/>
            <w:r w:rsidRPr="00A77D12">
              <w:rPr>
                <w:color w:val="000000"/>
                <w:sz w:val="22"/>
                <w:szCs w:val="22"/>
              </w:rPr>
              <w:t xml:space="preserve"> &amp; </w:t>
            </w:r>
            <w:proofErr w:type="spellStart"/>
            <w:r w:rsidRPr="00A77D12">
              <w:rPr>
                <w:color w:val="000000"/>
                <w:sz w:val="22"/>
                <w:szCs w:val="22"/>
              </w:rPr>
              <w:t>Associates</w:t>
            </w:r>
            <w:proofErr w:type="spellEnd"/>
            <w:r w:rsidRPr="00A77D12">
              <w:rPr>
                <w:color w:val="000000"/>
                <w:sz w:val="22"/>
                <w:szCs w:val="22"/>
              </w:rPr>
              <w:t xml:space="preserve"> v. República de Guatemala. Instrumento DR-CAFTA</w:t>
            </w:r>
          </w:p>
        </w:tc>
        <w:tc>
          <w:tcPr>
            <w:tcW w:w="1187" w:type="dxa"/>
            <w:tcBorders>
              <w:top w:val="nil"/>
              <w:left w:val="nil"/>
              <w:bottom w:val="single" w:sz="4" w:space="0" w:color="auto"/>
              <w:right w:val="single" w:sz="4" w:space="0" w:color="auto"/>
            </w:tcBorders>
            <w:shd w:val="clear" w:color="000000" w:fill="FFFFFF"/>
            <w:noWrap/>
            <w:vAlign w:val="center"/>
            <w:hideMark/>
          </w:tcPr>
          <w:p w14:paraId="449F3356" w14:textId="77777777" w:rsidR="005F38A6" w:rsidRPr="00A77D12" w:rsidRDefault="005F38A6" w:rsidP="006A7377">
            <w:pPr>
              <w:jc w:val="center"/>
              <w:rPr>
                <w:color w:val="000000"/>
                <w:sz w:val="22"/>
                <w:szCs w:val="22"/>
              </w:rPr>
            </w:pPr>
            <w:r w:rsidRPr="00A77D12">
              <w:rPr>
                <w:color w:val="000000"/>
                <w:sz w:val="22"/>
                <w:szCs w:val="22"/>
              </w:rPr>
              <w:t>1</w:t>
            </w:r>
          </w:p>
        </w:tc>
        <w:tc>
          <w:tcPr>
            <w:tcW w:w="1276" w:type="dxa"/>
            <w:tcBorders>
              <w:top w:val="nil"/>
              <w:left w:val="nil"/>
              <w:bottom w:val="single" w:sz="4" w:space="0" w:color="auto"/>
              <w:right w:val="single" w:sz="8" w:space="0" w:color="auto"/>
            </w:tcBorders>
            <w:shd w:val="clear" w:color="000000" w:fill="FFFFFF"/>
            <w:noWrap/>
            <w:vAlign w:val="center"/>
            <w:hideMark/>
          </w:tcPr>
          <w:p w14:paraId="2A814D86" w14:textId="77777777" w:rsidR="005F38A6" w:rsidRPr="00A77D12" w:rsidRDefault="005F38A6" w:rsidP="006A7377">
            <w:pPr>
              <w:jc w:val="right"/>
              <w:rPr>
                <w:color w:val="000000"/>
                <w:sz w:val="22"/>
                <w:szCs w:val="22"/>
              </w:rPr>
            </w:pPr>
            <w:r w:rsidRPr="00A77D12">
              <w:rPr>
                <w:color w:val="000000"/>
                <w:sz w:val="22"/>
                <w:szCs w:val="22"/>
              </w:rPr>
              <w:t>419.0- 449.0</w:t>
            </w:r>
          </w:p>
        </w:tc>
      </w:tr>
      <w:tr w:rsidR="005F38A6" w:rsidRPr="00535925" w14:paraId="62A256A8" w14:textId="77777777" w:rsidTr="007A0B9B">
        <w:trPr>
          <w:trHeight w:val="581"/>
          <w:jc w:val="center"/>
        </w:trPr>
        <w:tc>
          <w:tcPr>
            <w:tcW w:w="5324" w:type="dxa"/>
            <w:tcBorders>
              <w:top w:val="nil"/>
              <w:left w:val="single" w:sz="8" w:space="0" w:color="auto"/>
              <w:bottom w:val="single" w:sz="4" w:space="0" w:color="auto"/>
              <w:right w:val="single" w:sz="4" w:space="0" w:color="auto"/>
            </w:tcBorders>
            <w:shd w:val="clear" w:color="000000" w:fill="FFFFFF"/>
            <w:vAlign w:val="center"/>
            <w:hideMark/>
          </w:tcPr>
          <w:p w14:paraId="1FE9A097" w14:textId="77777777" w:rsidR="005F38A6" w:rsidRPr="00A77D12" w:rsidRDefault="005F38A6" w:rsidP="006A7377">
            <w:pPr>
              <w:rPr>
                <w:color w:val="000000"/>
                <w:sz w:val="22"/>
                <w:szCs w:val="22"/>
              </w:rPr>
            </w:pPr>
            <w:r w:rsidRPr="00A77D12">
              <w:rPr>
                <w:color w:val="000000"/>
                <w:sz w:val="22"/>
                <w:szCs w:val="22"/>
              </w:rPr>
              <w:t>Grupo Energía Bogotá S.A. y Transportadora de Energía de Centroamérica, S.A. (GEB-TRECSA) v. República de Guatemala. Instrumento TLC Colombia-El Salvador- Guatemala y Honduras</w:t>
            </w:r>
          </w:p>
        </w:tc>
        <w:tc>
          <w:tcPr>
            <w:tcW w:w="1187" w:type="dxa"/>
            <w:tcBorders>
              <w:top w:val="nil"/>
              <w:left w:val="nil"/>
              <w:bottom w:val="single" w:sz="4" w:space="0" w:color="auto"/>
              <w:right w:val="single" w:sz="4" w:space="0" w:color="auto"/>
            </w:tcBorders>
            <w:shd w:val="clear" w:color="000000" w:fill="FFFFFF"/>
            <w:vAlign w:val="center"/>
            <w:hideMark/>
          </w:tcPr>
          <w:p w14:paraId="60C2718F" w14:textId="77777777" w:rsidR="005F38A6" w:rsidRPr="00A77D12" w:rsidRDefault="005F38A6" w:rsidP="006A7377">
            <w:pPr>
              <w:jc w:val="center"/>
              <w:rPr>
                <w:color w:val="000000"/>
                <w:sz w:val="22"/>
                <w:szCs w:val="22"/>
              </w:rPr>
            </w:pPr>
            <w:r w:rsidRPr="00A77D12">
              <w:rPr>
                <w:color w:val="000000"/>
                <w:sz w:val="22"/>
                <w:szCs w:val="22"/>
              </w:rPr>
              <w:t>2</w:t>
            </w:r>
          </w:p>
        </w:tc>
        <w:tc>
          <w:tcPr>
            <w:tcW w:w="1276" w:type="dxa"/>
            <w:tcBorders>
              <w:top w:val="nil"/>
              <w:left w:val="nil"/>
              <w:bottom w:val="single" w:sz="4" w:space="0" w:color="auto"/>
              <w:right w:val="single" w:sz="8" w:space="0" w:color="auto"/>
            </w:tcBorders>
            <w:shd w:val="clear" w:color="000000" w:fill="FFFFFF"/>
            <w:vAlign w:val="center"/>
            <w:hideMark/>
          </w:tcPr>
          <w:p w14:paraId="1E8B5757" w14:textId="77777777" w:rsidR="005F38A6" w:rsidRPr="00A77D12" w:rsidRDefault="005F38A6" w:rsidP="006A7377">
            <w:pPr>
              <w:jc w:val="right"/>
              <w:rPr>
                <w:color w:val="000000"/>
                <w:sz w:val="22"/>
                <w:szCs w:val="22"/>
              </w:rPr>
            </w:pPr>
            <w:r w:rsidRPr="00A77D12">
              <w:rPr>
                <w:color w:val="000000"/>
                <w:sz w:val="22"/>
                <w:szCs w:val="22"/>
              </w:rPr>
              <w:t>403.0</w:t>
            </w:r>
          </w:p>
        </w:tc>
      </w:tr>
      <w:tr w:rsidR="005F38A6" w:rsidRPr="00535925" w14:paraId="7F7EAED4" w14:textId="77777777" w:rsidTr="007A0B9B">
        <w:trPr>
          <w:trHeight w:val="395"/>
          <w:jc w:val="center"/>
        </w:trPr>
        <w:tc>
          <w:tcPr>
            <w:tcW w:w="5324" w:type="dxa"/>
            <w:tcBorders>
              <w:top w:val="nil"/>
              <w:left w:val="single" w:sz="8" w:space="0" w:color="auto"/>
              <w:bottom w:val="single" w:sz="8" w:space="0" w:color="auto"/>
              <w:right w:val="single" w:sz="4" w:space="0" w:color="auto"/>
            </w:tcBorders>
            <w:shd w:val="clear" w:color="000000" w:fill="FFFFFF"/>
            <w:vAlign w:val="center"/>
            <w:hideMark/>
          </w:tcPr>
          <w:p w14:paraId="08E351C3" w14:textId="77777777" w:rsidR="005F38A6" w:rsidRPr="00A77D12" w:rsidRDefault="005F38A6" w:rsidP="006A7377">
            <w:pPr>
              <w:rPr>
                <w:color w:val="000000"/>
                <w:sz w:val="22"/>
                <w:szCs w:val="22"/>
              </w:rPr>
            </w:pPr>
            <w:r w:rsidRPr="00A77D12">
              <w:rPr>
                <w:color w:val="000000"/>
                <w:sz w:val="22"/>
                <w:szCs w:val="22"/>
              </w:rPr>
              <w:t>Energía y Renovación Holding, S.A.</w:t>
            </w:r>
          </w:p>
        </w:tc>
        <w:tc>
          <w:tcPr>
            <w:tcW w:w="1187" w:type="dxa"/>
            <w:tcBorders>
              <w:top w:val="nil"/>
              <w:left w:val="nil"/>
              <w:bottom w:val="single" w:sz="8" w:space="0" w:color="auto"/>
              <w:right w:val="single" w:sz="4" w:space="0" w:color="auto"/>
            </w:tcBorders>
            <w:shd w:val="clear" w:color="000000" w:fill="FFFFFF"/>
            <w:vAlign w:val="center"/>
            <w:hideMark/>
          </w:tcPr>
          <w:p w14:paraId="13C45A71" w14:textId="77777777" w:rsidR="005F38A6" w:rsidRPr="00A77D12" w:rsidRDefault="005F38A6" w:rsidP="006A7377">
            <w:pPr>
              <w:jc w:val="center"/>
              <w:rPr>
                <w:color w:val="000000"/>
                <w:sz w:val="22"/>
                <w:szCs w:val="22"/>
              </w:rPr>
            </w:pPr>
            <w:r w:rsidRPr="00A77D12">
              <w:rPr>
                <w:color w:val="000000"/>
                <w:sz w:val="22"/>
                <w:szCs w:val="22"/>
              </w:rPr>
              <w:t>1</w:t>
            </w:r>
          </w:p>
        </w:tc>
        <w:tc>
          <w:tcPr>
            <w:tcW w:w="1276" w:type="dxa"/>
            <w:tcBorders>
              <w:top w:val="nil"/>
              <w:left w:val="nil"/>
              <w:bottom w:val="single" w:sz="8" w:space="0" w:color="auto"/>
              <w:right w:val="single" w:sz="8" w:space="0" w:color="auto"/>
            </w:tcBorders>
            <w:shd w:val="clear" w:color="000000" w:fill="FFFFFF"/>
            <w:vAlign w:val="center"/>
            <w:hideMark/>
          </w:tcPr>
          <w:p w14:paraId="6ECE6828" w14:textId="77777777" w:rsidR="005F38A6" w:rsidRPr="00A77D12" w:rsidRDefault="005F38A6" w:rsidP="006A7377">
            <w:pPr>
              <w:jc w:val="right"/>
              <w:rPr>
                <w:color w:val="000000"/>
                <w:sz w:val="22"/>
                <w:szCs w:val="22"/>
              </w:rPr>
            </w:pPr>
            <w:r w:rsidRPr="00A77D12">
              <w:rPr>
                <w:color w:val="000000"/>
                <w:sz w:val="22"/>
                <w:szCs w:val="22"/>
              </w:rPr>
              <w:t>179.0</w:t>
            </w:r>
          </w:p>
        </w:tc>
      </w:tr>
    </w:tbl>
    <w:p w14:paraId="3A05F539" w14:textId="77777777" w:rsidR="005F38A6" w:rsidRDefault="005F38A6" w:rsidP="005F38A6">
      <w:pPr>
        <w:ind w:left="567"/>
        <w:jc w:val="both"/>
        <w:rPr>
          <w:bCs/>
          <w:sz w:val="16"/>
          <w:lang w:val="es-ES"/>
        </w:rPr>
      </w:pPr>
      <w:r w:rsidRPr="00535925">
        <w:rPr>
          <w:bCs/>
          <w:sz w:val="16"/>
          <w:lang w:val="es-ES"/>
        </w:rPr>
        <w:t>Fuente: Procuraduría General de la Nación.</w:t>
      </w:r>
    </w:p>
    <w:p w14:paraId="119D6F71" w14:textId="77777777" w:rsidR="005F38A6" w:rsidRPr="00535925" w:rsidRDefault="005F38A6" w:rsidP="005F38A6">
      <w:pPr>
        <w:ind w:left="567"/>
        <w:jc w:val="both"/>
        <w:rPr>
          <w:bCs/>
          <w:sz w:val="16"/>
          <w:lang w:val="es-ES"/>
        </w:rPr>
      </w:pPr>
      <w:r>
        <w:rPr>
          <w:bCs/>
          <w:sz w:val="16"/>
          <w:lang w:val="es-ES"/>
        </w:rPr>
        <w:t>Nota: Los montos antes mencionados pueden estar sujeto a cambios debido a que los inversionistas extranjeros se reservan el derecho de actualizar y aumentar el valor pecuniario de sus demandas internacionales</w:t>
      </w:r>
    </w:p>
    <w:p w14:paraId="47555804" w14:textId="77777777" w:rsidR="00A77D12" w:rsidRDefault="00A77D12" w:rsidP="005F38A6">
      <w:pPr>
        <w:widowControl w:val="0"/>
        <w:jc w:val="both"/>
      </w:pPr>
    </w:p>
    <w:p w14:paraId="3A243D5D" w14:textId="00974C43" w:rsidR="005F38A6" w:rsidRDefault="005F38A6" w:rsidP="005F38A6">
      <w:pPr>
        <w:widowControl w:val="0"/>
        <w:jc w:val="both"/>
      </w:pPr>
      <w:r>
        <w:t>L</w:t>
      </w:r>
      <w:r w:rsidRPr="00535925">
        <w:t>a PGN en sus registros tiene que hay 4 amenazas de arbitrajes de inversión,</w:t>
      </w:r>
      <w:r>
        <w:t xml:space="preserve"> es decir, que sobre estos casos aún no se ha promovido un arbitraje internacional, no obstante, el riesgo para el Estado está latente. Únicamente, en </w:t>
      </w:r>
      <w:r w:rsidRPr="00535925">
        <w:t xml:space="preserve">2 </w:t>
      </w:r>
      <w:r>
        <w:t xml:space="preserve">notificaciones </w:t>
      </w:r>
      <w:r w:rsidRPr="00535925">
        <w:t xml:space="preserve">se tiene estimado que el monto demandado es de US$587 millones y </w:t>
      </w:r>
      <w:r>
        <w:t xml:space="preserve">en </w:t>
      </w:r>
      <w:r w:rsidRPr="00535925">
        <w:t xml:space="preserve">2 casos el monto reclamado no está disponible. </w:t>
      </w:r>
    </w:p>
    <w:p w14:paraId="1B52F21A" w14:textId="77777777" w:rsidR="005F38A6" w:rsidRDefault="005F38A6" w:rsidP="005F38A6">
      <w:pPr>
        <w:widowControl w:val="0"/>
        <w:jc w:val="both"/>
      </w:pPr>
    </w:p>
    <w:p w14:paraId="581E96B3" w14:textId="6EAD8369" w:rsidR="005F38A6" w:rsidRPr="00A77D12" w:rsidRDefault="00A77D12" w:rsidP="00A77D12">
      <w:pPr>
        <w:pStyle w:val="Descripcin"/>
        <w:keepNext/>
        <w:rPr>
          <w:color w:val="auto"/>
        </w:rPr>
      </w:pPr>
      <w:bookmarkStart w:id="713" w:name="_Toc143593538"/>
      <w:r w:rsidRPr="00A77D12">
        <w:rPr>
          <w:color w:val="auto"/>
        </w:rPr>
        <w:t xml:space="preserve">Tabla </w:t>
      </w:r>
      <w:r w:rsidRPr="00A77D12">
        <w:rPr>
          <w:color w:val="auto"/>
        </w:rPr>
        <w:fldChar w:fldCharType="begin"/>
      </w:r>
      <w:r w:rsidRPr="00A77D12">
        <w:rPr>
          <w:color w:val="auto"/>
        </w:rPr>
        <w:instrText xml:space="preserve"> SEQ Tabla \* ARABIC </w:instrText>
      </w:r>
      <w:r w:rsidRPr="00A77D12">
        <w:rPr>
          <w:color w:val="auto"/>
        </w:rPr>
        <w:fldChar w:fldCharType="separate"/>
      </w:r>
      <w:r w:rsidR="00A62AFA">
        <w:rPr>
          <w:noProof/>
          <w:color w:val="auto"/>
        </w:rPr>
        <w:t>36</w:t>
      </w:r>
      <w:r w:rsidRPr="00A77D12">
        <w:rPr>
          <w:color w:val="auto"/>
        </w:rPr>
        <w:fldChar w:fldCharType="end"/>
      </w:r>
      <w:r w:rsidRPr="00A77D12">
        <w:rPr>
          <w:color w:val="auto"/>
        </w:rPr>
        <w:t xml:space="preserve">.  </w:t>
      </w:r>
      <w:r w:rsidR="005F38A6" w:rsidRPr="00A77D12">
        <w:rPr>
          <w:bCs/>
          <w:color w:val="auto"/>
          <w:lang w:val="es-MX"/>
        </w:rPr>
        <w:t>Amenazas de arbitrajes internacionales de inversión</w:t>
      </w:r>
      <w:bookmarkEnd w:id="713"/>
    </w:p>
    <w:p w14:paraId="28884744" w14:textId="77777777" w:rsidR="005F38A6" w:rsidRPr="00A77D12" w:rsidRDefault="005F38A6" w:rsidP="005F38A6">
      <w:pPr>
        <w:keepNext/>
        <w:widowControl w:val="0"/>
        <w:jc w:val="center"/>
        <w:rPr>
          <w:sz w:val="22"/>
          <w:szCs w:val="22"/>
          <w:lang w:val="es-MX"/>
        </w:rPr>
      </w:pPr>
      <w:r w:rsidRPr="00A77D12">
        <w:rPr>
          <w:sz w:val="22"/>
          <w:szCs w:val="22"/>
          <w:lang w:val="es-MX"/>
        </w:rPr>
        <w:t>(millones de US dólares)</w:t>
      </w:r>
    </w:p>
    <w:tbl>
      <w:tblPr>
        <w:tblW w:w="6742" w:type="dxa"/>
        <w:jc w:val="center"/>
        <w:tblCellMar>
          <w:left w:w="70" w:type="dxa"/>
          <w:right w:w="70" w:type="dxa"/>
        </w:tblCellMar>
        <w:tblLook w:val="04A0" w:firstRow="1" w:lastRow="0" w:firstColumn="1" w:lastColumn="0" w:noHBand="0" w:noVBand="1"/>
      </w:tblPr>
      <w:tblGrid>
        <w:gridCol w:w="5519"/>
        <w:gridCol w:w="1223"/>
      </w:tblGrid>
      <w:tr w:rsidR="005F38A6" w:rsidRPr="00535925" w14:paraId="21483EC9" w14:textId="77777777" w:rsidTr="007A0B9B">
        <w:trPr>
          <w:trHeight w:val="186"/>
          <w:jc w:val="center"/>
        </w:trPr>
        <w:tc>
          <w:tcPr>
            <w:tcW w:w="5519" w:type="dxa"/>
            <w:tcBorders>
              <w:top w:val="single" w:sz="8" w:space="0" w:color="auto"/>
              <w:left w:val="single" w:sz="8" w:space="0" w:color="auto"/>
              <w:bottom w:val="single" w:sz="8" w:space="0" w:color="auto"/>
              <w:right w:val="single" w:sz="4" w:space="0" w:color="auto"/>
            </w:tcBorders>
            <w:shd w:val="clear" w:color="auto" w:fill="8EAADB" w:themeFill="accent1" w:themeFillTint="99"/>
            <w:noWrap/>
            <w:vAlign w:val="center"/>
            <w:hideMark/>
          </w:tcPr>
          <w:p w14:paraId="0F22C74F" w14:textId="77777777" w:rsidR="005F38A6" w:rsidRPr="00A77D12" w:rsidRDefault="005F38A6" w:rsidP="006A7377">
            <w:pPr>
              <w:jc w:val="center"/>
              <w:rPr>
                <w:rFonts w:ascii="Calibri" w:hAnsi="Calibri" w:cs="Calibri"/>
                <w:b/>
                <w:bCs/>
                <w:color w:val="000000"/>
                <w:sz w:val="22"/>
                <w:szCs w:val="22"/>
              </w:rPr>
            </w:pPr>
            <w:r w:rsidRPr="00A77D12">
              <w:rPr>
                <w:rFonts w:ascii="Calibri" w:hAnsi="Calibri" w:cs="Calibri"/>
                <w:b/>
                <w:bCs/>
                <w:color w:val="000000"/>
                <w:sz w:val="22"/>
                <w:szCs w:val="22"/>
              </w:rPr>
              <w:t>Descripción</w:t>
            </w:r>
          </w:p>
        </w:tc>
        <w:tc>
          <w:tcPr>
            <w:tcW w:w="1223" w:type="dxa"/>
            <w:tcBorders>
              <w:top w:val="single" w:sz="8" w:space="0" w:color="auto"/>
              <w:left w:val="nil"/>
              <w:bottom w:val="single" w:sz="8" w:space="0" w:color="auto"/>
              <w:right w:val="single" w:sz="8" w:space="0" w:color="auto"/>
            </w:tcBorders>
            <w:shd w:val="clear" w:color="auto" w:fill="8EAADB" w:themeFill="accent1" w:themeFillTint="99"/>
            <w:noWrap/>
            <w:vAlign w:val="center"/>
            <w:hideMark/>
          </w:tcPr>
          <w:p w14:paraId="4444DFBD" w14:textId="77777777" w:rsidR="005F38A6" w:rsidRPr="00A77D12" w:rsidRDefault="005F38A6" w:rsidP="006A7377">
            <w:pPr>
              <w:jc w:val="center"/>
              <w:rPr>
                <w:rFonts w:ascii="Calibri" w:hAnsi="Calibri" w:cs="Calibri"/>
                <w:b/>
                <w:bCs/>
                <w:color w:val="000000"/>
                <w:sz w:val="22"/>
                <w:szCs w:val="22"/>
              </w:rPr>
            </w:pPr>
            <w:r w:rsidRPr="00A77D12">
              <w:rPr>
                <w:rFonts w:ascii="Calibri" w:hAnsi="Calibri" w:cs="Calibri"/>
                <w:b/>
                <w:bCs/>
                <w:color w:val="000000"/>
                <w:sz w:val="22"/>
                <w:szCs w:val="22"/>
              </w:rPr>
              <w:t>Monto</w:t>
            </w:r>
          </w:p>
        </w:tc>
      </w:tr>
      <w:tr w:rsidR="005F38A6" w:rsidRPr="00535925" w14:paraId="2902128B" w14:textId="77777777" w:rsidTr="007A0B9B">
        <w:trPr>
          <w:trHeight w:val="178"/>
          <w:jc w:val="center"/>
        </w:trPr>
        <w:tc>
          <w:tcPr>
            <w:tcW w:w="5519" w:type="dxa"/>
            <w:tcBorders>
              <w:top w:val="nil"/>
              <w:left w:val="single" w:sz="8" w:space="0" w:color="auto"/>
              <w:bottom w:val="single" w:sz="4" w:space="0" w:color="auto"/>
              <w:right w:val="single" w:sz="4" w:space="0" w:color="auto"/>
            </w:tcBorders>
            <w:shd w:val="clear" w:color="000000" w:fill="FFFFFF"/>
            <w:noWrap/>
            <w:vAlign w:val="bottom"/>
            <w:hideMark/>
          </w:tcPr>
          <w:p w14:paraId="6B9D78C9" w14:textId="77777777" w:rsidR="005F38A6" w:rsidRPr="00A77D12" w:rsidRDefault="005F38A6" w:rsidP="006A7377">
            <w:pPr>
              <w:jc w:val="center"/>
              <w:rPr>
                <w:rFonts w:ascii="Calibri" w:hAnsi="Calibri" w:cs="Calibri"/>
                <w:b/>
                <w:bCs/>
                <w:color w:val="000000"/>
                <w:sz w:val="22"/>
                <w:szCs w:val="22"/>
              </w:rPr>
            </w:pPr>
            <w:r w:rsidRPr="00A77D12">
              <w:rPr>
                <w:rFonts w:ascii="Calibri" w:hAnsi="Calibri" w:cs="Calibri"/>
                <w:b/>
                <w:bCs/>
                <w:color w:val="000000"/>
                <w:sz w:val="22"/>
                <w:szCs w:val="22"/>
              </w:rPr>
              <w:t>Total</w:t>
            </w:r>
          </w:p>
        </w:tc>
        <w:tc>
          <w:tcPr>
            <w:tcW w:w="1223" w:type="dxa"/>
            <w:tcBorders>
              <w:top w:val="nil"/>
              <w:left w:val="nil"/>
              <w:bottom w:val="single" w:sz="4" w:space="0" w:color="auto"/>
              <w:right w:val="single" w:sz="8" w:space="0" w:color="auto"/>
            </w:tcBorders>
            <w:shd w:val="clear" w:color="000000" w:fill="FFFFFF"/>
            <w:noWrap/>
            <w:vAlign w:val="bottom"/>
            <w:hideMark/>
          </w:tcPr>
          <w:p w14:paraId="132FBA12" w14:textId="77777777" w:rsidR="005F38A6" w:rsidRPr="00A77D12" w:rsidRDefault="005F38A6" w:rsidP="006A7377">
            <w:pPr>
              <w:jc w:val="center"/>
              <w:rPr>
                <w:b/>
                <w:bCs/>
                <w:color w:val="000000"/>
                <w:sz w:val="22"/>
                <w:szCs w:val="22"/>
              </w:rPr>
            </w:pPr>
            <w:r w:rsidRPr="00A77D12">
              <w:rPr>
                <w:b/>
                <w:bCs/>
                <w:color w:val="000000"/>
                <w:sz w:val="22"/>
                <w:szCs w:val="22"/>
              </w:rPr>
              <w:t>587.0</w:t>
            </w:r>
          </w:p>
        </w:tc>
      </w:tr>
      <w:tr w:rsidR="005F38A6" w:rsidRPr="002B331B" w14:paraId="57CD1B75" w14:textId="77777777" w:rsidTr="007A0B9B">
        <w:trPr>
          <w:trHeight w:val="303"/>
          <w:jc w:val="center"/>
        </w:trPr>
        <w:tc>
          <w:tcPr>
            <w:tcW w:w="5519" w:type="dxa"/>
            <w:tcBorders>
              <w:top w:val="nil"/>
              <w:left w:val="single" w:sz="8" w:space="0" w:color="auto"/>
              <w:bottom w:val="single" w:sz="4" w:space="0" w:color="auto"/>
              <w:right w:val="single" w:sz="4" w:space="0" w:color="auto"/>
            </w:tcBorders>
            <w:shd w:val="clear" w:color="000000" w:fill="FFFFFF"/>
            <w:vAlign w:val="center"/>
          </w:tcPr>
          <w:p w14:paraId="4F8E1558" w14:textId="77777777" w:rsidR="005F38A6" w:rsidRPr="00A77D12" w:rsidRDefault="005F38A6" w:rsidP="006A7377">
            <w:pPr>
              <w:rPr>
                <w:color w:val="000000"/>
                <w:sz w:val="22"/>
                <w:szCs w:val="22"/>
                <w:lang w:val="en-US"/>
              </w:rPr>
            </w:pPr>
            <w:proofErr w:type="spellStart"/>
            <w:r w:rsidRPr="00A77D12">
              <w:rPr>
                <w:color w:val="000000"/>
                <w:sz w:val="22"/>
                <w:szCs w:val="22"/>
                <w:lang w:val="en-US"/>
              </w:rPr>
              <w:t>Grup</w:t>
            </w:r>
            <w:proofErr w:type="spellEnd"/>
            <w:r w:rsidRPr="00A77D12">
              <w:rPr>
                <w:color w:val="000000"/>
                <w:sz w:val="22"/>
                <w:szCs w:val="22"/>
                <w:lang w:val="en-US"/>
              </w:rPr>
              <w:t xml:space="preserve"> </w:t>
            </w:r>
            <w:proofErr w:type="spellStart"/>
            <w:r w:rsidRPr="00A77D12">
              <w:rPr>
                <w:color w:val="000000"/>
                <w:sz w:val="22"/>
                <w:szCs w:val="22"/>
                <w:lang w:val="en-US"/>
              </w:rPr>
              <w:t>Maritim</w:t>
            </w:r>
            <w:proofErr w:type="spellEnd"/>
            <w:r w:rsidRPr="00A77D12">
              <w:rPr>
                <w:color w:val="000000"/>
                <w:sz w:val="22"/>
                <w:szCs w:val="22"/>
                <w:lang w:val="en-US"/>
              </w:rPr>
              <w:t xml:space="preserve"> TCB S.L (APM Terminals-TCQ)</w:t>
            </w:r>
          </w:p>
        </w:tc>
        <w:tc>
          <w:tcPr>
            <w:tcW w:w="1223" w:type="dxa"/>
            <w:tcBorders>
              <w:top w:val="nil"/>
              <w:left w:val="nil"/>
              <w:bottom w:val="single" w:sz="4" w:space="0" w:color="auto"/>
              <w:right w:val="single" w:sz="8" w:space="0" w:color="auto"/>
            </w:tcBorders>
            <w:shd w:val="clear" w:color="000000" w:fill="FFFFFF"/>
            <w:noWrap/>
            <w:vAlign w:val="center"/>
          </w:tcPr>
          <w:p w14:paraId="18D5A950" w14:textId="77777777" w:rsidR="005F38A6" w:rsidRPr="00A77D12" w:rsidRDefault="005F38A6" w:rsidP="006A7377">
            <w:pPr>
              <w:jc w:val="center"/>
              <w:rPr>
                <w:color w:val="000000"/>
                <w:sz w:val="22"/>
                <w:szCs w:val="22"/>
                <w:lang w:val="en-US"/>
              </w:rPr>
            </w:pPr>
            <w:r w:rsidRPr="00A77D12">
              <w:rPr>
                <w:color w:val="000000"/>
                <w:sz w:val="22"/>
                <w:szCs w:val="22"/>
                <w:lang w:val="en-US"/>
              </w:rPr>
              <w:t>N/A</w:t>
            </w:r>
          </w:p>
        </w:tc>
      </w:tr>
      <w:tr w:rsidR="005F38A6" w:rsidRPr="002B331B" w14:paraId="034D3751" w14:textId="77777777" w:rsidTr="007A0B9B">
        <w:trPr>
          <w:trHeight w:val="280"/>
          <w:jc w:val="center"/>
        </w:trPr>
        <w:tc>
          <w:tcPr>
            <w:tcW w:w="5519" w:type="dxa"/>
            <w:tcBorders>
              <w:top w:val="nil"/>
              <w:left w:val="single" w:sz="8" w:space="0" w:color="auto"/>
              <w:bottom w:val="single" w:sz="4" w:space="0" w:color="auto"/>
              <w:right w:val="single" w:sz="4" w:space="0" w:color="auto"/>
            </w:tcBorders>
            <w:shd w:val="clear" w:color="000000" w:fill="FFFFFF"/>
            <w:vAlign w:val="center"/>
          </w:tcPr>
          <w:p w14:paraId="72A33696" w14:textId="77777777" w:rsidR="005F38A6" w:rsidRPr="00A77D12" w:rsidRDefault="005F38A6" w:rsidP="006A7377">
            <w:pPr>
              <w:rPr>
                <w:color w:val="000000"/>
                <w:sz w:val="22"/>
                <w:szCs w:val="22"/>
              </w:rPr>
            </w:pPr>
            <w:r w:rsidRPr="00A77D12">
              <w:rPr>
                <w:color w:val="000000"/>
                <w:sz w:val="22"/>
                <w:szCs w:val="22"/>
              </w:rPr>
              <w:t xml:space="preserve">Estrella </w:t>
            </w:r>
            <w:proofErr w:type="spellStart"/>
            <w:r w:rsidRPr="00A77D12">
              <w:rPr>
                <w:color w:val="000000"/>
                <w:sz w:val="22"/>
                <w:szCs w:val="22"/>
              </w:rPr>
              <w:t>Cooperatief</w:t>
            </w:r>
            <w:proofErr w:type="spellEnd"/>
            <w:r w:rsidRPr="00A77D12">
              <w:rPr>
                <w:color w:val="000000"/>
                <w:sz w:val="22"/>
                <w:szCs w:val="22"/>
              </w:rPr>
              <w:t xml:space="preserve"> B.A., </w:t>
            </w:r>
            <w:proofErr w:type="spellStart"/>
            <w:r w:rsidRPr="00A77D12">
              <w:rPr>
                <w:color w:val="000000"/>
                <w:sz w:val="22"/>
                <w:szCs w:val="22"/>
              </w:rPr>
              <w:t>Deocsa</w:t>
            </w:r>
            <w:proofErr w:type="spellEnd"/>
            <w:r w:rsidRPr="00A77D12">
              <w:rPr>
                <w:color w:val="000000"/>
                <w:sz w:val="22"/>
                <w:szCs w:val="22"/>
              </w:rPr>
              <w:t xml:space="preserve"> B.V. y </w:t>
            </w:r>
            <w:proofErr w:type="spellStart"/>
            <w:r w:rsidRPr="00A77D12">
              <w:rPr>
                <w:color w:val="000000"/>
                <w:sz w:val="22"/>
                <w:szCs w:val="22"/>
              </w:rPr>
              <w:t>Deorsa</w:t>
            </w:r>
            <w:proofErr w:type="spellEnd"/>
            <w:r w:rsidRPr="00A77D12">
              <w:rPr>
                <w:color w:val="000000"/>
                <w:sz w:val="22"/>
                <w:szCs w:val="22"/>
              </w:rPr>
              <w:t xml:space="preserve"> B.V.</w:t>
            </w:r>
          </w:p>
        </w:tc>
        <w:tc>
          <w:tcPr>
            <w:tcW w:w="1223" w:type="dxa"/>
            <w:tcBorders>
              <w:top w:val="nil"/>
              <w:left w:val="nil"/>
              <w:bottom w:val="single" w:sz="4" w:space="0" w:color="auto"/>
              <w:right w:val="single" w:sz="8" w:space="0" w:color="auto"/>
            </w:tcBorders>
            <w:shd w:val="clear" w:color="000000" w:fill="FFFFFF"/>
            <w:vAlign w:val="center"/>
          </w:tcPr>
          <w:p w14:paraId="7A720596" w14:textId="77777777" w:rsidR="005F38A6" w:rsidRPr="00A77D12" w:rsidRDefault="005F38A6" w:rsidP="006A7377">
            <w:pPr>
              <w:jc w:val="center"/>
              <w:rPr>
                <w:color w:val="000000"/>
                <w:sz w:val="22"/>
                <w:szCs w:val="22"/>
              </w:rPr>
            </w:pPr>
            <w:r w:rsidRPr="00A77D12">
              <w:rPr>
                <w:color w:val="000000"/>
                <w:sz w:val="22"/>
                <w:szCs w:val="22"/>
              </w:rPr>
              <w:t>N/A</w:t>
            </w:r>
          </w:p>
        </w:tc>
      </w:tr>
      <w:tr w:rsidR="005F38A6" w:rsidRPr="002B331B" w14:paraId="72BA0FD1" w14:textId="77777777" w:rsidTr="007A0B9B">
        <w:trPr>
          <w:trHeight w:val="272"/>
          <w:jc w:val="center"/>
        </w:trPr>
        <w:tc>
          <w:tcPr>
            <w:tcW w:w="5519" w:type="dxa"/>
            <w:tcBorders>
              <w:top w:val="nil"/>
              <w:left w:val="single" w:sz="8" w:space="0" w:color="auto"/>
              <w:bottom w:val="single" w:sz="4" w:space="0" w:color="auto"/>
              <w:right w:val="single" w:sz="4" w:space="0" w:color="auto"/>
            </w:tcBorders>
            <w:shd w:val="clear" w:color="000000" w:fill="FFFFFF"/>
            <w:vAlign w:val="center"/>
          </w:tcPr>
          <w:p w14:paraId="444FE096" w14:textId="77777777" w:rsidR="005F38A6" w:rsidRPr="00A77D12" w:rsidRDefault="005F38A6" w:rsidP="006A7377">
            <w:pPr>
              <w:rPr>
                <w:color w:val="000000"/>
                <w:sz w:val="22"/>
                <w:szCs w:val="22"/>
              </w:rPr>
            </w:pPr>
            <w:r w:rsidRPr="00A77D12">
              <w:rPr>
                <w:color w:val="000000"/>
                <w:sz w:val="22"/>
                <w:szCs w:val="22"/>
              </w:rPr>
              <w:t xml:space="preserve">Ventana </w:t>
            </w:r>
            <w:proofErr w:type="spellStart"/>
            <w:r w:rsidRPr="00A77D12">
              <w:rPr>
                <w:color w:val="000000"/>
                <w:sz w:val="22"/>
                <w:szCs w:val="22"/>
              </w:rPr>
              <w:t>Mining</w:t>
            </w:r>
            <w:proofErr w:type="spellEnd"/>
            <w:r w:rsidRPr="00A77D12">
              <w:rPr>
                <w:color w:val="000000"/>
                <w:sz w:val="22"/>
                <w:szCs w:val="22"/>
              </w:rPr>
              <w:t xml:space="preserve"> Company</w:t>
            </w:r>
          </w:p>
        </w:tc>
        <w:tc>
          <w:tcPr>
            <w:tcW w:w="1223" w:type="dxa"/>
            <w:tcBorders>
              <w:top w:val="nil"/>
              <w:left w:val="nil"/>
              <w:bottom w:val="single" w:sz="4" w:space="0" w:color="auto"/>
              <w:right w:val="single" w:sz="8" w:space="0" w:color="auto"/>
            </w:tcBorders>
            <w:shd w:val="clear" w:color="000000" w:fill="FFFFFF"/>
            <w:vAlign w:val="center"/>
          </w:tcPr>
          <w:p w14:paraId="4767C33F" w14:textId="77777777" w:rsidR="005F38A6" w:rsidRPr="00A77D12" w:rsidRDefault="005F38A6" w:rsidP="006A7377">
            <w:pPr>
              <w:jc w:val="center"/>
              <w:rPr>
                <w:color w:val="000000"/>
                <w:sz w:val="22"/>
                <w:szCs w:val="22"/>
              </w:rPr>
            </w:pPr>
            <w:r w:rsidRPr="00A77D12">
              <w:rPr>
                <w:color w:val="000000"/>
                <w:sz w:val="22"/>
                <w:szCs w:val="22"/>
              </w:rPr>
              <w:t>527.0</w:t>
            </w:r>
          </w:p>
        </w:tc>
      </w:tr>
      <w:tr w:rsidR="005F38A6" w:rsidRPr="002B331B" w14:paraId="6E3B33A4" w14:textId="77777777" w:rsidTr="007A0B9B">
        <w:trPr>
          <w:trHeight w:val="276"/>
          <w:jc w:val="center"/>
        </w:trPr>
        <w:tc>
          <w:tcPr>
            <w:tcW w:w="5519" w:type="dxa"/>
            <w:tcBorders>
              <w:top w:val="nil"/>
              <w:left w:val="single" w:sz="8" w:space="0" w:color="auto"/>
              <w:bottom w:val="single" w:sz="8" w:space="0" w:color="auto"/>
              <w:right w:val="single" w:sz="4" w:space="0" w:color="auto"/>
            </w:tcBorders>
            <w:shd w:val="clear" w:color="000000" w:fill="FFFFFF"/>
            <w:vAlign w:val="center"/>
          </w:tcPr>
          <w:p w14:paraId="66FDAD26" w14:textId="77777777" w:rsidR="005F38A6" w:rsidRPr="00A77D12" w:rsidRDefault="005F38A6" w:rsidP="006A7377">
            <w:pPr>
              <w:rPr>
                <w:color w:val="000000"/>
                <w:sz w:val="22"/>
                <w:szCs w:val="22"/>
              </w:rPr>
            </w:pPr>
            <w:r w:rsidRPr="00A77D12">
              <w:rPr>
                <w:color w:val="000000"/>
                <w:sz w:val="22"/>
                <w:szCs w:val="22"/>
              </w:rPr>
              <w:t xml:space="preserve">NIPRO Medical </w:t>
            </w:r>
            <w:proofErr w:type="spellStart"/>
            <w:r w:rsidRPr="00A77D12">
              <w:rPr>
                <w:color w:val="000000"/>
                <w:sz w:val="22"/>
                <w:szCs w:val="22"/>
              </w:rPr>
              <w:t>Corporation</w:t>
            </w:r>
            <w:proofErr w:type="spellEnd"/>
          </w:p>
        </w:tc>
        <w:tc>
          <w:tcPr>
            <w:tcW w:w="1223" w:type="dxa"/>
            <w:tcBorders>
              <w:top w:val="nil"/>
              <w:left w:val="nil"/>
              <w:bottom w:val="single" w:sz="8" w:space="0" w:color="auto"/>
              <w:right w:val="single" w:sz="8" w:space="0" w:color="auto"/>
            </w:tcBorders>
            <w:shd w:val="clear" w:color="000000" w:fill="FFFFFF"/>
            <w:vAlign w:val="center"/>
          </w:tcPr>
          <w:p w14:paraId="2CE87E1F" w14:textId="77777777" w:rsidR="005F38A6" w:rsidRPr="00A77D12" w:rsidRDefault="005F38A6" w:rsidP="006A7377">
            <w:pPr>
              <w:jc w:val="center"/>
              <w:rPr>
                <w:color w:val="000000"/>
                <w:sz w:val="22"/>
                <w:szCs w:val="22"/>
              </w:rPr>
            </w:pPr>
            <w:r w:rsidRPr="00A77D12">
              <w:rPr>
                <w:color w:val="000000"/>
                <w:sz w:val="22"/>
                <w:szCs w:val="22"/>
              </w:rPr>
              <w:t>60.0</w:t>
            </w:r>
          </w:p>
        </w:tc>
      </w:tr>
    </w:tbl>
    <w:p w14:paraId="7039063F" w14:textId="64F534D3" w:rsidR="005F38A6" w:rsidRDefault="00A77D12" w:rsidP="005F38A6">
      <w:pPr>
        <w:ind w:left="567"/>
        <w:jc w:val="both"/>
        <w:rPr>
          <w:bCs/>
          <w:sz w:val="16"/>
          <w:lang w:val="es-ES"/>
        </w:rPr>
      </w:pPr>
      <w:r>
        <w:rPr>
          <w:bCs/>
          <w:sz w:val="16"/>
          <w:lang w:val="es-ES"/>
        </w:rPr>
        <w:t xml:space="preserve">              </w:t>
      </w:r>
      <w:r w:rsidR="005F38A6" w:rsidRPr="00535925">
        <w:rPr>
          <w:bCs/>
          <w:sz w:val="16"/>
          <w:lang w:val="es-ES"/>
        </w:rPr>
        <w:t>Fuente</w:t>
      </w:r>
      <w:bookmarkStart w:id="714" w:name="_Hlk138251031"/>
      <w:r w:rsidR="005F38A6" w:rsidRPr="00535925">
        <w:rPr>
          <w:bCs/>
          <w:sz w:val="16"/>
          <w:lang w:val="es-ES"/>
        </w:rPr>
        <w:t>: Procuraduría General de la Nación.</w:t>
      </w:r>
      <w:bookmarkEnd w:id="714"/>
    </w:p>
    <w:p w14:paraId="317620C0" w14:textId="77777777" w:rsidR="00A77D12" w:rsidRDefault="00A77D12" w:rsidP="005F38A6">
      <w:pPr>
        <w:widowControl w:val="0"/>
        <w:jc w:val="both"/>
      </w:pPr>
    </w:p>
    <w:p w14:paraId="774DC5CE" w14:textId="3B406BD8" w:rsidR="005F38A6" w:rsidRPr="00535925" w:rsidRDefault="005F38A6" w:rsidP="005F38A6">
      <w:pPr>
        <w:widowControl w:val="0"/>
        <w:jc w:val="both"/>
      </w:pPr>
      <w:r>
        <w:lastRenderedPageBreak/>
        <w:t>Adicionalmente, la</w:t>
      </w:r>
      <w:r w:rsidRPr="004F45ED">
        <w:t xml:space="preserve"> Procuraduría General de la Nación</w:t>
      </w:r>
      <w:r>
        <w:t xml:space="preserve"> informó que existe un proceso en jurisdicción estadounidense en contra de Guatemala, encontrándose en la Corte del Distrito de Columbia de los Estados Unidos de América, representando un pasivo contingente de Q248.7 millones (aproximadamente US$31.9 millones), relacionado a Sigma Constructores, S.A.</w:t>
      </w:r>
    </w:p>
    <w:p w14:paraId="640E6601" w14:textId="77777777" w:rsidR="0038655C" w:rsidRDefault="0038655C" w:rsidP="005F38A6">
      <w:pPr>
        <w:widowControl w:val="0"/>
        <w:jc w:val="both"/>
      </w:pPr>
    </w:p>
    <w:p w14:paraId="0F25DAF9" w14:textId="05BDF937" w:rsidR="005F38A6" w:rsidRPr="00535925" w:rsidRDefault="005F38A6" w:rsidP="005F38A6">
      <w:pPr>
        <w:widowControl w:val="0"/>
        <w:jc w:val="both"/>
      </w:pPr>
      <w:r w:rsidRPr="00535925">
        <w:t xml:space="preserve">Derivado de lo anterior, las erogaciones que el Estado de Guatemala ha realizado por intermedio del Ministerio de Economía en concepto de arbitrajes internacionales Inversionista-Estado, incluyen los montos que se han pagado al CIADI y a la CPA por la administración de los arbitrajes, pago de abogados internacionales que han litigado los casos respectivos, pago de peritos, testigos, entre otros. Estos datos son referenciales, obtenidos del SICOIN.  Dichos gastos muestran un comportamiento que es bastante fluctuante que depende de las resoluciones de los tribunales de arbitraje y de los resultados que se obtienen por parte de los abogados y peritos respectivos.  </w:t>
      </w:r>
    </w:p>
    <w:p w14:paraId="7CD8E54D" w14:textId="77777777" w:rsidR="00A23951" w:rsidRPr="00535925" w:rsidRDefault="00A23951" w:rsidP="00A77D12">
      <w:pPr>
        <w:jc w:val="both"/>
        <w:rPr>
          <w:b/>
          <w:u w:val="single"/>
          <w:lang w:val="es-ES"/>
        </w:rPr>
      </w:pPr>
    </w:p>
    <w:p w14:paraId="63E5759A" w14:textId="33AC966E" w:rsidR="005F38A6" w:rsidRPr="00A77D12" w:rsidRDefault="00A77D12" w:rsidP="00A77D12">
      <w:pPr>
        <w:pStyle w:val="Descripcin"/>
        <w:rPr>
          <w:b w:val="0"/>
          <w:color w:val="auto"/>
        </w:rPr>
      </w:pPr>
      <w:bookmarkStart w:id="715" w:name="_Toc143593641"/>
      <w:r w:rsidRPr="00A77D12">
        <w:rPr>
          <w:color w:val="auto"/>
        </w:rPr>
        <w:t xml:space="preserve">Gráfico </w:t>
      </w:r>
      <w:r w:rsidRPr="00A77D12">
        <w:rPr>
          <w:color w:val="auto"/>
        </w:rPr>
        <w:fldChar w:fldCharType="begin"/>
      </w:r>
      <w:r w:rsidRPr="00A77D12">
        <w:rPr>
          <w:color w:val="auto"/>
        </w:rPr>
        <w:instrText xml:space="preserve"> SEQ Gráfico \* ARABIC </w:instrText>
      </w:r>
      <w:r w:rsidRPr="00A77D12">
        <w:rPr>
          <w:color w:val="auto"/>
        </w:rPr>
        <w:fldChar w:fldCharType="separate"/>
      </w:r>
      <w:r w:rsidR="00A62AFA">
        <w:rPr>
          <w:noProof/>
          <w:color w:val="auto"/>
        </w:rPr>
        <w:t>83</w:t>
      </w:r>
      <w:r w:rsidRPr="00A77D12">
        <w:rPr>
          <w:color w:val="auto"/>
        </w:rPr>
        <w:fldChar w:fldCharType="end"/>
      </w:r>
      <w:r w:rsidRPr="00A77D12">
        <w:rPr>
          <w:color w:val="auto"/>
        </w:rPr>
        <w:t>.  Gastos del Ministerio de Economía en temas de controversias</w:t>
      </w:r>
      <w:bookmarkEnd w:id="715"/>
    </w:p>
    <w:p w14:paraId="74DD6FD5" w14:textId="77777777" w:rsidR="005F38A6" w:rsidRPr="00A77D12" w:rsidRDefault="005F38A6" w:rsidP="005F38A6">
      <w:pPr>
        <w:ind w:left="567"/>
        <w:jc w:val="center"/>
        <w:rPr>
          <w:sz w:val="22"/>
          <w:szCs w:val="22"/>
          <w:lang w:val="es-ES"/>
        </w:rPr>
      </w:pPr>
      <w:r w:rsidRPr="00A77D12">
        <w:rPr>
          <w:sz w:val="22"/>
          <w:szCs w:val="22"/>
          <w:lang w:val="es-ES"/>
        </w:rPr>
        <w:t>2009-2022</w:t>
      </w:r>
    </w:p>
    <w:p w14:paraId="6E1824E1" w14:textId="77777777" w:rsidR="005F38A6" w:rsidRPr="00A77D12" w:rsidRDefault="005F38A6" w:rsidP="005F38A6">
      <w:pPr>
        <w:ind w:left="567"/>
        <w:jc w:val="center"/>
        <w:rPr>
          <w:sz w:val="22"/>
          <w:szCs w:val="22"/>
          <w:lang w:val="es-ES"/>
        </w:rPr>
      </w:pPr>
      <w:r w:rsidRPr="00A77D12">
        <w:rPr>
          <w:bCs/>
          <w:noProof/>
          <w:sz w:val="22"/>
          <w:szCs w:val="22"/>
          <w:lang w:val="es-ES"/>
        </w:rPr>
        <w:drawing>
          <wp:anchor distT="0" distB="0" distL="114300" distR="114300" simplePos="0" relativeHeight="251663360" behindDoc="0" locked="0" layoutInCell="1" allowOverlap="1" wp14:anchorId="2363AA36" wp14:editId="721E085D">
            <wp:simplePos x="0" y="0"/>
            <wp:positionH relativeFrom="column">
              <wp:posOffset>96520</wp:posOffset>
            </wp:positionH>
            <wp:positionV relativeFrom="paragraph">
              <wp:posOffset>165735</wp:posOffset>
            </wp:positionV>
            <wp:extent cx="5514975" cy="1709420"/>
            <wp:effectExtent l="0" t="0" r="0" b="5080"/>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14:sizeRelH relativeFrom="page">
              <wp14:pctWidth>0</wp14:pctWidth>
            </wp14:sizeRelH>
            <wp14:sizeRelV relativeFrom="page">
              <wp14:pctHeight>0</wp14:pctHeight>
            </wp14:sizeRelV>
          </wp:anchor>
        </w:drawing>
      </w:r>
      <w:r w:rsidRPr="00A77D12">
        <w:rPr>
          <w:sz w:val="22"/>
          <w:szCs w:val="22"/>
          <w:lang w:val="es-ES"/>
        </w:rPr>
        <w:t>Millones de quetzales</w:t>
      </w:r>
    </w:p>
    <w:p w14:paraId="2F4BB829" w14:textId="77777777" w:rsidR="005F38A6" w:rsidRPr="00535925" w:rsidRDefault="005F38A6" w:rsidP="005F38A6">
      <w:pPr>
        <w:ind w:left="567"/>
        <w:rPr>
          <w:sz w:val="16"/>
          <w:lang w:val="es-ES"/>
        </w:rPr>
      </w:pPr>
      <w:r w:rsidRPr="00535925">
        <w:rPr>
          <w:sz w:val="16"/>
          <w:lang w:val="es-ES"/>
        </w:rPr>
        <w:t xml:space="preserve">                Fuente: </w:t>
      </w:r>
      <w:proofErr w:type="spellStart"/>
      <w:r w:rsidRPr="00535925">
        <w:rPr>
          <w:sz w:val="16"/>
          <w:lang w:val="es-ES"/>
        </w:rPr>
        <w:t>Sicoin</w:t>
      </w:r>
      <w:proofErr w:type="spellEnd"/>
      <w:r w:rsidRPr="00535925">
        <w:rPr>
          <w:sz w:val="16"/>
          <w:lang w:val="es-ES"/>
        </w:rPr>
        <w:t>.</w:t>
      </w:r>
    </w:p>
    <w:p w14:paraId="06E4D072" w14:textId="77777777" w:rsidR="005F38A6" w:rsidRPr="00535925" w:rsidRDefault="005F38A6" w:rsidP="005F38A6">
      <w:pPr>
        <w:widowControl w:val="0"/>
        <w:ind w:left="567"/>
        <w:jc w:val="both"/>
        <w:rPr>
          <w:bCs/>
        </w:rPr>
      </w:pPr>
    </w:p>
    <w:p w14:paraId="131D46D6" w14:textId="77777777" w:rsidR="005F38A6" w:rsidRPr="00535925" w:rsidRDefault="005F38A6" w:rsidP="005F38A6">
      <w:pPr>
        <w:widowControl w:val="0"/>
        <w:jc w:val="both"/>
      </w:pPr>
      <w:r w:rsidRPr="00535925">
        <w:t xml:space="preserve">Es importante indicar que la adecuada conducción de estos casos de arbitraje internacional y la ejecución de las sentencias mediante embargos de bienes del Estado en el exterior tiene un efecto sobre la percepción de riesgo en los diferentes agentes económicos, en el caso de los inversionistas internacionales y locales puede afectar la negociación de Bonos del Tesoro en el mercado doméstico y en el mercado internacional de capitales ya que puede incidir en una disminución en la demanda de dichos títulos en el mercado o en el encarecimiento de estos.   </w:t>
      </w:r>
    </w:p>
    <w:p w14:paraId="653333AA" w14:textId="77777777" w:rsidR="005F38A6" w:rsidRPr="00535925" w:rsidRDefault="005F38A6" w:rsidP="005F38A6">
      <w:pPr>
        <w:widowControl w:val="0"/>
        <w:ind w:left="567"/>
        <w:jc w:val="both"/>
        <w:rPr>
          <w:rFonts w:eastAsia="OptimaLTStd"/>
          <w:color w:val="FF0000"/>
        </w:rPr>
      </w:pPr>
    </w:p>
    <w:p w14:paraId="7851FC3D" w14:textId="77777777" w:rsidR="005F38A6" w:rsidRPr="00096829" w:rsidRDefault="005F38A6" w:rsidP="007F19DF">
      <w:pPr>
        <w:pStyle w:val="Ttulo2"/>
        <w:numPr>
          <w:ilvl w:val="1"/>
          <w:numId w:val="35"/>
        </w:numPr>
        <w:ind w:left="426" w:hanging="284"/>
        <w:rPr>
          <w:bCs/>
        </w:rPr>
      </w:pPr>
      <w:bookmarkStart w:id="716" w:name="_Toc81305685"/>
      <w:bookmarkStart w:id="717" w:name="_Toc114495292"/>
      <w:bookmarkStart w:id="718" w:name="_Toc144114431"/>
      <w:r w:rsidRPr="00096829">
        <w:rPr>
          <w:bCs/>
        </w:rPr>
        <w:t>Cuantificación del pasivo contingente por demandas judiciales</w:t>
      </w:r>
      <w:bookmarkEnd w:id="716"/>
      <w:bookmarkEnd w:id="717"/>
      <w:bookmarkEnd w:id="718"/>
    </w:p>
    <w:p w14:paraId="7C46972F" w14:textId="77777777" w:rsidR="005F38A6" w:rsidRPr="00535925" w:rsidRDefault="005F38A6" w:rsidP="005F38A6">
      <w:pPr>
        <w:widowControl w:val="0"/>
        <w:ind w:left="567"/>
        <w:jc w:val="both"/>
        <w:rPr>
          <w:rFonts w:eastAsia="OptimaLTStd"/>
          <w:color w:val="FF0000"/>
        </w:rPr>
      </w:pPr>
    </w:p>
    <w:p w14:paraId="501E5B0C" w14:textId="51432533" w:rsidR="005F38A6" w:rsidRPr="00535925" w:rsidRDefault="005F38A6" w:rsidP="005F38A6">
      <w:pPr>
        <w:widowControl w:val="0"/>
        <w:jc w:val="both"/>
      </w:pPr>
      <w:r w:rsidRPr="00535925">
        <w:t xml:space="preserve">Con base en la información proporcionada por la Procuraduría General de la Nación, se detalla los diferentes procesos derivados de demandas judiciales contra el Estado de Guatemala, los cuales se dividen en 2 grupos, los procesos que se llevan en cortes nacionales y los que se resuelven en cortes internacionales. Los procesos que se llevan en cortes nacionales se dividen en 3 tipos de procesos: Penales, Laborales y en Materia Civil, en los 3 procesos se reportan en conjunto </w:t>
      </w:r>
      <w:r>
        <w:t>11</w:t>
      </w:r>
      <w:r w:rsidRPr="00535925">
        <w:t>,</w:t>
      </w:r>
      <w:r>
        <w:t>470</w:t>
      </w:r>
      <w:r w:rsidRPr="00535925">
        <w:t xml:space="preserve"> casos, representando una demanda potencial de Q</w:t>
      </w:r>
      <w:r>
        <w:t>4</w:t>
      </w:r>
      <w:r w:rsidRPr="00535925">
        <w:t>,</w:t>
      </w:r>
      <w:r>
        <w:t>571</w:t>
      </w:r>
      <w:r w:rsidRPr="00535925">
        <w:t>.</w:t>
      </w:r>
      <w:r>
        <w:t>7</w:t>
      </w:r>
      <w:r w:rsidRPr="00535925">
        <w:t xml:space="preserve"> millones, destacando en este caso los procesos civiles asociados principalmente a juicios económico coactivo que suman Q</w:t>
      </w:r>
      <w:r>
        <w:t>3</w:t>
      </w:r>
      <w:r w:rsidRPr="00535925">
        <w:t>,</w:t>
      </w:r>
      <w:r>
        <w:t>642</w:t>
      </w:r>
      <w:r w:rsidRPr="00535925">
        <w:t>.</w:t>
      </w:r>
      <w:r>
        <w:t>4</w:t>
      </w:r>
      <w:r w:rsidRPr="00535925">
        <w:t xml:space="preserve"> millones. En arbitrajes nacionales, los </w:t>
      </w:r>
      <w:r w:rsidRPr="00535925">
        <w:lastRenderedPageBreak/>
        <w:t>cuales son motivados por algún tipo de incumplimiento en contratos de entes o empresas mercantiles con el Estado de Guatemala (Q6</w:t>
      </w:r>
      <w:r>
        <w:t>16</w:t>
      </w:r>
      <w:r w:rsidRPr="00535925">
        <w:t>.</w:t>
      </w:r>
      <w:r>
        <w:t>3</w:t>
      </w:r>
      <w:r w:rsidRPr="00535925">
        <w:t xml:space="preserve"> millones), Ejecutivo y sentencia que es derivado de sentencias propiamente dichas o algún tipo de título ejecutivo que particulares, entes o empresas mercantiles ejecutaron en contra del Estado (Q</w:t>
      </w:r>
      <w:r>
        <w:t>1</w:t>
      </w:r>
      <w:r w:rsidRPr="00535925">
        <w:t>9</w:t>
      </w:r>
      <w:r>
        <w:t>2.4</w:t>
      </w:r>
      <w:r w:rsidRPr="00535925">
        <w:t xml:space="preserve"> millones) y juicios ordinarios o sumarios que se derivan de contratos firmados por el Estado en los que ha sido demandado por entidades o entes mercantiles (Q</w:t>
      </w:r>
      <w:r>
        <w:t>120</w:t>
      </w:r>
      <w:r w:rsidRPr="00535925">
        <w:t>.</w:t>
      </w:r>
      <w:r>
        <w:t>6</w:t>
      </w:r>
      <w:r w:rsidRPr="00535925">
        <w:t xml:space="preserve"> millones). </w:t>
      </w:r>
      <w:r w:rsidR="007A0B9B">
        <w:t xml:space="preserve"> </w:t>
      </w:r>
      <w:r w:rsidRPr="00535925">
        <w:t>Asimismo, es importante indicar que los procesos laborales son los que más casos tienen pendientes de resolución, algunos se remontan a</w:t>
      </w:r>
      <w:r>
        <w:t xml:space="preserve"> </w:t>
      </w:r>
      <w:r w:rsidRPr="00535925">
        <w:t>año</w:t>
      </w:r>
      <w:r>
        <w:t>s pasados</w:t>
      </w:r>
      <w:r w:rsidRPr="00535925">
        <w:t xml:space="preserve">. A la fecha se han acumulado </w:t>
      </w:r>
      <w:r>
        <w:t>11,247</w:t>
      </w:r>
      <w:r w:rsidRPr="00535925">
        <w:t xml:space="preserve"> casos, en lo que respecta a los montos económicos no es posible estimarlo, dado que este es determinado mediante la emisión de autos judiciales, los cuales deben causar firmeza y ser debidamente notificados y tramitados en la fase ejecutiva de cada proceso, por lo que hasta en ese momento se conoce el pago que debe realizar el Estado de Guatemala.  Los procesos que se resuelven en cortes internacionales muestran un total de </w:t>
      </w:r>
      <w:r>
        <w:t>21</w:t>
      </w:r>
      <w:r w:rsidRPr="00535925">
        <w:t>0 casos activos por el equivalente a Q</w:t>
      </w:r>
      <w:r>
        <w:t>8</w:t>
      </w:r>
      <w:r w:rsidRPr="00535925">
        <w:t>,</w:t>
      </w:r>
      <w:r>
        <w:t>488.3</w:t>
      </w:r>
      <w:r w:rsidRPr="00535925">
        <w:t xml:space="preserve"> millones, dicho monto corresponde en su totalidad a arbitrajes de inversión, por un estimado de demanda de US$</w:t>
      </w:r>
      <w:r>
        <w:t>1,081</w:t>
      </w:r>
      <w:r w:rsidRPr="00535925">
        <w:t>.</w:t>
      </w:r>
      <w:r>
        <w:t>0</w:t>
      </w:r>
      <w:r w:rsidRPr="00535925">
        <w:t xml:space="preserve"> millones.  Los </w:t>
      </w:r>
      <w:r>
        <w:t>207</w:t>
      </w:r>
      <w:r w:rsidRPr="00535925">
        <w:t xml:space="preserve"> casos restantes de los procesos ligados a cortes internacionales corresponden a procesos ante el Sistema Interamericano de Protección de Derechos Humanos, los cuales derivado de cláusulas de confidencialidad se desconoce el monto a imponer por parte de la Corte Interamericana de Derechos Humanos ya que dicho monto se sujeta al tipo de violación que se le impute al Estado.</w:t>
      </w:r>
    </w:p>
    <w:p w14:paraId="3797C3BC" w14:textId="77777777" w:rsidR="005F38A6" w:rsidRPr="00535925" w:rsidRDefault="005F38A6" w:rsidP="005F38A6">
      <w:pPr>
        <w:widowControl w:val="0"/>
        <w:jc w:val="both"/>
      </w:pPr>
    </w:p>
    <w:p w14:paraId="543CDE1C" w14:textId="77777777" w:rsidR="005F38A6" w:rsidRDefault="005F38A6" w:rsidP="005F38A6">
      <w:pPr>
        <w:widowControl w:val="0"/>
        <w:jc w:val="both"/>
      </w:pPr>
      <w:r w:rsidRPr="00535925">
        <w:t xml:space="preserve">Por lo anterior, el total de demandas en contra del Estado de Guatemala son de </w:t>
      </w:r>
      <w:r>
        <w:t>11</w:t>
      </w:r>
      <w:r w:rsidRPr="00535925">
        <w:t>,</w:t>
      </w:r>
      <w:r>
        <w:t>680</w:t>
      </w:r>
      <w:r w:rsidRPr="00535925">
        <w:t xml:space="preserve"> casos y se tiene cuantificado de costo potencial de dichas demandas es de Q1</w:t>
      </w:r>
      <w:r>
        <w:t>3</w:t>
      </w:r>
      <w:r w:rsidRPr="00535925">
        <w:t>,</w:t>
      </w:r>
      <w:r>
        <w:t>059</w:t>
      </w:r>
      <w:r w:rsidRPr="00535925">
        <w:t>.</w:t>
      </w:r>
      <w:r>
        <w:t>9</w:t>
      </w:r>
      <w:r w:rsidRPr="00535925">
        <w:t xml:space="preserve"> millones, equivalente a 1.</w:t>
      </w:r>
      <w:r>
        <w:t>6</w:t>
      </w:r>
      <w:r w:rsidRPr="00535925">
        <w:t>% del PIB estimado para 202</w:t>
      </w:r>
      <w:r>
        <w:t>3</w:t>
      </w:r>
      <w:r w:rsidRPr="00535925">
        <w:t>. Dicha información es preliminar y está sujeta a cambios conforme evolucionen los casos en los juzgados o tribunales respectivos.</w:t>
      </w:r>
    </w:p>
    <w:p w14:paraId="3E21B7B5" w14:textId="77777777" w:rsidR="005F38A6" w:rsidRPr="00535925" w:rsidRDefault="005F38A6" w:rsidP="005F38A6">
      <w:pPr>
        <w:widowControl w:val="0"/>
        <w:jc w:val="both"/>
      </w:pPr>
    </w:p>
    <w:p w14:paraId="2E9164EF" w14:textId="219A8E0D" w:rsidR="005F38A6" w:rsidRPr="00A77D12" w:rsidRDefault="00A77D12" w:rsidP="00A77D12">
      <w:pPr>
        <w:pStyle w:val="Descripcin"/>
        <w:keepNext/>
        <w:rPr>
          <w:color w:val="auto"/>
        </w:rPr>
      </w:pPr>
      <w:bookmarkStart w:id="719" w:name="_Toc114493938"/>
      <w:bookmarkStart w:id="720" w:name="_Toc143593539"/>
      <w:bookmarkStart w:id="721" w:name="_Hlk139379048"/>
      <w:r w:rsidRPr="00A77D12">
        <w:rPr>
          <w:color w:val="auto"/>
        </w:rPr>
        <w:t xml:space="preserve">Tabla </w:t>
      </w:r>
      <w:r w:rsidRPr="00A77D12">
        <w:rPr>
          <w:color w:val="auto"/>
        </w:rPr>
        <w:fldChar w:fldCharType="begin"/>
      </w:r>
      <w:r w:rsidRPr="00A77D12">
        <w:rPr>
          <w:color w:val="auto"/>
        </w:rPr>
        <w:instrText xml:space="preserve"> SEQ Tabla \* ARABIC </w:instrText>
      </w:r>
      <w:r w:rsidRPr="00A77D12">
        <w:rPr>
          <w:color w:val="auto"/>
        </w:rPr>
        <w:fldChar w:fldCharType="separate"/>
      </w:r>
      <w:r w:rsidR="00A62AFA">
        <w:rPr>
          <w:noProof/>
          <w:color w:val="auto"/>
        </w:rPr>
        <w:t>37</w:t>
      </w:r>
      <w:r w:rsidRPr="00A77D12">
        <w:rPr>
          <w:color w:val="auto"/>
        </w:rPr>
        <w:fldChar w:fldCharType="end"/>
      </w:r>
      <w:r w:rsidRPr="00A77D12">
        <w:rPr>
          <w:color w:val="auto"/>
        </w:rPr>
        <w:t xml:space="preserve">.  </w:t>
      </w:r>
      <w:r w:rsidR="005F38A6" w:rsidRPr="00A77D12">
        <w:rPr>
          <w:bCs/>
          <w:color w:val="auto"/>
        </w:rPr>
        <w:t>Demandas Judiciales en Contra del Estado de Guatemala</w:t>
      </w:r>
      <w:bookmarkEnd w:id="719"/>
      <w:bookmarkEnd w:id="720"/>
    </w:p>
    <w:p w14:paraId="1AD9F7EC" w14:textId="77777777" w:rsidR="005F38A6" w:rsidRPr="00A77D12" w:rsidRDefault="005F38A6" w:rsidP="005F38A6">
      <w:pPr>
        <w:ind w:left="567"/>
        <w:jc w:val="center"/>
        <w:rPr>
          <w:sz w:val="22"/>
          <w:szCs w:val="22"/>
          <w:lang w:val="es-ES"/>
        </w:rPr>
      </w:pPr>
      <w:r w:rsidRPr="00A77D12">
        <w:rPr>
          <w:sz w:val="22"/>
          <w:szCs w:val="22"/>
          <w:lang w:val="es-ES"/>
        </w:rPr>
        <w:t>Al 30 de junio de 2023</w:t>
      </w:r>
    </w:p>
    <w:p w14:paraId="3708DD12" w14:textId="77777777" w:rsidR="005F38A6" w:rsidRPr="00A77D12" w:rsidRDefault="005F38A6" w:rsidP="005F38A6">
      <w:pPr>
        <w:ind w:left="567"/>
        <w:jc w:val="center"/>
        <w:rPr>
          <w:sz w:val="22"/>
          <w:szCs w:val="22"/>
          <w:lang w:val="es-ES"/>
        </w:rPr>
      </w:pPr>
      <w:r w:rsidRPr="00A77D12">
        <w:rPr>
          <w:sz w:val="22"/>
          <w:szCs w:val="22"/>
          <w:lang w:val="es-ES"/>
        </w:rPr>
        <w:t>Número de Casos y Millones de quetzales</w:t>
      </w:r>
    </w:p>
    <w:tbl>
      <w:tblPr>
        <w:tblW w:w="8527" w:type="dxa"/>
        <w:tblCellMar>
          <w:left w:w="70" w:type="dxa"/>
          <w:right w:w="70" w:type="dxa"/>
        </w:tblCellMar>
        <w:tblLook w:val="04A0" w:firstRow="1" w:lastRow="0" w:firstColumn="1" w:lastColumn="0" w:noHBand="0" w:noVBand="1"/>
      </w:tblPr>
      <w:tblGrid>
        <w:gridCol w:w="6369"/>
        <w:gridCol w:w="917"/>
        <w:gridCol w:w="1241"/>
      </w:tblGrid>
      <w:tr w:rsidR="005F38A6" w:rsidRPr="00A77D12" w14:paraId="1DCA0ACF" w14:textId="77777777" w:rsidTr="007A0B9B">
        <w:trPr>
          <w:trHeight w:val="385"/>
        </w:trPr>
        <w:tc>
          <w:tcPr>
            <w:tcW w:w="6369" w:type="dxa"/>
            <w:tcBorders>
              <w:top w:val="single" w:sz="8" w:space="0" w:color="auto"/>
              <w:left w:val="single" w:sz="8" w:space="0" w:color="auto"/>
              <w:bottom w:val="single" w:sz="8" w:space="0" w:color="auto"/>
              <w:right w:val="nil"/>
            </w:tcBorders>
            <w:shd w:val="clear" w:color="000000" w:fill="8EAADB"/>
            <w:vAlign w:val="center"/>
            <w:hideMark/>
          </w:tcPr>
          <w:p w14:paraId="6A15C830" w14:textId="77777777" w:rsidR="005F38A6" w:rsidRPr="007A0B9B" w:rsidRDefault="005F38A6" w:rsidP="006A7377">
            <w:pPr>
              <w:jc w:val="center"/>
              <w:rPr>
                <w:b/>
                <w:bCs/>
                <w:color w:val="000000"/>
                <w:sz w:val="20"/>
                <w:szCs w:val="20"/>
              </w:rPr>
            </w:pPr>
            <w:r w:rsidRPr="007A0B9B">
              <w:rPr>
                <w:b/>
                <w:bCs/>
                <w:color w:val="000000"/>
                <w:sz w:val="20"/>
                <w:szCs w:val="20"/>
              </w:rPr>
              <w:t>Tipo de Proceso</w:t>
            </w:r>
          </w:p>
        </w:tc>
        <w:tc>
          <w:tcPr>
            <w:tcW w:w="917"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60ADD2AB" w14:textId="77777777" w:rsidR="005F38A6" w:rsidRPr="007A0B9B" w:rsidRDefault="005F38A6" w:rsidP="006A7377">
            <w:pPr>
              <w:jc w:val="center"/>
              <w:rPr>
                <w:b/>
                <w:bCs/>
                <w:color w:val="000000"/>
                <w:sz w:val="20"/>
                <w:szCs w:val="20"/>
              </w:rPr>
            </w:pPr>
            <w:r w:rsidRPr="007A0B9B">
              <w:rPr>
                <w:b/>
                <w:bCs/>
                <w:color w:val="000000"/>
                <w:sz w:val="20"/>
                <w:szCs w:val="20"/>
              </w:rPr>
              <w:t>Casos</w:t>
            </w:r>
          </w:p>
        </w:tc>
        <w:tc>
          <w:tcPr>
            <w:tcW w:w="1241" w:type="dxa"/>
            <w:tcBorders>
              <w:top w:val="single" w:sz="8" w:space="0" w:color="auto"/>
              <w:left w:val="nil"/>
              <w:bottom w:val="single" w:sz="8" w:space="0" w:color="auto"/>
              <w:right w:val="single" w:sz="8" w:space="0" w:color="auto"/>
            </w:tcBorders>
            <w:shd w:val="clear" w:color="000000" w:fill="8EAADB"/>
            <w:vAlign w:val="center"/>
            <w:hideMark/>
          </w:tcPr>
          <w:p w14:paraId="0777E648" w14:textId="77777777" w:rsidR="005F38A6" w:rsidRPr="007A0B9B" w:rsidRDefault="005F38A6" w:rsidP="006A7377">
            <w:pPr>
              <w:jc w:val="center"/>
              <w:rPr>
                <w:b/>
                <w:bCs/>
                <w:color w:val="000000"/>
                <w:sz w:val="20"/>
                <w:szCs w:val="20"/>
              </w:rPr>
            </w:pPr>
            <w:r w:rsidRPr="007A0B9B">
              <w:rPr>
                <w:b/>
                <w:bCs/>
                <w:color w:val="000000"/>
                <w:sz w:val="20"/>
                <w:szCs w:val="20"/>
              </w:rPr>
              <w:t>Monto demandado</w:t>
            </w:r>
          </w:p>
        </w:tc>
      </w:tr>
      <w:tr w:rsidR="005F38A6" w:rsidRPr="00A77D12" w14:paraId="69527AB6" w14:textId="77777777" w:rsidTr="007A0B9B">
        <w:trPr>
          <w:trHeight w:val="137"/>
        </w:trPr>
        <w:tc>
          <w:tcPr>
            <w:tcW w:w="6369" w:type="dxa"/>
            <w:tcBorders>
              <w:top w:val="nil"/>
              <w:left w:val="single" w:sz="8" w:space="0" w:color="auto"/>
              <w:bottom w:val="nil"/>
              <w:right w:val="single" w:sz="8" w:space="0" w:color="auto"/>
            </w:tcBorders>
            <w:shd w:val="clear" w:color="000000" w:fill="FFFFFF"/>
            <w:noWrap/>
            <w:vAlign w:val="center"/>
            <w:hideMark/>
          </w:tcPr>
          <w:p w14:paraId="6B0D78F2" w14:textId="77777777" w:rsidR="005F38A6" w:rsidRPr="007A0B9B" w:rsidRDefault="005F38A6" w:rsidP="006A7377">
            <w:pPr>
              <w:jc w:val="center"/>
              <w:rPr>
                <w:b/>
                <w:bCs/>
                <w:color w:val="000000"/>
                <w:sz w:val="18"/>
                <w:szCs w:val="18"/>
              </w:rPr>
            </w:pPr>
            <w:r w:rsidRPr="007A0B9B">
              <w:rPr>
                <w:b/>
                <w:bCs/>
                <w:color w:val="000000"/>
                <w:sz w:val="18"/>
                <w:szCs w:val="18"/>
              </w:rPr>
              <w:t>Total</w:t>
            </w:r>
          </w:p>
        </w:tc>
        <w:tc>
          <w:tcPr>
            <w:tcW w:w="917" w:type="dxa"/>
            <w:tcBorders>
              <w:top w:val="nil"/>
              <w:left w:val="nil"/>
              <w:bottom w:val="nil"/>
              <w:right w:val="nil"/>
            </w:tcBorders>
            <w:shd w:val="clear" w:color="000000" w:fill="FFFFFF"/>
            <w:noWrap/>
            <w:vAlign w:val="center"/>
            <w:hideMark/>
          </w:tcPr>
          <w:p w14:paraId="7EE5BC45" w14:textId="77777777" w:rsidR="005F38A6" w:rsidRPr="007A0B9B" w:rsidRDefault="005F38A6" w:rsidP="007A0B9B">
            <w:pPr>
              <w:jc w:val="center"/>
              <w:rPr>
                <w:b/>
                <w:bCs/>
                <w:color w:val="000000"/>
                <w:sz w:val="18"/>
                <w:szCs w:val="18"/>
              </w:rPr>
            </w:pPr>
            <w:r w:rsidRPr="007A0B9B">
              <w:rPr>
                <w:b/>
                <w:bCs/>
                <w:color w:val="000000"/>
                <w:sz w:val="18"/>
                <w:szCs w:val="18"/>
              </w:rPr>
              <w:t>11,680</w:t>
            </w:r>
          </w:p>
        </w:tc>
        <w:tc>
          <w:tcPr>
            <w:tcW w:w="1241" w:type="dxa"/>
            <w:tcBorders>
              <w:top w:val="nil"/>
              <w:left w:val="single" w:sz="8" w:space="0" w:color="auto"/>
              <w:bottom w:val="nil"/>
              <w:right w:val="single" w:sz="8" w:space="0" w:color="auto"/>
            </w:tcBorders>
            <w:shd w:val="clear" w:color="000000" w:fill="FFFFFF"/>
            <w:noWrap/>
            <w:vAlign w:val="center"/>
            <w:hideMark/>
          </w:tcPr>
          <w:p w14:paraId="4E7493AF" w14:textId="77777777" w:rsidR="005F38A6" w:rsidRPr="007A0B9B" w:rsidRDefault="005F38A6" w:rsidP="007A0B9B">
            <w:pPr>
              <w:jc w:val="center"/>
              <w:rPr>
                <w:b/>
                <w:bCs/>
                <w:color w:val="000000"/>
                <w:sz w:val="18"/>
                <w:szCs w:val="18"/>
              </w:rPr>
            </w:pPr>
            <w:r w:rsidRPr="007A0B9B">
              <w:rPr>
                <w:b/>
                <w:bCs/>
                <w:color w:val="000000"/>
                <w:sz w:val="18"/>
                <w:szCs w:val="18"/>
              </w:rPr>
              <w:t>13,059.90</w:t>
            </w:r>
          </w:p>
        </w:tc>
      </w:tr>
      <w:tr w:rsidR="005F38A6" w:rsidRPr="00A77D12" w14:paraId="58AE42B6" w14:textId="77777777" w:rsidTr="007A0B9B">
        <w:trPr>
          <w:trHeight w:val="75"/>
        </w:trPr>
        <w:tc>
          <w:tcPr>
            <w:tcW w:w="6369" w:type="dxa"/>
            <w:tcBorders>
              <w:top w:val="nil"/>
              <w:left w:val="single" w:sz="8" w:space="0" w:color="auto"/>
              <w:bottom w:val="nil"/>
              <w:right w:val="single" w:sz="8" w:space="0" w:color="auto"/>
            </w:tcBorders>
            <w:shd w:val="clear" w:color="000000" w:fill="FFFFFF"/>
            <w:noWrap/>
            <w:vAlign w:val="center"/>
            <w:hideMark/>
          </w:tcPr>
          <w:p w14:paraId="1C3A85AA" w14:textId="77777777" w:rsidR="005F38A6" w:rsidRPr="007A0B9B" w:rsidRDefault="005F38A6" w:rsidP="006A7377">
            <w:pPr>
              <w:rPr>
                <w:b/>
                <w:bCs/>
                <w:color w:val="000000"/>
                <w:sz w:val="18"/>
                <w:szCs w:val="18"/>
              </w:rPr>
            </w:pPr>
            <w:r w:rsidRPr="007A0B9B">
              <w:rPr>
                <w:b/>
                <w:bCs/>
                <w:color w:val="000000"/>
                <w:sz w:val="18"/>
                <w:szCs w:val="18"/>
              </w:rPr>
              <w:t>Procesos en cortes nacionales</w:t>
            </w:r>
          </w:p>
        </w:tc>
        <w:tc>
          <w:tcPr>
            <w:tcW w:w="917" w:type="dxa"/>
            <w:tcBorders>
              <w:top w:val="nil"/>
              <w:left w:val="nil"/>
              <w:bottom w:val="nil"/>
              <w:right w:val="nil"/>
            </w:tcBorders>
            <w:shd w:val="clear" w:color="000000" w:fill="FFFFFF"/>
            <w:noWrap/>
            <w:vAlign w:val="center"/>
            <w:hideMark/>
          </w:tcPr>
          <w:p w14:paraId="0C2693AB" w14:textId="77777777" w:rsidR="005F38A6" w:rsidRPr="007A0B9B" w:rsidRDefault="005F38A6" w:rsidP="007A0B9B">
            <w:pPr>
              <w:jc w:val="center"/>
              <w:rPr>
                <w:b/>
                <w:bCs/>
                <w:color w:val="000000"/>
                <w:sz w:val="18"/>
                <w:szCs w:val="18"/>
              </w:rPr>
            </w:pPr>
            <w:r w:rsidRPr="007A0B9B">
              <w:rPr>
                <w:b/>
                <w:bCs/>
                <w:color w:val="000000"/>
                <w:sz w:val="18"/>
                <w:szCs w:val="18"/>
              </w:rPr>
              <w:t>11,470</w:t>
            </w:r>
          </w:p>
        </w:tc>
        <w:tc>
          <w:tcPr>
            <w:tcW w:w="1241" w:type="dxa"/>
            <w:tcBorders>
              <w:top w:val="nil"/>
              <w:left w:val="single" w:sz="8" w:space="0" w:color="auto"/>
              <w:bottom w:val="nil"/>
              <w:right w:val="single" w:sz="8" w:space="0" w:color="auto"/>
            </w:tcBorders>
            <w:shd w:val="clear" w:color="000000" w:fill="FFFFFF"/>
            <w:noWrap/>
            <w:vAlign w:val="center"/>
            <w:hideMark/>
          </w:tcPr>
          <w:p w14:paraId="3EFBB07B" w14:textId="77777777" w:rsidR="005F38A6" w:rsidRPr="007A0B9B" w:rsidRDefault="005F38A6" w:rsidP="007A0B9B">
            <w:pPr>
              <w:jc w:val="center"/>
              <w:rPr>
                <w:b/>
                <w:bCs/>
                <w:color w:val="000000"/>
                <w:sz w:val="18"/>
                <w:szCs w:val="18"/>
              </w:rPr>
            </w:pPr>
            <w:r w:rsidRPr="007A0B9B">
              <w:rPr>
                <w:b/>
                <w:bCs/>
                <w:color w:val="000000"/>
                <w:sz w:val="18"/>
                <w:szCs w:val="18"/>
              </w:rPr>
              <w:t>4,571.65</w:t>
            </w:r>
          </w:p>
        </w:tc>
      </w:tr>
      <w:tr w:rsidR="005F38A6" w:rsidRPr="00A77D12" w14:paraId="0880C849" w14:textId="77777777" w:rsidTr="007A0B9B">
        <w:trPr>
          <w:trHeight w:val="150"/>
        </w:trPr>
        <w:tc>
          <w:tcPr>
            <w:tcW w:w="6369" w:type="dxa"/>
            <w:tcBorders>
              <w:top w:val="nil"/>
              <w:left w:val="single" w:sz="8" w:space="0" w:color="auto"/>
              <w:bottom w:val="nil"/>
              <w:right w:val="single" w:sz="8" w:space="0" w:color="auto"/>
            </w:tcBorders>
            <w:shd w:val="clear" w:color="000000" w:fill="FFFFFF"/>
            <w:noWrap/>
            <w:vAlign w:val="center"/>
            <w:hideMark/>
          </w:tcPr>
          <w:p w14:paraId="30422CC4" w14:textId="77777777" w:rsidR="005F38A6" w:rsidRPr="007A0B9B" w:rsidRDefault="005F38A6" w:rsidP="006A7377">
            <w:pPr>
              <w:ind w:firstLineChars="300" w:firstLine="540"/>
              <w:rPr>
                <w:color w:val="000000"/>
                <w:sz w:val="18"/>
                <w:szCs w:val="18"/>
              </w:rPr>
            </w:pPr>
            <w:r w:rsidRPr="007A0B9B">
              <w:rPr>
                <w:color w:val="000000"/>
                <w:sz w:val="18"/>
                <w:szCs w:val="18"/>
              </w:rPr>
              <w:t>Procesos Laborales/</w:t>
            </w:r>
            <w:r w:rsidRPr="007A0B9B">
              <w:rPr>
                <w:color w:val="000000"/>
                <w:sz w:val="18"/>
                <w:szCs w:val="18"/>
                <w:vertAlign w:val="superscript"/>
              </w:rPr>
              <w:t>1</w:t>
            </w:r>
          </w:p>
        </w:tc>
        <w:tc>
          <w:tcPr>
            <w:tcW w:w="917" w:type="dxa"/>
            <w:tcBorders>
              <w:top w:val="nil"/>
              <w:left w:val="nil"/>
              <w:bottom w:val="nil"/>
              <w:right w:val="nil"/>
            </w:tcBorders>
            <w:shd w:val="clear" w:color="000000" w:fill="FFFFFF"/>
            <w:noWrap/>
            <w:vAlign w:val="center"/>
            <w:hideMark/>
          </w:tcPr>
          <w:p w14:paraId="75BC1D36" w14:textId="77777777" w:rsidR="005F38A6" w:rsidRPr="007A0B9B" w:rsidRDefault="005F38A6" w:rsidP="007A0B9B">
            <w:pPr>
              <w:jc w:val="center"/>
              <w:rPr>
                <w:b/>
                <w:bCs/>
                <w:color w:val="000000"/>
                <w:sz w:val="18"/>
                <w:szCs w:val="18"/>
              </w:rPr>
            </w:pPr>
            <w:r w:rsidRPr="007A0B9B">
              <w:rPr>
                <w:b/>
                <w:bCs/>
                <w:color w:val="000000"/>
                <w:sz w:val="18"/>
                <w:szCs w:val="18"/>
              </w:rPr>
              <w:t>11,247</w:t>
            </w:r>
          </w:p>
        </w:tc>
        <w:tc>
          <w:tcPr>
            <w:tcW w:w="1241" w:type="dxa"/>
            <w:tcBorders>
              <w:top w:val="nil"/>
              <w:left w:val="single" w:sz="8" w:space="0" w:color="auto"/>
              <w:bottom w:val="nil"/>
              <w:right w:val="single" w:sz="8" w:space="0" w:color="auto"/>
            </w:tcBorders>
            <w:shd w:val="clear" w:color="000000" w:fill="FFFFFF"/>
            <w:noWrap/>
            <w:vAlign w:val="center"/>
            <w:hideMark/>
          </w:tcPr>
          <w:p w14:paraId="4CB9A1CB" w14:textId="77777777" w:rsidR="005F38A6" w:rsidRPr="007A0B9B" w:rsidRDefault="005F38A6" w:rsidP="007A0B9B">
            <w:pPr>
              <w:jc w:val="center"/>
              <w:rPr>
                <w:color w:val="000000"/>
                <w:sz w:val="18"/>
                <w:szCs w:val="18"/>
              </w:rPr>
            </w:pPr>
            <w:proofErr w:type="spellStart"/>
            <w:r w:rsidRPr="007A0B9B">
              <w:rPr>
                <w:color w:val="000000"/>
                <w:sz w:val="18"/>
                <w:szCs w:val="18"/>
              </w:rPr>
              <w:t>nd</w:t>
            </w:r>
            <w:proofErr w:type="spellEnd"/>
          </w:p>
        </w:tc>
      </w:tr>
      <w:tr w:rsidR="005F38A6" w:rsidRPr="00A77D12" w14:paraId="053D7535" w14:textId="77777777" w:rsidTr="007A0B9B">
        <w:trPr>
          <w:trHeight w:val="95"/>
        </w:trPr>
        <w:tc>
          <w:tcPr>
            <w:tcW w:w="6369" w:type="dxa"/>
            <w:tcBorders>
              <w:top w:val="nil"/>
              <w:left w:val="single" w:sz="8" w:space="0" w:color="auto"/>
              <w:bottom w:val="nil"/>
              <w:right w:val="single" w:sz="8" w:space="0" w:color="auto"/>
            </w:tcBorders>
            <w:shd w:val="clear" w:color="000000" w:fill="FFFFFF"/>
            <w:noWrap/>
            <w:vAlign w:val="center"/>
            <w:hideMark/>
          </w:tcPr>
          <w:p w14:paraId="4F903C56" w14:textId="77777777" w:rsidR="005F38A6" w:rsidRPr="007A0B9B" w:rsidRDefault="005F38A6" w:rsidP="006A7377">
            <w:pPr>
              <w:ind w:firstLineChars="500" w:firstLine="900"/>
              <w:rPr>
                <w:color w:val="000000"/>
                <w:sz w:val="18"/>
                <w:szCs w:val="18"/>
              </w:rPr>
            </w:pPr>
            <w:r w:rsidRPr="007A0B9B">
              <w:rPr>
                <w:color w:val="000000"/>
                <w:sz w:val="18"/>
                <w:szCs w:val="18"/>
              </w:rPr>
              <w:t>Procesos ordinarios</w:t>
            </w:r>
          </w:p>
        </w:tc>
        <w:tc>
          <w:tcPr>
            <w:tcW w:w="917" w:type="dxa"/>
            <w:tcBorders>
              <w:top w:val="nil"/>
              <w:left w:val="nil"/>
              <w:bottom w:val="nil"/>
              <w:right w:val="nil"/>
            </w:tcBorders>
            <w:shd w:val="clear" w:color="000000" w:fill="FFFFFF"/>
            <w:noWrap/>
            <w:vAlign w:val="center"/>
            <w:hideMark/>
          </w:tcPr>
          <w:p w14:paraId="6B678256" w14:textId="77777777" w:rsidR="005F38A6" w:rsidRPr="007A0B9B" w:rsidRDefault="005F38A6" w:rsidP="007A0B9B">
            <w:pPr>
              <w:jc w:val="center"/>
              <w:rPr>
                <w:color w:val="000000"/>
                <w:sz w:val="18"/>
                <w:szCs w:val="18"/>
              </w:rPr>
            </w:pPr>
            <w:r w:rsidRPr="007A0B9B">
              <w:rPr>
                <w:color w:val="000000"/>
                <w:sz w:val="18"/>
                <w:szCs w:val="18"/>
              </w:rPr>
              <w:t>11,002</w:t>
            </w:r>
          </w:p>
        </w:tc>
        <w:tc>
          <w:tcPr>
            <w:tcW w:w="1241" w:type="dxa"/>
            <w:tcBorders>
              <w:top w:val="nil"/>
              <w:left w:val="single" w:sz="8" w:space="0" w:color="auto"/>
              <w:bottom w:val="nil"/>
              <w:right w:val="single" w:sz="8" w:space="0" w:color="auto"/>
            </w:tcBorders>
            <w:shd w:val="clear" w:color="000000" w:fill="FFFFFF"/>
            <w:noWrap/>
            <w:vAlign w:val="center"/>
            <w:hideMark/>
          </w:tcPr>
          <w:p w14:paraId="7D0007F0" w14:textId="77777777" w:rsidR="005F38A6" w:rsidRPr="007A0B9B" w:rsidRDefault="005F38A6" w:rsidP="007A0B9B">
            <w:pPr>
              <w:jc w:val="center"/>
              <w:rPr>
                <w:color w:val="000000"/>
                <w:sz w:val="18"/>
                <w:szCs w:val="18"/>
              </w:rPr>
            </w:pPr>
            <w:proofErr w:type="spellStart"/>
            <w:r w:rsidRPr="007A0B9B">
              <w:rPr>
                <w:color w:val="000000"/>
                <w:sz w:val="18"/>
                <w:szCs w:val="18"/>
              </w:rPr>
              <w:t>nd</w:t>
            </w:r>
            <w:proofErr w:type="spellEnd"/>
          </w:p>
        </w:tc>
      </w:tr>
      <w:tr w:rsidR="005F38A6" w:rsidRPr="00A77D12" w14:paraId="7A3A3D98" w14:textId="77777777" w:rsidTr="007A0B9B">
        <w:trPr>
          <w:trHeight w:val="70"/>
        </w:trPr>
        <w:tc>
          <w:tcPr>
            <w:tcW w:w="6369" w:type="dxa"/>
            <w:tcBorders>
              <w:top w:val="nil"/>
              <w:left w:val="single" w:sz="8" w:space="0" w:color="auto"/>
              <w:bottom w:val="nil"/>
              <w:right w:val="single" w:sz="8" w:space="0" w:color="auto"/>
            </w:tcBorders>
            <w:shd w:val="clear" w:color="auto" w:fill="auto"/>
            <w:noWrap/>
            <w:vAlign w:val="center"/>
            <w:hideMark/>
          </w:tcPr>
          <w:p w14:paraId="21C61ED7" w14:textId="77777777" w:rsidR="005F38A6" w:rsidRPr="007A0B9B" w:rsidRDefault="005F38A6" w:rsidP="006A7377">
            <w:pPr>
              <w:ind w:firstLineChars="500" w:firstLine="900"/>
              <w:rPr>
                <w:color w:val="000000"/>
                <w:sz w:val="18"/>
                <w:szCs w:val="18"/>
              </w:rPr>
            </w:pPr>
            <w:r w:rsidRPr="007A0B9B">
              <w:rPr>
                <w:color w:val="000000"/>
                <w:sz w:val="18"/>
                <w:szCs w:val="18"/>
              </w:rPr>
              <w:t>Procesos colectivos</w:t>
            </w:r>
          </w:p>
        </w:tc>
        <w:tc>
          <w:tcPr>
            <w:tcW w:w="917" w:type="dxa"/>
            <w:tcBorders>
              <w:top w:val="nil"/>
              <w:left w:val="nil"/>
              <w:bottom w:val="nil"/>
              <w:right w:val="nil"/>
            </w:tcBorders>
            <w:shd w:val="clear" w:color="auto" w:fill="auto"/>
            <w:noWrap/>
            <w:vAlign w:val="center"/>
            <w:hideMark/>
          </w:tcPr>
          <w:p w14:paraId="4899D481" w14:textId="77777777" w:rsidR="005F38A6" w:rsidRPr="007A0B9B" w:rsidRDefault="005F38A6" w:rsidP="007A0B9B">
            <w:pPr>
              <w:jc w:val="center"/>
              <w:rPr>
                <w:color w:val="000000"/>
                <w:sz w:val="18"/>
                <w:szCs w:val="18"/>
              </w:rPr>
            </w:pPr>
            <w:r w:rsidRPr="007A0B9B">
              <w:rPr>
                <w:color w:val="000000"/>
                <w:sz w:val="18"/>
                <w:szCs w:val="18"/>
              </w:rPr>
              <w:t>245</w:t>
            </w:r>
          </w:p>
        </w:tc>
        <w:tc>
          <w:tcPr>
            <w:tcW w:w="1241" w:type="dxa"/>
            <w:tcBorders>
              <w:top w:val="nil"/>
              <w:left w:val="single" w:sz="8" w:space="0" w:color="auto"/>
              <w:bottom w:val="nil"/>
              <w:right w:val="single" w:sz="8" w:space="0" w:color="auto"/>
            </w:tcBorders>
            <w:shd w:val="clear" w:color="auto" w:fill="auto"/>
            <w:noWrap/>
            <w:vAlign w:val="center"/>
            <w:hideMark/>
          </w:tcPr>
          <w:p w14:paraId="507A2DC2" w14:textId="77777777" w:rsidR="005F38A6" w:rsidRPr="007A0B9B" w:rsidRDefault="005F38A6" w:rsidP="007A0B9B">
            <w:pPr>
              <w:jc w:val="center"/>
              <w:rPr>
                <w:color w:val="000000"/>
                <w:sz w:val="18"/>
                <w:szCs w:val="18"/>
              </w:rPr>
            </w:pPr>
            <w:proofErr w:type="spellStart"/>
            <w:r w:rsidRPr="007A0B9B">
              <w:rPr>
                <w:color w:val="000000"/>
                <w:sz w:val="18"/>
                <w:szCs w:val="18"/>
              </w:rPr>
              <w:t>nd</w:t>
            </w:r>
            <w:proofErr w:type="spellEnd"/>
          </w:p>
        </w:tc>
      </w:tr>
      <w:tr w:rsidR="005F38A6" w:rsidRPr="00A77D12" w14:paraId="09FA3FB7" w14:textId="77777777" w:rsidTr="007A0B9B">
        <w:trPr>
          <w:trHeight w:val="70"/>
        </w:trPr>
        <w:tc>
          <w:tcPr>
            <w:tcW w:w="6369" w:type="dxa"/>
            <w:tcBorders>
              <w:top w:val="nil"/>
              <w:left w:val="single" w:sz="8" w:space="0" w:color="auto"/>
              <w:bottom w:val="nil"/>
              <w:right w:val="single" w:sz="8" w:space="0" w:color="auto"/>
            </w:tcBorders>
            <w:shd w:val="clear" w:color="auto" w:fill="auto"/>
            <w:noWrap/>
            <w:vAlign w:val="center"/>
            <w:hideMark/>
          </w:tcPr>
          <w:p w14:paraId="2759F36C" w14:textId="77777777" w:rsidR="005F38A6" w:rsidRPr="007A0B9B" w:rsidRDefault="005F38A6" w:rsidP="006A7377">
            <w:pPr>
              <w:ind w:firstLineChars="300" w:firstLine="540"/>
              <w:rPr>
                <w:color w:val="000000"/>
                <w:sz w:val="18"/>
                <w:szCs w:val="18"/>
              </w:rPr>
            </w:pPr>
            <w:r w:rsidRPr="007A0B9B">
              <w:rPr>
                <w:color w:val="000000"/>
                <w:sz w:val="18"/>
                <w:szCs w:val="18"/>
              </w:rPr>
              <w:t>Procesos en Materia Civil</w:t>
            </w:r>
          </w:p>
        </w:tc>
        <w:tc>
          <w:tcPr>
            <w:tcW w:w="917" w:type="dxa"/>
            <w:tcBorders>
              <w:top w:val="nil"/>
              <w:left w:val="nil"/>
              <w:bottom w:val="nil"/>
              <w:right w:val="nil"/>
            </w:tcBorders>
            <w:shd w:val="clear" w:color="auto" w:fill="auto"/>
            <w:noWrap/>
            <w:vAlign w:val="center"/>
            <w:hideMark/>
          </w:tcPr>
          <w:p w14:paraId="40DC2BCF" w14:textId="77777777" w:rsidR="005F38A6" w:rsidRPr="007A0B9B" w:rsidRDefault="005F38A6" w:rsidP="007A0B9B">
            <w:pPr>
              <w:jc w:val="center"/>
              <w:rPr>
                <w:b/>
                <w:bCs/>
                <w:color w:val="000000"/>
                <w:sz w:val="18"/>
                <w:szCs w:val="18"/>
              </w:rPr>
            </w:pPr>
            <w:r w:rsidRPr="007A0B9B">
              <w:rPr>
                <w:b/>
                <w:bCs/>
                <w:color w:val="000000"/>
                <w:sz w:val="18"/>
                <w:szCs w:val="18"/>
              </w:rPr>
              <w:t>223</w:t>
            </w:r>
          </w:p>
        </w:tc>
        <w:tc>
          <w:tcPr>
            <w:tcW w:w="1241" w:type="dxa"/>
            <w:tcBorders>
              <w:top w:val="nil"/>
              <w:left w:val="single" w:sz="8" w:space="0" w:color="auto"/>
              <w:bottom w:val="nil"/>
              <w:right w:val="single" w:sz="8" w:space="0" w:color="auto"/>
            </w:tcBorders>
            <w:shd w:val="clear" w:color="auto" w:fill="auto"/>
            <w:noWrap/>
            <w:vAlign w:val="center"/>
            <w:hideMark/>
          </w:tcPr>
          <w:p w14:paraId="5989792B" w14:textId="77777777" w:rsidR="005F38A6" w:rsidRPr="007A0B9B" w:rsidRDefault="005F38A6" w:rsidP="007A0B9B">
            <w:pPr>
              <w:jc w:val="center"/>
              <w:rPr>
                <w:b/>
                <w:bCs/>
                <w:color w:val="000000"/>
                <w:sz w:val="18"/>
                <w:szCs w:val="18"/>
              </w:rPr>
            </w:pPr>
            <w:r w:rsidRPr="007A0B9B">
              <w:rPr>
                <w:b/>
                <w:bCs/>
                <w:color w:val="000000"/>
                <w:sz w:val="18"/>
                <w:szCs w:val="18"/>
              </w:rPr>
              <w:t>4,571.65</w:t>
            </w:r>
          </w:p>
        </w:tc>
      </w:tr>
      <w:tr w:rsidR="005F38A6" w:rsidRPr="00A77D12" w14:paraId="0D09FF59" w14:textId="77777777" w:rsidTr="007A0B9B">
        <w:trPr>
          <w:trHeight w:val="70"/>
        </w:trPr>
        <w:tc>
          <w:tcPr>
            <w:tcW w:w="6369" w:type="dxa"/>
            <w:tcBorders>
              <w:top w:val="nil"/>
              <w:left w:val="single" w:sz="8" w:space="0" w:color="auto"/>
              <w:bottom w:val="nil"/>
              <w:right w:val="single" w:sz="8" w:space="0" w:color="auto"/>
            </w:tcBorders>
            <w:shd w:val="clear" w:color="auto" w:fill="auto"/>
            <w:noWrap/>
            <w:vAlign w:val="center"/>
            <w:hideMark/>
          </w:tcPr>
          <w:p w14:paraId="606B01D5" w14:textId="77777777" w:rsidR="005F38A6" w:rsidRPr="007A0B9B" w:rsidRDefault="005F38A6" w:rsidP="006A7377">
            <w:pPr>
              <w:ind w:firstLineChars="500" w:firstLine="900"/>
              <w:rPr>
                <w:color w:val="000000"/>
                <w:sz w:val="18"/>
                <w:szCs w:val="18"/>
              </w:rPr>
            </w:pPr>
            <w:r w:rsidRPr="007A0B9B">
              <w:rPr>
                <w:color w:val="000000"/>
                <w:sz w:val="18"/>
                <w:szCs w:val="18"/>
              </w:rPr>
              <w:t>Arbitraje Nacional/</w:t>
            </w:r>
            <w:r w:rsidRPr="007A0B9B">
              <w:rPr>
                <w:color w:val="000000"/>
                <w:sz w:val="18"/>
                <w:szCs w:val="18"/>
                <w:vertAlign w:val="superscript"/>
              </w:rPr>
              <w:t>2</w:t>
            </w:r>
          </w:p>
        </w:tc>
        <w:tc>
          <w:tcPr>
            <w:tcW w:w="917" w:type="dxa"/>
            <w:tcBorders>
              <w:top w:val="nil"/>
              <w:left w:val="nil"/>
              <w:bottom w:val="nil"/>
              <w:right w:val="nil"/>
            </w:tcBorders>
            <w:shd w:val="clear" w:color="auto" w:fill="auto"/>
            <w:noWrap/>
            <w:vAlign w:val="center"/>
            <w:hideMark/>
          </w:tcPr>
          <w:p w14:paraId="0432249F" w14:textId="77777777" w:rsidR="005F38A6" w:rsidRPr="007A0B9B" w:rsidRDefault="005F38A6" w:rsidP="007A0B9B">
            <w:pPr>
              <w:jc w:val="center"/>
              <w:rPr>
                <w:color w:val="000000"/>
                <w:sz w:val="18"/>
                <w:szCs w:val="18"/>
              </w:rPr>
            </w:pPr>
            <w:r w:rsidRPr="007A0B9B">
              <w:rPr>
                <w:color w:val="000000"/>
                <w:sz w:val="18"/>
                <w:szCs w:val="18"/>
              </w:rPr>
              <w:t>17</w:t>
            </w:r>
          </w:p>
        </w:tc>
        <w:tc>
          <w:tcPr>
            <w:tcW w:w="1241" w:type="dxa"/>
            <w:tcBorders>
              <w:top w:val="nil"/>
              <w:left w:val="single" w:sz="8" w:space="0" w:color="auto"/>
              <w:bottom w:val="nil"/>
              <w:right w:val="single" w:sz="8" w:space="0" w:color="auto"/>
            </w:tcBorders>
            <w:shd w:val="clear" w:color="auto" w:fill="auto"/>
            <w:noWrap/>
            <w:vAlign w:val="center"/>
            <w:hideMark/>
          </w:tcPr>
          <w:p w14:paraId="12B38BE1" w14:textId="77777777" w:rsidR="005F38A6" w:rsidRPr="007A0B9B" w:rsidRDefault="005F38A6" w:rsidP="007A0B9B">
            <w:pPr>
              <w:jc w:val="center"/>
              <w:rPr>
                <w:color w:val="000000"/>
                <w:sz w:val="18"/>
                <w:szCs w:val="18"/>
              </w:rPr>
            </w:pPr>
            <w:r w:rsidRPr="007A0B9B">
              <w:rPr>
                <w:color w:val="000000"/>
                <w:sz w:val="18"/>
                <w:szCs w:val="18"/>
              </w:rPr>
              <w:t>616.30</w:t>
            </w:r>
          </w:p>
        </w:tc>
      </w:tr>
      <w:tr w:rsidR="005F38A6" w:rsidRPr="00A77D12" w14:paraId="1A35E4A9" w14:textId="77777777" w:rsidTr="007A0B9B">
        <w:trPr>
          <w:trHeight w:val="70"/>
        </w:trPr>
        <w:tc>
          <w:tcPr>
            <w:tcW w:w="6369" w:type="dxa"/>
            <w:tcBorders>
              <w:top w:val="nil"/>
              <w:left w:val="single" w:sz="8" w:space="0" w:color="auto"/>
              <w:bottom w:val="nil"/>
              <w:right w:val="single" w:sz="8" w:space="0" w:color="auto"/>
            </w:tcBorders>
            <w:shd w:val="clear" w:color="auto" w:fill="auto"/>
            <w:noWrap/>
            <w:vAlign w:val="center"/>
            <w:hideMark/>
          </w:tcPr>
          <w:p w14:paraId="5395AD2E" w14:textId="77777777" w:rsidR="005F38A6" w:rsidRPr="007A0B9B" w:rsidRDefault="005F38A6" w:rsidP="006A7377">
            <w:pPr>
              <w:ind w:firstLineChars="500" w:firstLine="900"/>
              <w:rPr>
                <w:color w:val="000000"/>
                <w:sz w:val="18"/>
                <w:szCs w:val="18"/>
              </w:rPr>
            </w:pPr>
            <w:r w:rsidRPr="007A0B9B">
              <w:rPr>
                <w:color w:val="000000"/>
                <w:sz w:val="18"/>
                <w:szCs w:val="18"/>
              </w:rPr>
              <w:t>Sentencias/</w:t>
            </w:r>
            <w:r w:rsidRPr="007A0B9B">
              <w:rPr>
                <w:color w:val="000000"/>
                <w:sz w:val="18"/>
                <w:szCs w:val="18"/>
                <w:vertAlign w:val="superscript"/>
              </w:rPr>
              <w:t>3</w:t>
            </w:r>
          </w:p>
        </w:tc>
        <w:tc>
          <w:tcPr>
            <w:tcW w:w="917" w:type="dxa"/>
            <w:tcBorders>
              <w:top w:val="nil"/>
              <w:left w:val="nil"/>
              <w:bottom w:val="nil"/>
              <w:right w:val="nil"/>
            </w:tcBorders>
            <w:shd w:val="clear" w:color="auto" w:fill="auto"/>
            <w:noWrap/>
            <w:vAlign w:val="center"/>
            <w:hideMark/>
          </w:tcPr>
          <w:p w14:paraId="3021B23A" w14:textId="77777777" w:rsidR="005F38A6" w:rsidRPr="007A0B9B" w:rsidRDefault="005F38A6" w:rsidP="007A0B9B">
            <w:pPr>
              <w:jc w:val="center"/>
              <w:rPr>
                <w:color w:val="000000"/>
                <w:sz w:val="18"/>
                <w:szCs w:val="18"/>
              </w:rPr>
            </w:pPr>
            <w:r w:rsidRPr="007A0B9B">
              <w:rPr>
                <w:color w:val="000000"/>
                <w:sz w:val="18"/>
                <w:szCs w:val="18"/>
              </w:rPr>
              <w:t>52</w:t>
            </w:r>
          </w:p>
        </w:tc>
        <w:tc>
          <w:tcPr>
            <w:tcW w:w="1241" w:type="dxa"/>
            <w:tcBorders>
              <w:top w:val="nil"/>
              <w:left w:val="single" w:sz="8" w:space="0" w:color="auto"/>
              <w:bottom w:val="nil"/>
              <w:right w:val="single" w:sz="8" w:space="0" w:color="auto"/>
            </w:tcBorders>
            <w:shd w:val="clear" w:color="auto" w:fill="auto"/>
            <w:noWrap/>
            <w:vAlign w:val="center"/>
            <w:hideMark/>
          </w:tcPr>
          <w:p w14:paraId="17BF1FDB" w14:textId="77777777" w:rsidR="005F38A6" w:rsidRPr="007A0B9B" w:rsidRDefault="005F38A6" w:rsidP="007A0B9B">
            <w:pPr>
              <w:jc w:val="center"/>
              <w:rPr>
                <w:color w:val="000000"/>
                <w:sz w:val="18"/>
                <w:szCs w:val="18"/>
              </w:rPr>
            </w:pPr>
            <w:r w:rsidRPr="007A0B9B">
              <w:rPr>
                <w:color w:val="000000"/>
                <w:sz w:val="18"/>
                <w:szCs w:val="18"/>
              </w:rPr>
              <w:t>192.35</w:t>
            </w:r>
          </w:p>
        </w:tc>
      </w:tr>
      <w:tr w:rsidR="005F38A6" w:rsidRPr="00A77D12" w14:paraId="6B599C00" w14:textId="77777777" w:rsidTr="007A0B9B">
        <w:trPr>
          <w:trHeight w:val="70"/>
        </w:trPr>
        <w:tc>
          <w:tcPr>
            <w:tcW w:w="6369" w:type="dxa"/>
            <w:tcBorders>
              <w:top w:val="nil"/>
              <w:left w:val="single" w:sz="8" w:space="0" w:color="auto"/>
              <w:bottom w:val="nil"/>
              <w:right w:val="single" w:sz="8" w:space="0" w:color="auto"/>
            </w:tcBorders>
            <w:shd w:val="clear" w:color="auto" w:fill="auto"/>
            <w:noWrap/>
            <w:vAlign w:val="center"/>
            <w:hideMark/>
          </w:tcPr>
          <w:p w14:paraId="2091E18B" w14:textId="77777777" w:rsidR="005F38A6" w:rsidRPr="007A0B9B" w:rsidRDefault="005F38A6" w:rsidP="006A7377">
            <w:pPr>
              <w:ind w:firstLineChars="500" w:firstLine="900"/>
              <w:rPr>
                <w:color w:val="000000"/>
                <w:sz w:val="18"/>
                <w:szCs w:val="18"/>
              </w:rPr>
            </w:pPr>
            <w:r w:rsidRPr="007A0B9B">
              <w:rPr>
                <w:color w:val="000000"/>
                <w:sz w:val="18"/>
                <w:szCs w:val="18"/>
              </w:rPr>
              <w:t>Juicios ordinarios y sumarios</w:t>
            </w:r>
          </w:p>
        </w:tc>
        <w:tc>
          <w:tcPr>
            <w:tcW w:w="917" w:type="dxa"/>
            <w:tcBorders>
              <w:top w:val="nil"/>
              <w:left w:val="nil"/>
              <w:bottom w:val="nil"/>
              <w:right w:val="nil"/>
            </w:tcBorders>
            <w:shd w:val="clear" w:color="auto" w:fill="auto"/>
            <w:noWrap/>
            <w:vAlign w:val="center"/>
            <w:hideMark/>
          </w:tcPr>
          <w:p w14:paraId="1786432D" w14:textId="77777777" w:rsidR="005F38A6" w:rsidRPr="007A0B9B" w:rsidRDefault="005F38A6" w:rsidP="007A0B9B">
            <w:pPr>
              <w:jc w:val="center"/>
              <w:rPr>
                <w:color w:val="000000"/>
                <w:sz w:val="18"/>
                <w:szCs w:val="18"/>
              </w:rPr>
            </w:pPr>
            <w:r w:rsidRPr="007A0B9B">
              <w:rPr>
                <w:color w:val="000000"/>
                <w:sz w:val="18"/>
                <w:szCs w:val="18"/>
              </w:rPr>
              <w:t>77</w:t>
            </w:r>
          </w:p>
        </w:tc>
        <w:tc>
          <w:tcPr>
            <w:tcW w:w="1241" w:type="dxa"/>
            <w:tcBorders>
              <w:top w:val="nil"/>
              <w:left w:val="single" w:sz="8" w:space="0" w:color="auto"/>
              <w:bottom w:val="nil"/>
              <w:right w:val="single" w:sz="8" w:space="0" w:color="auto"/>
            </w:tcBorders>
            <w:shd w:val="clear" w:color="auto" w:fill="auto"/>
            <w:noWrap/>
            <w:vAlign w:val="center"/>
            <w:hideMark/>
          </w:tcPr>
          <w:p w14:paraId="14CBD93C" w14:textId="77777777" w:rsidR="005F38A6" w:rsidRPr="007A0B9B" w:rsidRDefault="005F38A6" w:rsidP="007A0B9B">
            <w:pPr>
              <w:jc w:val="center"/>
              <w:rPr>
                <w:color w:val="000000"/>
                <w:sz w:val="18"/>
                <w:szCs w:val="18"/>
              </w:rPr>
            </w:pPr>
            <w:r w:rsidRPr="007A0B9B">
              <w:rPr>
                <w:color w:val="000000"/>
                <w:sz w:val="18"/>
                <w:szCs w:val="18"/>
              </w:rPr>
              <w:t>120.60</w:t>
            </w:r>
          </w:p>
        </w:tc>
      </w:tr>
      <w:tr w:rsidR="005F38A6" w:rsidRPr="00A77D12" w14:paraId="476510DB" w14:textId="77777777" w:rsidTr="007A0B9B">
        <w:trPr>
          <w:trHeight w:val="127"/>
        </w:trPr>
        <w:tc>
          <w:tcPr>
            <w:tcW w:w="6369" w:type="dxa"/>
            <w:tcBorders>
              <w:top w:val="nil"/>
              <w:left w:val="single" w:sz="8" w:space="0" w:color="auto"/>
              <w:bottom w:val="nil"/>
              <w:right w:val="single" w:sz="8" w:space="0" w:color="auto"/>
            </w:tcBorders>
            <w:shd w:val="clear" w:color="auto" w:fill="auto"/>
            <w:noWrap/>
            <w:vAlign w:val="center"/>
            <w:hideMark/>
          </w:tcPr>
          <w:p w14:paraId="67C29798" w14:textId="77777777" w:rsidR="005F38A6" w:rsidRPr="007A0B9B" w:rsidRDefault="005F38A6" w:rsidP="006A7377">
            <w:pPr>
              <w:ind w:firstLineChars="500" w:firstLine="900"/>
              <w:rPr>
                <w:color w:val="000000"/>
                <w:sz w:val="18"/>
                <w:szCs w:val="18"/>
              </w:rPr>
            </w:pPr>
            <w:r w:rsidRPr="007A0B9B">
              <w:rPr>
                <w:color w:val="000000"/>
                <w:sz w:val="18"/>
                <w:szCs w:val="18"/>
              </w:rPr>
              <w:t>Juicios económicos Coactivos</w:t>
            </w:r>
          </w:p>
        </w:tc>
        <w:tc>
          <w:tcPr>
            <w:tcW w:w="917" w:type="dxa"/>
            <w:tcBorders>
              <w:top w:val="nil"/>
              <w:left w:val="nil"/>
              <w:bottom w:val="nil"/>
              <w:right w:val="nil"/>
            </w:tcBorders>
            <w:shd w:val="clear" w:color="auto" w:fill="auto"/>
            <w:noWrap/>
            <w:vAlign w:val="center"/>
            <w:hideMark/>
          </w:tcPr>
          <w:p w14:paraId="2F3E9C21" w14:textId="77777777" w:rsidR="005F38A6" w:rsidRPr="007A0B9B" w:rsidRDefault="005F38A6" w:rsidP="007A0B9B">
            <w:pPr>
              <w:jc w:val="center"/>
              <w:rPr>
                <w:color w:val="000000"/>
                <w:sz w:val="18"/>
                <w:szCs w:val="18"/>
              </w:rPr>
            </w:pPr>
            <w:r w:rsidRPr="007A0B9B">
              <w:rPr>
                <w:color w:val="000000"/>
                <w:sz w:val="18"/>
                <w:szCs w:val="18"/>
              </w:rPr>
              <w:t>77</w:t>
            </w:r>
          </w:p>
        </w:tc>
        <w:tc>
          <w:tcPr>
            <w:tcW w:w="1241" w:type="dxa"/>
            <w:tcBorders>
              <w:top w:val="nil"/>
              <w:left w:val="single" w:sz="8" w:space="0" w:color="auto"/>
              <w:bottom w:val="nil"/>
              <w:right w:val="single" w:sz="8" w:space="0" w:color="auto"/>
            </w:tcBorders>
            <w:shd w:val="clear" w:color="auto" w:fill="auto"/>
            <w:noWrap/>
            <w:vAlign w:val="center"/>
            <w:hideMark/>
          </w:tcPr>
          <w:p w14:paraId="0FF865C6" w14:textId="77777777" w:rsidR="005F38A6" w:rsidRPr="007A0B9B" w:rsidRDefault="005F38A6" w:rsidP="007A0B9B">
            <w:pPr>
              <w:jc w:val="center"/>
              <w:rPr>
                <w:color w:val="000000"/>
                <w:sz w:val="18"/>
                <w:szCs w:val="18"/>
              </w:rPr>
            </w:pPr>
            <w:r w:rsidRPr="007A0B9B">
              <w:rPr>
                <w:color w:val="000000"/>
                <w:sz w:val="18"/>
                <w:szCs w:val="18"/>
              </w:rPr>
              <w:t>3,642.40</w:t>
            </w:r>
          </w:p>
        </w:tc>
      </w:tr>
      <w:tr w:rsidR="005F38A6" w:rsidRPr="00A77D12" w14:paraId="3C3597D2" w14:textId="77777777" w:rsidTr="007A0B9B">
        <w:trPr>
          <w:trHeight w:val="70"/>
        </w:trPr>
        <w:tc>
          <w:tcPr>
            <w:tcW w:w="6369" w:type="dxa"/>
            <w:tcBorders>
              <w:top w:val="nil"/>
              <w:left w:val="single" w:sz="8" w:space="0" w:color="auto"/>
              <w:bottom w:val="nil"/>
              <w:right w:val="single" w:sz="8" w:space="0" w:color="auto"/>
            </w:tcBorders>
            <w:shd w:val="clear" w:color="auto" w:fill="auto"/>
            <w:noWrap/>
            <w:vAlign w:val="center"/>
            <w:hideMark/>
          </w:tcPr>
          <w:p w14:paraId="0B4476AE" w14:textId="77777777" w:rsidR="005F38A6" w:rsidRPr="007A0B9B" w:rsidRDefault="005F38A6" w:rsidP="006A7377">
            <w:pPr>
              <w:rPr>
                <w:b/>
                <w:bCs/>
                <w:color w:val="000000"/>
                <w:sz w:val="18"/>
                <w:szCs w:val="18"/>
              </w:rPr>
            </w:pPr>
            <w:r w:rsidRPr="007A0B9B">
              <w:rPr>
                <w:b/>
                <w:bCs/>
                <w:color w:val="000000"/>
                <w:sz w:val="18"/>
                <w:szCs w:val="18"/>
              </w:rPr>
              <w:t>Procesos en cortes internacionales</w:t>
            </w:r>
          </w:p>
        </w:tc>
        <w:tc>
          <w:tcPr>
            <w:tcW w:w="917" w:type="dxa"/>
            <w:tcBorders>
              <w:top w:val="nil"/>
              <w:left w:val="nil"/>
              <w:bottom w:val="nil"/>
              <w:right w:val="nil"/>
            </w:tcBorders>
            <w:shd w:val="clear" w:color="auto" w:fill="auto"/>
            <w:noWrap/>
            <w:vAlign w:val="center"/>
            <w:hideMark/>
          </w:tcPr>
          <w:p w14:paraId="5C89B1DF" w14:textId="77777777" w:rsidR="005F38A6" w:rsidRPr="007A0B9B" w:rsidRDefault="005F38A6" w:rsidP="007A0B9B">
            <w:pPr>
              <w:jc w:val="center"/>
              <w:rPr>
                <w:b/>
                <w:bCs/>
                <w:color w:val="000000"/>
                <w:sz w:val="18"/>
                <w:szCs w:val="18"/>
              </w:rPr>
            </w:pPr>
            <w:r w:rsidRPr="007A0B9B">
              <w:rPr>
                <w:b/>
                <w:bCs/>
                <w:color w:val="000000"/>
                <w:sz w:val="18"/>
                <w:szCs w:val="18"/>
              </w:rPr>
              <w:t>210</w:t>
            </w:r>
          </w:p>
        </w:tc>
        <w:tc>
          <w:tcPr>
            <w:tcW w:w="1241" w:type="dxa"/>
            <w:tcBorders>
              <w:top w:val="nil"/>
              <w:left w:val="single" w:sz="8" w:space="0" w:color="auto"/>
              <w:bottom w:val="nil"/>
              <w:right w:val="single" w:sz="8" w:space="0" w:color="auto"/>
            </w:tcBorders>
            <w:shd w:val="clear" w:color="auto" w:fill="auto"/>
            <w:noWrap/>
            <w:vAlign w:val="center"/>
            <w:hideMark/>
          </w:tcPr>
          <w:p w14:paraId="2979AEDA" w14:textId="77777777" w:rsidR="005F38A6" w:rsidRPr="007A0B9B" w:rsidRDefault="005F38A6" w:rsidP="007A0B9B">
            <w:pPr>
              <w:jc w:val="center"/>
              <w:rPr>
                <w:b/>
                <w:bCs/>
                <w:color w:val="000000"/>
                <w:sz w:val="18"/>
                <w:szCs w:val="18"/>
              </w:rPr>
            </w:pPr>
            <w:r w:rsidRPr="007A0B9B">
              <w:rPr>
                <w:b/>
                <w:bCs/>
                <w:color w:val="000000"/>
                <w:sz w:val="18"/>
                <w:szCs w:val="18"/>
              </w:rPr>
              <w:t>8,488.25</w:t>
            </w:r>
          </w:p>
        </w:tc>
      </w:tr>
      <w:tr w:rsidR="005F38A6" w:rsidRPr="00A77D12" w14:paraId="78CA187C" w14:textId="77777777" w:rsidTr="007A0B9B">
        <w:trPr>
          <w:trHeight w:val="70"/>
        </w:trPr>
        <w:tc>
          <w:tcPr>
            <w:tcW w:w="6369" w:type="dxa"/>
            <w:tcBorders>
              <w:top w:val="nil"/>
              <w:left w:val="single" w:sz="8" w:space="0" w:color="auto"/>
              <w:bottom w:val="nil"/>
              <w:right w:val="single" w:sz="8" w:space="0" w:color="auto"/>
            </w:tcBorders>
            <w:shd w:val="clear" w:color="auto" w:fill="auto"/>
            <w:noWrap/>
            <w:vAlign w:val="center"/>
            <w:hideMark/>
          </w:tcPr>
          <w:p w14:paraId="6F0E16B9" w14:textId="77777777" w:rsidR="005F38A6" w:rsidRPr="007A0B9B" w:rsidRDefault="005F38A6" w:rsidP="006A7377">
            <w:pPr>
              <w:ind w:firstLineChars="300" w:firstLine="540"/>
              <w:rPr>
                <w:color w:val="000000"/>
                <w:sz w:val="18"/>
                <w:szCs w:val="18"/>
              </w:rPr>
            </w:pPr>
            <w:r w:rsidRPr="007A0B9B">
              <w:rPr>
                <w:color w:val="000000"/>
                <w:sz w:val="18"/>
                <w:szCs w:val="18"/>
              </w:rPr>
              <w:t>Arbitraje de Inversión/</w:t>
            </w:r>
            <w:r w:rsidRPr="007A0B9B">
              <w:rPr>
                <w:color w:val="000000"/>
                <w:sz w:val="18"/>
                <w:szCs w:val="18"/>
                <w:vertAlign w:val="superscript"/>
              </w:rPr>
              <w:t>4</w:t>
            </w:r>
          </w:p>
        </w:tc>
        <w:tc>
          <w:tcPr>
            <w:tcW w:w="917" w:type="dxa"/>
            <w:tcBorders>
              <w:top w:val="nil"/>
              <w:left w:val="nil"/>
              <w:bottom w:val="nil"/>
              <w:right w:val="nil"/>
            </w:tcBorders>
            <w:shd w:val="clear" w:color="auto" w:fill="auto"/>
            <w:noWrap/>
            <w:vAlign w:val="center"/>
            <w:hideMark/>
          </w:tcPr>
          <w:p w14:paraId="0A8AA355" w14:textId="77777777" w:rsidR="005F38A6" w:rsidRPr="007A0B9B" w:rsidRDefault="005F38A6" w:rsidP="007A0B9B">
            <w:pPr>
              <w:jc w:val="center"/>
              <w:rPr>
                <w:color w:val="000000"/>
                <w:sz w:val="18"/>
                <w:szCs w:val="18"/>
              </w:rPr>
            </w:pPr>
            <w:r w:rsidRPr="007A0B9B">
              <w:rPr>
                <w:color w:val="000000"/>
                <w:sz w:val="18"/>
                <w:szCs w:val="18"/>
              </w:rPr>
              <w:t>3</w:t>
            </w:r>
          </w:p>
        </w:tc>
        <w:tc>
          <w:tcPr>
            <w:tcW w:w="1241" w:type="dxa"/>
            <w:tcBorders>
              <w:top w:val="nil"/>
              <w:left w:val="single" w:sz="8" w:space="0" w:color="auto"/>
              <w:bottom w:val="nil"/>
              <w:right w:val="single" w:sz="8" w:space="0" w:color="auto"/>
            </w:tcBorders>
            <w:shd w:val="clear" w:color="auto" w:fill="auto"/>
            <w:noWrap/>
            <w:vAlign w:val="center"/>
            <w:hideMark/>
          </w:tcPr>
          <w:p w14:paraId="03A8AB8E" w14:textId="77777777" w:rsidR="005F38A6" w:rsidRPr="007A0B9B" w:rsidRDefault="005F38A6" w:rsidP="007A0B9B">
            <w:pPr>
              <w:jc w:val="center"/>
              <w:rPr>
                <w:color w:val="000000"/>
                <w:sz w:val="18"/>
                <w:szCs w:val="18"/>
              </w:rPr>
            </w:pPr>
            <w:r w:rsidRPr="007A0B9B">
              <w:rPr>
                <w:color w:val="000000"/>
                <w:sz w:val="18"/>
                <w:szCs w:val="18"/>
              </w:rPr>
              <w:t>8,488.25</w:t>
            </w:r>
          </w:p>
        </w:tc>
      </w:tr>
      <w:tr w:rsidR="005F38A6" w:rsidRPr="00A77D12" w14:paraId="3AE7A4C6" w14:textId="77777777" w:rsidTr="007A0B9B">
        <w:trPr>
          <w:trHeight w:val="207"/>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7C1A4C32" w14:textId="77777777" w:rsidR="005F38A6" w:rsidRPr="007A0B9B" w:rsidRDefault="005F38A6" w:rsidP="006A7377">
            <w:pPr>
              <w:ind w:firstLineChars="300" w:firstLine="540"/>
              <w:rPr>
                <w:color w:val="000000"/>
                <w:sz w:val="18"/>
                <w:szCs w:val="18"/>
              </w:rPr>
            </w:pPr>
            <w:r w:rsidRPr="007A0B9B">
              <w:rPr>
                <w:color w:val="000000"/>
                <w:sz w:val="18"/>
                <w:szCs w:val="18"/>
              </w:rPr>
              <w:t>Procesos ante el Sistema Interamericano de Protección de Derechos Humanos</w:t>
            </w:r>
          </w:p>
        </w:tc>
        <w:tc>
          <w:tcPr>
            <w:tcW w:w="917" w:type="dxa"/>
            <w:tcBorders>
              <w:top w:val="nil"/>
              <w:left w:val="nil"/>
              <w:bottom w:val="single" w:sz="8" w:space="0" w:color="auto"/>
              <w:right w:val="nil"/>
            </w:tcBorders>
            <w:shd w:val="clear" w:color="auto" w:fill="auto"/>
            <w:noWrap/>
            <w:vAlign w:val="center"/>
            <w:hideMark/>
          </w:tcPr>
          <w:p w14:paraId="17EA23CF" w14:textId="77777777" w:rsidR="005F38A6" w:rsidRPr="007A0B9B" w:rsidRDefault="005F38A6" w:rsidP="007A0B9B">
            <w:pPr>
              <w:jc w:val="center"/>
              <w:rPr>
                <w:color w:val="000000"/>
                <w:sz w:val="18"/>
                <w:szCs w:val="18"/>
              </w:rPr>
            </w:pPr>
            <w:r w:rsidRPr="007A0B9B">
              <w:rPr>
                <w:color w:val="000000"/>
                <w:sz w:val="18"/>
                <w:szCs w:val="18"/>
              </w:rPr>
              <w:t>207</w:t>
            </w:r>
          </w:p>
        </w:tc>
        <w:tc>
          <w:tcPr>
            <w:tcW w:w="1241" w:type="dxa"/>
            <w:tcBorders>
              <w:top w:val="nil"/>
              <w:left w:val="single" w:sz="8" w:space="0" w:color="auto"/>
              <w:bottom w:val="single" w:sz="8" w:space="0" w:color="auto"/>
              <w:right w:val="single" w:sz="8" w:space="0" w:color="auto"/>
            </w:tcBorders>
            <w:shd w:val="clear" w:color="auto" w:fill="auto"/>
            <w:noWrap/>
            <w:vAlign w:val="center"/>
            <w:hideMark/>
          </w:tcPr>
          <w:p w14:paraId="0C6C899B" w14:textId="77777777" w:rsidR="005F38A6" w:rsidRPr="007A0B9B" w:rsidRDefault="005F38A6" w:rsidP="007A0B9B">
            <w:pPr>
              <w:jc w:val="center"/>
              <w:rPr>
                <w:color w:val="000000"/>
                <w:sz w:val="18"/>
                <w:szCs w:val="18"/>
              </w:rPr>
            </w:pPr>
            <w:proofErr w:type="spellStart"/>
            <w:r w:rsidRPr="007A0B9B">
              <w:rPr>
                <w:color w:val="000000"/>
                <w:sz w:val="18"/>
                <w:szCs w:val="18"/>
              </w:rPr>
              <w:t>nd</w:t>
            </w:r>
            <w:proofErr w:type="spellEnd"/>
          </w:p>
        </w:tc>
      </w:tr>
    </w:tbl>
    <w:p w14:paraId="63A912E0" w14:textId="77777777" w:rsidR="005F38A6" w:rsidRDefault="005F38A6" w:rsidP="005F38A6">
      <w:pPr>
        <w:widowControl w:val="0"/>
        <w:rPr>
          <w:bCs/>
          <w:sz w:val="16"/>
        </w:rPr>
      </w:pPr>
      <w:r w:rsidRPr="00535925">
        <w:rPr>
          <w:bCs/>
          <w:sz w:val="16"/>
        </w:rPr>
        <w:t>Fuente: Procuraduría General de la Nación</w:t>
      </w:r>
    </w:p>
    <w:p w14:paraId="6845F822" w14:textId="77777777" w:rsidR="005F38A6" w:rsidRDefault="005F38A6" w:rsidP="005F38A6">
      <w:pPr>
        <w:widowControl w:val="0"/>
        <w:rPr>
          <w:bCs/>
          <w:sz w:val="16"/>
        </w:rPr>
      </w:pPr>
      <w:proofErr w:type="spellStart"/>
      <w:r w:rsidRPr="00B66475">
        <w:rPr>
          <w:bCs/>
          <w:sz w:val="16"/>
        </w:rPr>
        <w:t>n.d</w:t>
      </w:r>
      <w:proofErr w:type="spellEnd"/>
      <w:r w:rsidRPr="00B66475">
        <w:rPr>
          <w:bCs/>
          <w:sz w:val="16"/>
        </w:rPr>
        <w:t>. No disponible</w:t>
      </w:r>
    </w:p>
    <w:p w14:paraId="5F4D2B9B" w14:textId="77777777" w:rsidR="005F38A6" w:rsidRDefault="005F38A6" w:rsidP="005F38A6">
      <w:pPr>
        <w:widowControl w:val="0"/>
        <w:rPr>
          <w:bCs/>
          <w:sz w:val="16"/>
        </w:rPr>
      </w:pPr>
    </w:p>
    <w:p w14:paraId="2E8ED1CB" w14:textId="77777777" w:rsidR="005F38A6" w:rsidRPr="00B66475" w:rsidRDefault="005F38A6" w:rsidP="005F38A6">
      <w:pPr>
        <w:widowControl w:val="0"/>
        <w:jc w:val="both"/>
        <w:rPr>
          <w:bCs/>
          <w:sz w:val="16"/>
        </w:rPr>
      </w:pPr>
      <w:r w:rsidRPr="00B66475">
        <w:rPr>
          <w:bCs/>
          <w:sz w:val="16"/>
        </w:rPr>
        <w:t xml:space="preserve">/1 Fecha de corte al 04 de julio del 2023; </w:t>
      </w:r>
      <w:r>
        <w:rPr>
          <w:bCs/>
          <w:sz w:val="16"/>
        </w:rPr>
        <w:t>l</w:t>
      </w:r>
      <w:r w:rsidRPr="00B66475">
        <w:rPr>
          <w:bCs/>
          <w:sz w:val="16"/>
        </w:rPr>
        <w:t>a diferencia con los datos del 2022, es porque la información en dicho año únicamente</w:t>
      </w:r>
      <w:r>
        <w:rPr>
          <w:bCs/>
          <w:sz w:val="16"/>
        </w:rPr>
        <w:t xml:space="preserve"> </w:t>
      </w:r>
      <w:r w:rsidRPr="00B66475">
        <w:rPr>
          <w:bCs/>
          <w:sz w:val="16"/>
        </w:rPr>
        <w:t>incluía</w:t>
      </w:r>
      <w:r>
        <w:rPr>
          <w:bCs/>
          <w:sz w:val="16"/>
        </w:rPr>
        <w:t xml:space="preserve"> </w:t>
      </w:r>
      <w:r w:rsidRPr="00B66475">
        <w:rPr>
          <w:bCs/>
          <w:sz w:val="16"/>
        </w:rPr>
        <w:t>del 2017 a la fecha de corte del 2022; sin embargo, en la presente tabla se incluye el total de datos a partir del año 2012</w:t>
      </w:r>
    </w:p>
    <w:p w14:paraId="38133595" w14:textId="77777777" w:rsidR="005F38A6" w:rsidRPr="00B66475" w:rsidRDefault="005F38A6" w:rsidP="005F38A6">
      <w:pPr>
        <w:widowControl w:val="0"/>
        <w:jc w:val="both"/>
        <w:rPr>
          <w:bCs/>
          <w:sz w:val="16"/>
        </w:rPr>
      </w:pPr>
      <w:r w:rsidRPr="00B66475">
        <w:rPr>
          <w:bCs/>
          <w:sz w:val="16"/>
        </w:rPr>
        <w:t>/2 Existe un proceso en jurisdicción de EEUU en contra de Guatemala, que representa una contingencia de US$31.9 millones</w:t>
      </w:r>
    </w:p>
    <w:p w14:paraId="53FB70FD" w14:textId="77777777" w:rsidR="005F38A6" w:rsidRPr="00B66475" w:rsidRDefault="005F38A6" w:rsidP="005F38A6">
      <w:pPr>
        <w:widowControl w:val="0"/>
        <w:jc w:val="both"/>
        <w:rPr>
          <w:bCs/>
          <w:sz w:val="16"/>
        </w:rPr>
      </w:pPr>
      <w:r w:rsidRPr="00B66475">
        <w:rPr>
          <w:bCs/>
          <w:sz w:val="16"/>
        </w:rPr>
        <w:t>/3 Se incluyen los juicios ejecutivos en la vía de apremio además de los juicios ejecutivos</w:t>
      </w:r>
    </w:p>
    <w:p w14:paraId="702A8E45" w14:textId="77777777" w:rsidR="005F38A6" w:rsidRPr="00B66475" w:rsidRDefault="005F38A6" w:rsidP="005F38A6">
      <w:pPr>
        <w:widowControl w:val="0"/>
        <w:jc w:val="both"/>
        <w:rPr>
          <w:bCs/>
          <w:sz w:val="16"/>
        </w:rPr>
      </w:pPr>
      <w:r w:rsidRPr="00B66475">
        <w:rPr>
          <w:bCs/>
          <w:sz w:val="16"/>
        </w:rPr>
        <w:t>/4 Existe</w:t>
      </w:r>
      <w:r>
        <w:rPr>
          <w:bCs/>
          <w:sz w:val="16"/>
        </w:rPr>
        <w:t>n</w:t>
      </w:r>
      <w:r w:rsidRPr="00B66475">
        <w:rPr>
          <w:bCs/>
          <w:sz w:val="16"/>
        </w:rPr>
        <w:t xml:space="preserve"> además 4 casos de intención de arbitraje internacional de inversión, que ha sido informado por MINECO a PGN; a pesar de</w:t>
      </w:r>
      <w:r>
        <w:rPr>
          <w:bCs/>
          <w:sz w:val="16"/>
        </w:rPr>
        <w:t xml:space="preserve"> </w:t>
      </w:r>
      <w:r w:rsidRPr="00B66475">
        <w:rPr>
          <w:bCs/>
          <w:sz w:val="16"/>
        </w:rPr>
        <w:t xml:space="preserve">que aún no se ha promovido un arbitraje internacional, representa un riesgo para el </w:t>
      </w:r>
      <w:r>
        <w:rPr>
          <w:bCs/>
          <w:sz w:val="16"/>
        </w:rPr>
        <w:t>E</w:t>
      </w:r>
      <w:r w:rsidRPr="00B66475">
        <w:rPr>
          <w:bCs/>
          <w:sz w:val="16"/>
        </w:rPr>
        <w:t>stado de US$587 millones de dos de dichos</w:t>
      </w:r>
      <w:r>
        <w:rPr>
          <w:bCs/>
          <w:sz w:val="16"/>
        </w:rPr>
        <w:t xml:space="preserve"> </w:t>
      </w:r>
      <w:r w:rsidRPr="00B66475">
        <w:rPr>
          <w:bCs/>
          <w:sz w:val="16"/>
        </w:rPr>
        <w:t>casos; el tipo de cambio que se uso es el TCR al 2022 calculado de acuerdo a lo estipulado en Resolución JM-126-2006</w:t>
      </w:r>
    </w:p>
    <w:p w14:paraId="2BA0F0A4" w14:textId="77777777" w:rsidR="005F38A6" w:rsidRDefault="005F38A6" w:rsidP="005F38A6">
      <w:pPr>
        <w:widowControl w:val="0"/>
        <w:rPr>
          <w:bCs/>
          <w:sz w:val="16"/>
        </w:rPr>
      </w:pPr>
    </w:p>
    <w:p w14:paraId="28366622" w14:textId="59ED68D9" w:rsidR="005F38A6" w:rsidRPr="00096829" w:rsidRDefault="005F38A6" w:rsidP="007F19DF">
      <w:pPr>
        <w:pStyle w:val="Ttulo2"/>
        <w:numPr>
          <w:ilvl w:val="1"/>
          <w:numId w:val="35"/>
        </w:numPr>
        <w:ind w:left="426" w:hanging="284"/>
        <w:rPr>
          <w:bCs/>
        </w:rPr>
      </w:pPr>
      <w:bookmarkStart w:id="722" w:name="_Toc144114432"/>
      <w:bookmarkEnd w:id="721"/>
      <w:r w:rsidRPr="003264B4">
        <w:rPr>
          <w:bCs/>
        </w:rPr>
        <w:lastRenderedPageBreak/>
        <w:t>Medidas de</w:t>
      </w:r>
      <w:r>
        <w:rPr>
          <w:bCs/>
        </w:rPr>
        <w:t xml:space="preserve"> aprovisionamiento y</w:t>
      </w:r>
      <w:r w:rsidRPr="003264B4">
        <w:rPr>
          <w:bCs/>
        </w:rPr>
        <w:t xml:space="preserve"> mitigación</w:t>
      </w:r>
      <w:r>
        <w:rPr>
          <w:bCs/>
        </w:rPr>
        <w:t xml:space="preserve"> del riesgo y recomendaciones generales</w:t>
      </w:r>
      <w:bookmarkEnd w:id="722"/>
    </w:p>
    <w:p w14:paraId="29761D19" w14:textId="77777777" w:rsidR="00135E7F" w:rsidRDefault="00135E7F" w:rsidP="005F38A6">
      <w:pPr>
        <w:rPr>
          <w:b/>
          <w:bCs/>
        </w:rPr>
      </w:pPr>
    </w:p>
    <w:p w14:paraId="6B92A2A2" w14:textId="61E44E3C" w:rsidR="005F38A6" w:rsidRDefault="005F38A6" w:rsidP="005F38A6">
      <w:pPr>
        <w:widowControl w:val="0"/>
        <w:numPr>
          <w:ilvl w:val="0"/>
          <w:numId w:val="15"/>
        </w:numPr>
        <w:jc w:val="both"/>
      </w:pPr>
      <w:r>
        <w:t>Guatemala cuenta con una medida de aprovisionamiento en el gasto corriente, siendo esta una partida presupuestaria que todos los ejercicios fiscales es considerada para atender sentencias judiciales. No obstante, es importante resaltar que esta partida atiende principalmente -entre otras- demandas laborales, dado que son recurrentes y su monto de pago se considera bajo.</w:t>
      </w:r>
    </w:p>
    <w:p w14:paraId="12D10B03" w14:textId="352DDC04" w:rsidR="005F38A6" w:rsidRDefault="005F38A6" w:rsidP="007A0B9B">
      <w:pPr>
        <w:widowControl w:val="0"/>
        <w:numPr>
          <w:ilvl w:val="0"/>
          <w:numId w:val="15"/>
        </w:numPr>
        <w:jc w:val="both"/>
      </w:pPr>
      <w:r w:rsidRPr="004A448C">
        <w:t xml:space="preserve">Guatemala cuenta con 14 Acuerdos Comerciales y el objetivo en materia económica es seguir atrayendo inversiones, pero </w:t>
      </w:r>
      <w:r>
        <w:t>consiguiendo</w:t>
      </w:r>
      <w:r w:rsidRPr="004A448C">
        <w:t xml:space="preserve"> que esta apertura comercial no este acompañada de demandas internacionales, que incluso pueden hacer cuestionar a los inversionistas sobre la viabilidad económica de Guatemala como socio comercial.</w:t>
      </w:r>
    </w:p>
    <w:p w14:paraId="350CE37C" w14:textId="3B5E58B3" w:rsidR="005F38A6" w:rsidRDefault="005F38A6" w:rsidP="007A0B9B">
      <w:pPr>
        <w:widowControl w:val="0"/>
        <w:ind w:left="708"/>
        <w:jc w:val="both"/>
      </w:pPr>
      <w:r>
        <w:t xml:space="preserve">En ese sentido la recomendación para mitigar las posibles demandas judiciales es la revisión de cláusulas clave dentro de los tratados negociados y aquellos que se desea negociar, priorizando en caso de controversias relativas a una inversión, la consulta y negociación, con tiempos de resolución realizables, incluyendo procedimientos como la conciliación y mediación, y únicamente agotada estas vías, el demandante/inversionista proceda a someter la reclamación a un arbitraje. </w:t>
      </w:r>
    </w:p>
    <w:p w14:paraId="24CEA7BB" w14:textId="1C4C38FB" w:rsidR="005F38A6" w:rsidRDefault="005F38A6" w:rsidP="005F38A6">
      <w:pPr>
        <w:widowControl w:val="0"/>
        <w:numPr>
          <w:ilvl w:val="0"/>
          <w:numId w:val="15"/>
        </w:numPr>
        <w:jc w:val="both"/>
      </w:pPr>
      <w:r>
        <w:t>De acuerdo a la distribución de todos los casos del CIADI por sectores de la economía, el 25% de las demandas se concentra por inversiones en petróleo, gas y minería y el 17% por electricidad y otros tipos de energía. En ese sentido, Guatemala debe reforzarse en temas de alta conflictividad social, haciendo las consultas comunitarias que minimicen el descontentamiento social y permitan llegar a acuerdos, de forma que los inversionistas puedan operar en condiciones normales, evitando futuras demandas contra el Estado de Guatemala.</w:t>
      </w:r>
    </w:p>
    <w:p w14:paraId="15401DF1" w14:textId="158EA8AB" w:rsidR="005F38A6" w:rsidRDefault="005F38A6" w:rsidP="005F38A6">
      <w:pPr>
        <w:widowControl w:val="0"/>
        <w:numPr>
          <w:ilvl w:val="0"/>
          <w:numId w:val="15"/>
        </w:numPr>
        <w:jc w:val="both"/>
      </w:pPr>
      <w:r>
        <w:t xml:space="preserve">Los equipos legales y expertos de la Procuraduría General de la Nación y Ministerio de Economía deben robustecerse a manera de ejercer una defensa técnica que sea correcta, no limitándose únicamente a defender los casos, sino a prevenirlos. Adicionalmente, en la selección de los miembros del tribunal de arbitraje, se debe realizar una extensa investigación al nombrar al árbitro y </w:t>
      </w:r>
      <w:r w:rsidR="00A77D12">
        <w:t>presidente</w:t>
      </w:r>
      <w:r>
        <w:t xml:space="preserve"> del Tribunal que le corresponda al Estado de Guatemala, velando por que no exista conflicto de intereses. </w:t>
      </w:r>
    </w:p>
    <w:p w14:paraId="57C95109" w14:textId="77777777" w:rsidR="005F38A6" w:rsidRDefault="005F38A6" w:rsidP="000E12CF">
      <w:pPr>
        <w:widowControl w:val="0"/>
        <w:numPr>
          <w:ilvl w:val="0"/>
          <w:numId w:val="15"/>
        </w:numPr>
        <w:jc w:val="both"/>
      </w:pPr>
      <w:r>
        <w:t xml:space="preserve">Se considera importante contar con una Política Nacional en temas de Inversión y Arbitrajes que tenga las directrices clave que permitan minimizar los impactos potenciales.  </w:t>
      </w:r>
    </w:p>
    <w:p w14:paraId="61E66F5C" w14:textId="77777777" w:rsidR="005F38A6" w:rsidRDefault="005F38A6" w:rsidP="005F38A6">
      <w:pPr>
        <w:jc w:val="both"/>
        <w:rPr>
          <w:bCs/>
          <w:color w:val="000000" w:themeColor="text1"/>
          <w:lang w:val="es-MX"/>
        </w:rPr>
      </w:pPr>
    </w:p>
    <w:p w14:paraId="383D89D9" w14:textId="77777777" w:rsidR="005F38A6" w:rsidRDefault="005F38A6" w:rsidP="005F38A6">
      <w:pPr>
        <w:jc w:val="both"/>
        <w:rPr>
          <w:bCs/>
          <w:color w:val="000000" w:themeColor="text1"/>
          <w:lang w:val="es-MX"/>
        </w:rPr>
      </w:pPr>
    </w:p>
    <w:p w14:paraId="2FAFC519" w14:textId="77777777" w:rsidR="00C36261" w:rsidRDefault="00C36261" w:rsidP="007F19DF">
      <w:pPr>
        <w:pStyle w:val="Prrafodelista"/>
        <w:numPr>
          <w:ilvl w:val="0"/>
          <w:numId w:val="44"/>
        </w:numPr>
        <w:tabs>
          <w:tab w:val="left" w:pos="426"/>
        </w:tabs>
        <w:spacing w:line="259" w:lineRule="auto"/>
        <w:ind w:left="284" w:hanging="284"/>
        <w:jc w:val="both"/>
        <w:outlineLvl w:val="0"/>
        <w:rPr>
          <w:b/>
          <w:bCs/>
        </w:rPr>
      </w:pPr>
      <w:bookmarkStart w:id="723" w:name="_Toc144114433"/>
      <w:r>
        <w:rPr>
          <w:b/>
          <w:bCs/>
        </w:rPr>
        <w:t xml:space="preserve">Exposición </w:t>
      </w:r>
      <w:r w:rsidRPr="00BC7E77">
        <w:rPr>
          <w:b/>
          <w:bCs/>
        </w:rPr>
        <w:t>al</w:t>
      </w:r>
      <w:r>
        <w:rPr>
          <w:b/>
          <w:bCs/>
        </w:rPr>
        <w:t xml:space="preserve"> Sector Financiero</w:t>
      </w:r>
      <w:bookmarkEnd w:id="723"/>
    </w:p>
    <w:p w14:paraId="45C2E7E5" w14:textId="77777777" w:rsidR="00135E7F" w:rsidRPr="001C5E2E" w:rsidRDefault="00135E7F" w:rsidP="00135E7F">
      <w:pPr>
        <w:pStyle w:val="Prrafodelista"/>
        <w:spacing w:line="259" w:lineRule="auto"/>
        <w:ind w:left="360"/>
        <w:jc w:val="both"/>
        <w:rPr>
          <w:b/>
          <w:bCs/>
        </w:rPr>
      </w:pPr>
    </w:p>
    <w:p w14:paraId="47B27769" w14:textId="77777777" w:rsidR="00096829" w:rsidRPr="00096829" w:rsidRDefault="00096829" w:rsidP="00096829">
      <w:pPr>
        <w:pStyle w:val="Prrafodelista"/>
        <w:keepNext/>
        <w:widowControl w:val="0"/>
        <w:numPr>
          <w:ilvl w:val="0"/>
          <w:numId w:val="35"/>
        </w:numPr>
        <w:contextualSpacing w:val="0"/>
        <w:outlineLvl w:val="1"/>
        <w:rPr>
          <w:rFonts w:eastAsiaTheme="minorHAnsi"/>
          <w:b/>
          <w:bCs/>
          <w:vanish/>
          <w:color w:val="000000"/>
          <w:lang w:eastAsia="en-US"/>
        </w:rPr>
      </w:pPr>
      <w:bookmarkStart w:id="724" w:name="_Toc143252259"/>
      <w:bookmarkStart w:id="725" w:name="_Toc143252403"/>
      <w:bookmarkStart w:id="726" w:name="_Toc143252545"/>
      <w:bookmarkStart w:id="727" w:name="_Toc143874075"/>
      <w:bookmarkStart w:id="728" w:name="_Toc143874220"/>
      <w:bookmarkStart w:id="729" w:name="_Toc144113986"/>
      <w:bookmarkStart w:id="730" w:name="_Toc144114144"/>
      <w:bookmarkStart w:id="731" w:name="_Toc144114290"/>
      <w:bookmarkStart w:id="732" w:name="_Toc144114434"/>
      <w:bookmarkEnd w:id="724"/>
      <w:bookmarkEnd w:id="725"/>
      <w:bookmarkEnd w:id="726"/>
      <w:bookmarkEnd w:id="727"/>
      <w:bookmarkEnd w:id="728"/>
      <w:bookmarkEnd w:id="729"/>
      <w:bookmarkEnd w:id="730"/>
      <w:bookmarkEnd w:id="731"/>
      <w:bookmarkEnd w:id="732"/>
    </w:p>
    <w:p w14:paraId="052928F3" w14:textId="584AC69E" w:rsidR="00C36261" w:rsidRPr="00096829" w:rsidRDefault="00C36261" w:rsidP="007F19DF">
      <w:pPr>
        <w:pStyle w:val="Ttulo2"/>
        <w:numPr>
          <w:ilvl w:val="1"/>
          <w:numId w:val="35"/>
        </w:numPr>
        <w:ind w:left="426" w:hanging="284"/>
        <w:rPr>
          <w:bCs/>
        </w:rPr>
      </w:pPr>
      <w:bookmarkStart w:id="733" w:name="_Toc144114435"/>
      <w:r>
        <w:rPr>
          <w:bCs/>
        </w:rPr>
        <w:t>D</w:t>
      </w:r>
      <w:r w:rsidRPr="00A73BC3">
        <w:rPr>
          <w:bCs/>
        </w:rPr>
        <w:t>escripción del sistema financiero y de su marco de supervisión</w:t>
      </w:r>
      <w:bookmarkEnd w:id="733"/>
    </w:p>
    <w:p w14:paraId="5D47DD11" w14:textId="77777777" w:rsidR="00135E7F" w:rsidRDefault="00135E7F" w:rsidP="00C36261">
      <w:pPr>
        <w:jc w:val="both"/>
      </w:pPr>
    </w:p>
    <w:p w14:paraId="1714B617" w14:textId="77777777" w:rsidR="00C36261" w:rsidRDefault="00C36261" w:rsidP="00C36261">
      <w:pPr>
        <w:jc w:val="both"/>
      </w:pPr>
      <w:r>
        <w:t>En Guatemala, a</w:t>
      </w:r>
      <w:r w:rsidRPr="00F10DBB">
        <w:t>l cierre de 2022, la Superintendencia de Bancos</w:t>
      </w:r>
      <w:r>
        <w:t xml:space="preserve"> -SIB-</w:t>
      </w:r>
      <w:r w:rsidRPr="00F10DBB">
        <w:t xml:space="preserve"> </w:t>
      </w:r>
      <w:r>
        <w:t>tuvo</w:t>
      </w:r>
      <w:r w:rsidRPr="00F10DBB">
        <w:t xml:space="preserve"> bajo su vigilancia e inspección, además del Banco de Guatemala, a 93 instituciones financieras con activos que ascienden a Q524,805 millones. El sistema bancario tiene la mayor participación medida por activos con 92.7% aunque únicamente son 17 entidades, seguido por las compañías de </w:t>
      </w:r>
      <w:r w:rsidRPr="00F10DBB">
        <w:lastRenderedPageBreak/>
        <w:t>seguros con 2.6%</w:t>
      </w:r>
      <w:r>
        <w:t>,</w:t>
      </w:r>
      <w:r w:rsidRPr="00F10DBB">
        <w:t xml:space="preserve"> aunque en número de entidades son 28, las empresas especializadas en servicios financieros con 1.9%; las sociedades financieras tienen una participación de 1.7% y las entidades fuera de plaza de 0.4%. Asimismo, el restante 0.7% corresponde a almacenes generales de depósito, casas de cambio, casas de bolsa, el Instituto de Fomento de Hipotecas Aseguradas -FHA-, una entidad microfinanciera de ahorro y crédito, el Departamento de Monte de Piedad de El Crédito Hipotecario Nacional de Guatemala y una empresa de naturaleza financiera (</w:t>
      </w:r>
      <w:proofErr w:type="spellStart"/>
      <w:r w:rsidRPr="00F10DBB">
        <w:t>Interconsumo</w:t>
      </w:r>
      <w:proofErr w:type="spellEnd"/>
      <w:r w:rsidRPr="00F10DBB">
        <w:t xml:space="preserve">, S.A.). </w:t>
      </w:r>
    </w:p>
    <w:p w14:paraId="0C1A3B93" w14:textId="77777777" w:rsidR="00135E7F" w:rsidRPr="00F10DBB" w:rsidRDefault="00135E7F" w:rsidP="00C36261">
      <w:pPr>
        <w:jc w:val="both"/>
      </w:pPr>
    </w:p>
    <w:p w14:paraId="109A5298" w14:textId="77777777" w:rsidR="00C36261" w:rsidRDefault="00C36261" w:rsidP="00C36261">
      <w:pPr>
        <w:jc w:val="both"/>
      </w:pPr>
      <w:r w:rsidRPr="00F10DBB">
        <w:t xml:space="preserve">Cabe indicar que, a diciembre de 2022, 46 instituciones supervisadas pertenecen a los diez grupos financieros legalmente autorizados para operar en el país, los cuales están sujetos a </w:t>
      </w:r>
      <w:r>
        <w:t xml:space="preserve">la </w:t>
      </w:r>
      <w:r w:rsidRPr="00F10DBB">
        <w:t>supervisión consolidada por parte de la Superintendencia de Bancos.</w:t>
      </w:r>
    </w:p>
    <w:p w14:paraId="003C3DAD" w14:textId="77777777" w:rsidR="00135E7F" w:rsidRPr="00F10DBB" w:rsidRDefault="00135E7F" w:rsidP="00C36261">
      <w:pPr>
        <w:jc w:val="both"/>
      </w:pPr>
    </w:p>
    <w:p w14:paraId="0B5F5A94" w14:textId="36A59BAA" w:rsidR="00C36261" w:rsidRPr="00A77D12" w:rsidRDefault="00A77D12" w:rsidP="00A77D12">
      <w:pPr>
        <w:pStyle w:val="Descripcin"/>
        <w:keepNext/>
        <w:rPr>
          <w:color w:val="auto"/>
        </w:rPr>
      </w:pPr>
      <w:bookmarkStart w:id="734" w:name="_Toc143593540"/>
      <w:r w:rsidRPr="00A77D12">
        <w:rPr>
          <w:color w:val="auto"/>
        </w:rPr>
        <w:t xml:space="preserve">Tabla </w:t>
      </w:r>
      <w:r w:rsidRPr="00A77D12">
        <w:rPr>
          <w:color w:val="auto"/>
        </w:rPr>
        <w:fldChar w:fldCharType="begin"/>
      </w:r>
      <w:r w:rsidRPr="00A77D12">
        <w:rPr>
          <w:color w:val="auto"/>
        </w:rPr>
        <w:instrText xml:space="preserve"> SEQ Tabla \* ARABIC </w:instrText>
      </w:r>
      <w:r w:rsidRPr="00A77D12">
        <w:rPr>
          <w:color w:val="auto"/>
        </w:rPr>
        <w:fldChar w:fldCharType="separate"/>
      </w:r>
      <w:r w:rsidR="00A62AFA">
        <w:rPr>
          <w:noProof/>
          <w:color w:val="auto"/>
        </w:rPr>
        <w:t>38</w:t>
      </w:r>
      <w:r w:rsidRPr="00A77D12">
        <w:rPr>
          <w:color w:val="auto"/>
        </w:rPr>
        <w:fldChar w:fldCharType="end"/>
      </w:r>
      <w:r w:rsidRPr="00A77D12">
        <w:rPr>
          <w:color w:val="auto"/>
        </w:rPr>
        <w:t xml:space="preserve">.  </w:t>
      </w:r>
      <w:r w:rsidR="00C36261" w:rsidRPr="00A77D12">
        <w:rPr>
          <w:bCs/>
          <w:color w:val="auto"/>
        </w:rPr>
        <w:t>Entidades Supervisadas por la Superintendencia de Bancos -SIB</w:t>
      </w:r>
      <w:bookmarkEnd w:id="734"/>
    </w:p>
    <w:tbl>
      <w:tblPr>
        <w:tblW w:w="8828" w:type="dxa"/>
        <w:tblCellMar>
          <w:left w:w="70" w:type="dxa"/>
          <w:right w:w="70" w:type="dxa"/>
        </w:tblCellMar>
        <w:tblLook w:val="04A0" w:firstRow="1" w:lastRow="0" w:firstColumn="1" w:lastColumn="0" w:noHBand="0" w:noVBand="1"/>
      </w:tblPr>
      <w:tblGrid>
        <w:gridCol w:w="3514"/>
        <w:gridCol w:w="881"/>
        <w:gridCol w:w="1051"/>
        <w:gridCol w:w="844"/>
        <w:gridCol w:w="845"/>
        <w:gridCol w:w="703"/>
        <w:gridCol w:w="990"/>
      </w:tblGrid>
      <w:tr w:rsidR="00C36261" w:rsidRPr="00F10DBB" w14:paraId="52A19679" w14:textId="77777777" w:rsidTr="006A7377">
        <w:trPr>
          <w:trHeight w:val="234"/>
        </w:trPr>
        <w:tc>
          <w:tcPr>
            <w:tcW w:w="3514" w:type="dxa"/>
            <w:tcBorders>
              <w:top w:val="nil"/>
              <w:left w:val="nil"/>
              <w:bottom w:val="nil"/>
              <w:right w:val="nil"/>
            </w:tcBorders>
            <w:shd w:val="clear" w:color="000000" w:fill="FFFFFF"/>
            <w:noWrap/>
            <w:vAlign w:val="bottom"/>
            <w:hideMark/>
          </w:tcPr>
          <w:p w14:paraId="64228C92" w14:textId="77777777" w:rsidR="00C36261" w:rsidRPr="00F10DBB" w:rsidRDefault="00C36261" w:rsidP="006A7377">
            <w:pPr>
              <w:rPr>
                <w:color w:val="000000"/>
              </w:rPr>
            </w:pPr>
            <w:r w:rsidRPr="00F10DBB">
              <w:rPr>
                <w:color w:val="000000"/>
              </w:rPr>
              <w:t> </w:t>
            </w:r>
          </w:p>
        </w:tc>
        <w:tc>
          <w:tcPr>
            <w:tcW w:w="881" w:type="dxa"/>
            <w:tcBorders>
              <w:top w:val="nil"/>
              <w:left w:val="nil"/>
              <w:bottom w:val="nil"/>
              <w:right w:val="nil"/>
            </w:tcBorders>
            <w:shd w:val="clear" w:color="000000" w:fill="FFFFFF"/>
            <w:noWrap/>
            <w:vAlign w:val="bottom"/>
            <w:hideMark/>
          </w:tcPr>
          <w:p w14:paraId="1C77AEB5" w14:textId="77777777" w:rsidR="00C36261" w:rsidRPr="00F10DBB" w:rsidRDefault="00C36261" w:rsidP="006A7377">
            <w:pPr>
              <w:rPr>
                <w:color w:val="000000"/>
              </w:rPr>
            </w:pPr>
            <w:r w:rsidRPr="00F10DBB">
              <w:rPr>
                <w:color w:val="000000"/>
              </w:rPr>
              <w:t> </w:t>
            </w:r>
          </w:p>
        </w:tc>
        <w:tc>
          <w:tcPr>
            <w:tcW w:w="1051" w:type="dxa"/>
            <w:tcBorders>
              <w:top w:val="nil"/>
              <w:left w:val="nil"/>
              <w:bottom w:val="nil"/>
              <w:right w:val="nil"/>
            </w:tcBorders>
            <w:shd w:val="clear" w:color="000000" w:fill="FFFFFF"/>
            <w:noWrap/>
            <w:vAlign w:val="bottom"/>
            <w:hideMark/>
          </w:tcPr>
          <w:p w14:paraId="36761E49" w14:textId="77777777" w:rsidR="00C36261" w:rsidRPr="00F10DBB" w:rsidRDefault="00C36261" w:rsidP="006A7377">
            <w:pPr>
              <w:rPr>
                <w:color w:val="000000"/>
              </w:rPr>
            </w:pPr>
            <w:r w:rsidRPr="00F10DBB">
              <w:rPr>
                <w:color w:val="000000"/>
              </w:rPr>
              <w:t> </w:t>
            </w:r>
          </w:p>
        </w:tc>
        <w:tc>
          <w:tcPr>
            <w:tcW w:w="3382" w:type="dxa"/>
            <w:gridSpan w:val="4"/>
            <w:tcBorders>
              <w:top w:val="single" w:sz="8" w:space="0" w:color="auto"/>
              <w:left w:val="single" w:sz="8" w:space="0" w:color="auto"/>
              <w:bottom w:val="single" w:sz="8" w:space="0" w:color="auto"/>
              <w:right w:val="single" w:sz="8" w:space="0" w:color="000000"/>
            </w:tcBorders>
            <w:shd w:val="clear" w:color="000000" w:fill="B4C6E7"/>
            <w:noWrap/>
            <w:vAlign w:val="bottom"/>
            <w:hideMark/>
          </w:tcPr>
          <w:p w14:paraId="6C74A9C3" w14:textId="77777777" w:rsidR="00C36261" w:rsidRPr="00F10DBB" w:rsidRDefault="00C36261" w:rsidP="006A7377">
            <w:pPr>
              <w:jc w:val="center"/>
              <w:rPr>
                <w:b/>
                <w:bCs/>
                <w:color w:val="000000"/>
              </w:rPr>
            </w:pPr>
            <w:r w:rsidRPr="00F10DBB">
              <w:rPr>
                <w:b/>
                <w:bCs/>
                <w:color w:val="000000"/>
                <w:sz w:val="18"/>
                <w:szCs w:val="18"/>
              </w:rPr>
              <w:t>Millones de quetzales</w:t>
            </w:r>
          </w:p>
        </w:tc>
      </w:tr>
      <w:tr w:rsidR="00C36261" w:rsidRPr="00F10DBB" w14:paraId="035421B0" w14:textId="77777777" w:rsidTr="006A7377">
        <w:trPr>
          <w:trHeight w:val="572"/>
        </w:trPr>
        <w:tc>
          <w:tcPr>
            <w:tcW w:w="3514" w:type="dxa"/>
            <w:tcBorders>
              <w:top w:val="single" w:sz="8" w:space="0" w:color="auto"/>
              <w:left w:val="single" w:sz="8" w:space="0" w:color="auto"/>
              <w:bottom w:val="single" w:sz="8" w:space="0" w:color="auto"/>
              <w:right w:val="single" w:sz="8" w:space="0" w:color="auto"/>
            </w:tcBorders>
            <w:shd w:val="clear" w:color="000000" w:fill="8EA9DB"/>
            <w:noWrap/>
            <w:vAlign w:val="center"/>
            <w:hideMark/>
          </w:tcPr>
          <w:p w14:paraId="1C168AE2" w14:textId="77777777" w:rsidR="00C36261" w:rsidRPr="00F10DBB" w:rsidRDefault="00C36261" w:rsidP="006A7377">
            <w:pPr>
              <w:jc w:val="center"/>
              <w:rPr>
                <w:b/>
                <w:bCs/>
                <w:color w:val="000000"/>
                <w:sz w:val="16"/>
                <w:szCs w:val="16"/>
              </w:rPr>
            </w:pPr>
            <w:r w:rsidRPr="00F10DBB">
              <w:rPr>
                <w:b/>
                <w:bCs/>
                <w:color w:val="000000"/>
                <w:sz w:val="16"/>
                <w:szCs w:val="16"/>
              </w:rPr>
              <w:t>Tipo de Institución</w:t>
            </w:r>
          </w:p>
        </w:tc>
        <w:tc>
          <w:tcPr>
            <w:tcW w:w="881" w:type="dxa"/>
            <w:tcBorders>
              <w:top w:val="single" w:sz="8" w:space="0" w:color="auto"/>
              <w:left w:val="nil"/>
              <w:bottom w:val="single" w:sz="8" w:space="0" w:color="auto"/>
              <w:right w:val="single" w:sz="8" w:space="0" w:color="auto"/>
            </w:tcBorders>
            <w:shd w:val="clear" w:color="000000" w:fill="8EA9DB"/>
            <w:vAlign w:val="center"/>
            <w:hideMark/>
          </w:tcPr>
          <w:p w14:paraId="27DABB4C" w14:textId="77777777" w:rsidR="00C36261" w:rsidRPr="00F10DBB" w:rsidRDefault="00C36261" w:rsidP="006A7377">
            <w:pPr>
              <w:jc w:val="center"/>
              <w:rPr>
                <w:b/>
                <w:bCs/>
                <w:color w:val="000000"/>
                <w:sz w:val="16"/>
                <w:szCs w:val="16"/>
              </w:rPr>
            </w:pPr>
            <w:r w:rsidRPr="00F10DBB">
              <w:rPr>
                <w:b/>
                <w:bCs/>
                <w:color w:val="000000"/>
                <w:sz w:val="16"/>
                <w:szCs w:val="16"/>
              </w:rPr>
              <w:t>Número de Entidades</w:t>
            </w:r>
          </w:p>
        </w:tc>
        <w:tc>
          <w:tcPr>
            <w:tcW w:w="1051" w:type="dxa"/>
            <w:tcBorders>
              <w:top w:val="single" w:sz="8" w:space="0" w:color="auto"/>
              <w:left w:val="nil"/>
              <w:bottom w:val="single" w:sz="8" w:space="0" w:color="auto"/>
              <w:right w:val="single" w:sz="8" w:space="0" w:color="auto"/>
            </w:tcBorders>
            <w:shd w:val="clear" w:color="000000" w:fill="8EA9DB"/>
            <w:vAlign w:val="center"/>
            <w:hideMark/>
          </w:tcPr>
          <w:p w14:paraId="0D50191F" w14:textId="77777777" w:rsidR="00C36261" w:rsidRPr="00F10DBB" w:rsidRDefault="00C36261" w:rsidP="006A7377">
            <w:pPr>
              <w:jc w:val="center"/>
              <w:rPr>
                <w:b/>
                <w:bCs/>
                <w:color w:val="000000"/>
                <w:sz w:val="16"/>
                <w:szCs w:val="16"/>
              </w:rPr>
            </w:pPr>
            <w:r w:rsidRPr="00F10DBB">
              <w:rPr>
                <w:b/>
                <w:bCs/>
                <w:color w:val="000000"/>
                <w:sz w:val="16"/>
                <w:szCs w:val="16"/>
              </w:rPr>
              <w:t>Estructura de los activos %</w:t>
            </w:r>
          </w:p>
        </w:tc>
        <w:tc>
          <w:tcPr>
            <w:tcW w:w="844" w:type="dxa"/>
            <w:tcBorders>
              <w:top w:val="nil"/>
              <w:left w:val="nil"/>
              <w:bottom w:val="single" w:sz="8" w:space="0" w:color="auto"/>
              <w:right w:val="single" w:sz="8" w:space="0" w:color="auto"/>
            </w:tcBorders>
            <w:shd w:val="clear" w:color="000000" w:fill="8EA9DB"/>
            <w:vAlign w:val="center"/>
            <w:hideMark/>
          </w:tcPr>
          <w:p w14:paraId="54E06AD0" w14:textId="77777777" w:rsidR="00C36261" w:rsidRPr="00F10DBB" w:rsidRDefault="00C36261" w:rsidP="006A7377">
            <w:pPr>
              <w:jc w:val="center"/>
              <w:rPr>
                <w:b/>
                <w:bCs/>
                <w:color w:val="000000"/>
                <w:sz w:val="16"/>
                <w:szCs w:val="16"/>
              </w:rPr>
            </w:pPr>
            <w:r w:rsidRPr="00F10DBB">
              <w:rPr>
                <w:b/>
                <w:bCs/>
                <w:color w:val="000000"/>
                <w:sz w:val="16"/>
                <w:szCs w:val="16"/>
              </w:rPr>
              <w:t>Activo</w:t>
            </w:r>
          </w:p>
        </w:tc>
        <w:tc>
          <w:tcPr>
            <w:tcW w:w="845" w:type="dxa"/>
            <w:tcBorders>
              <w:top w:val="nil"/>
              <w:left w:val="nil"/>
              <w:bottom w:val="single" w:sz="8" w:space="0" w:color="auto"/>
              <w:right w:val="single" w:sz="8" w:space="0" w:color="auto"/>
            </w:tcBorders>
            <w:shd w:val="clear" w:color="000000" w:fill="8EA9DB"/>
            <w:vAlign w:val="center"/>
            <w:hideMark/>
          </w:tcPr>
          <w:p w14:paraId="406EA260" w14:textId="77777777" w:rsidR="00C36261" w:rsidRPr="00F10DBB" w:rsidRDefault="00C36261" w:rsidP="006A7377">
            <w:pPr>
              <w:jc w:val="center"/>
              <w:rPr>
                <w:b/>
                <w:bCs/>
                <w:color w:val="000000"/>
                <w:sz w:val="16"/>
                <w:szCs w:val="16"/>
              </w:rPr>
            </w:pPr>
            <w:r w:rsidRPr="00F10DBB">
              <w:rPr>
                <w:b/>
                <w:bCs/>
                <w:color w:val="000000"/>
                <w:sz w:val="16"/>
                <w:szCs w:val="16"/>
              </w:rPr>
              <w:t>Pasivo</w:t>
            </w:r>
          </w:p>
        </w:tc>
        <w:tc>
          <w:tcPr>
            <w:tcW w:w="703" w:type="dxa"/>
            <w:tcBorders>
              <w:top w:val="nil"/>
              <w:left w:val="nil"/>
              <w:bottom w:val="single" w:sz="8" w:space="0" w:color="auto"/>
              <w:right w:val="single" w:sz="8" w:space="0" w:color="auto"/>
            </w:tcBorders>
            <w:shd w:val="clear" w:color="000000" w:fill="8EA9DB"/>
            <w:vAlign w:val="center"/>
            <w:hideMark/>
          </w:tcPr>
          <w:p w14:paraId="6F581D88" w14:textId="77777777" w:rsidR="00C36261" w:rsidRPr="00F10DBB" w:rsidRDefault="00C36261" w:rsidP="006A7377">
            <w:pPr>
              <w:jc w:val="center"/>
              <w:rPr>
                <w:b/>
                <w:bCs/>
                <w:color w:val="000000"/>
                <w:sz w:val="16"/>
                <w:szCs w:val="16"/>
              </w:rPr>
            </w:pPr>
            <w:r w:rsidRPr="00F10DBB">
              <w:rPr>
                <w:b/>
                <w:bCs/>
                <w:color w:val="000000"/>
                <w:sz w:val="16"/>
                <w:szCs w:val="16"/>
              </w:rPr>
              <w:t>Capital</w:t>
            </w:r>
          </w:p>
        </w:tc>
        <w:tc>
          <w:tcPr>
            <w:tcW w:w="990" w:type="dxa"/>
            <w:tcBorders>
              <w:top w:val="nil"/>
              <w:left w:val="nil"/>
              <w:bottom w:val="single" w:sz="8" w:space="0" w:color="auto"/>
              <w:right w:val="single" w:sz="8" w:space="0" w:color="auto"/>
            </w:tcBorders>
            <w:shd w:val="clear" w:color="000000" w:fill="8EA9DB"/>
            <w:vAlign w:val="center"/>
            <w:hideMark/>
          </w:tcPr>
          <w:p w14:paraId="2271D063" w14:textId="77777777" w:rsidR="00C36261" w:rsidRPr="00F10DBB" w:rsidRDefault="00C36261" w:rsidP="006A7377">
            <w:pPr>
              <w:jc w:val="center"/>
              <w:rPr>
                <w:b/>
                <w:bCs/>
                <w:color w:val="000000"/>
                <w:sz w:val="16"/>
                <w:szCs w:val="16"/>
              </w:rPr>
            </w:pPr>
            <w:r w:rsidRPr="00F10DBB">
              <w:rPr>
                <w:b/>
                <w:bCs/>
                <w:color w:val="000000"/>
                <w:sz w:val="16"/>
                <w:szCs w:val="16"/>
              </w:rPr>
              <w:t>Resultado antes de impuestos</w:t>
            </w:r>
          </w:p>
        </w:tc>
      </w:tr>
      <w:tr w:rsidR="00C36261" w:rsidRPr="00F10DBB" w14:paraId="4D3C169B" w14:textId="77777777" w:rsidTr="00A77D12">
        <w:trPr>
          <w:trHeight w:val="198"/>
        </w:trPr>
        <w:tc>
          <w:tcPr>
            <w:tcW w:w="3514" w:type="dxa"/>
            <w:tcBorders>
              <w:top w:val="nil"/>
              <w:left w:val="single" w:sz="8" w:space="0" w:color="auto"/>
              <w:bottom w:val="nil"/>
              <w:right w:val="single" w:sz="8" w:space="0" w:color="auto"/>
            </w:tcBorders>
            <w:shd w:val="clear" w:color="000000" w:fill="FFFFFF"/>
            <w:noWrap/>
            <w:vAlign w:val="bottom"/>
            <w:hideMark/>
          </w:tcPr>
          <w:p w14:paraId="4D9D077F" w14:textId="77777777" w:rsidR="00C36261" w:rsidRPr="00F10DBB" w:rsidRDefault="00C36261" w:rsidP="006A7377">
            <w:pPr>
              <w:rPr>
                <w:color w:val="000000"/>
                <w:sz w:val="16"/>
                <w:szCs w:val="16"/>
              </w:rPr>
            </w:pPr>
            <w:r w:rsidRPr="00F10DBB">
              <w:rPr>
                <w:color w:val="000000"/>
                <w:sz w:val="16"/>
                <w:szCs w:val="16"/>
              </w:rPr>
              <w:t xml:space="preserve">Sistema bancario </w:t>
            </w:r>
          </w:p>
        </w:tc>
        <w:tc>
          <w:tcPr>
            <w:tcW w:w="881" w:type="dxa"/>
            <w:tcBorders>
              <w:top w:val="nil"/>
              <w:left w:val="nil"/>
              <w:bottom w:val="nil"/>
              <w:right w:val="single" w:sz="8" w:space="0" w:color="auto"/>
            </w:tcBorders>
            <w:shd w:val="clear" w:color="000000" w:fill="FFFFFF"/>
            <w:noWrap/>
            <w:vAlign w:val="bottom"/>
            <w:hideMark/>
          </w:tcPr>
          <w:p w14:paraId="1C357393" w14:textId="77777777" w:rsidR="00C36261" w:rsidRPr="00F10DBB" w:rsidRDefault="00C36261" w:rsidP="006A7377">
            <w:pPr>
              <w:jc w:val="center"/>
              <w:rPr>
                <w:color w:val="000000"/>
                <w:sz w:val="16"/>
                <w:szCs w:val="16"/>
              </w:rPr>
            </w:pPr>
            <w:r w:rsidRPr="00F10DBB">
              <w:rPr>
                <w:color w:val="000000"/>
                <w:sz w:val="16"/>
                <w:szCs w:val="16"/>
              </w:rPr>
              <w:t>17</w:t>
            </w:r>
          </w:p>
        </w:tc>
        <w:tc>
          <w:tcPr>
            <w:tcW w:w="1051" w:type="dxa"/>
            <w:tcBorders>
              <w:top w:val="nil"/>
              <w:left w:val="nil"/>
              <w:bottom w:val="nil"/>
              <w:right w:val="single" w:sz="8" w:space="0" w:color="auto"/>
            </w:tcBorders>
            <w:shd w:val="clear" w:color="000000" w:fill="FFFFFF"/>
            <w:noWrap/>
            <w:vAlign w:val="bottom"/>
            <w:hideMark/>
          </w:tcPr>
          <w:p w14:paraId="499F901D" w14:textId="77777777" w:rsidR="00C36261" w:rsidRPr="00F10DBB" w:rsidRDefault="00C36261" w:rsidP="006A7377">
            <w:pPr>
              <w:jc w:val="center"/>
              <w:rPr>
                <w:color w:val="000000"/>
                <w:sz w:val="16"/>
                <w:szCs w:val="16"/>
              </w:rPr>
            </w:pPr>
            <w:r w:rsidRPr="00F10DBB">
              <w:rPr>
                <w:color w:val="000000"/>
                <w:sz w:val="16"/>
                <w:szCs w:val="16"/>
              </w:rPr>
              <w:t>92.7</w:t>
            </w:r>
          </w:p>
        </w:tc>
        <w:tc>
          <w:tcPr>
            <w:tcW w:w="844" w:type="dxa"/>
            <w:tcBorders>
              <w:top w:val="nil"/>
              <w:left w:val="nil"/>
              <w:bottom w:val="nil"/>
              <w:right w:val="single" w:sz="8" w:space="0" w:color="auto"/>
            </w:tcBorders>
            <w:shd w:val="clear" w:color="000000" w:fill="FFFFFF"/>
            <w:noWrap/>
            <w:vAlign w:val="bottom"/>
            <w:hideMark/>
          </w:tcPr>
          <w:p w14:paraId="09688DD8" w14:textId="77777777" w:rsidR="00C36261" w:rsidRPr="00F10DBB" w:rsidRDefault="00C36261" w:rsidP="006A7377">
            <w:pPr>
              <w:jc w:val="center"/>
              <w:rPr>
                <w:color w:val="000000"/>
                <w:sz w:val="16"/>
                <w:szCs w:val="16"/>
              </w:rPr>
            </w:pPr>
            <w:r w:rsidRPr="00F10DBB">
              <w:rPr>
                <w:color w:val="000000"/>
                <w:sz w:val="16"/>
                <w:szCs w:val="16"/>
              </w:rPr>
              <w:t>486,323</w:t>
            </w:r>
          </w:p>
        </w:tc>
        <w:tc>
          <w:tcPr>
            <w:tcW w:w="845" w:type="dxa"/>
            <w:tcBorders>
              <w:top w:val="nil"/>
              <w:left w:val="nil"/>
              <w:bottom w:val="nil"/>
              <w:right w:val="single" w:sz="8" w:space="0" w:color="auto"/>
            </w:tcBorders>
            <w:shd w:val="clear" w:color="000000" w:fill="FFFFFF"/>
            <w:noWrap/>
            <w:vAlign w:val="bottom"/>
            <w:hideMark/>
          </w:tcPr>
          <w:p w14:paraId="0B163AC3" w14:textId="77777777" w:rsidR="00C36261" w:rsidRPr="00F10DBB" w:rsidRDefault="00C36261" w:rsidP="006A7377">
            <w:pPr>
              <w:jc w:val="center"/>
              <w:rPr>
                <w:color w:val="000000"/>
                <w:sz w:val="16"/>
                <w:szCs w:val="16"/>
              </w:rPr>
            </w:pPr>
            <w:r w:rsidRPr="00F10DBB">
              <w:rPr>
                <w:color w:val="000000"/>
                <w:sz w:val="16"/>
                <w:szCs w:val="16"/>
              </w:rPr>
              <w:t>439,854</w:t>
            </w:r>
          </w:p>
        </w:tc>
        <w:tc>
          <w:tcPr>
            <w:tcW w:w="703" w:type="dxa"/>
            <w:tcBorders>
              <w:top w:val="nil"/>
              <w:left w:val="nil"/>
              <w:bottom w:val="nil"/>
              <w:right w:val="single" w:sz="8" w:space="0" w:color="auto"/>
            </w:tcBorders>
            <w:shd w:val="clear" w:color="000000" w:fill="FFFFFF"/>
            <w:noWrap/>
            <w:vAlign w:val="bottom"/>
            <w:hideMark/>
          </w:tcPr>
          <w:p w14:paraId="6ED91385" w14:textId="77777777" w:rsidR="00C36261" w:rsidRPr="00F10DBB" w:rsidRDefault="00C36261" w:rsidP="006A7377">
            <w:pPr>
              <w:jc w:val="center"/>
              <w:rPr>
                <w:color w:val="000000"/>
                <w:sz w:val="16"/>
                <w:szCs w:val="16"/>
              </w:rPr>
            </w:pPr>
            <w:r w:rsidRPr="00F10DBB">
              <w:rPr>
                <w:color w:val="000000"/>
                <w:sz w:val="16"/>
                <w:szCs w:val="16"/>
              </w:rPr>
              <w:t>46,469</w:t>
            </w:r>
          </w:p>
        </w:tc>
        <w:tc>
          <w:tcPr>
            <w:tcW w:w="990" w:type="dxa"/>
            <w:tcBorders>
              <w:top w:val="nil"/>
              <w:left w:val="nil"/>
              <w:bottom w:val="nil"/>
              <w:right w:val="single" w:sz="8" w:space="0" w:color="auto"/>
            </w:tcBorders>
            <w:shd w:val="clear" w:color="000000" w:fill="FFFFFF"/>
            <w:noWrap/>
            <w:vAlign w:val="bottom"/>
            <w:hideMark/>
          </w:tcPr>
          <w:p w14:paraId="18CEB680" w14:textId="77777777" w:rsidR="00C36261" w:rsidRPr="00F10DBB" w:rsidRDefault="00C36261" w:rsidP="006A7377">
            <w:pPr>
              <w:jc w:val="center"/>
              <w:rPr>
                <w:color w:val="000000"/>
                <w:sz w:val="16"/>
                <w:szCs w:val="16"/>
              </w:rPr>
            </w:pPr>
            <w:r w:rsidRPr="00F10DBB">
              <w:rPr>
                <w:color w:val="000000"/>
                <w:sz w:val="16"/>
                <w:szCs w:val="16"/>
              </w:rPr>
              <w:t>10,427</w:t>
            </w:r>
          </w:p>
        </w:tc>
      </w:tr>
      <w:tr w:rsidR="00C36261" w:rsidRPr="00F10DBB" w14:paraId="2242C799" w14:textId="77777777" w:rsidTr="00A77D12">
        <w:trPr>
          <w:trHeight w:val="150"/>
        </w:trPr>
        <w:tc>
          <w:tcPr>
            <w:tcW w:w="3514" w:type="dxa"/>
            <w:tcBorders>
              <w:top w:val="nil"/>
              <w:left w:val="single" w:sz="8" w:space="0" w:color="auto"/>
              <w:bottom w:val="nil"/>
              <w:right w:val="single" w:sz="8" w:space="0" w:color="auto"/>
            </w:tcBorders>
            <w:shd w:val="clear" w:color="000000" w:fill="FFFFFF"/>
            <w:noWrap/>
            <w:vAlign w:val="bottom"/>
            <w:hideMark/>
          </w:tcPr>
          <w:p w14:paraId="153C0470" w14:textId="77777777" w:rsidR="00C36261" w:rsidRPr="00F10DBB" w:rsidRDefault="00C36261" w:rsidP="006A7377">
            <w:pPr>
              <w:rPr>
                <w:color w:val="000000"/>
                <w:sz w:val="16"/>
                <w:szCs w:val="16"/>
              </w:rPr>
            </w:pPr>
            <w:r w:rsidRPr="00F10DBB">
              <w:rPr>
                <w:color w:val="000000"/>
                <w:sz w:val="16"/>
                <w:szCs w:val="16"/>
              </w:rPr>
              <w:t>Compañías de Seguro</w:t>
            </w:r>
          </w:p>
        </w:tc>
        <w:tc>
          <w:tcPr>
            <w:tcW w:w="881" w:type="dxa"/>
            <w:tcBorders>
              <w:top w:val="nil"/>
              <w:left w:val="nil"/>
              <w:bottom w:val="nil"/>
              <w:right w:val="single" w:sz="8" w:space="0" w:color="auto"/>
            </w:tcBorders>
            <w:shd w:val="clear" w:color="000000" w:fill="FFFFFF"/>
            <w:noWrap/>
            <w:vAlign w:val="bottom"/>
            <w:hideMark/>
          </w:tcPr>
          <w:p w14:paraId="3A830525" w14:textId="77777777" w:rsidR="00C36261" w:rsidRPr="00F10DBB" w:rsidRDefault="00C36261" w:rsidP="006A7377">
            <w:pPr>
              <w:jc w:val="center"/>
              <w:rPr>
                <w:color w:val="000000"/>
                <w:sz w:val="16"/>
                <w:szCs w:val="16"/>
              </w:rPr>
            </w:pPr>
            <w:r w:rsidRPr="00F10DBB">
              <w:rPr>
                <w:color w:val="000000"/>
                <w:sz w:val="16"/>
                <w:szCs w:val="16"/>
              </w:rPr>
              <w:t>28</w:t>
            </w:r>
          </w:p>
        </w:tc>
        <w:tc>
          <w:tcPr>
            <w:tcW w:w="1051" w:type="dxa"/>
            <w:tcBorders>
              <w:top w:val="nil"/>
              <w:left w:val="nil"/>
              <w:bottom w:val="nil"/>
              <w:right w:val="single" w:sz="8" w:space="0" w:color="auto"/>
            </w:tcBorders>
            <w:shd w:val="clear" w:color="000000" w:fill="FFFFFF"/>
            <w:noWrap/>
            <w:vAlign w:val="bottom"/>
            <w:hideMark/>
          </w:tcPr>
          <w:p w14:paraId="4F6928B8" w14:textId="77777777" w:rsidR="00C36261" w:rsidRPr="00F10DBB" w:rsidRDefault="00C36261" w:rsidP="006A7377">
            <w:pPr>
              <w:jc w:val="center"/>
              <w:rPr>
                <w:color w:val="000000"/>
                <w:sz w:val="16"/>
                <w:szCs w:val="16"/>
              </w:rPr>
            </w:pPr>
            <w:r w:rsidRPr="00F10DBB">
              <w:rPr>
                <w:color w:val="000000"/>
                <w:sz w:val="16"/>
                <w:szCs w:val="16"/>
              </w:rPr>
              <w:t>2.6</w:t>
            </w:r>
          </w:p>
        </w:tc>
        <w:tc>
          <w:tcPr>
            <w:tcW w:w="844" w:type="dxa"/>
            <w:tcBorders>
              <w:top w:val="nil"/>
              <w:left w:val="nil"/>
              <w:bottom w:val="nil"/>
              <w:right w:val="single" w:sz="8" w:space="0" w:color="auto"/>
            </w:tcBorders>
            <w:shd w:val="clear" w:color="000000" w:fill="FFFFFF"/>
            <w:noWrap/>
            <w:vAlign w:val="bottom"/>
            <w:hideMark/>
          </w:tcPr>
          <w:p w14:paraId="104BF13D" w14:textId="77777777" w:rsidR="00C36261" w:rsidRPr="00F10DBB" w:rsidRDefault="00C36261" w:rsidP="006A7377">
            <w:pPr>
              <w:jc w:val="center"/>
              <w:rPr>
                <w:color w:val="000000"/>
                <w:sz w:val="16"/>
                <w:szCs w:val="16"/>
              </w:rPr>
            </w:pPr>
            <w:r w:rsidRPr="00F10DBB">
              <w:rPr>
                <w:color w:val="000000"/>
                <w:sz w:val="16"/>
                <w:szCs w:val="16"/>
              </w:rPr>
              <w:t>13,857</w:t>
            </w:r>
          </w:p>
        </w:tc>
        <w:tc>
          <w:tcPr>
            <w:tcW w:w="845" w:type="dxa"/>
            <w:tcBorders>
              <w:top w:val="nil"/>
              <w:left w:val="nil"/>
              <w:bottom w:val="nil"/>
              <w:right w:val="single" w:sz="8" w:space="0" w:color="auto"/>
            </w:tcBorders>
            <w:shd w:val="clear" w:color="000000" w:fill="FFFFFF"/>
            <w:noWrap/>
            <w:vAlign w:val="bottom"/>
            <w:hideMark/>
          </w:tcPr>
          <w:p w14:paraId="4C727532" w14:textId="77777777" w:rsidR="00C36261" w:rsidRPr="00F10DBB" w:rsidRDefault="00C36261" w:rsidP="006A7377">
            <w:pPr>
              <w:jc w:val="center"/>
              <w:rPr>
                <w:color w:val="000000"/>
                <w:sz w:val="16"/>
                <w:szCs w:val="16"/>
              </w:rPr>
            </w:pPr>
            <w:r w:rsidRPr="00F10DBB">
              <w:rPr>
                <w:color w:val="000000"/>
                <w:sz w:val="16"/>
                <w:szCs w:val="16"/>
              </w:rPr>
              <w:t>8,905</w:t>
            </w:r>
          </w:p>
        </w:tc>
        <w:tc>
          <w:tcPr>
            <w:tcW w:w="703" w:type="dxa"/>
            <w:tcBorders>
              <w:top w:val="nil"/>
              <w:left w:val="nil"/>
              <w:bottom w:val="nil"/>
              <w:right w:val="single" w:sz="8" w:space="0" w:color="auto"/>
            </w:tcBorders>
            <w:shd w:val="clear" w:color="000000" w:fill="FFFFFF"/>
            <w:noWrap/>
            <w:vAlign w:val="bottom"/>
            <w:hideMark/>
          </w:tcPr>
          <w:p w14:paraId="5E06D64E" w14:textId="77777777" w:rsidR="00C36261" w:rsidRPr="00F10DBB" w:rsidRDefault="00C36261" w:rsidP="006A7377">
            <w:pPr>
              <w:jc w:val="center"/>
              <w:rPr>
                <w:color w:val="000000"/>
                <w:sz w:val="16"/>
                <w:szCs w:val="16"/>
              </w:rPr>
            </w:pPr>
            <w:r w:rsidRPr="00F10DBB">
              <w:rPr>
                <w:color w:val="000000"/>
                <w:sz w:val="16"/>
                <w:szCs w:val="16"/>
              </w:rPr>
              <w:t>4,951</w:t>
            </w:r>
          </w:p>
        </w:tc>
        <w:tc>
          <w:tcPr>
            <w:tcW w:w="990" w:type="dxa"/>
            <w:tcBorders>
              <w:top w:val="nil"/>
              <w:left w:val="nil"/>
              <w:bottom w:val="nil"/>
              <w:right w:val="single" w:sz="8" w:space="0" w:color="auto"/>
            </w:tcBorders>
            <w:shd w:val="clear" w:color="000000" w:fill="FFFFFF"/>
            <w:noWrap/>
            <w:vAlign w:val="bottom"/>
            <w:hideMark/>
          </w:tcPr>
          <w:p w14:paraId="475851B1" w14:textId="77777777" w:rsidR="00C36261" w:rsidRPr="00F10DBB" w:rsidRDefault="00C36261" w:rsidP="006A7377">
            <w:pPr>
              <w:jc w:val="center"/>
              <w:rPr>
                <w:color w:val="000000"/>
                <w:sz w:val="16"/>
                <w:szCs w:val="16"/>
              </w:rPr>
            </w:pPr>
            <w:r w:rsidRPr="00F10DBB">
              <w:rPr>
                <w:color w:val="000000"/>
                <w:sz w:val="16"/>
                <w:szCs w:val="16"/>
              </w:rPr>
              <w:t>1,218</w:t>
            </w:r>
          </w:p>
        </w:tc>
      </w:tr>
      <w:tr w:rsidR="00C36261" w:rsidRPr="00F10DBB" w14:paraId="0745D1D0" w14:textId="77777777" w:rsidTr="00A77D12">
        <w:trPr>
          <w:trHeight w:val="239"/>
        </w:trPr>
        <w:tc>
          <w:tcPr>
            <w:tcW w:w="3514" w:type="dxa"/>
            <w:tcBorders>
              <w:top w:val="nil"/>
              <w:left w:val="single" w:sz="8" w:space="0" w:color="auto"/>
              <w:bottom w:val="nil"/>
              <w:right w:val="single" w:sz="8" w:space="0" w:color="auto"/>
            </w:tcBorders>
            <w:shd w:val="clear" w:color="000000" w:fill="FFFFFF"/>
            <w:noWrap/>
            <w:vAlign w:val="bottom"/>
            <w:hideMark/>
          </w:tcPr>
          <w:p w14:paraId="76EFF951" w14:textId="77777777" w:rsidR="00C36261" w:rsidRPr="00F10DBB" w:rsidRDefault="00C36261" w:rsidP="006A7377">
            <w:pPr>
              <w:rPr>
                <w:color w:val="000000"/>
                <w:sz w:val="16"/>
                <w:szCs w:val="16"/>
              </w:rPr>
            </w:pPr>
            <w:r w:rsidRPr="00F10DBB">
              <w:rPr>
                <w:color w:val="000000"/>
                <w:sz w:val="16"/>
                <w:szCs w:val="16"/>
              </w:rPr>
              <w:t xml:space="preserve">Empresas Especializadas en Servicios Financieros </w:t>
            </w:r>
            <w:r w:rsidRPr="00F10DBB">
              <w:rPr>
                <w:color w:val="000000"/>
                <w:sz w:val="16"/>
                <w:szCs w:val="16"/>
                <w:vertAlign w:val="superscript"/>
              </w:rPr>
              <w:t>a)</w:t>
            </w:r>
          </w:p>
        </w:tc>
        <w:tc>
          <w:tcPr>
            <w:tcW w:w="881" w:type="dxa"/>
            <w:tcBorders>
              <w:top w:val="nil"/>
              <w:left w:val="nil"/>
              <w:bottom w:val="nil"/>
              <w:right w:val="single" w:sz="8" w:space="0" w:color="auto"/>
            </w:tcBorders>
            <w:shd w:val="clear" w:color="000000" w:fill="FFFFFF"/>
            <w:noWrap/>
            <w:vAlign w:val="bottom"/>
            <w:hideMark/>
          </w:tcPr>
          <w:p w14:paraId="6F3C963A" w14:textId="77777777" w:rsidR="00C36261" w:rsidRPr="00F10DBB" w:rsidRDefault="00C36261" w:rsidP="006A7377">
            <w:pPr>
              <w:jc w:val="center"/>
              <w:rPr>
                <w:color w:val="000000"/>
                <w:sz w:val="16"/>
                <w:szCs w:val="16"/>
              </w:rPr>
            </w:pPr>
            <w:r w:rsidRPr="00F10DBB">
              <w:rPr>
                <w:color w:val="000000"/>
                <w:sz w:val="16"/>
                <w:szCs w:val="16"/>
              </w:rPr>
              <w:t>5</w:t>
            </w:r>
          </w:p>
        </w:tc>
        <w:tc>
          <w:tcPr>
            <w:tcW w:w="1051" w:type="dxa"/>
            <w:tcBorders>
              <w:top w:val="nil"/>
              <w:left w:val="nil"/>
              <w:bottom w:val="nil"/>
              <w:right w:val="single" w:sz="8" w:space="0" w:color="auto"/>
            </w:tcBorders>
            <w:shd w:val="clear" w:color="000000" w:fill="FFFFFF"/>
            <w:noWrap/>
            <w:vAlign w:val="bottom"/>
            <w:hideMark/>
          </w:tcPr>
          <w:p w14:paraId="025C2E61" w14:textId="77777777" w:rsidR="00C36261" w:rsidRPr="00F10DBB" w:rsidRDefault="00C36261" w:rsidP="006A7377">
            <w:pPr>
              <w:jc w:val="center"/>
              <w:rPr>
                <w:color w:val="000000"/>
                <w:sz w:val="16"/>
                <w:szCs w:val="16"/>
              </w:rPr>
            </w:pPr>
            <w:r w:rsidRPr="00F10DBB">
              <w:rPr>
                <w:color w:val="000000"/>
                <w:sz w:val="16"/>
                <w:szCs w:val="16"/>
              </w:rPr>
              <w:t>1.9</w:t>
            </w:r>
          </w:p>
        </w:tc>
        <w:tc>
          <w:tcPr>
            <w:tcW w:w="844" w:type="dxa"/>
            <w:tcBorders>
              <w:top w:val="nil"/>
              <w:left w:val="nil"/>
              <w:bottom w:val="nil"/>
              <w:right w:val="single" w:sz="8" w:space="0" w:color="auto"/>
            </w:tcBorders>
            <w:shd w:val="clear" w:color="000000" w:fill="FFFFFF"/>
            <w:noWrap/>
            <w:vAlign w:val="bottom"/>
            <w:hideMark/>
          </w:tcPr>
          <w:p w14:paraId="256BE3BB" w14:textId="77777777" w:rsidR="00C36261" w:rsidRPr="00F10DBB" w:rsidRDefault="00C36261" w:rsidP="006A7377">
            <w:pPr>
              <w:jc w:val="center"/>
              <w:rPr>
                <w:color w:val="000000"/>
                <w:sz w:val="16"/>
                <w:szCs w:val="16"/>
              </w:rPr>
            </w:pPr>
            <w:r w:rsidRPr="00F10DBB">
              <w:rPr>
                <w:color w:val="000000"/>
                <w:sz w:val="16"/>
                <w:szCs w:val="16"/>
              </w:rPr>
              <w:t>9,992</w:t>
            </w:r>
          </w:p>
        </w:tc>
        <w:tc>
          <w:tcPr>
            <w:tcW w:w="845" w:type="dxa"/>
            <w:tcBorders>
              <w:top w:val="nil"/>
              <w:left w:val="nil"/>
              <w:bottom w:val="nil"/>
              <w:right w:val="single" w:sz="8" w:space="0" w:color="auto"/>
            </w:tcBorders>
            <w:shd w:val="clear" w:color="000000" w:fill="FFFFFF"/>
            <w:noWrap/>
            <w:vAlign w:val="bottom"/>
            <w:hideMark/>
          </w:tcPr>
          <w:p w14:paraId="370C4205" w14:textId="77777777" w:rsidR="00C36261" w:rsidRPr="00F10DBB" w:rsidRDefault="00C36261" w:rsidP="006A7377">
            <w:pPr>
              <w:jc w:val="center"/>
              <w:rPr>
                <w:color w:val="000000"/>
                <w:sz w:val="16"/>
                <w:szCs w:val="16"/>
              </w:rPr>
            </w:pPr>
            <w:r w:rsidRPr="00F10DBB">
              <w:rPr>
                <w:color w:val="000000"/>
                <w:sz w:val="16"/>
                <w:szCs w:val="16"/>
              </w:rPr>
              <w:t>7,730</w:t>
            </w:r>
          </w:p>
        </w:tc>
        <w:tc>
          <w:tcPr>
            <w:tcW w:w="703" w:type="dxa"/>
            <w:tcBorders>
              <w:top w:val="nil"/>
              <w:left w:val="nil"/>
              <w:bottom w:val="nil"/>
              <w:right w:val="single" w:sz="8" w:space="0" w:color="auto"/>
            </w:tcBorders>
            <w:shd w:val="clear" w:color="000000" w:fill="FFFFFF"/>
            <w:noWrap/>
            <w:vAlign w:val="bottom"/>
            <w:hideMark/>
          </w:tcPr>
          <w:p w14:paraId="6C4D966D" w14:textId="77777777" w:rsidR="00C36261" w:rsidRPr="00F10DBB" w:rsidRDefault="00C36261" w:rsidP="006A7377">
            <w:pPr>
              <w:jc w:val="center"/>
              <w:rPr>
                <w:color w:val="000000"/>
                <w:sz w:val="16"/>
                <w:szCs w:val="16"/>
              </w:rPr>
            </w:pPr>
            <w:r w:rsidRPr="00F10DBB">
              <w:rPr>
                <w:color w:val="000000"/>
                <w:sz w:val="16"/>
                <w:szCs w:val="16"/>
              </w:rPr>
              <w:t>2,261</w:t>
            </w:r>
          </w:p>
        </w:tc>
        <w:tc>
          <w:tcPr>
            <w:tcW w:w="990" w:type="dxa"/>
            <w:tcBorders>
              <w:top w:val="nil"/>
              <w:left w:val="nil"/>
              <w:bottom w:val="nil"/>
              <w:right w:val="single" w:sz="8" w:space="0" w:color="auto"/>
            </w:tcBorders>
            <w:shd w:val="clear" w:color="000000" w:fill="FFFFFF"/>
            <w:noWrap/>
            <w:vAlign w:val="bottom"/>
            <w:hideMark/>
          </w:tcPr>
          <w:p w14:paraId="7790C0EA" w14:textId="77777777" w:rsidR="00C36261" w:rsidRPr="00F10DBB" w:rsidRDefault="00C36261" w:rsidP="006A7377">
            <w:pPr>
              <w:jc w:val="center"/>
              <w:rPr>
                <w:color w:val="000000"/>
                <w:sz w:val="16"/>
                <w:szCs w:val="16"/>
              </w:rPr>
            </w:pPr>
            <w:r w:rsidRPr="00F10DBB">
              <w:rPr>
                <w:color w:val="000000"/>
                <w:sz w:val="16"/>
                <w:szCs w:val="16"/>
              </w:rPr>
              <w:t>1,037</w:t>
            </w:r>
          </w:p>
        </w:tc>
      </w:tr>
      <w:tr w:rsidR="00C36261" w:rsidRPr="00F10DBB" w14:paraId="3D35C2C4" w14:textId="77777777" w:rsidTr="00A77D12">
        <w:trPr>
          <w:trHeight w:val="156"/>
        </w:trPr>
        <w:tc>
          <w:tcPr>
            <w:tcW w:w="3514" w:type="dxa"/>
            <w:tcBorders>
              <w:top w:val="nil"/>
              <w:left w:val="single" w:sz="8" w:space="0" w:color="auto"/>
              <w:bottom w:val="nil"/>
              <w:right w:val="single" w:sz="8" w:space="0" w:color="auto"/>
            </w:tcBorders>
            <w:shd w:val="clear" w:color="000000" w:fill="FFFFFF"/>
            <w:noWrap/>
            <w:vAlign w:val="bottom"/>
            <w:hideMark/>
          </w:tcPr>
          <w:p w14:paraId="1C8ED555" w14:textId="77777777" w:rsidR="00C36261" w:rsidRPr="00F10DBB" w:rsidRDefault="00C36261" w:rsidP="006A7377">
            <w:pPr>
              <w:rPr>
                <w:color w:val="000000"/>
                <w:sz w:val="16"/>
                <w:szCs w:val="16"/>
              </w:rPr>
            </w:pPr>
            <w:r w:rsidRPr="00F10DBB">
              <w:rPr>
                <w:color w:val="000000"/>
                <w:sz w:val="16"/>
                <w:szCs w:val="16"/>
              </w:rPr>
              <w:t xml:space="preserve">Sociedades Financieras </w:t>
            </w:r>
            <w:r w:rsidRPr="00F10DBB">
              <w:rPr>
                <w:color w:val="000000"/>
                <w:sz w:val="16"/>
                <w:szCs w:val="16"/>
                <w:vertAlign w:val="superscript"/>
              </w:rPr>
              <w:t>b)</w:t>
            </w:r>
          </w:p>
        </w:tc>
        <w:tc>
          <w:tcPr>
            <w:tcW w:w="881" w:type="dxa"/>
            <w:tcBorders>
              <w:top w:val="nil"/>
              <w:left w:val="nil"/>
              <w:bottom w:val="nil"/>
              <w:right w:val="single" w:sz="8" w:space="0" w:color="auto"/>
            </w:tcBorders>
            <w:shd w:val="clear" w:color="000000" w:fill="FFFFFF"/>
            <w:noWrap/>
            <w:vAlign w:val="bottom"/>
            <w:hideMark/>
          </w:tcPr>
          <w:p w14:paraId="2E9ADD45" w14:textId="77777777" w:rsidR="00C36261" w:rsidRPr="00F10DBB" w:rsidRDefault="00C36261" w:rsidP="006A7377">
            <w:pPr>
              <w:jc w:val="center"/>
              <w:rPr>
                <w:color w:val="000000"/>
                <w:sz w:val="16"/>
                <w:szCs w:val="16"/>
              </w:rPr>
            </w:pPr>
            <w:r w:rsidRPr="00F10DBB">
              <w:rPr>
                <w:color w:val="000000"/>
                <w:sz w:val="16"/>
                <w:szCs w:val="16"/>
              </w:rPr>
              <w:t>11</w:t>
            </w:r>
          </w:p>
        </w:tc>
        <w:tc>
          <w:tcPr>
            <w:tcW w:w="1051" w:type="dxa"/>
            <w:tcBorders>
              <w:top w:val="nil"/>
              <w:left w:val="nil"/>
              <w:bottom w:val="nil"/>
              <w:right w:val="single" w:sz="8" w:space="0" w:color="auto"/>
            </w:tcBorders>
            <w:shd w:val="clear" w:color="000000" w:fill="FFFFFF"/>
            <w:noWrap/>
            <w:vAlign w:val="bottom"/>
            <w:hideMark/>
          </w:tcPr>
          <w:p w14:paraId="06276D2C" w14:textId="77777777" w:rsidR="00C36261" w:rsidRPr="00F10DBB" w:rsidRDefault="00C36261" w:rsidP="006A7377">
            <w:pPr>
              <w:jc w:val="center"/>
              <w:rPr>
                <w:color w:val="000000"/>
                <w:sz w:val="16"/>
                <w:szCs w:val="16"/>
              </w:rPr>
            </w:pPr>
            <w:r w:rsidRPr="00F10DBB">
              <w:rPr>
                <w:color w:val="000000"/>
                <w:sz w:val="16"/>
                <w:szCs w:val="16"/>
              </w:rPr>
              <w:t>1.7</w:t>
            </w:r>
          </w:p>
        </w:tc>
        <w:tc>
          <w:tcPr>
            <w:tcW w:w="844" w:type="dxa"/>
            <w:tcBorders>
              <w:top w:val="nil"/>
              <w:left w:val="nil"/>
              <w:bottom w:val="nil"/>
              <w:right w:val="single" w:sz="8" w:space="0" w:color="auto"/>
            </w:tcBorders>
            <w:shd w:val="clear" w:color="000000" w:fill="FFFFFF"/>
            <w:noWrap/>
            <w:vAlign w:val="bottom"/>
            <w:hideMark/>
          </w:tcPr>
          <w:p w14:paraId="3193E0F1" w14:textId="77777777" w:rsidR="00C36261" w:rsidRPr="00F10DBB" w:rsidRDefault="00C36261" w:rsidP="006A7377">
            <w:pPr>
              <w:jc w:val="center"/>
              <w:rPr>
                <w:color w:val="000000"/>
                <w:sz w:val="16"/>
                <w:szCs w:val="16"/>
              </w:rPr>
            </w:pPr>
            <w:r w:rsidRPr="00F10DBB">
              <w:rPr>
                <w:color w:val="000000"/>
                <w:sz w:val="16"/>
                <w:szCs w:val="16"/>
              </w:rPr>
              <w:t>8,921</w:t>
            </w:r>
          </w:p>
        </w:tc>
        <w:tc>
          <w:tcPr>
            <w:tcW w:w="845" w:type="dxa"/>
            <w:tcBorders>
              <w:top w:val="nil"/>
              <w:left w:val="nil"/>
              <w:bottom w:val="nil"/>
              <w:right w:val="single" w:sz="8" w:space="0" w:color="auto"/>
            </w:tcBorders>
            <w:shd w:val="clear" w:color="000000" w:fill="FFFFFF"/>
            <w:noWrap/>
            <w:vAlign w:val="bottom"/>
            <w:hideMark/>
          </w:tcPr>
          <w:p w14:paraId="11293A9F" w14:textId="77777777" w:rsidR="00C36261" w:rsidRPr="00F10DBB" w:rsidRDefault="00C36261" w:rsidP="006A7377">
            <w:pPr>
              <w:jc w:val="center"/>
              <w:rPr>
                <w:color w:val="000000"/>
                <w:sz w:val="16"/>
                <w:szCs w:val="16"/>
              </w:rPr>
            </w:pPr>
            <w:r w:rsidRPr="00F10DBB">
              <w:rPr>
                <w:color w:val="000000"/>
                <w:sz w:val="16"/>
                <w:szCs w:val="16"/>
              </w:rPr>
              <w:t>7,426</w:t>
            </w:r>
          </w:p>
        </w:tc>
        <w:tc>
          <w:tcPr>
            <w:tcW w:w="703" w:type="dxa"/>
            <w:tcBorders>
              <w:top w:val="nil"/>
              <w:left w:val="nil"/>
              <w:bottom w:val="nil"/>
              <w:right w:val="single" w:sz="8" w:space="0" w:color="auto"/>
            </w:tcBorders>
            <w:shd w:val="clear" w:color="000000" w:fill="FFFFFF"/>
            <w:noWrap/>
            <w:vAlign w:val="bottom"/>
            <w:hideMark/>
          </w:tcPr>
          <w:p w14:paraId="75BA9AA8" w14:textId="77777777" w:rsidR="00C36261" w:rsidRPr="00F10DBB" w:rsidRDefault="00C36261" w:rsidP="006A7377">
            <w:pPr>
              <w:jc w:val="center"/>
              <w:rPr>
                <w:color w:val="000000"/>
                <w:sz w:val="16"/>
                <w:szCs w:val="16"/>
              </w:rPr>
            </w:pPr>
            <w:r w:rsidRPr="00F10DBB">
              <w:rPr>
                <w:color w:val="000000"/>
                <w:sz w:val="16"/>
                <w:szCs w:val="16"/>
              </w:rPr>
              <w:t>1,494</w:t>
            </w:r>
          </w:p>
        </w:tc>
        <w:tc>
          <w:tcPr>
            <w:tcW w:w="990" w:type="dxa"/>
            <w:tcBorders>
              <w:top w:val="nil"/>
              <w:left w:val="nil"/>
              <w:bottom w:val="nil"/>
              <w:right w:val="single" w:sz="8" w:space="0" w:color="auto"/>
            </w:tcBorders>
            <w:shd w:val="clear" w:color="000000" w:fill="FFFFFF"/>
            <w:noWrap/>
            <w:vAlign w:val="bottom"/>
            <w:hideMark/>
          </w:tcPr>
          <w:p w14:paraId="12CC2861" w14:textId="77777777" w:rsidR="00C36261" w:rsidRPr="00F10DBB" w:rsidRDefault="00C36261" w:rsidP="006A7377">
            <w:pPr>
              <w:jc w:val="center"/>
              <w:rPr>
                <w:color w:val="000000"/>
                <w:sz w:val="16"/>
                <w:szCs w:val="16"/>
              </w:rPr>
            </w:pPr>
            <w:r w:rsidRPr="00F10DBB">
              <w:rPr>
                <w:color w:val="000000"/>
                <w:sz w:val="16"/>
                <w:szCs w:val="16"/>
              </w:rPr>
              <w:t>289</w:t>
            </w:r>
          </w:p>
        </w:tc>
      </w:tr>
      <w:tr w:rsidR="00C36261" w:rsidRPr="00F10DBB" w14:paraId="6151DCF9" w14:textId="77777777" w:rsidTr="00A77D12">
        <w:trPr>
          <w:trHeight w:val="116"/>
        </w:trPr>
        <w:tc>
          <w:tcPr>
            <w:tcW w:w="3514" w:type="dxa"/>
            <w:tcBorders>
              <w:top w:val="nil"/>
              <w:left w:val="single" w:sz="8" w:space="0" w:color="auto"/>
              <w:bottom w:val="nil"/>
              <w:right w:val="single" w:sz="8" w:space="0" w:color="auto"/>
            </w:tcBorders>
            <w:shd w:val="clear" w:color="000000" w:fill="FFFFFF"/>
            <w:noWrap/>
            <w:vAlign w:val="bottom"/>
            <w:hideMark/>
          </w:tcPr>
          <w:p w14:paraId="527DB584" w14:textId="77777777" w:rsidR="00C36261" w:rsidRPr="00F10DBB" w:rsidRDefault="00C36261" w:rsidP="006A7377">
            <w:pPr>
              <w:rPr>
                <w:color w:val="000000"/>
                <w:sz w:val="16"/>
                <w:szCs w:val="16"/>
              </w:rPr>
            </w:pPr>
            <w:r w:rsidRPr="00F10DBB">
              <w:rPr>
                <w:color w:val="000000"/>
                <w:sz w:val="16"/>
                <w:szCs w:val="16"/>
              </w:rPr>
              <w:t>Entidades Fuera de Plaza (Entidades off shore)</w:t>
            </w:r>
          </w:p>
        </w:tc>
        <w:tc>
          <w:tcPr>
            <w:tcW w:w="881" w:type="dxa"/>
            <w:tcBorders>
              <w:top w:val="nil"/>
              <w:left w:val="nil"/>
              <w:bottom w:val="nil"/>
              <w:right w:val="single" w:sz="8" w:space="0" w:color="auto"/>
            </w:tcBorders>
            <w:shd w:val="clear" w:color="000000" w:fill="FFFFFF"/>
            <w:noWrap/>
            <w:vAlign w:val="bottom"/>
            <w:hideMark/>
          </w:tcPr>
          <w:p w14:paraId="3BA95A67" w14:textId="77777777" w:rsidR="00C36261" w:rsidRPr="00F10DBB" w:rsidRDefault="00C36261" w:rsidP="006A7377">
            <w:pPr>
              <w:jc w:val="center"/>
              <w:rPr>
                <w:color w:val="000000"/>
                <w:sz w:val="16"/>
                <w:szCs w:val="16"/>
              </w:rPr>
            </w:pPr>
            <w:r w:rsidRPr="00F10DBB">
              <w:rPr>
                <w:color w:val="000000"/>
                <w:sz w:val="16"/>
                <w:szCs w:val="16"/>
              </w:rPr>
              <w:t>3</w:t>
            </w:r>
          </w:p>
        </w:tc>
        <w:tc>
          <w:tcPr>
            <w:tcW w:w="1051" w:type="dxa"/>
            <w:tcBorders>
              <w:top w:val="nil"/>
              <w:left w:val="nil"/>
              <w:bottom w:val="nil"/>
              <w:right w:val="single" w:sz="8" w:space="0" w:color="auto"/>
            </w:tcBorders>
            <w:shd w:val="clear" w:color="000000" w:fill="FFFFFF"/>
            <w:noWrap/>
            <w:vAlign w:val="bottom"/>
            <w:hideMark/>
          </w:tcPr>
          <w:p w14:paraId="6AFDE5E6" w14:textId="77777777" w:rsidR="00C36261" w:rsidRPr="00F10DBB" w:rsidRDefault="00C36261" w:rsidP="006A7377">
            <w:pPr>
              <w:jc w:val="center"/>
              <w:rPr>
                <w:color w:val="000000"/>
                <w:sz w:val="16"/>
                <w:szCs w:val="16"/>
              </w:rPr>
            </w:pPr>
            <w:r w:rsidRPr="00F10DBB">
              <w:rPr>
                <w:color w:val="000000"/>
                <w:sz w:val="16"/>
                <w:szCs w:val="16"/>
              </w:rPr>
              <w:t>0.4</w:t>
            </w:r>
          </w:p>
        </w:tc>
        <w:tc>
          <w:tcPr>
            <w:tcW w:w="844" w:type="dxa"/>
            <w:tcBorders>
              <w:top w:val="nil"/>
              <w:left w:val="nil"/>
              <w:bottom w:val="nil"/>
              <w:right w:val="single" w:sz="8" w:space="0" w:color="auto"/>
            </w:tcBorders>
            <w:shd w:val="clear" w:color="000000" w:fill="FFFFFF"/>
            <w:noWrap/>
            <w:vAlign w:val="bottom"/>
            <w:hideMark/>
          </w:tcPr>
          <w:p w14:paraId="2969A982" w14:textId="77777777" w:rsidR="00C36261" w:rsidRPr="00F10DBB" w:rsidRDefault="00C36261" w:rsidP="006A7377">
            <w:pPr>
              <w:jc w:val="center"/>
              <w:rPr>
                <w:color w:val="000000"/>
                <w:sz w:val="16"/>
                <w:szCs w:val="16"/>
              </w:rPr>
            </w:pPr>
            <w:r w:rsidRPr="00F10DBB">
              <w:rPr>
                <w:color w:val="000000"/>
                <w:sz w:val="16"/>
                <w:szCs w:val="16"/>
              </w:rPr>
              <w:t>1,990</w:t>
            </w:r>
          </w:p>
        </w:tc>
        <w:tc>
          <w:tcPr>
            <w:tcW w:w="845" w:type="dxa"/>
            <w:tcBorders>
              <w:top w:val="nil"/>
              <w:left w:val="nil"/>
              <w:bottom w:val="nil"/>
              <w:right w:val="single" w:sz="8" w:space="0" w:color="auto"/>
            </w:tcBorders>
            <w:shd w:val="clear" w:color="000000" w:fill="FFFFFF"/>
            <w:noWrap/>
            <w:vAlign w:val="bottom"/>
            <w:hideMark/>
          </w:tcPr>
          <w:p w14:paraId="5598AAEE" w14:textId="77777777" w:rsidR="00C36261" w:rsidRPr="00F10DBB" w:rsidRDefault="00C36261" w:rsidP="006A7377">
            <w:pPr>
              <w:jc w:val="center"/>
              <w:rPr>
                <w:color w:val="000000"/>
                <w:sz w:val="16"/>
                <w:szCs w:val="16"/>
              </w:rPr>
            </w:pPr>
            <w:r w:rsidRPr="00F10DBB">
              <w:rPr>
                <w:color w:val="000000"/>
                <w:sz w:val="16"/>
                <w:szCs w:val="16"/>
              </w:rPr>
              <w:t>994</w:t>
            </w:r>
          </w:p>
        </w:tc>
        <w:tc>
          <w:tcPr>
            <w:tcW w:w="703" w:type="dxa"/>
            <w:tcBorders>
              <w:top w:val="nil"/>
              <w:left w:val="nil"/>
              <w:bottom w:val="nil"/>
              <w:right w:val="single" w:sz="8" w:space="0" w:color="auto"/>
            </w:tcBorders>
            <w:shd w:val="clear" w:color="000000" w:fill="FFFFFF"/>
            <w:noWrap/>
            <w:vAlign w:val="bottom"/>
            <w:hideMark/>
          </w:tcPr>
          <w:p w14:paraId="5CE249F8" w14:textId="77777777" w:rsidR="00C36261" w:rsidRPr="00F10DBB" w:rsidRDefault="00C36261" w:rsidP="006A7377">
            <w:pPr>
              <w:jc w:val="center"/>
              <w:rPr>
                <w:color w:val="000000"/>
                <w:sz w:val="16"/>
                <w:szCs w:val="16"/>
              </w:rPr>
            </w:pPr>
            <w:r w:rsidRPr="00F10DBB">
              <w:rPr>
                <w:color w:val="000000"/>
                <w:sz w:val="16"/>
                <w:szCs w:val="16"/>
              </w:rPr>
              <w:t>997</w:t>
            </w:r>
          </w:p>
        </w:tc>
        <w:tc>
          <w:tcPr>
            <w:tcW w:w="990" w:type="dxa"/>
            <w:tcBorders>
              <w:top w:val="nil"/>
              <w:left w:val="nil"/>
              <w:bottom w:val="nil"/>
              <w:right w:val="single" w:sz="8" w:space="0" w:color="auto"/>
            </w:tcBorders>
            <w:shd w:val="clear" w:color="000000" w:fill="FFFFFF"/>
            <w:noWrap/>
            <w:vAlign w:val="bottom"/>
            <w:hideMark/>
          </w:tcPr>
          <w:p w14:paraId="703CA34E" w14:textId="77777777" w:rsidR="00C36261" w:rsidRPr="00F10DBB" w:rsidRDefault="00C36261" w:rsidP="006A7377">
            <w:pPr>
              <w:jc w:val="center"/>
              <w:rPr>
                <w:color w:val="000000"/>
                <w:sz w:val="16"/>
                <w:szCs w:val="16"/>
              </w:rPr>
            </w:pPr>
            <w:r w:rsidRPr="00F10DBB">
              <w:rPr>
                <w:color w:val="000000"/>
                <w:sz w:val="16"/>
                <w:szCs w:val="16"/>
              </w:rPr>
              <w:t>170</w:t>
            </w:r>
          </w:p>
        </w:tc>
      </w:tr>
      <w:tr w:rsidR="00C36261" w:rsidRPr="00F10DBB" w14:paraId="247971F0" w14:textId="77777777" w:rsidTr="00A77D12">
        <w:trPr>
          <w:trHeight w:val="205"/>
        </w:trPr>
        <w:tc>
          <w:tcPr>
            <w:tcW w:w="3514" w:type="dxa"/>
            <w:tcBorders>
              <w:top w:val="nil"/>
              <w:left w:val="single" w:sz="8" w:space="0" w:color="auto"/>
              <w:bottom w:val="nil"/>
              <w:right w:val="single" w:sz="8" w:space="0" w:color="auto"/>
            </w:tcBorders>
            <w:shd w:val="clear" w:color="000000" w:fill="FFFFFF"/>
            <w:noWrap/>
            <w:vAlign w:val="bottom"/>
            <w:hideMark/>
          </w:tcPr>
          <w:p w14:paraId="1C971D31" w14:textId="77777777" w:rsidR="00C36261" w:rsidRPr="00F10DBB" w:rsidRDefault="00C36261" w:rsidP="006A7377">
            <w:pPr>
              <w:rPr>
                <w:color w:val="000000"/>
                <w:sz w:val="16"/>
                <w:szCs w:val="16"/>
              </w:rPr>
            </w:pPr>
            <w:r w:rsidRPr="00F10DBB">
              <w:rPr>
                <w:color w:val="000000"/>
                <w:sz w:val="16"/>
                <w:szCs w:val="16"/>
              </w:rPr>
              <w:t>Almacenes Generales de Depósito</w:t>
            </w:r>
          </w:p>
        </w:tc>
        <w:tc>
          <w:tcPr>
            <w:tcW w:w="881" w:type="dxa"/>
            <w:tcBorders>
              <w:top w:val="nil"/>
              <w:left w:val="nil"/>
              <w:bottom w:val="nil"/>
              <w:right w:val="single" w:sz="8" w:space="0" w:color="auto"/>
            </w:tcBorders>
            <w:shd w:val="clear" w:color="000000" w:fill="FFFFFF"/>
            <w:noWrap/>
            <w:vAlign w:val="bottom"/>
            <w:hideMark/>
          </w:tcPr>
          <w:p w14:paraId="6C47A761" w14:textId="77777777" w:rsidR="00C36261" w:rsidRPr="00F10DBB" w:rsidRDefault="00C36261" w:rsidP="006A7377">
            <w:pPr>
              <w:jc w:val="center"/>
              <w:rPr>
                <w:color w:val="000000"/>
                <w:sz w:val="16"/>
                <w:szCs w:val="16"/>
              </w:rPr>
            </w:pPr>
            <w:r w:rsidRPr="00F10DBB">
              <w:rPr>
                <w:color w:val="000000"/>
                <w:sz w:val="16"/>
                <w:szCs w:val="16"/>
              </w:rPr>
              <w:t>14</w:t>
            </w:r>
          </w:p>
        </w:tc>
        <w:tc>
          <w:tcPr>
            <w:tcW w:w="1051" w:type="dxa"/>
            <w:tcBorders>
              <w:top w:val="nil"/>
              <w:left w:val="nil"/>
              <w:bottom w:val="nil"/>
              <w:right w:val="single" w:sz="8" w:space="0" w:color="auto"/>
            </w:tcBorders>
            <w:shd w:val="clear" w:color="000000" w:fill="FFFFFF"/>
            <w:noWrap/>
            <w:vAlign w:val="bottom"/>
            <w:hideMark/>
          </w:tcPr>
          <w:p w14:paraId="13ED387D" w14:textId="77777777" w:rsidR="00C36261" w:rsidRPr="00F10DBB" w:rsidRDefault="00C36261" w:rsidP="006A7377">
            <w:pPr>
              <w:jc w:val="center"/>
              <w:rPr>
                <w:color w:val="000000"/>
                <w:sz w:val="16"/>
                <w:szCs w:val="16"/>
              </w:rPr>
            </w:pPr>
            <w:r w:rsidRPr="00F10DBB">
              <w:rPr>
                <w:color w:val="000000"/>
                <w:sz w:val="16"/>
                <w:szCs w:val="16"/>
              </w:rPr>
              <w:t>0.1</w:t>
            </w:r>
          </w:p>
        </w:tc>
        <w:tc>
          <w:tcPr>
            <w:tcW w:w="844" w:type="dxa"/>
            <w:tcBorders>
              <w:top w:val="nil"/>
              <w:left w:val="nil"/>
              <w:bottom w:val="nil"/>
              <w:right w:val="single" w:sz="8" w:space="0" w:color="auto"/>
            </w:tcBorders>
            <w:shd w:val="clear" w:color="000000" w:fill="FFFFFF"/>
            <w:noWrap/>
            <w:vAlign w:val="bottom"/>
            <w:hideMark/>
          </w:tcPr>
          <w:p w14:paraId="0E9CDDD1" w14:textId="77777777" w:rsidR="00C36261" w:rsidRPr="00F10DBB" w:rsidRDefault="00C36261" w:rsidP="006A7377">
            <w:pPr>
              <w:jc w:val="center"/>
              <w:rPr>
                <w:color w:val="000000"/>
                <w:sz w:val="16"/>
                <w:szCs w:val="16"/>
              </w:rPr>
            </w:pPr>
            <w:r w:rsidRPr="00F10DBB">
              <w:rPr>
                <w:color w:val="000000"/>
                <w:sz w:val="16"/>
                <w:szCs w:val="16"/>
              </w:rPr>
              <w:t>744</w:t>
            </w:r>
          </w:p>
        </w:tc>
        <w:tc>
          <w:tcPr>
            <w:tcW w:w="845" w:type="dxa"/>
            <w:tcBorders>
              <w:top w:val="nil"/>
              <w:left w:val="nil"/>
              <w:bottom w:val="nil"/>
              <w:right w:val="single" w:sz="8" w:space="0" w:color="auto"/>
            </w:tcBorders>
            <w:shd w:val="clear" w:color="000000" w:fill="FFFFFF"/>
            <w:noWrap/>
            <w:vAlign w:val="bottom"/>
            <w:hideMark/>
          </w:tcPr>
          <w:p w14:paraId="32F65C90" w14:textId="77777777" w:rsidR="00C36261" w:rsidRPr="00F10DBB" w:rsidRDefault="00C36261" w:rsidP="006A7377">
            <w:pPr>
              <w:jc w:val="center"/>
              <w:rPr>
                <w:color w:val="000000"/>
                <w:sz w:val="16"/>
                <w:szCs w:val="16"/>
              </w:rPr>
            </w:pPr>
            <w:r w:rsidRPr="00F10DBB">
              <w:rPr>
                <w:color w:val="000000"/>
                <w:sz w:val="16"/>
                <w:szCs w:val="16"/>
              </w:rPr>
              <w:t>393</w:t>
            </w:r>
          </w:p>
        </w:tc>
        <w:tc>
          <w:tcPr>
            <w:tcW w:w="703" w:type="dxa"/>
            <w:tcBorders>
              <w:top w:val="nil"/>
              <w:left w:val="nil"/>
              <w:bottom w:val="nil"/>
              <w:right w:val="single" w:sz="8" w:space="0" w:color="auto"/>
            </w:tcBorders>
            <w:shd w:val="clear" w:color="000000" w:fill="FFFFFF"/>
            <w:noWrap/>
            <w:vAlign w:val="bottom"/>
            <w:hideMark/>
          </w:tcPr>
          <w:p w14:paraId="3049DEA6" w14:textId="77777777" w:rsidR="00C36261" w:rsidRPr="00F10DBB" w:rsidRDefault="00C36261" w:rsidP="006A7377">
            <w:pPr>
              <w:jc w:val="center"/>
              <w:rPr>
                <w:color w:val="000000"/>
                <w:sz w:val="16"/>
                <w:szCs w:val="16"/>
              </w:rPr>
            </w:pPr>
            <w:r w:rsidRPr="00F10DBB">
              <w:rPr>
                <w:color w:val="000000"/>
                <w:sz w:val="16"/>
                <w:szCs w:val="16"/>
              </w:rPr>
              <w:t>351</w:t>
            </w:r>
          </w:p>
        </w:tc>
        <w:tc>
          <w:tcPr>
            <w:tcW w:w="990" w:type="dxa"/>
            <w:tcBorders>
              <w:top w:val="nil"/>
              <w:left w:val="nil"/>
              <w:bottom w:val="nil"/>
              <w:right w:val="single" w:sz="8" w:space="0" w:color="auto"/>
            </w:tcBorders>
            <w:shd w:val="clear" w:color="000000" w:fill="FFFFFF"/>
            <w:noWrap/>
            <w:vAlign w:val="bottom"/>
            <w:hideMark/>
          </w:tcPr>
          <w:p w14:paraId="1CEF5415" w14:textId="77777777" w:rsidR="00C36261" w:rsidRPr="00F10DBB" w:rsidRDefault="00C36261" w:rsidP="006A7377">
            <w:pPr>
              <w:jc w:val="center"/>
              <w:rPr>
                <w:color w:val="000000"/>
                <w:sz w:val="16"/>
                <w:szCs w:val="16"/>
              </w:rPr>
            </w:pPr>
            <w:r w:rsidRPr="00F10DBB">
              <w:rPr>
                <w:color w:val="000000"/>
                <w:sz w:val="16"/>
                <w:szCs w:val="16"/>
              </w:rPr>
              <w:t>100</w:t>
            </w:r>
          </w:p>
        </w:tc>
      </w:tr>
      <w:tr w:rsidR="00C36261" w:rsidRPr="00F10DBB" w14:paraId="607DF667" w14:textId="77777777" w:rsidTr="00A77D12">
        <w:trPr>
          <w:trHeight w:val="136"/>
        </w:trPr>
        <w:tc>
          <w:tcPr>
            <w:tcW w:w="3514" w:type="dxa"/>
            <w:tcBorders>
              <w:top w:val="nil"/>
              <w:left w:val="single" w:sz="8" w:space="0" w:color="auto"/>
              <w:bottom w:val="nil"/>
              <w:right w:val="single" w:sz="8" w:space="0" w:color="auto"/>
            </w:tcBorders>
            <w:shd w:val="clear" w:color="000000" w:fill="FFFFFF"/>
            <w:noWrap/>
            <w:vAlign w:val="bottom"/>
            <w:hideMark/>
          </w:tcPr>
          <w:p w14:paraId="6214C287" w14:textId="77777777" w:rsidR="00C36261" w:rsidRPr="00F10DBB" w:rsidRDefault="00C36261" w:rsidP="006A7377">
            <w:pPr>
              <w:rPr>
                <w:color w:val="000000"/>
                <w:sz w:val="16"/>
                <w:szCs w:val="16"/>
              </w:rPr>
            </w:pPr>
            <w:r w:rsidRPr="00F10DBB">
              <w:rPr>
                <w:color w:val="000000"/>
                <w:sz w:val="16"/>
                <w:szCs w:val="16"/>
              </w:rPr>
              <w:t xml:space="preserve">Otras Entidades </w:t>
            </w:r>
            <w:r w:rsidRPr="00F10DBB">
              <w:rPr>
                <w:color w:val="000000"/>
                <w:sz w:val="16"/>
                <w:szCs w:val="16"/>
                <w:vertAlign w:val="superscript"/>
              </w:rPr>
              <w:t>c)</w:t>
            </w:r>
          </w:p>
        </w:tc>
        <w:tc>
          <w:tcPr>
            <w:tcW w:w="881" w:type="dxa"/>
            <w:tcBorders>
              <w:top w:val="nil"/>
              <w:left w:val="nil"/>
              <w:bottom w:val="nil"/>
              <w:right w:val="single" w:sz="8" w:space="0" w:color="auto"/>
            </w:tcBorders>
            <w:shd w:val="clear" w:color="000000" w:fill="FFFFFF"/>
            <w:noWrap/>
            <w:vAlign w:val="bottom"/>
            <w:hideMark/>
          </w:tcPr>
          <w:p w14:paraId="517793AD" w14:textId="77777777" w:rsidR="00C36261" w:rsidRPr="00F10DBB" w:rsidRDefault="00C36261" w:rsidP="006A7377">
            <w:pPr>
              <w:jc w:val="center"/>
              <w:rPr>
                <w:color w:val="000000"/>
                <w:sz w:val="16"/>
                <w:szCs w:val="16"/>
              </w:rPr>
            </w:pPr>
            <w:r w:rsidRPr="00F10DBB">
              <w:rPr>
                <w:color w:val="000000"/>
                <w:sz w:val="16"/>
                <w:szCs w:val="16"/>
              </w:rPr>
              <w:t>15</w:t>
            </w:r>
          </w:p>
        </w:tc>
        <w:tc>
          <w:tcPr>
            <w:tcW w:w="1051" w:type="dxa"/>
            <w:tcBorders>
              <w:top w:val="nil"/>
              <w:left w:val="nil"/>
              <w:bottom w:val="nil"/>
              <w:right w:val="single" w:sz="8" w:space="0" w:color="auto"/>
            </w:tcBorders>
            <w:shd w:val="clear" w:color="000000" w:fill="FFFFFF"/>
            <w:noWrap/>
            <w:vAlign w:val="bottom"/>
            <w:hideMark/>
          </w:tcPr>
          <w:p w14:paraId="73693D7E" w14:textId="77777777" w:rsidR="00C36261" w:rsidRPr="00F10DBB" w:rsidRDefault="00C36261" w:rsidP="006A7377">
            <w:pPr>
              <w:jc w:val="center"/>
              <w:rPr>
                <w:color w:val="000000"/>
                <w:sz w:val="16"/>
                <w:szCs w:val="16"/>
              </w:rPr>
            </w:pPr>
            <w:r w:rsidRPr="00F10DBB">
              <w:rPr>
                <w:color w:val="000000"/>
                <w:sz w:val="16"/>
                <w:szCs w:val="16"/>
              </w:rPr>
              <w:t>0.6</w:t>
            </w:r>
          </w:p>
        </w:tc>
        <w:tc>
          <w:tcPr>
            <w:tcW w:w="844" w:type="dxa"/>
            <w:tcBorders>
              <w:top w:val="nil"/>
              <w:left w:val="nil"/>
              <w:bottom w:val="nil"/>
              <w:right w:val="single" w:sz="8" w:space="0" w:color="auto"/>
            </w:tcBorders>
            <w:shd w:val="clear" w:color="000000" w:fill="FFFFFF"/>
            <w:noWrap/>
            <w:vAlign w:val="bottom"/>
            <w:hideMark/>
          </w:tcPr>
          <w:p w14:paraId="27690F53" w14:textId="77777777" w:rsidR="00C36261" w:rsidRPr="00F10DBB" w:rsidRDefault="00C36261" w:rsidP="006A7377">
            <w:pPr>
              <w:jc w:val="center"/>
              <w:rPr>
                <w:color w:val="000000"/>
                <w:sz w:val="16"/>
                <w:szCs w:val="16"/>
              </w:rPr>
            </w:pPr>
            <w:r w:rsidRPr="00F10DBB">
              <w:rPr>
                <w:color w:val="000000"/>
                <w:sz w:val="16"/>
                <w:szCs w:val="16"/>
              </w:rPr>
              <w:t>2,979</w:t>
            </w:r>
          </w:p>
        </w:tc>
        <w:tc>
          <w:tcPr>
            <w:tcW w:w="845" w:type="dxa"/>
            <w:tcBorders>
              <w:top w:val="nil"/>
              <w:left w:val="nil"/>
              <w:bottom w:val="nil"/>
              <w:right w:val="single" w:sz="8" w:space="0" w:color="auto"/>
            </w:tcBorders>
            <w:shd w:val="clear" w:color="000000" w:fill="FFFFFF"/>
            <w:noWrap/>
            <w:vAlign w:val="bottom"/>
            <w:hideMark/>
          </w:tcPr>
          <w:p w14:paraId="047DA312" w14:textId="77777777" w:rsidR="00C36261" w:rsidRPr="00F10DBB" w:rsidRDefault="00C36261" w:rsidP="006A7377">
            <w:pPr>
              <w:jc w:val="center"/>
              <w:rPr>
                <w:color w:val="000000"/>
                <w:sz w:val="16"/>
                <w:szCs w:val="16"/>
              </w:rPr>
            </w:pPr>
            <w:r w:rsidRPr="00F10DBB">
              <w:rPr>
                <w:color w:val="000000"/>
                <w:sz w:val="16"/>
                <w:szCs w:val="16"/>
              </w:rPr>
              <w:t>675</w:t>
            </w:r>
          </w:p>
        </w:tc>
        <w:tc>
          <w:tcPr>
            <w:tcW w:w="703" w:type="dxa"/>
            <w:tcBorders>
              <w:top w:val="nil"/>
              <w:left w:val="nil"/>
              <w:bottom w:val="nil"/>
              <w:right w:val="single" w:sz="8" w:space="0" w:color="auto"/>
            </w:tcBorders>
            <w:shd w:val="clear" w:color="000000" w:fill="FFFFFF"/>
            <w:noWrap/>
            <w:vAlign w:val="bottom"/>
            <w:hideMark/>
          </w:tcPr>
          <w:p w14:paraId="62E59AB1" w14:textId="77777777" w:rsidR="00C36261" w:rsidRPr="00F10DBB" w:rsidRDefault="00C36261" w:rsidP="006A7377">
            <w:pPr>
              <w:jc w:val="center"/>
              <w:rPr>
                <w:color w:val="000000"/>
                <w:sz w:val="16"/>
                <w:szCs w:val="16"/>
              </w:rPr>
            </w:pPr>
            <w:r w:rsidRPr="00F10DBB">
              <w:rPr>
                <w:color w:val="000000"/>
                <w:sz w:val="16"/>
                <w:szCs w:val="16"/>
              </w:rPr>
              <w:t>2,304</w:t>
            </w:r>
          </w:p>
        </w:tc>
        <w:tc>
          <w:tcPr>
            <w:tcW w:w="990" w:type="dxa"/>
            <w:tcBorders>
              <w:top w:val="nil"/>
              <w:left w:val="nil"/>
              <w:bottom w:val="nil"/>
              <w:right w:val="single" w:sz="8" w:space="0" w:color="auto"/>
            </w:tcBorders>
            <w:shd w:val="clear" w:color="000000" w:fill="FFFFFF"/>
            <w:noWrap/>
            <w:vAlign w:val="bottom"/>
            <w:hideMark/>
          </w:tcPr>
          <w:p w14:paraId="1D6C5823" w14:textId="77777777" w:rsidR="00C36261" w:rsidRPr="00F10DBB" w:rsidRDefault="00C36261" w:rsidP="006A7377">
            <w:pPr>
              <w:jc w:val="center"/>
              <w:rPr>
                <w:color w:val="000000"/>
                <w:sz w:val="16"/>
                <w:szCs w:val="16"/>
              </w:rPr>
            </w:pPr>
            <w:r w:rsidRPr="00F10DBB">
              <w:rPr>
                <w:color w:val="000000"/>
                <w:sz w:val="16"/>
                <w:szCs w:val="16"/>
              </w:rPr>
              <w:t>388</w:t>
            </w:r>
          </w:p>
        </w:tc>
      </w:tr>
      <w:tr w:rsidR="00C36261" w:rsidRPr="00F10DBB" w14:paraId="3EA48DA8" w14:textId="77777777" w:rsidTr="00A77D12">
        <w:trPr>
          <w:trHeight w:val="96"/>
        </w:trPr>
        <w:tc>
          <w:tcPr>
            <w:tcW w:w="3514" w:type="dxa"/>
            <w:tcBorders>
              <w:top w:val="nil"/>
              <w:left w:val="single" w:sz="8" w:space="0" w:color="auto"/>
              <w:bottom w:val="nil"/>
              <w:right w:val="single" w:sz="8" w:space="0" w:color="auto"/>
            </w:tcBorders>
            <w:shd w:val="clear" w:color="000000" w:fill="FFFFFF"/>
            <w:noWrap/>
            <w:vAlign w:val="bottom"/>
            <w:hideMark/>
          </w:tcPr>
          <w:p w14:paraId="5B62B664" w14:textId="77777777" w:rsidR="00C36261" w:rsidRPr="00F10DBB" w:rsidRDefault="00C36261" w:rsidP="006A7377">
            <w:pPr>
              <w:jc w:val="center"/>
              <w:rPr>
                <w:b/>
                <w:bCs/>
                <w:color w:val="000000"/>
                <w:sz w:val="16"/>
                <w:szCs w:val="16"/>
              </w:rPr>
            </w:pPr>
            <w:r w:rsidRPr="00F10DBB">
              <w:rPr>
                <w:b/>
                <w:bCs/>
                <w:color w:val="000000"/>
                <w:sz w:val="16"/>
                <w:szCs w:val="16"/>
              </w:rPr>
              <w:t>Total</w:t>
            </w:r>
          </w:p>
        </w:tc>
        <w:tc>
          <w:tcPr>
            <w:tcW w:w="881" w:type="dxa"/>
            <w:tcBorders>
              <w:top w:val="nil"/>
              <w:left w:val="nil"/>
              <w:bottom w:val="nil"/>
              <w:right w:val="single" w:sz="8" w:space="0" w:color="auto"/>
            </w:tcBorders>
            <w:shd w:val="clear" w:color="000000" w:fill="FFFFFF"/>
            <w:noWrap/>
            <w:vAlign w:val="bottom"/>
            <w:hideMark/>
          </w:tcPr>
          <w:p w14:paraId="74FC0686" w14:textId="77777777" w:rsidR="00C36261" w:rsidRPr="00F10DBB" w:rsidRDefault="00C36261" w:rsidP="006A7377">
            <w:pPr>
              <w:jc w:val="center"/>
              <w:rPr>
                <w:b/>
                <w:bCs/>
                <w:color w:val="000000"/>
                <w:sz w:val="16"/>
                <w:szCs w:val="16"/>
              </w:rPr>
            </w:pPr>
            <w:r w:rsidRPr="00F10DBB">
              <w:rPr>
                <w:b/>
                <w:bCs/>
                <w:color w:val="000000"/>
                <w:sz w:val="16"/>
                <w:szCs w:val="16"/>
              </w:rPr>
              <w:t>93</w:t>
            </w:r>
          </w:p>
        </w:tc>
        <w:tc>
          <w:tcPr>
            <w:tcW w:w="1051" w:type="dxa"/>
            <w:tcBorders>
              <w:top w:val="nil"/>
              <w:left w:val="nil"/>
              <w:bottom w:val="nil"/>
              <w:right w:val="single" w:sz="8" w:space="0" w:color="auto"/>
            </w:tcBorders>
            <w:shd w:val="clear" w:color="000000" w:fill="FFFFFF"/>
            <w:noWrap/>
            <w:vAlign w:val="bottom"/>
            <w:hideMark/>
          </w:tcPr>
          <w:p w14:paraId="0393279D" w14:textId="77777777" w:rsidR="00C36261" w:rsidRPr="00F10DBB" w:rsidRDefault="00C36261" w:rsidP="006A7377">
            <w:pPr>
              <w:jc w:val="center"/>
              <w:rPr>
                <w:b/>
                <w:bCs/>
                <w:color w:val="000000"/>
                <w:sz w:val="16"/>
                <w:szCs w:val="16"/>
              </w:rPr>
            </w:pPr>
            <w:r w:rsidRPr="00F10DBB">
              <w:rPr>
                <w:b/>
                <w:bCs/>
                <w:color w:val="000000"/>
                <w:sz w:val="16"/>
                <w:szCs w:val="16"/>
              </w:rPr>
              <w:t>100.0</w:t>
            </w:r>
          </w:p>
        </w:tc>
        <w:tc>
          <w:tcPr>
            <w:tcW w:w="844" w:type="dxa"/>
            <w:tcBorders>
              <w:top w:val="nil"/>
              <w:left w:val="nil"/>
              <w:bottom w:val="nil"/>
              <w:right w:val="single" w:sz="8" w:space="0" w:color="auto"/>
            </w:tcBorders>
            <w:shd w:val="clear" w:color="000000" w:fill="FFFFFF"/>
            <w:noWrap/>
            <w:vAlign w:val="bottom"/>
            <w:hideMark/>
          </w:tcPr>
          <w:p w14:paraId="3F6358EC" w14:textId="77777777" w:rsidR="00C36261" w:rsidRPr="00F10DBB" w:rsidRDefault="00C36261" w:rsidP="006A7377">
            <w:pPr>
              <w:jc w:val="center"/>
              <w:rPr>
                <w:b/>
                <w:bCs/>
                <w:color w:val="000000"/>
                <w:sz w:val="16"/>
                <w:szCs w:val="16"/>
              </w:rPr>
            </w:pPr>
            <w:r w:rsidRPr="00F10DBB">
              <w:rPr>
                <w:b/>
                <w:bCs/>
                <w:color w:val="000000"/>
                <w:sz w:val="16"/>
                <w:szCs w:val="16"/>
              </w:rPr>
              <w:t>524,805</w:t>
            </w:r>
          </w:p>
        </w:tc>
        <w:tc>
          <w:tcPr>
            <w:tcW w:w="845" w:type="dxa"/>
            <w:tcBorders>
              <w:top w:val="nil"/>
              <w:left w:val="nil"/>
              <w:bottom w:val="nil"/>
              <w:right w:val="single" w:sz="8" w:space="0" w:color="auto"/>
            </w:tcBorders>
            <w:shd w:val="clear" w:color="000000" w:fill="FFFFFF"/>
            <w:noWrap/>
            <w:vAlign w:val="bottom"/>
            <w:hideMark/>
          </w:tcPr>
          <w:p w14:paraId="615739FD" w14:textId="77777777" w:rsidR="00C36261" w:rsidRPr="00F10DBB" w:rsidRDefault="00C36261" w:rsidP="006A7377">
            <w:pPr>
              <w:jc w:val="center"/>
              <w:rPr>
                <w:b/>
                <w:bCs/>
                <w:color w:val="000000"/>
                <w:sz w:val="16"/>
                <w:szCs w:val="16"/>
              </w:rPr>
            </w:pPr>
            <w:r w:rsidRPr="00F10DBB">
              <w:rPr>
                <w:b/>
                <w:bCs/>
                <w:color w:val="000000"/>
                <w:sz w:val="16"/>
                <w:szCs w:val="16"/>
              </w:rPr>
              <w:t>465,978</w:t>
            </w:r>
          </w:p>
        </w:tc>
        <w:tc>
          <w:tcPr>
            <w:tcW w:w="703" w:type="dxa"/>
            <w:tcBorders>
              <w:top w:val="nil"/>
              <w:left w:val="nil"/>
              <w:bottom w:val="nil"/>
              <w:right w:val="single" w:sz="8" w:space="0" w:color="auto"/>
            </w:tcBorders>
            <w:shd w:val="clear" w:color="000000" w:fill="FFFFFF"/>
            <w:noWrap/>
            <w:vAlign w:val="bottom"/>
            <w:hideMark/>
          </w:tcPr>
          <w:p w14:paraId="6A587A18" w14:textId="77777777" w:rsidR="00C36261" w:rsidRPr="00F10DBB" w:rsidRDefault="00C36261" w:rsidP="006A7377">
            <w:pPr>
              <w:jc w:val="center"/>
              <w:rPr>
                <w:b/>
                <w:bCs/>
                <w:color w:val="000000"/>
                <w:sz w:val="16"/>
                <w:szCs w:val="16"/>
              </w:rPr>
            </w:pPr>
            <w:r w:rsidRPr="00F10DBB">
              <w:rPr>
                <w:b/>
                <w:bCs/>
                <w:color w:val="000000"/>
                <w:sz w:val="16"/>
                <w:szCs w:val="16"/>
              </w:rPr>
              <w:t>58,828</w:t>
            </w:r>
          </w:p>
        </w:tc>
        <w:tc>
          <w:tcPr>
            <w:tcW w:w="990" w:type="dxa"/>
            <w:tcBorders>
              <w:top w:val="nil"/>
              <w:left w:val="nil"/>
              <w:bottom w:val="nil"/>
              <w:right w:val="single" w:sz="8" w:space="0" w:color="auto"/>
            </w:tcBorders>
            <w:shd w:val="clear" w:color="000000" w:fill="FFFFFF"/>
            <w:noWrap/>
            <w:vAlign w:val="bottom"/>
            <w:hideMark/>
          </w:tcPr>
          <w:p w14:paraId="5F50ED18" w14:textId="77777777" w:rsidR="00C36261" w:rsidRPr="00F10DBB" w:rsidRDefault="00C36261" w:rsidP="006A7377">
            <w:pPr>
              <w:jc w:val="center"/>
              <w:rPr>
                <w:b/>
                <w:bCs/>
                <w:color w:val="000000"/>
                <w:sz w:val="16"/>
                <w:szCs w:val="16"/>
              </w:rPr>
            </w:pPr>
            <w:r w:rsidRPr="00F10DBB">
              <w:rPr>
                <w:b/>
                <w:bCs/>
                <w:color w:val="000000"/>
                <w:sz w:val="16"/>
                <w:szCs w:val="16"/>
              </w:rPr>
              <w:t>13,630</w:t>
            </w:r>
          </w:p>
        </w:tc>
      </w:tr>
      <w:tr w:rsidR="00C36261" w:rsidRPr="00F10DBB" w14:paraId="292753B3" w14:textId="77777777" w:rsidTr="00A77D12">
        <w:trPr>
          <w:trHeight w:val="100"/>
        </w:trPr>
        <w:tc>
          <w:tcPr>
            <w:tcW w:w="3514" w:type="dxa"/>
            <w:tcBorders>
              <w:top w:val="nil"/>
              <w:left w:val="single" w:sz="8" w:space="0" w:color="auto"/>
              <w:bottom w:val="single" w:sz="8" w:space="0" w:color="auto"/>
              <w:right w:val="single" w:sz="8" w:space="0" w:color="auto"/>
            </w:tcBorders>
            <w:shd w:val="clear" w:color="000000" w:fill="FFFFFF"/>
            <w:noWrap/>
            <w:vAlign w:val="bottom"/>
            <w:hideMark/>
          </w:tcPr>
          <w:p w14:paraId="49DB3B00" w14:textId="77777777" w:rsidR="00C36261" w:rsidRPr="00F10DBB" w:rsidRDefault="00C36261" w:rsidP="006A7377">
            <w:pPr>
              <w:rPr>
                <w:color w:val="000000"/>
                <w:sz w:val="16"/>
                <w:szCs w:val="16"/>
              </w:rPr>
            </w:pPr>
            <w:r w:rsidRPr="00F10DBB">
              <w:rPr>
                <w:color w:val="000000"/>
                <w:sz w:val="16"/>
                <w:szCs w:val="16"/>
              </w:rPr>
              <w:t>Banco de Guatemala</w:t>
            </w:r>
          </w:p>
        </w:tc>
        <w:tc>
          <w:tcPr>
            <w:tcW w:w="881" w:type="dxa"/>
            <w:tcBorders>
              <w:top w:val="nil"/>
              <w:left w:val="nil"/>
              <w:bottom w:val="single" w:sz="8" w:space="0" w:color="auto"/>
              <w:right w:val="single" w:sz="8" w:space="0" w:color="auto"/>
            </w:tcBorders>
            <w:shd w:val="clear" w:color="000000" w:fill="FFFFFF"/>
            <w:noWrap/>
            <w:vAlign w:val="bottom"/>
            <w:hideMark/>
          </w:tcPr>
          <w:p w14:paraId="7A734816" w14:textId="77777777" w:rsidR="00C36261" w:rsidRPr="00F10DBB" w:rsidRDefault="00C36261" w:rsidP="006A7377">
            <w:pPr>
              <w:jc w:val="center"/>
              <w:rPr>
                <w:color w:val="000000"/>
                <w:sz w:val="16"/>
                <w:szCs w:val="16"/>
              </w:rPr>
            </w:pPr>
            <w:r w:rsidRPr="00F10DBB">
              <w:rPr>
                <w:color w:val="000000"/>
                <w:sz w:val="16"/>
                <w:szCs w:val="16"/>
              </w:rPr>
              <w:t>1</w:t>
            </w:r>
          </w:p>
        </w:tc>
        <w:tc>
          <w:tcPr>
            <w:tcW w:w="1051" w:type="dxa"/>
            <w:tcBorders>
              <w:top w:val="nil"/>
              <w:left w:val="nil"/>
              <w:bottom w:val="single" w:sz="8" w:space="0" w:color="auto"/>
              <w:right w:val="single" w:sz="8" w:space="0" w:color="auto"/>
            </w:tcBorders>
            <w:shd w:val="clear" w:color="000000" w:fill="FFFFFF"/>
            <w:noWrap/>
            <w:vAlign w:val="bottom"/>
            <w:hideMark/>
          </w:tcPr>
          <w:p w14:paraId="33A17312" w14:textId="77777777" w:rsidR="00C36261" w:rsidRPr="00F10DBB" w:rsidRDefault="00C36261" w:rsidP="006A7377">
            <w:pPr>
              <w:jc w:val="center"/>
              <w:rPr>
                <w:color w:val="000000"/>
                <w:sz w:val="16"/>
                <w:szCs w:val="16"/>
              </w:rPr>
            </w:pPr>
            <w:r w:rsidRPr="00F10DBB">
              <w:rPr>
                <w:color w:val="000000"/>
                <w:sz w:val="16"/>
                <w:szCs w:val="16"/>
              </w:rPr>
              <w:t> </w:t>
            </w:r>
          </w:p>
        </w:tc>
        <w:tc>
          <w:tcPr>
            <w:tcW w:w="844" w:type="dxa"/>
            <w:tcBorders>
              <w:top w:val="nil"/>
              <w:left w:val="nil"/>
              <w:bottom w:val="single" w:sz="8" w:space="0" w:color="auto"/>
              <w:right w:val="single" w:sz="8" w:space="0" w:color="auto"/>
            </w:tcBorders>
            <w:shd w:val="clear" w:color="000000" w:fill="FFFFFF"/>
            <w:noWrap/>
            <w:vAlign w:val="bottom"/>
            <w:hideMark/>
          </w:tcPr>
          <w:p w14:paraId="53C855C6" w14:textId="77777777" w:rsidR="00C36261" w:rsidRPr="00F10DBB" w:rsidRDefault="00C36261" w:rsidP="006A7377">
            <w:pPr>
              <w:jc w:val="center"/>
              <w:rPr>
                <w:color w:val="000000"/>
                <w:sz w:val="16"/>
                <w:szCs w:val="16"/>
              </w:rPr>
            </w:pPr>
            <w:r w:rsidRPr="00F10DBB">
              <w:rPr>
                <w:color w:val="000000"/>
                <w:sz w:val="16"/>
                <w:szCs w:val="16"/>
              </w:rPr>
              <w:t>212,997</w:t>
            </w:r>
          </w:p>
        </w:tc>
        <w:tc>
          <w:tcPr>
            <w:tcW w:w="845" w:type="dxa"/>
            <w:tcBorders>
              <w:top w:val="nil"/>
              <w:left w:val="nil"/>
              <w:bottom w:val="single" w:sz="8" w:space="0" w:color="auto"/>
              <w:right w:val="single" w:sz="8" w:space="0" w:color="auto"/>
            </w:tcBorders>
            <w:shd w:val="clear" w:color="000000" w:fill="FFFFFF"/>
            <w:noWrap/>
            <w:vAlign w:val="bottom"/>
            <w:hideMark/>
          </w:tcPr>
          <w:p w14:paraId="478F7DC6" w14:textId="77777777" w:rsidR="00C36261" w:rsidRPr="00F10DBB" w:rsidRDefault="00C36261" w:rsidP="006A7377">
            <w:pPr>
              <w:jc w:val="center"/>
              <w:rPr>
                <w:color w:val="000000"/>
                <w:sz w:val="16"/>
                <w:szCs w:val="16"/>
              </w:rPr>
            </w:pPr>
            <w:r w:rsidRPr="00F10DBB">
              <w:rPr>
                <w:color w:val="000000"/>
                <w:sz w:val="16"/>
                <w:szCs w:val="16"/>
              </w:rPr>
              <w:t>209,215</w:t>
            </w:r>
          </w:p>
        </w:tc>
        <w:tc>
          <w:tcPr>
            <w:tcW w:w="703" w:type="dxa"/>
            <w:tcBorders>
              <w:top w:val="nil"/>
              <w:left w:val="nil"/>
              <w:bottom w:val="single" w:sz="8" w:space="0" w:color="auto"/>
              <w:right w:val="single" w:sz="8" w:space="0" w:color="auto"/>
            </w:tcBorders>
            <w:shd w:val="clear" w:color="000000" w:fill="FFFFFF"/>
            <w:noWrap/>
            <w:vAlign w:val="bottom"/>
            <w:hideMark/>
          </w:tcPr>
          <w:p w14:paraId="66D8DD88" w14:textId="77777777" w:rsidR="00C36261" w:rsidRPr="00F10DBB" w:rsidRDefault="00C36261" w:rsidP="006A7377">
            <w:pPr>
              <w:jc w:val="center"/>
              <w:rPr>
                <w:color w:val="000000"/>
                <w:sz w:val="16"/>
                <w:szCs w:val="16"/>
              </w:rPr>
            </w:pPr>
            <w:r w:rsidRPr="00F10DBB">
              <w:rPr>
                <w:color w:val="000000"/>
                <w:sz w:val="16"/>
                <w:szCs w:val="16"/>
              </w:rPr>
              <w:t>3,782</w:t>
            </w:r>
          </w:p>
        </w:tc>
        <w:tc>
          <w:tcPr>
            <w:tcW w:w="990" w:type="dxa"/>
            <w:tcBorders>
              <w:top w:val="nil"/>
              <w:left w:val="nil"/>
              <w:bottom w:val="single" w:sz="8" w:space="0" w:color="auto"/>
              <w:right w:val="single" w:sz="8" w:space="0" w:color="auto"/>
            </w:tcBorders>
            <w:shd w:val="clear" w:color="000000" w:fill="FFFFFF"/>
            <w:noWrap/>
            <w:vAlign w:val="bottom"/>
            <w:hideMark/>
          </w:tcPr>
          <w:p w14:paraId="28B7AAFC" w14:textId="77777777" w:rsidR="00C36261" w:rsidRPr="00F10DBB" w:rsidRDefault="00C36261" w:rsidP="006A7377">
            <w:pPr>
              <w:jc w:val="center"/>
              <w:rPr>
                <w:color w:val="000000"/>
                <w:sz w:val="16"/>
                <w:szCs w:val="16"/>
              </w:rPr>
            </w:pPr>
            <w:r w:rsidRPr="00F10DBB">
              <w:rPr>
                <w:color w:val="000000"/>
                <w:sz w:val="16"/>
                <w:szCs w:val="16"/>
              </w:rPr>
              <w:t>-2,474</w:t>
            </w:r>
          </w:p>
        </w:tc>
      </w:tr>
      <w:tr w:rsidR="00C36261" w:rsidRPr="00F10DBB" w14:paraId="1FF5B0F8" w14:textId="77777777" w:rsidTr="006A7377">
        <w:trPr>
          <w:trHeight w:val="201"/>
        </w:trPr>
        <w:tc>
          <w:tcPr>
            <w:tcW w:w="5446" w:type="dxa"/>
            <w:gridSpan w:val="3"/>
            <w:tcBorders>
              <w:top w:val="nil"/>
              <w:left w:val="nil"/>
              <w:bottom w:val="nil"/>
              <w:right w:val="nil"/>
            </w:tcBorders>
            <w:shd w:val="clear" w:color="000000" w:fill="FFFFFF"/>
            <w:vAlign w:val="bottom"/>
            <w:hideMark/>
          </w:tcPr>
          <w:p w14:paraId="64C2BECF" w14:textId="77777777" w:rsidR="00C36261" w:rsidRPr="00A77D12" w:rsidRDefault="00C36261" w:rsidP="006A7377">
            <w:pPr>
              <w:rPr>
                <w:color w:val="000000"/>
                <w:sz w:val="14"/>
                <w:szCs w:val="14"/>
              </w:rPr>
            </w:pPr>
            <w:r w:rsidRPr="00A77D12">
              <w:rPr>
                <w:color w:val="000000"/>
                <w:sz w:val="14"/>
                <w:szCs w:val="14"/>
              </w:rPr>
              <w:t>a) Incluye 4 empresas emisoras de tarjetas de crédito y 1 de arrendamiento financiero</w:t>
            </w:r>
          </w:p>
        </w:tc>
        <w:tc>
          <w:tcPr>
            <w:tcW w:w="844" w:type="dxa"/>
            <w:tcBorders>
              <w:top w:val="nil"/>
              <w:left w:val="nil"/>
              <w:bottom w:val="nil"/>
              <w:right w:val="nil"/>
            </w:tcBorders>
            <w:shd w:val="clear" w:color="000000" w:fill="FFFFFF"/>
            <w:vAlign w:val="bottom"/>
            <w:hideMark/>
          </w:tcPr>
          <w:p w14:paraId="1E1F01AA" w14:textId="77777777" w:rsidR="00C36261" w:rsidRPr="00F10DBB" w:rsidRDefault="00C36261" w:rsidP="006A7377">
            <w:pPr>
              <w:rPr>
                <w:b/>
                <w:bCs/>
                <w:color w:val="000000"/>
                <w:sz w:val="12"/>
                <w:szCs w:val="12"/>
              </w:rPr>
            </w:pPr>
            <w:r w:rsidRPr="00F10DBB">
              <w:rPr>
                <w:b/>
                <w:bCs/>
                <w:color w:val="000000"/>
                <w:sz w:val="12"/>
                <w:szCs w:val="12"/>
              </w:rPr>
              <w:t> </w:t>
            </w:r>
          </w:p>
        </w:tc>
        <w:tc>
          <w:tcPr>
            <w:tcW w:w="845" w:type="dxa"/>
            <w:tcBorders>
              <w:top w:val="nil"/>
              <w:left w:val="nil"/>
              <w:bottom w:val="nil"/>
              <w:right w:val="nil"/>
            </w:tcBorders>
            <w:shd w:val="clear" w:color="000000" w:fill="FFFFFF"/>
            <w:noWrap/>
            <w:vAlign w:val="bottom"/>
            <w:hideMark/>
          </w:tcPr>
          <w:p w14:paraId="268F90E7" w14:textId="77777777" w:rsidR="00C36261" w:rsidRPr="00F10DBB" w:rsidRDefault="00C36261" w:rsidP="006A7377">
            <w:pPr>
              <w:rPr>
                <w:color w:val="000000"/>
                <w:sz w:val="18"/>
                <w:szCs w:val="18"/>
              </w:rPr>
            </w:pPr>
            <w:r w:rsidRPr="00F10DBB">
              <w:rPr>
                <w:color w:val="000000"/>
                <w:sz w:val="18"/>
                <w:szCs w:val="18"/>
              </w:rPr>
              <w:t> </w:t>
            </w:r>
          </w:p>
        </w:tc>
        <w:tc>
          <w:tcPr>
            <w:tcW w:w="703" w:type="dxa"/>
            <w:tcBorders>
              <w:top w:val="nil"/>
              <w:left w:val="nil"/>
              <w:bottom w:val="nil"/>
              <w:right w:val="nil"/>
            </w:tcBorders>
            <w:shd w:val="clear" w:color="000000" w:fill="FFFFFF"/>
            <w:noWrap/>
            <w:vAlign w:val="bottom"/>
            <w:hideMark/>
          </w:tcPr>
          <w:p w14:paraId="6CB6C5F5" w14:textId="77777777" w:rsidR="00C36261" w:rsidRPr="00F10DBB" w:rsidRDefault="00C36261" w:rsidP="006A7377">
            <w:pPr>
              <w:rPr>
                <w:color w:val="000000"/>
                <w:sz w:val="18"/>
                <w:szCs w:val="18"/>
              </w:rPr>
            </w:pPr>
            <w:r w:rsidRPr="00F10DBB">
              <w:rPr>
                <w:color w:val="000000"/>
                <w:sz w:val="18"/>
                <w:szCs w:val="18"/>
              </w:rPr>
              <w:t> </w:t>
            </w:r>
          </w:p>
        </w:tc>
        <w:tc>
          <w:tcPr>
            <w:tcW w:w="990" w:type="dxa"/>
            <w:tcBorders>
              <w:top w:val="nil"/>
              <w:left w:val="nil"/>
              <w:bottom w:val="nil"/>
              <w:right w:val="nil"/>
            </w:tcBorders>
            <w:shd w:val="clear" w:color="000000" w:fill="FFFFFF"/>
            <w:noWrap/>
            <w:vAlign w:val="bottom"/>
            <w:hideMark/>
          </w:tcPr>
          <w:p w14:paraId="3AD53241" w14:textId="77777777" w:rsidR="00C36261" w:rsidRPr="00F10DBB" w:rsidRDefault="00C36261" w:rsidP="006A7377">
            <w:pPr>
              <w:rPr>
                <w:color w:val="000000"/>
                <w:sz w:val="18"/>
                <w:szCs w:val="18"/>
              </w:rPr>
            </w:pPr>
            <w:r w:rsidRPr="00F10DBB">
              <w:rPr>
                <w:color w:val="000000"/>
                <w:sz w:val="18"/>
                <w:szCs w:val="18"/>
              </w:rPr>
              <w:t> </w:t>
            </w:r>
          </w:p>
        </w:tc>
      </w:tr>
      <w:tr w:rsidR="00C36261" w:rsidRPr="00F10DBB" w14:paraId="23702199" w14:textId="77777777" w:rsidTr="006A7377">
        <w:trPr>
          <w:trHeight w:val="223"/>
        </w:trPr>
        <w:tc>
          <w:tcPr>
            <w:tcW w:w="5446" w:type="dxa"/>
            <w:gridSpan w:val="3"/>
            <w:tcBorders>
              <w:top w:val="nil"/>
              <w:left w:val="nil"/>
              <w:bottom w:val="nil"/>
              <w:right w:val="nil"/>
            </w:tcBorders>
            <w:shd w:val="clear" w:color="000000" w:fill="FFFFFF"/>
            <w:noWrap/>
            <w:vAlign w:val="bottom"/>
            <w:hideMark/>
          </w:tcPr>
          <w:p w14:paraId="2F92ED44" w14:textId="77777777" w:rsidR="00C36261" w:rsidRPr="00A77D12" w:rsidRDefault="00C36261" w:rsidP="006A7377">
            <w:pPr>
              <w:rPr>
                <w:color w:val="000000"/>
                <w:sz w:val="14"/>
                <w:szCs w:val="14"/>
              </w:rPr>
            </w:pPr>
            <w:r w:rsidRPr="00A77D12">
              <w:rPr>
                <w:color w:val="000000"/>
                <w:sz w:val="14"/>
                <w:szCs w:val="14"/>
              </w:rPr>
              <w:t>b) Incluye 10 sociedades financieras privadas y a la Corporación Financiera Nacional -CORFINA-</w:t>
            </w:r>
          </w:p>
        </w:tc>
        <w:tc>
          <w:tcPr>
            <w:tcW w:w="844" w:type="dxa"/>
            <w:tcBorders>
              <w:top w:val="nil"/>
              <w:left w:val="nil"/>
              <w:bottom w:val="nil"/>
              <w:right w:val="nil"/>
            </w:tcBorders>
            <w:shd w:val="clear" w:color="000000" w:fill="FFFFFF"/>
            <w:noWrap/>
            <w:vAlign w:val="bottom"/>
            <w:hideMark/>
          </w:tcPr>
          <w:p w14:paraId="32A51502" w14:textId="77777777" w:rsidR="00C36261" w:rsidRPr="00F10DBB" w:rsidRDefault="00C36261" w:rsidP="006A7377">
            <w:pPr>
              <w:rPr>
                <w:b/>
                <w:bCs/>
                <w:color w:val="000000"/>
                <w:sz w:val="12"/>
                <w:szCs w:val="12"/>
              </w:rPr>
            </w:pPr>
            <w:r w:rsidRPr="00F10DBB">
              <w:rPr>
                <w:b/>
                <w:bCs/>
                <w:color w:val="000000"/>
                <w:sz w:val="12"/>
                <w:szCs w:val="12"/>
              </w:rPr>
              <w:t> </w:t>
            </w:r>
          </w:p>
        </w:tc>
        <w:tc>
          <w:tcPr>
            <w:tcW w:w="845" w:type="dxa"/>
            <w:tcBorders>
              <w:top w:val="nil"/>
              <w:left w:val="nil"/>
              <w:bottom w:val="nil"/>
              <w:right w:val="nil"/>
            </w:tcBorders>
            <w:shd w:val="clear" w:color="000000" w:fill="FFFFFF"/>
            <w:noWrap/>
            <w:vAlign w:val="bottom"/>
            <w:hideMark/>
          </w:tcPr>
          <w:p w14:paraId="0223B643" w14:textId="77777777" w:rsidR="00C36261" w:rsidRPr="00F10DBB" w:rsidRDefault="00C36261" w:rsidP="006A7377">
            <w:pPr>
              <w:rPr>
                <w:color w:val="000000"/>
                <w:sz w:val="18"/>
                <w:szCs w:val="18"/>
              </w:rPr>
            </w:pPr>
            <w:r w:rsidRPr="00F10DBB">
              <w:rPr>
                <w:color w:val="000000"/>
                <w:sz w:val="18"/>
                <w:szCs w:val="18"/>
              </w:rPr>
              <w:t> </w:t>
            </w:r>
          </w:p>
        </w:tc>
        <w:tc>
          <w:tcPr>
            <w:tcW w:w="703" w:type="dxa"/>
            <w:tcBorders>
              <w:top w:val="nil"/>
              <w:left w:val="nil"/>
              <w:bottom w:val="nil"/>
              <w:right w:val="nil"/>
            </w:tcBorders>
            <w:shd w:val="clear" w:color="000000" w:fill="FFFFFF"/>
            <w:noWrap/>
            <w:vAlign w:val="bottom"/>
            <w:hideMark/>
          </w:tcPr>
          <w:p w14:paraId="2F13D539" w14:textId="77777777" w:rsidR="00C36261" w:rsidRPr="00F10DBB" w:rsidRDefault="00C36261" w:rsidP="006A7377">
            <w:pPr>
              <w:rPr>
                <w:color w:val="000000"/>
                <w:sz w:val="18"/>
                <w:szCs w:val="18"/>
              </w:rPr>
            </w:pPr>
            <w:r w:rsidRPr="00F10DBB">
              <w:rPr>
                <w:color w:val="000000"/>
                <w:sz w:val="18"/>
                <w:szCs w:val="18"/>
              </w:rPr>
              <w:t> </w:t>
            </w:r>
          </w:p>
        </w:tc>
        <w:tc>
          <w:tcPr>
            <w:tcW w:w="990" w:type="dxa"/>
            <w:tcBorders>
              <w:top w:val="nil"/>
              <w:left w:val="nil"/>
              <w:bottom w:val="nil"/>
              <w:right w:val="nil"/>
            </w:tcBorders>
            <w:shd w:val="clear" w:color="000000" w:fill="FFFFFF"/>
            <w:noWrap/>
            <w:vAlign w:val="bottom"/>
            <w:hideMark/>
          </w:tcPr>
          <w:p w14:paraId="26E7BDFC" w14:textId="77777777" w:rsidR="00C36261" w:rsidRPr="00F10DBB" w:rsidRDefault="00C36261" w:rsidP="006A7377">
            <w:pPr>
              <w:rPr>
                <w:color w:val="000000"/>
                <w:sz w:val="18"/>
                <w:szCs w:val="18"/>
              </w:rPr>
            </w:pPr>
            <w:r w:rsidRPr="00F10DBB">
              <w:rPr>
                <w:color w:val="000000"/>
                <w:sz w:val="18"/>
                <w:szCs w:val="18"/>
              </w:rPr>
              <w:t> </w:t>
            </w:r>
          </w:p>
        </w:tc>
      </w:tr>
      <w:tr w:rsidR="00C36261" w:rsidRPr="00F10DBB" w14:paraId="009A277D" w14:textId="77777777" w:rsidTr="006A7377">
        <w:trPr>
          <w:trHeight w:val="550"/>
        </w:trPr>
        <w:tc>
          <w:tcPr>
            <w:tcW w:w="5446" w:type="dxa"/>
            <w:gridSpan w:val="3"/>
            <w:tcBorders>
              <w:top w:val="nil"/>
              <w:left w:val="nil"/>
              <w:bottom w:val="nil"/>
              <w:right w:val="nil"/>
            </w:tcBorders>
            <w:shd w:val="clear" w:color="000000" w:fill="FFFFFF"/>
            <w:vAlign w:val="center"/>
            <w:hideMark/>
          </w:tcPr>
          <w:p w14:paraId="1FC5B523" w14:textId="77777777" w:rsidR="00C36261" w:rsidRPr="00A77D12" w:rsidRDefault="00C36261" w:rsidP="006A7377">
            <w:pPr>
              <w:rPr>
                <w:color w:val="000000"/>
                <w:sz w:val="14"/>
                <w:szCs w:val="14"/>
              </w:rPr>
            </w:pPr>
            <w:r w:rsidRPr="00A77D12">
              <w:rPr>
                <w:color w:val="000000"/>
                <w:sz w:val="14"/>
                <w:szCs w:val="14"/>
              </w:rPr>
              <w:t>c) Incluye 3 casas de cambio, 8 casas de bolsa, 1 entidad microfinanciera de ahorro y crédito, el Instituto de Fomento de Hipotecas Aseguradas -FHA-, el Departamento de Monte de Piedad del CHN y 1 empresa de naturaleza financiera (</w:t>
            </w:r>
            <w:proofErr w:type="spellStart"/>
            <w:r w:rsidRPr="00A77D12">
              <w:rPr>
                <w:color w:val="000000"/>
                <w:sz w:val="14"/>
                <w:szCs w:val="14"/>
              </w:rPr>
              <w:t>interconsumo</w:t>
            </w:r>
            <w:proofErr w:type="spellEnd"/>
            <w:r w:rsidRPr="00A77D12">
              <w:rPr>
                <w:color w:val="000000"/>
                <w:sz w:val="14"/>
                <w:szCs w:val="14"/>
              </w:rPr>
              <w:t xml:space="preserve"> S.A)</w:t>
            </w:r>
          </w:p>
          <w:p w14:paraId="7EC2CF49" w14:textId="77777777" w:rsidR="00C36261" w:rsidRPr="00A77D12" w:rsidRDefault="00C36261" w:rsidP="006A7377">
            <w:pPr>
              <w:jc w:val="both"/>
              <w:rPr>
                <w:color w:val="000000"/>
                <w:sz w:val="14"/>
                <w:szCs w:val="14"/>
              </w:rPr>
            </w:pPr>
            <w:r w:rsidRPr="00A77D12">
              <w:rPr>
                <w:sz w:val="14"/>
                <w:szCs w:val="14"/>
              </w:rPr>
              <w:t>Fuente: Superintendencia de Bancos</w:t>
            </w:r>
          </w:p>
        </w:tc>
        <w:tc>
          <w:tcPr>
            <w:tcW w:w="844" w:type="dxa"/>
            <w:tcBorders>
              <w:top w:val="nil"/>
              <w:left w:val="nil"/>
              <w:bottom w:val="nil"/>
              <w:right w:val="nil"/>
            </w:tcBorders>
            <w:shd w:val="clear" w:color="000000" w:fill="FFFFFF"/>
            <w:vAlign w:val="center"/>
            <w:hideMark/>
          </w:tcPr>
          <w:p w14:paraId="12971FFB" w14:textId="77777777" w:rsidR="00C36261" w:rsidRPr="00F10DBB" w:rsidRDefault="00C36261" w:rsidP="006A7377">
            <w:pPr>
              <w:rPr>
                <w:b/>
                <w:bCs/>
                <w:color w:val="000000"/>
                <w:sz w:val="12"/>
                <w:szCs w:val="12"/>
              </w:rPr>
            </w:pPr>
            <w:r w:rsidRPr="00F10DBB">
              <w:rPr>
                <w:b/>
                <w:bCs/>
                <w:color w:val="000000"/>
                <w:sz w:val="12"/>
                <w:szCs w:val="12"/>
              </w:rPr>
              <w:t> </w:t>
            </w:r>
          </w:p>
        </w:tc>
        <w:tc>
          <w:tcPr>
            <w:tcW w:w="845" w:type="dxa"/>
            <w:tcBorders>
              <w:top w:val="nil"/>
              <w:left w:val="nil"/>
              <w:bottom w:val="nil"/>
              <w:right w:val="nil"/>
            </w:tcBorders>
            <w:shd w:val="clear" w:color="000000" w:fill="FFFFFF"/>
            <w:noWrap/>
            <w:vAlign w:val="bottom"/>
            <w:hideMark/>
          </w:tcPr>
          <w:p w14:paraId="4AB2886B" w14:textId="77777777" w:rsidR="00C36261" w:rsidRPr="00F10DBB" w:rsidRDefault="00C36261" w:rsidP="006A7377">
            <w:pPr>
              <w:rPr>
                <w:color w:val="000000"/>
                <w:sz w:val="18"/>
                <w:szCs w:val="18"/>
              </w:rPr>
            </w:pPr>
            <w:r w:rsidRPr="00F10DBB">
              <w:rPr>
                <w:color w:val="000000"/>
                <w:sz w:val="18"/>
                <w:szCs w:val="18"/>
              </w:rPr>
              <w:t> </w:t>
            </w:r>
          </w:p>
        </w:tc>
        <w:tc>
          <w:tcPr>
            <w:tcW w:w="703" w:type="dxa"/>
            <w:tcBorders>
              <w:top w:val="nil"/>
              <w:left w:val="nil"/>
              <w:bottom w:val="nil"/>
              <w:right w:val="nil"/>
            </w:tcBorders>
            <w:shd w:val="clear" w:color="000000" w:fill="FFFFFF"/>
            <w:noWrap/>
            <w:vAlign w:val="bottom"/>
            <w:hideMark/>
          </w:tcPr>
          <w:p w14:paraId="3E285F77" w14:textId="77777777" w:rsidR="00C36261" w:rsidRPr="00F10DBB" w:rsidRDefault="00C36261" w:rsidP="006A7377">
            <w:pPr>
              <w:rPr>
                <w:color w:val="000000"/>
                <w:sz w:val="18"/>
                <w:szCs w:val="18"/>
              </w:rPr>
            </w:pPr>
            <w:r w:rsidRPr="00F10DBB">
              <w:rPr>
                <w:color w:val="000000"/>
                <w:sz w:val="18"/>
                <w:szCs w:val="18"/>
              </w:rPr>
              <w:t> </w:t>
            </w:r>
          </w:p>
        </w:tc>
        <w:tc>
          <w:tcPr>
            <w:tcW w:w="990" w:type="dxa"/>
            <w:tcBorders>
              <w:top w:val="nil"/>
              <w:left w:val="nil"/>
              <w:bottom w:val="nil"/>
              <w:right w:val="nil"/>
            </w:tcBorders>
            <w:shd w:val="clear" w:color="000000" w:fill="FFFFFF"/>
            <w:noWrap/>
            <w:vAlign w:val="bottom"/>
            <w:hideMark/>
          </w:tcPr>
          <w:p w14:paraId="2DE335F8" w14:textId="77777777" w:rsidR="00C36261" w:rsidRPr="00F10DBB" w:rsidRDefault="00C36261" w:rsidP="006A7377">
            <w:pPr>
              <w:rPr>
                <w:color w:val="000000"/>
                <w:sz w:val="18"/>
                <w:szCs w:val="18"/>
              </w:rPr>
            </w:pPr>
            <w:r w:rsidRPr="00F10DBB">
              <w:rPr>
                <w:color w:val="000000"/>
                <w:sz w:val="18"/>
                <w:szCs w:val="18"/>
              </w:rPr>
              <w:t> </w:t>
            </w:r>
          </w:p>
        </w:tc>
      </w:tr>
    </w:tbl>
    <w:p w14:paraId="06731C3A" w14:textId="77777777" w:rsidR="00135E7F" w:rsidRDefault="00135E7F" w:rsidP="00C36261">
      <w:pPr>
        <w:jc w:val="both"/>
      </w:pPr>
    </w:p>
    <w:p w14:paraId="34E9A952" w14:textId="7A10D3BF" w:rsidR="00C36261" w:rsidRDefault="00C36261" w:rsidP="00C36261">
      <w:pPr>
        <w:jc w:val="both"/>
      </w:pPr>
      <w:r>
        <w:t>Según l</w:t>
      </w:r>
      <w:r w:rsidRPr="00F10DBB">
        <w:t>a Ley de Supervisión Financiera</w:t>
      </w:r>
      <w:r>
        <w:t xml:space="preserve"> (Decreto No. 18-2002), en su artículo 1 establece que: “l</w:t>
      </w:r>
      <w:r w:rsidRPr="002672F3">
        <w:t>a Superintendencia de Bancos es un órgano</w:t>
      </w:r>
      <w:r>
        <w:t xml:space="preserve"> </w:t>
      </w:r>
      <w:r w:rsidRPr="002672F3">
        <w:t>de Banca Central, organizado conforme a esta ley; eminentemente técnico, que</w:t>
      </w:r>
      <w:r>
        <w:t xml:space="preserve"> </w:t>
      </w:r>
      <w:r w:rsidRPr="002672F3">
        <w:t>actúa bajo la dirección general de la Junta Monetaria y ejerce la vigilancia e</w:t>
      </w:r>
      <w:r>
        <w:t xml:space="preserve"> </w:t>
      </w:r>
      <w:r w:rsidRPr="002672F3">
        <w:t>inspección del Banco de Guatemala, bancos, sociedades financieras, instituciones</w:t>
      </w:r>
      <w:r>
        <w:t xml:space="preserve"> </w:t>
      </w:r>
      <w:r w:rsidRPr="002672F3">
        <w:t>de crédito, entidades afianzadoras, de seguros, almacenes generales de depósito,</w:t>
      </w:r>
      <w:r>
        <w:t xml:space="preserve"> </w:t>
      </w:r>
      <w:r w:rsidRPr="002672F3">
        <w:t>casas de cambio, grupos financieros y empresas controladoras de grupos</w:t>
      </w:r>
      <w:r>
        <w:t xml:space="preserve"> </w:t>
      </w:r>
      <w:r w:rsidRPr="002672F3">
        <w:t>financieros y las demás entidades que otras leyes dispongan.</w:t>
      </w:r>
      <w:r>
        <w:t>”</w:t>
      </w:r>
    </w:p>
    <w:p w14:paraId="7298435D" w14:textId="77777777" w:rsidR="00A77D12" w:rsidRDefault="00A77D12" w:rsidP="00C36261">
      <w:pPr>
        <w:jc w:val="both"/>
      </w:pPr>
    </w:p>
    <w:p w14:paraId="03119080" w14:textId="3EF2FBB4" w:rsidR="00C36261" w:rsidRDefault="00C36261" w:rsidP="007A0B9B">
      <w:pPr>
        <w:jc w:val="both"/>
      </w:pPr>
      <w:r w:rsidRPr="003D43A9">
        <w:t xml:space="preserve">Además, según dicho artículo, </w:t>
      </w:r>
      <w:r>
        <w:t xml:space="preserve">esta institución </w:t>
      </w:r>
      <w:r w:rsidRPr="003D43A9">
        <w:t>tiene plena capacidad para adquirir derechos y contraer obligaciones, goza de la independencia funcional necesaria para el cumplimiento de sus fines, y para velar porque las personas sujetas a su vigilancia e inspección cumplan con sus obligaciones legales y observen las disposiciones normativas aplicables en cuanto a liquidez, solvencia y solidez patrimonial.</w:t>
      </w:r>
    </w:p>
    <w:p w14:paraId="0AAEEE01" w14:textId="77777777" w:rsidR="00A77D12" w:rsidRPr="003D43A9" w:rsidRDefault="00A77D12" w:rsidP="007A0B9B">
      <w:pPr>
        <w:jc w:val="both"/>
      </w:pPr>
    </w:p>
    <w:p w14:paraId="53E13815" w14:textId="565D4616" w:rsidR="00C36261" w:rsidRDefault="00C36261" w:rsidP="007A0B9B">
      <w:pPr>
        <w:jc w:val="both"/>
      </w:pPr>
      <w:r w:rsidRPr="003D43A9">
        <w:t xml:space="preserve">Para cumplir con su objetivo la Superintendencia de Bancos, deberá </w:t>
      </w:r>
      <w:r>
        <w:t xml:space="preserve">realizar </w:t>
      </w:r>
      <w:r w:rsidRPr="003D43A9">
        <w:t>las funciones que establece la Ley, destacando entre otras las siguientes:</w:t>
      </w:r>
    </w:p>
    <w:p w14:paraId="5356AB35" w14:textId="77777777" w:rsidR="00A77D12" w:rsidRPr="003D43A9" w:rsidRDefault="00A77D12" w:rsidP="007A0B9B">
      <w:pPr>
        <w:jc w:val="both"/>
      </w:pPr>
    </w:p>
    <w:p w14:paraId="02315AF5" w14:textId="77777777" w:rsidR="00C36261" w:rsidRPr="003D43A9" w:rsidRDefault="00C36261" w:rsidP="007A0B9B">
      <w:pPr>
        <w:pStyle w:val="Prrafodelista"/>
        <w:numPr>
          <w:ilvl w:val="0"/>
          <w:numId w:val="18"/>
        </w:numPr>
        <w:spacing w:after="160"/>
        <w:jc w:val="both"/>
      </w:pPr>
      <w:r w:rsidRPr="003D43A9">
        <w:t>Supervisar</w:t>
      </w:r>
      <w:r>
        <w:t xml:space="preserve"> a las instituciones financieras</w:t>
      </w:r>
      <w:r w:rsidRPr="003D43A9">
        <w:t xml:space="preserve"> a fin de que mantengan la liquidez y solvencia adecuadas que les permita atender oportuna y totalmente sus obligaciones, y evalúen y </w:t>
      </w:r>
      <w:r w:rsidRPr="003D43A9">
        <w:lastRenderedPageBreak/>
        <w:t>manejen adecuadamente la cobertura, distribución y nivel de riesgo de sus inversiones y operaciones contingentes;</w:t>
      </w:r>
    </w:p>
    <w:p w14:paraId="3A7B2938" w14:textId="77777777" w:rsidR="00C36261" w:rsidRPr="003D43A9" w:rsidRDefault="00C36261" w:rsidP="007A0B9B">
      <w:pPr>
        <w:pStyle w:val="Prrafodelista"/>
        <w:numPr>
          <w:ilvl w:val="0"/>
          <w:numId w:val="18"/>
        </w:numPr>
        <w:spacing w:after="160"/>
        <w:jc w:val="both"/>
      </w:pPr>
      <w:r w:rsidRPr="003D43A9">
        <w:t xml:space="preserve">Dictar en forma razonada las instrucciones tendientes a subsanar las deficiencias o irregularidades que encontrare; </w:t>
      </w:r>
    </w:p>
    <w:p w14:paraId="21E91660" w14:textId="77777777" w:rsidR="00C36261" w:rsidRPr="003D43A9" w:rsidRDefault="00C36261" w:rsidP="007A0B9B">
      <w:pPr>
        <w:pStyle w:val="Prrafodelista"/>
        <w:numPr>
          <w:ilvl w:val="0"/>
          <w:numId w:val="18"/>
        </w:numPr>
        <w:spacing w:after="160"/>
        <w:jc w:val="both"/>
      </w:pPr>
      <w:r w:rsidRPr="003D43A9">
        <w:t xml:space="preserve">Imponer las sanciones que correspondan de conformidad con la ley; </w:t>
      </w:r>
    </w:p>
    <w:p w14:paraId="060C20DE" w14:textId="77777777" w:rsidR="00C36261" w:rsidRPr="003D43A9" w:rsidRDefault="00C36261" w:rsidP="007A0B9B">
      <w:pPr>
        <w:pStyle w:val="Prrafodelista"/>
        <w:numPr>
          <w:ilvl w:val="0"/>
          <w:numId w:val="18"/>
        </w:numPr>
        <w:spacing w:after="160"/>
        <w:jc w:val="both"/>
      </w:pPr>
      <w:r w:rsidRPr="003D43A9">
        <w:t xml:space="preserve">Ejercer vigilancia e inspección con las más amplias facultades de investigación y libre acceso a todas las fuentes y sistemas de información de las entidades supervisadas, incluyendo libros, registros, informes, contratos, documentos y cualquier otra información, así como a los comprobantes que respaldan las operaciones de las entidades supervisadas.   </w:t>
      </w:r>
    </w:p>
    <w:p w14:paraId="1A559CC6" w14:textId="77777777" w:rsidR="00C36261" w:rsidRPr="003D43A9" w:rsidRDefault="00C36261" w:rsidP="007A0B9B">
      <w:pPr>
        <w:pStyle w:val="Prrafodelista"/>
        <w:numPr>
          <w:ilvl w:val="0"/>
          <w:numId w:val="18"/>
        </w:numPr>
        <w:spacing w:after="160"/>
        <w:jc w:val="both"/>
      </w:pPr>
      <w:r w:rsidRPr="003D43A9">
        <w:t xml:space="preserve">Requerir información sobre cualesquiera de sus actividades, actos, operaciones de confianza y su situación financiera, sea en forma individual, o cuando proceda, en forma consolidada; </w:t>
      </w:r>
    </w:p>
    <w:p w14:paraId="616C0D47" w14:textId="77777777" w:rsidR="00C36261" w:rsidRPr="003D43A9" w:rsidRDefault="00C36261" w:rsidP="007A0B9B">
      <w:pPr>
        <w:pStyle w:val="Prrafodelista"/>
        <w:numPr>
          <w:ilvl w:val="0"/>
          <w:numId w:val="18"/>
        </w:numPr>
        <w:spacing w:after="160"/>
        <w:jc w:val="both"/>
      </w:pPr>
      <w:r w:rsidRPr="003D43A9">
        <w:t>Realizar su vigilancia e inspección sobre la base de una supervisión consolidada;</w:t>
      </w:r>
    </w:p>
    <w:p w14:paraId="09464339" w14:textId="77777777" w:rsidR="00C36261" w:rsidRPr="003D43A9" w:rsidRDefault="00C36261" w:rsidP="007A0B9B">
      <w:pPr>
        <w:pStyle w:val="Prrafodelista"/>
        <w:numPr>
          <w:ilvl w:val="0"/>
          <w:numId w:val="18"/>
        </w:numPr>
        <w:spacing w:after="160"/>
        <w:jc w:val="both"/>
      </w:pPr>
      <w:r w:rsidRPr="003D43A9">
        <w:t>Evaluar las políticas, procedimientos, normas y sistemas de las entidades y, en general, asegurarse que cuenten con procesos integrales de administración de riesgo;</w:t>
      </w:r>
    </w:p>
    <w:p w14:paraId="678DA0CB" w14:textId="77777777" w:rsidR="00C36261" w:rsidRPr="003D43A9" w:rsidRDefault="00C36261" w:rsidP="007A0B9B">
      <w:pPr>
        <w:pStyle w:val="Prrafodelista"/>
        <w:numPr>
          <w:ilvl w:val="0"/>
          <w:numId w:val="18"/>
        </w:numPr>
        <w:spacing w:after="160"/>
        <w:jc w:val="both"/>
      </w:pPr>
      <w:r w:rsidRPr="003D43A9">
        <w:t xml:space="preserve">Efectuar recomendaciones de naturaleza prudencial tendientes a que identifiquen, limiten y administren adecuadamente los riesgos que asuman en sus operaciones, constituyan las reservas de valuación que sean necesarias para cubrir el riesgo de </w:t>
      </w:r>
      <w:proofErr w:type="spellStart"/>
      <w:r w:rsidRPr="003D43A9">
        <w:t>irrecuperabilidad</w:t>
      </w:r>
      <w:proofErr w:type="spellEnd"/>
      <w:r w:rsidRPr="003D43A9">
        <w:t xml:space="preserve"> y mantengan patrimonio suficiente con relación a tales riesgos;</w:t>
      </w:r>
    </w:p>
    <w:p w14:paraId="3F5E89B3" w14:textId="77777777" w:rsidR="00C36261" w:rsidRPr="003D43A9" w:rsidRDefault="00C36261" w:rsidP="007A0B9B">
      <w:pPr>
        <w:pStyle w:val="Prrafodelista"/>
        <w:numPr>
          <w:ilvl w:val="0"/>
          <w:numId w:val="18"/>
        </w:numPr>
        <w:spacing w:after="160"/>
        <w:jc w:val="both"/>
      </w:pPr>
      <w:r w:rsidRPr="003D43A9">
        <w:t>Velar por el cumplimiento de las disposiciones generales emitidas por la Junta Monetaria que norman las operaciones de confianza;</w:t>
      </w:r>
    </w:p>
    <w:p w14:paraId="28D57ED5" w14:textId="77777777" w:rsidR="00C36261" w:rsidRPr="003D43A9" w:rsidRDefault="00C36261" w:rsidP="007A0B9B">
      <w:pPr>
        <w:pStyle w:val="Prrafodelista"/>
        <w:numPr>
          <w:ilvl w:val="0"/>
          <w:numId w:val="18"/>
        </w:numPr>
        <w:spacing w:after="160"/>
        <w:jc w:val="both"/>
      </w:pPr>
      <w:r w:rsidRPr="003D43A9">
        <w:t>Solicitar a la autoridad que corresponda la liquidación o la declaratoria de quiebra de las entidades sujetas a su vigilancia e inspección, en los casos que proceda de conformidad con la ley;</w:t>
      </w:r>
    </w:p>
    <w:p w14:paraId="216F6CF3" w14:textId="73ED4605" w:rsidR="00C36261" w:rsidRDefault="00C36261" w:rsidP="00C36261">
      <w:pPr>
        <w:jc w:val="both"/>
      </w:pPr>
      <w:r>
        <w:t>Es importante mencionar que la SIB, igualmente, elabora y publica documentos mensuales y trimestrales, para</w:t>
      </w:r>
      <w:r w:rsidRPr="005855CE">
        <w:t xml:space="preserve"> informar a la Junta Monetaria sobre la situación financiera de las entidades sujetas a la vigilancia e inspección, haciendo énfasis en el comportamiento del sistema bancario, de las sociedades financieras y de las entidades fuera de plaza, por su importancia relativa en función del tamaño de sus activos. Estas instituciones apoyan la intermediación financiera que se refiere al traslado de recursos de agentes económicos con excedentes financieros hacia demandantes de estos. Asimismo, presenta una breve descripción, en forma agregada, del comportamiento de los principales rubros del sistema financiero</w:t>
      </w:r>
      <w:r>
        <w:t>,</w:t>
      </w:r>
      <w:r w:rsidRPr="005855CE">
        <w:t xml:space="preserve"> particularmente las inversiones, la cartera de créditos y las obligaciones depositarias, entre otros. Además, describe la evolución de los principales riesgos e indicadores financieros.</w:t>
      </w:r>
      <w:r>
        <w:t xml:space="preserve">  </w:t>
      </w:r>
    </w:p>
    <w:p w14:paraId="70A42DB7" w14:textId="77777777" w:rsidR="00A77D12" w:rsidRDefault="00A77D12" w:rsidP="00C36261">
      <w:pPr>
        <w:jc w:val="both"/>
      </w:pPr>
    </w:p>
    <w:p w14:paraId="4AB36943" w14:textId="77777777" w:rsidR="00C36261" w:rsidRDefault="00C36261" w:rsidP="00C36261">
      <w:pPr>
        <w:jc w:val="both"/>
      </w:pPr>
      <w:r>
        <w:t>Dicha información es importante para evaluar el comportamiento del sistema financiero nacional y medir los riesgos que enfrenta este sector ante la ocurrencia de un determinado evento y que, en cierto sentido, puede afectar al sistema financiero y a la economía en su conjunto, incluyendo también, dependiendo de la naturaleza y magnitud, a las operaciones del gobierno central.</w:t>
      </w:r>
    </w:p>
    <w:p w14:paraId="5FDA1803" w14:textId="6A77C9C1" w:rsidR="00C36261" w:rsidRDefault="00C36261" w:rsidP="00C36261">
      <w:pPr>
        <w:jc w:val="both"/>
        <w:rPr>
          <w:b/>
          <w:bCs/>
        </w:rPr>
      </w:pPr>
    </w:p>
    <w:p w14:paraId="1083E3D5" w14:textId="77777777" w:rsidR="007A0B9B" w:rsidRDefault="007A0B9B" w:rsidP="00C36261">
      <w:pPr>
        <w:jc w:val="both"/>
        <w:rPr>
          <w:b/>
          <w:bCs/>
        </w:rPr>
      </w:pPr>
    </w:p>
    <w:p w14:paraId="4CD821C7" w14:textId="77777777" w:rsidR="00C36261" w:rsidRPr="00096829" w:rsidRDefault="00C36261" w:rsidP="007F19DF">
      <w:pPr>
        <w:pStyle w:val="Ttulo2"/>
        <w:numPr>
          <w:ilvl w:val="1"/>
          <w:numId w:val="35"/>
        </w:numPr>
        <w:ind w:left="426" w:hanging="284"/>
        <w:rPr>
          <w:bCs/>
        </w:rPr>
      </w:pPr>
      <w:bookmarkStart w:id="735" w:name="_Toc144114436"/>
      <w:r w:rsidRPr="00422525">
        <w:rPr>
          <w:bCs/>
        </w:rPr>
        <w:lastRenderedPageBreak/>
        <w:t>Riesgos e indicadores del sistema financiero</w:t>
      </w:r>
      <w:bookmarkEnd w:id="735"/>
    </w:p>
    <w:p w14:paraId="325A982F" w14:textId="77777777" w:rsidR="00A77D12" w:rsidRDefault="00A77D12" w:rsidP="00C36261">
      <w:pPr>
        <w:jc w:val="both"/>
      </w:pPr>
    </w:p>
    <w:p w14:paraId="1A949E58" w14:textId="657AC814" w:rsidR="00C36261" w:rsidRDefault="00C36261" w:rsidP="00C36261">
      <w:pPr>
        <w:jc w:val="both"/>
      </w:pPr>
      <w:r>
        <w:t>Un aspecto importante en un análisis de riesgos fiscales asociados al sector financiero es evaluar los riesgos e indicadores financieros de los principales grupos de instituciones que conforman este sector, en este segmento se dará seguimiento a los principales riesgos o vulnerabilidades tales como el de liquidez, de crédito, de solvencia y rentabilidad.  Dicha información y análisis fue elaborado por la SIB, cuya fecha de corte es el 31 de diciembre de 2022, esta información es pública y se encuentra en la página web de dicha entidad.</w:t>
      </w:r>
    </w:p>
    <w:p w14:paraId="4C13D4CF" w14:textId="77777777" w:rsidR="00135E7F" w:rsidRDefault="00135E7F" w:rsidP="00C36261">
      <w:pPr>
        <w:jc w:val="both"/>
      </w:pPr>
    </w:p>
    <w:p w14:paraId="528B61A5" w14:textId="77777777" w:rsidR="00C36261" w:rsidRPr="00096829" w:rsidRDefault="00C36261" w:rsidP="00BC7E77">
      <w:pPr>
        <w:pStyle w:val="Ttulo2"/>
        <w:numPr>
          <w:ilvl w:val="2"/>
          <w:numId w:val="35"/>
        </w:numPr>
        <w:rPr>
          <w:bCs/>
        </w:rPr>
      </w:pPr>
      <w:bookmarkStart w:id="736" w:name="_Toc144114437"/>
      <w:r w:rsidRPr="00D30FE2">
        <w:rPr>
          <w:bCs/>
        </w:rPr>
        <w:t>Riesgo de liquidez.</w:t>
      </w:r>
      <w:bookmarkEnd w:id="736"/>
      <w:r w:rsidRPr="00D30FE2">
        <w:rPr>
          <w:bCs/>
        </w:rPr>
        <w:t xml:space="preserve">  </w:t>
      </w:r>
    </w:p>
    <w:p w14:paraId="37114066" w14:textId="77777777" w:rsidR="00A77D12" w:rsidRDefault="00A77D12" w:rsidP="00C36261">
      <w:pPr>
        <w:jc w:val="both"/>
      </w:pPr>
    </w:p>
    <w:p w14:paraId="482DE250" w14:textId="588D12A6" w:rsidR="00C36261" w:rsidRPr="00C477FC" w:rsidRDefault="00C36261" w:rsidP="00C36261">
      <w:pPr>
        <w:jc w:val="both"/>
      </w:pPr>
      <w:r w:rsidRPr="0048496B">
        <w:t>Al 31 de diciembre de 2022, el indicador de liquidez inmediata, que representa la proporción de recursos de inmediata disponibilidad que la entidad posee para hacer frente a sus obligaciones de captación (obligaciones depositarias más obligaciones financieras), para los bancos se ubicó en 19.8%, para las sociedades financieras en 10.7%.  La cual muestra un comportamiento ascendente desde 2017.</w:t>
      </w:r>
      <w:r>
        <w:t xml:space="preserve"> Asimismo, el indicador de liquidez mediata, la cual</w:t>
      </w:r>
      <w:r w:rsidRPr="00512122">
        <w:t xml:space="preserve"> representa la razón de activos líquidos (disponibilidades e inversiones) con relación a las obligaciones de captación más las cuentas por pagar y los créditos obtenidos</w:t>
      </w:r>
      <w:r>
        <w:t xml:space="preserve">, en este caso </w:t>
      </w:r>
      <w:r w:rsidRPr="00C477FC">
        <w:t xml:space="preserve">para los bancos fue de 47.6%, para las sociedades financieras 91.7%. </w:t>
      </w:r>
      <w:r>
        <w:t>Mostrando un comportamiento bastante</w:t>
      </w:r>
      <w:r w:rsidRPr="00C477FC">
        <w:t xml:space="preserve"> estable desde 2017 para el caso de los bancos y las sociedades financieras</w:t>
      </w:r>
      <w:r>
        <w:t>.</w:t>
      </w:r>
    </w:p>
    <w:p w14:paraId="234FFC11" w14:textId="6255286E" w:rsidR="00C36261" w:rsidRPr="00A77D12" w:rsidRDefault="00A77D12" w:rsidP="00A77D12">
      <w:pPr>
        <w:pStyle w:val="Descripcin"/>
        <w:rPr>
          <w:b w:val="0"/>
          <w:bCs/>
          <w:color w:val="auto"/>
        </w:rPr>
      </w:pPr>
      <w:bookmarkStart w:id="737" w:name="_Toc143593642"/>
      <w:r w:rsidRPr="00A77D12">
        <w:rPr>
          <w:color w:val="auto"/>
        </w:rPr>
        <w:t xml:space="preserve">Gráfico </w:t>
      </w:r>
      <w:r w:rsidRPr="00A77D12">
        <w:rPr>
          <w:color w:val="auto"/>
        </w:rPr>
        <w:fldChar w:fldCharType="begin"/>
      </w:r>
      <w:r w:rsidRPr="00A77D12">
        <w:rPr>
          <w:color w:val="auto"/>
        </w:rPr>
        <w:instrText xml:space="preserve"> SEQ Gráfico \* ARABIC </w:instrText>
      </w:r>
      <w:r w:rsidRPr="00A77D12">
        <w:rPr>
          <w:color w:val="auto"/>
        </w:rPr>
        <w:fldChar w:fldCharType="separate"/>
      </w:r>
      <w:r w:rsidR="00A62AFA">
        <w:rPr>
          <w:noProof/>
          <w:color w:val="auto"/>
        </w:rPr>
        <w:t>84</w:t>
      </w:r>
      <w:r w:rsidRPr="00A77D12">
        <w:rPr>
          <w:color w:val="auto"/>
        </w:rPr>
        <w:fldChar w:fldCharType="end"/>
      </w:r>
      <w:r w:rsidRPr="00A77D12">
        <w:rPr>
          <w:color w:val="auto"/>
        </w:rPr>
        <w:t>.  Indicadores de Liquidez</w:t>
      </w:r>
      <w:bookmarkEnd w:id="737"/>
    </w:p>
    <w:p w14:paraId="4E85EC52" w14:textId="77777777" w:rsidR="00C36261" w:rsidRPr="00A77D12" w:rsidRDefault="00C36261" w:rsidP="00C36261">
      <w:pPr>
        <w:pStyle w:val="Sinespaciado"/>
        <w:jc w:val="center"/>
        <w:rPr>
          <w:sz w:val="22"/>
          <w:szCs w:val="22"/>
        </w:rPr>
      </w:pPr>
      <w:r w:rsidRPr="00A77D12">
        <w:rPr>
          <w:sz w:val="22"/>
          <w:szCs w:val="22"/>
        </w:rPr>
        <w:t>En porcentajes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362"/>
      </w:tblGrid>
      <w:tr w:rsidR="00C36261" w14:paraId="32824646" w14:textId="77777777" w:rsidTr="006A7377">
        <w:tc>
          <w:tcPr>
            <w:tcW w:w="4476" w:type="dxa"/>
          </w:tcPr>
          <w:p w14:paraId="02C7DEF5" w14:textId="77777777" w:rsidR="00C36261" w:rsidRPr="00EC4C72" w:rsidRDefault="00C36261" w:rsidP="006A7377">
            <w:pPr>
              <w:jc w:val="center"/>
              <w:rPr>
                <w:b/>
                <w:bCs/>
              </w:rPr>
            </w:pPr>
            <w:r w:rsidRPr="00EC4C72">
              <w:rPr>
                <w:b/>
                <w:bCs/>
              </w:rPr>
              <w:t>Liquidez Inmediata</w:t>
            </w:r>
          </w:p>
        </w:tc>
        <w:tc>
          <w:tcPr>
            <w:tcW w:w="4362" w:type="dxa"/>
          </w:tcPr>
          <w:p w14:paraId="48C11653" w14:textId="77777777" w:rsidR="00C36261" w:rsidRPr="00EC4C72" w:rsidRDefault="00C36261" w:rsidP="006A7377">
            <w:pPr>
              <w:jc w:val="center"/>
              <w:rPr>
                <w:b/>
                <w:bCs/>
              </w:rPr>
            </w:pPr>
            <w:r w:rsidRPr="00EC4C72">
              <w:rPr>
                <w:b/>
                <w:bCs/>
              </w:rPr>
              <w:t>Liquidez Mediata</w:t>
            </w:r>
          </w:p>
        </w:tc>
      </w:tr>
      <w:tr w:rsidR="00C36261" w14:paraId="4BE6DB55" w14:textId="77777777" w:rsidTr="006A7377">
        <w:tc>
          <w:tcPr>
            <w:tcW w:w="4476" w:type="dxa"/>
          </w:tcPr>
          <w:p w14:paraId="4ACEA6EC" w14:textId="77777777" w:rsidR="00C36261" w:rsidRDefault="00C36261" w:rsidP="006A7377">
            <w:pPr>
              <w:jc w:val="both"/>
            </w:pPr>
            <w:r w:rsidRPr="000B6DA2">
              <w:rPr>
                <w:noProof/>
              </w:rPr>
              <w:drawing>
                <wp:inline distT="0" distB="0" distL="0" distR="0" wp14:anchorId="3F23D479" wp14:editId="5C9AF0BC">
                  <wp:extent cx="2695575" cy="200977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695956" cy="2010059"/>
                          </a:xfrm>
                          <a:prstGeom prst="rect">
                            <a:avLst/>
                          </a:prstGeom>
                        </pic:spPr>
                      </pic:pic>
                    </a:graphicData>
                  </a:graphic>
                </wp:inline>
              </w:drawing>
            </w:r>
          </w:p>
        </w:tc>
        <w:tc>
          <w:tcPr>
            <w:tcW w:w="4362" w:type="dxa"/>
          </w:tcPr>
          <w:p w14:paraId="74E68E1D" w14:textId="77777777" w:rsidR="00C36261" w:rsidRDefault="00C36261" w:rsidP="006A7377">
            <w:pPr>
              <w:jc w:val="both"/>
            </w:pPr>
            <w:r w:rsidRPr="007675E6">
              <w:rPr>
                <w:noProof/>
              </w:rPr>
              <w:drawing>
                <wp:inline distT="0" distB="0" distL="0" distR="0" wp14:anchorId="3F1240C7" wp14:editId="3A4BDC06">
                  <wp:extent cx="2628900" cy="1990462"/>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646774" cy="2003996"/>
                          </a:xfrm>
                          <a:prstGeom prst="rect">
                            <a:avLst/>
                          </a:prstGeom>
                        </pic:spPr>
                      </pic:pic>
                    </a:graphicData>
                  </a:graphic>
                </wp:inline>
              </w:drawing>
            </w:r>
          </w:p>
        </w:tc>
      </w:tr>
    </w:tbl>
    <w:p w14:paraId="72791BD3" w14:textId="77777777" w:rsidR="00C36261" w:rsidRPr="00A77D12" w:rsidRDefault="00C36261" w:rsidP="00C36261">
      <w:pPr>
        <w:jc w:val="both"/>
        <w:rPr>
          <w:sz w:val="16"/>
          <w:szCs w:val="16"/>
        </w:rPr>
      </w:pPr>
      <w:r w:rsidRPr="00A77D12">
        <w:rPr>
          <w:sz w:val="16"/>
          <w:szCs w:val="16"/>
        </w:rPr>
        <w:t>Fuente: Superintendencia de Bancos</w:t>
      </w:r>
    </w:p>
    <w:p w14:paraId="79D375D9" w14:textId="77777777" w:rsidR="00A77D12" w:rsidRDefault="00A77D12" w:rsidP="00C36261">
      <w:pPr>
        <w:jc w:val="both"/>
      </w:pPr>
    </w:p>
    <w:p w14:paraId="2B2D6697" w14:textId="2430A916" w:rsidR="00C36261" w:rsidRDefault="00C36261" w:rsidP="00C36261">
      <w:pPr>
        <w:jc w:val="both"/>
      </w:pPr>
      <w:r>
        <w:t>En cuanto a</w:t>
      </w:r>
      <w:r w:rsidRPr="008C7344">
        <w:t>l Ratio de Cobertura de Liquidez -LCR- (por sus siglas en inglés), calculado con base en la metodología que propone el Comité de Supervisión Bancaria de Basilea, específicamente como parte de los estándares conocidos como Basilea III, tiene como propósito medir la suficiencia de liquidez. Este indicador identifica el importe de los activos líquidos de alta calidad no comprometidos que posee una entidad respecto a las salidas netas de efectivo que podrían ocurrir en un escenario de tensión aguda de corto plazo (30 días).</w:t>
      </w:r>
    </w:p>
    <w:p w14:paraId="6C330683" w14:textId="77777777" w:rsidR="00135E7F" w:rsidRDefault="00135E7F" w:rsidP="00C36261">
      <w:pPr>
        <w:jc w:val="both"/>
      </w:pPr>
    </w:p>
    <w:p w14:paraId="07C568EE" w14:textId="77777777" w:rsidR="00C36261" w:rsidRDefault="00C36261" w:rsidP="00C36261">
      <w:pPr>
        <w:jc w:val="both"/>
      </w:pPr>
      <w:r>
        <w:t>Tomando en cuenta lo anterior, a</w:t>
      </w:r>
      <w:r w:rsidRPr="0045042C">
        <w:t xml:space="preserve"> diciembre de 2022, todas las entidades bancarias se encuentran en un nivel superior al 100% recomendado por el Comité de Basilea para dicho coeficiente, combinando moneda nacional y moneda extranjera. Lo anterior implica que el </w:t>
      </w:r>
      <w:r w:rsidRPr="0045042C">
        <w:lastRenderedPageBreak/>
        <w:t>sistema bancario, en su conjunto, posee un adecuado volumen de activos líquidos de alta calidad para hacer frente a sus salidas netas de caja, en un escenario de tensión de 30 días.</w:t>
      </w:r>
    </w:p>
    <w:p w14:paraId="663E7DF1" w14:textId="77777777" w:rsidR="00135E7F" w:rsidRDefault="00135E7F" w:rsidP="00C36261">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6"/>
      </w:tblGrid>
      <w:tr w:rsidR="00C36261" w14:paraId="1806E8FE" w14:textId="77777777" w:rsidTr="002D5363">
        <w:trPr>
          <w:trHeight w:val="412"/>
        </w:trPr>
        <w:tc>
          <w:tcPr>
            <w:tcW w:w="8609" w:type="dxa"/>
          </w:tcPr>
          <w:p w14:paraId="3B571D2C" w14:textId="3E90BF8C" w:rsidR="00C36261" w:rsidRPr="00D01867" w:rsidRDefault="00A77D12" w:rsidP="00A77D12">
            <w:pPr>
              <w:pStyle w:val="Descripcin"/>
              <w:rPr>
                <w:b w:val="0"/>
                <w:bCs/>
              </w:rPr>
            </w:pPr>
            <w:bookmarkStart w:id="738" w:name="_Toc143593643"/>
            <w:r w:rsidRPr="00A77D12">
              <w:rPr>
                <w:color w:val="auto"/>
              </w:rPr>
              <w:t xml:space="preserve">Gráfico </w:t>
            </w:r>
            <w:r w:rsidRPr="00A77D12">
              <w:rPr>
                <w:color w:val="auto"/>
              </w:rPr>
              <w:fldChar w:fldCharType="begin"/>
            </w:r>
            <w:r w:rsidRPr="00A77D12">
              <w:rPr>
                <w:color w:val="auto"/>
              </w:rPr>
              <w:instrText xml:space="preserve"> SEQ Gráfico \* ARABIC </w:instrText>
            </w:r>
            <w:r w:rsidRPr="00A77D12">
              <w:rPr>
                <w:color w:val="auto"/>
              </w:rPr>
              <w:fldChar w:fldCharType="separate"/>
            </w:r>
            <w:r w:rsidR="00A62AFA">
              <w:rPr>
                <w:noProof/>
                <w:color w:val="auto"/>
              </w:rPr>
              <w:t>85</w:t>
            </w:r>
            <w:r w:rsidRPr="00A77D12">
              <w:rPr>
                <w:color w:val="auto"/>
              </w:rPr>
              <w:fldChar w:fldCharType="end"/>
            </w:r>
            <w:r w:rsidRPr="00A77D12">
              <w:rPr>
                <w:color w:val="auto"/>
              </w:rPr>
              <w:t>.  Ratio de Cobertura de Liquidez (LCR) del Sistema Bancario, agrupado por cantidad de bancos</w:t>
            </w:r>
            <w:bookmarkEnd w:id="738"/>
          </w:p>
        </w:tc>
      </w:tr>
      <w:tr w:rsidR="00C36261" w14:paraId="1773D191" w14:textId="77777777" w:rsidTr="002D5363">
        <w:trPr>
          <w:trHeight w:val="3532"/>
        </w:trPr>
        <w:tc>
          <w:tcPr>
            <w:tcW w:w="8609" w:type="dxa"/>
          </w:tcPr>
          <w:p w14:paraId="5C25211A" w14:textId="77777777" w:rsidR="00C36261" w:rsidRDefault="00C36261" w:rsidP="006A7377">
            <w:pPr>
              <w:jc w:val="center"/>
            </w:pPr>
            <w:r w:rsidRPr="00634645">
              <w:rPr>
                <w:noProof/>
              </w:rPr>
              <w:drawing>
                <wp:inline distT="0" distB="0" distL="0" distR="0" wp14:anchorId="0B44A1D5" wp14:editId="0336D7B0">
                  <wp:extent cx="5368738" cy="2608028"/>
                  <wp:effectExtent l="0" t="0" r="3810" b="190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391757" cy="2619210"/>
                          </a:xfrm>
                          <a:prstGeom prst="rect">
                            <a:avLst/>
                          </a:prstGeom>
                        </pic:spPr>
                      </pic:pic>
                    </a:graphicData>
                  </a:graphic>
                </wp:inline>
              </w:drawing>
            </w:r>
          </w:p>
        </w:tc>
      </w:tr>
    </w:tbl>
    <w:p w14:paraId="513B6976" w14:textId="11C4BB3A" w:rsidR="00C36261" w:rsidRPr="00A77D12" w:rsidRDefault="007A0B9B" w:rsidP="00C36261">
      <w:pPr>
        <w:jc w:val="both"/>
        <w:rPr>
          <w:sz w:val="16"/>
          <w:szCs w:val="16"/>
        </w:rPr>
      </w:pPr>
      <w:r>
        <w:rPr>
          <w:sz w:val="16"/>
          <w:szCs w:val="16"/>
        </w:rPr>
        <w:t xml:space="preserve">            </w:t>
      </w:r>
      <w:r w:rsidR="00C36261" w:rsidRPr="00A77D12">
        <w:rPr>
          <w:sz w:val="16"/>
          <w:szCs w:val="16"/>
        </w:rPr>
        <w:t>Fuente: Superintendencia de Bancos</w:t>
      </w:r>
    </w:p>
    <w:p w14:paraId="69E2E16C" w14:textId="77777777" w:rsidR="00135E7F" w:rsidRDefault="00135E7F" w:rsidP="00C36261">
      <w:pPr>
        <w:jc w:val="both"/>
        <w:rPr>
          <w:b/>
          <w:bCs/>
        </w:rPr>
      </w:pPr>
    </w:p>
    <w:p w14:paraId="6F49C023" w14:textId="70A2AA1A" w:rsidR="00C36261" w:rsidRPr="00096829" w:rsidRDefault="00C36261" w:rsidP="00BC7E77">
      <w:pPr>
        <w:pStyle w:val="Ttulo2"/>
        <w:numPr>
          <w:ilvl w:val="2"/>
          <w:numId w:val="35"/>
        </w:numPr>
        <w:rPr>
          <w:bCs/>
        </w:rPr>
      </w:pPr>
      <w:bookmarkStart w:id="739" w:name="_Toc144114438"/>
      <w:r w:rsidRPr="00D30FE2">
        <w:rPr>
          <w:bCs/>
        </w:rPr>
        <w:t xml:space="preserve">Riesgo de </w:t>
      </w:r>
      <w:r w:rsidR="00DC45A3">
        <w:rPr>
          <w:bCs/>
        </w:rPr>
        <w:t>c</w:t>
      </w:r>
      <w:r w:rsidRPr="00D30FE2">
        <w:rPr>
          <w:bCs/>
        </w:rPr>
        <w:t>rédito</w:t>
      </w:r>
      <w:bookmarkEnd w:id="739"/>
    </w:p>
    <w:p w14:paraId="03C55DCB" w14:textId="77777777" w:rsidR="00A77D12" w:rsidRDefault="00A77D12" w:rsidP="00C36261">
      <w:pPr>
        <w:jc w:val="both"/>
      </w:pPr>
    </w:p>
    <w:p w14:paraId="7B5CEA9C" w14:textId="2D8FE15C" w:rsidR="00C36261" w:rsidRDefault="00C36261" w:rsidP="00C36261">
      <w:pPr>
        <w:jc w:val="both"/>
      </w:pPr>
      <w:r>
        <w:t>Este indicador se suele medir mediante la calidad de la cartera de los créditos que otorgan las instituciones financieras. En ese sentido, e</w:t>
      </w:r>
      <w:r w:rsidRPr="00E81D0F">
        <w:t>l saldo de la cartera vencida de bancos, sociedades financieras y entidades fuera de plaza, al 31 de diciembre de 2022, fue de Q3,441 millones de una cartera de créditos bruta de Q272,122 millones. En ese sentido, el índice de cartera vencida, en forma agregada, se situó en 1.3%, menor al 1.7% registrado en diciembre de 2021</w:t>
      </w:r>
      <w:r>
        <w:t xml:space="preserve">. </w:t>
      </w:r>
      <w:r w:rsidRPr="00573FBC">
        <w:t>Por otro lado, las provisiones de la cartera registraron cobertura superior al 100% de la cartera vencida</w:t>
      </w:r>
      <w:r>
        <w:rPr>
          <w:rStyle w:val="Refdenotaalpie"/>
        </w:rPr>
        <w:footnoteReference w:id="16"/>
      </w:r>
      <w:r w:rsidRPr="00573FBC">
        <w:t xml:space="preserve">  durante el período de análisis. Al 31 de diciembre de 2022, se registró una cobertura de 261.2%. Las provisiones de cartera están constituidas por Q3,244 millones de reservas específicas y por Q5,745 millones de reservas genéricas.</w:t>
      </w:r>
    </w:p>
    <w:p w14:paraId="017527F1" w14:textId="77777777" w:rsidR="00135E7F" w:rsidRDefault="00135E7F" w:rsidP="00C36261">
      <w:pPr>
        <w:jc w:val="both"/>
      </w:pPr>
    </w:p>
    <w:p w14:paraId="36A15217" w14:textId="77777777" w:rsidR="00C36261" w:rsidRDefault="00C36261" w:rsidP="00C36261">
      <w:pPr>
        <w:jc w:val="both"/>
      </w:pPr>
      <w:r>
        <w:t xml:space="preserve">Al cierre de </w:t>
      </w:r>
      <w:r w:rsidRPr="008118F4">
        <w:t xml:space="preserve">2022, el índice de cartera vencida de todas las agrupaciones muestra una reducción interanual. En el caso de la cartera de créditos empresariales mayores, la cual representa más de la mitad de la cartera total, el referido índice muestra el valor más bajo, situándose en 0.6%, inferior a lo observado en diciembre de 2021 (1.2%). </w:t>
      </w:r>
      <w:r>
        <w:t>Igualmente,</w:t>
      </w:r>
      <w:r w:rsidRPr="008118F4">
        <w:t xml:space="preserve"> el indicador de cartera vencida de créditos hipotecarios para vivienda pasó de 2.5% a 1.6%, el de créditos empresariales menores de 4.4% a 4.0%, el de consumo de 2.0% a 1.8% y el de microcrédito de 2.0% a 1.9%.</w:t>
      </w:r>
    </w:p>
    <w:p w14:paraId="2B6E051F" w14:textId="69FD3681" w:rsidR="00C36261" w:rsidRDefault="00C36261" w:rsidP="00C36261">
      <w:pPr>
        <w:jc w:val="both"/>
      </w:pPr>
    </w:p>
    <w:p w14:paraId="3220DC37" w14:textId="77777777" w:rsidR="007A0B9B" w:rsidRDefault="007A0B9B" w:rsidP="00C36261">
      <w:pPr>
        <w:jc w:val="both"/>
      </w:pPr>
    </w:p>
    <w:p w14:paraId="2A9F1E38" w14:textId="4EF091E5" w:rsidR="00A77D12" w:rsidRPr="00A77D12" w:rsidRDefault="00A77D12" w:rsidP="00A77D12">
      <w:pPr>
        <w:pStyle w:val="Descripcin"/>
        <w:rPr>
          <w:color w:val="auto"/>
        </w:rPr>
      </w:pPr>
      <w:bookmarkStart w:id="740" w:name="_Toc143593644"/>
      <w:r w:rsidRPr="00A77D12">
        <w:rPr>
          <w:color w:val="auto"/>
        </w:rPr>
        <w:lastRenderedPageBreak/>
        <w:t xml:space="preserve">Gráfico </w:t>
      </w:r>
      <w:r w:rsidRPr="00A77D12">
        <w:rPr>
          <w:color w:val="auto"/>
        </w:rPr>
        <w:fldChar w:fldCharType="begin"/>
      </w:r>
      <w:r w:rsidRPr="00A77D12">
        <w:rPr>
          <w:color w:val="auto"/>
        </w:rPr>
        <w:instrText xml:space="preserve"> SEQ Gráfico \* ARABIC </w:instrText>
      </w:r>
      <w:r w:rsidRPr="00A77D12">
        <w:rPr>
          <w:color w:val="auto"/>
        </w:rPr>
        <w:fldChar w:fldCharType="separate"/>
      </w:r>
      <w:r w:rsidR="00A62AFA">
        <w:rPr>
          <w:noProof/>
          <w:color w:val="auto"/>
        </w:rPr>
        <w:t>86</w:t>
      </w:r>
      <w:r w:rsidRPr="00A77D12">
        <w:rPr>
          <w:color w:val="auto"/>
        </w:rPr>
        <w:fldChar w:fldCharType="end"/>
      </w:r>
      <w:r w:rsidRPr="00A77D12">
        <w:rPr>
          <w:color w:val="auto"/>
        </w:rPr>
        <w:t>.  Indicadores de Riesgo de Crédito</w:t>
      </w:r>
      <w:bookmarkEnd w:id="74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249"/>
      </w:tblGrid>
      <w:tr w:rsidR="00C36261" w:rsidRPr="00F908B5" w14:paraId="6E9D8D82" w14:textId="77777777" w:rsidTr="006A7377">
        <w:tc>
          <w:tcPr>
            <w:tcW w:w="4589" w:type="dxa"/>
            <w:vAlign w:val="center"/>
          </w:tcPr>
          <w:p w14:paraId="1689D06E" w14:textId="77777777" w:rsidR="00C36261" w:rsidRPr="00F908B5" w:rsidRDefault="00C36261" w:rsidP="006A7377">
            <w:pPr>
              <w:jc w:val="center"/>
              <w:rPr>
                <w:b/>
                <w:bCs/>
              </w:rPr>
            </w:pPr>
            <w:r w:rsidRPr="00F908B5">
              <w:rPr>
                <w:b/>
                <w:bCs/>
              </w:rPr>
              <w:t>Cartera de crédito vencida y cobertura</w:t>
            </w:r>
          </w:p>
        </w:tc>
        <w:tc>
          <w:tcPr>
            <w:tcW w:w="4249" w:type="dxa"/>
            <w:vAlign w:val="center"/>
          </w:tcPr>
          <w:p w14:paraId="400DDB29" w14:textId="77777777" w:rsidR="00C36261" w:rsidRPr="00F908B5" w:rsidRDefault="00C36261" w:rsidP="006A7377">
            <w:pPr>
              <w:jc w:val="center"/>
              <w:rPr>
                <w:b/>
                <w:bCs/>
              </w:rPr>
            </w:pPr>
            <w:r w:rsidRPr="00F908B5">
              <w:rPr>
                <w:b/>
                <w:bCs/>
              </w:rPr>
              <w:t>Índice de cartera vencida por criterio de agrupación</w:t>
            </w:r>
          </w:p>
        </w:tc>
      </w:tr>
      <w:tr w:rsidR="00C36261" w:rsidRPr="00F908B5" w14:paraId="2E0DCF89" w14:textId="77777777" w:rsidTr="006A7377">
        <w:tc>
          <w:tcPr>
            <w:tcW w:w="4589" w:type="dxa"/>
          </w:tcPr>
          <w:p w14:paraId="2D4A975C" w14:textId="77777777" w:rsidR="00C36261" w:rsidRPr="00F908B5" w:rsidRDefault="00C36261" w:rsidP="006A7377">
            <w:pPr>
              <w:jc w:val="both"/>
            </w:pPr>
            <w:r w:rsidRPr="00F908B5">
              <w:rPr>
                <w:noProof/>
              </w:rPr>
              <w:drawing>
                <wp:inline distT="0" distB="0" distL="0" distR="0" wp14:anchorId="3D120CAC" wp14:editId="402DC60F">
                  <wp:extent cx="2808605" cy="1609725"/>
                  <wp:effectExtent l="0" t="0" r="0"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817292" cy="1614704"/>
                          </a:xfrm>
                          <a:prstGeom prst="rect">
                            <a:avLst/>
                          </a:prstGeom>
                        </pic:spPr>
                      </pic:pic>
                    </a:graphicData>
                  </a:graphic>
                </wp:inline>
              </w:drawing>
            </w:r>
          </w:p>
        </w:tc>
        <w:tc>
          <w:tcPr>
            <w:tcW w:w="4249" w:type="dxa"/>
          </w:tcPr>
          <w:p w14:paraId="219D63E3" w14:textId="77777777" w:rsidR="00C36261" w:rsidRPr="00F908B5" w:rsidRDefault="00C36261" w:rsidP="006A7377">
            <w:pPr>
              <w:jc w:val="both"/>
            </w:pPr>
            <w:r w:rsidRPr="00F908B5">
              <w:rPr>
                <w:noProof/>
              </w:rPr>
              <w:drawing>
                <wp:inline distT="0" distB="0" distL="0" distR="0" wp14:anchorId="6A485798" wp14:editId="01193290">
                  <wp:extent cx="2582545" cy="1609725"/>
                  <wp:effectExtent l="0" t="0" r="8255"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595305" cy="1617678"/>
                          </a:xfrm>
                          <a:prstGeom prst="rect">
                            <a:avLst/>
                          </a:prstGeom>
                        </pic:spPr>
                      </pic:pic>
                    </a:graphicData>
                  </a:graphic>
                </wp:inline>
              </w:drawing>
            </w:r>
          </w:p>
        </w:tc>
      </w:tr>
    </w:tbl>
    <w:p w14:paraId="62DF8CF7" w14:textId="77777777" w:rsidR="00C36261" w:rsidRPr="00A77D12" w:rsidRDefault="00C36261" w:rsidP="00C36261">
      <w:pPr>
        <w:jc w:val="both"/>
        <w:rPr>
          <w:sz w:val="16"/>
          <w:szCs w:val="16"/>
        </w:rPr>
      </w:pPr>
      <w:r w:rsidRPr="00A77D12">
        <w:rPr>
          <w:sz w:val="16"/>
          <w:szCs w:val="16"/>
        </w:rPr>
        <w:t>Fuente: Superintendencia de Bancos</w:t>
      </w:r>
    </w:p>
    <w:p w14:paraId="0478AB99" w14:textId="77777777" w:rsidR="00135E7F" w:rsidRDefault="00135E7F" w:rsidP="00C36261">
      <w:pPr>
        <w:jc w:val="both"/>
      </w:pPr>
    </w:p>
    <w:p w14:paraId="352FC389" w14:textId="20D41D67" w:rsidR="00C36261" w:rsidRDefault="00C36261" w:rsidP="00C36261">
      <w:pPr>
        <w:jc w:val="both"/>
      </w:pPr>
      <w:r w:rsidRPr="00F908B5">
        <w:t>Un indicador importante es la concentración en el financiamiento, en el caso de los hogares, en 9 entidades se cumple el criterio de granularidad propuesto en el enfoque estandarizado para el riesgo de crédito del Comité de Basilea de Supervisión Bancaria, que establece que ninguna exposición agregada a una contraparte debería exceder el 0.2% de la cartera de créditos a los hogares, para que la cartera en su conjunto pueda ser considerada diversificada. En cuanto al riesgo de concentración en la cartera de créditos a las empresas, se observa que en 12 entidades bancarias sus 50 mayores deudores representan menos del 65% de la cartera.</w:t>
      </w:r>
    </w:p>
    <w:p w14:paraId="6F3CED1C" w14:textId="77777777" w:rsidR="00135E7F" w:rsidRDefault="00135E7F" w:rsidP="00C36261">
      <w:pPr>
        <w:jc w:val="both"/>
      </w:pPr>
    </w:p>
    <w:p w14:paraId="046D3684" w14:textId="24157C39" w:rsidR="00C36261" w:rsidRPr="00A77D12" w:rsidRDefault="00A77D12" w:rsidP="00A77D12">
      <w:pPr>
        <w:pStyle w:val="Descripcin"/>
        <w:rPr>
          <w:b w:val="0"/>
          <w:bCs/>
          <w:color w:val="auto"/>
        </w:rPr>
      </w:pPr>
      <w:bookmarkStart w:id="741" w:name="_Toc143593645"/>
      <w:r w:rsidRPr="00A77D12">
        <w:rPr>
          <w:color w:val="auto"/>
        </w:rPr>
        <w:t xml:space="preserve">Gráfico </w:t>
      </w:r>
      <w:r w:rsidRPr="00A77D12">
        <w:rPr>
          <w:color w:val="auto"/>
        </w:rPr>
        <w:fldChar w:fldCharType="begin"/>
      </w:r>
      <w:r w:rsidRPr="00A77D12">
        <w:rPr>
          <w:color w:val="auto"/>
        </w:rPr>
        <w:instrText xml:space="preserve"> SEQ Gráfico \* ARABIC </w:instrText>
      </w:r>
      <w:r w:rsidRPr="00A77D12">
        <w:rPr>
          <w:color w:val="auto"/>
        </w:rPr>
        <w:fldChar w:fldCharType="separate"/>
      </w:r>
      <w:r w:rsidR="00A62AFA">
        <w:rPr>
          <w:noProof/>
          <w:color w:val="auto"/>
        </w:rPr>
        <w:t>87</w:t>
      </w:r>
      <w:r w:rsidRPr="00A77D12">
        <w:rPr>
          <w:color w:val="auto"/>
        </w:rPr>
        <w:fldChar w:fldCharType="end"/>
      </w:r>
      <w:r w:rsidRPr="00A77D12">
        <w:rPr>
          <w:color w:val="auto"/>
        </w:rPr>
        <w:t>.  Concentración en el financiamiento a hogares y empresas</w:t>
      </w:r>
      <w:bookmarkEnd w:id="74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448"/>
      </w:tblGrid>
      <w:tr w:rsidR="00C36261" w:rsidRPr="00F908B5" w14:paraId="5CC4710B" w14:textId="77777777" w:rsidTr="006A7377">
        <w:tc>
          <w:tcPr>
            <w:tcW w:w="4414" w:type="dxa"/>
          </w:tcPr>
          <w:p w14:paraId="6CD10DF6" w14:textId="77777777" w:rsidR="00C36261" w:rsidRPr="00F908B5" w:rsidRDefault="00C36261" w:rsidP="006A7377">
            <w:pPr>
              <w:jc w:val="center"/>
              <w:rPr>
                <w:b/>
                <w:bCs/>
              </w:rPr>
            </w:pPr>
            <w:r w:rsidRPr="00F908B5">
              <w:rPr>
                <w:b/>
                <w:bCs/>
              </w:rPr>
              <w:t>Granularidad en el financiamiento a los hogares</w:t>
            </w:r>
          </w:p>
        </w:tc>
        <w:tc>
          <w:tcPr>
            <w:tcW w:w="4414" w:type="dxa"/>
          </w:tcPr>
          <w:p w14:paraId="2B11966C" w14:textId="77777777" w:rsidR="00C36261" w:rsidRPr="00F908B5" w:rsidRDefault="00C36261" w:rsidP="006A7377">
            <w:pPr>
              <w:jc w:val="center"/>
              <w:rPr>
                <w:b/>
                <w:bCs/>
              </w:rPr>
            </w:pPr>
            <w:r w:rsidRPr="00F908B5">
              <w:rPr>
                <w:b/>
                <w:bCs/>
              </w:rPr>
              <w:t>Granularidad en el financiamiento a empresas</w:t>
            </w:r>
          </w:p>
        </w:tc>
      </w:tr>
      <w:tr w:rsidR="00C36261" w:rsidRPr="00F908B5" w14:paraId="1E8F9B6F" w14:textId="77777777" w:rsidTr="006A7377">
        <w:tc>
          <w:tcPr>
            <w:tcW w:w="4414" w:type="dxa"/>
          </w:tcPr>
          <w:p w14:paraId="77319B98" w14:textId="77777777" w:rsidR="00C36261" w:rsidRPr="00F908B5" w:rsidRDefault="00C36261" w:rsidP="006A7377">
            <w:pPr>
              <w:jc w:val="both"/>
            </w:pPr>
            <w:r w:rsidRPr="00F908B5">
              <w:rPr>
                <w:noProof/>
              </w:rPr>
              <w:drawing>
                <wp:inline distT="0" distB="0" distL="0" distR="0" wp14:anchorId="08E1AF9A" wp14:editId="7B27DBA7">
                  <wp:extent cx="2687320" cy="197167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687320" cy="1971675"/>
                          </a:xfrm>
                          <a:prstGeom prst="rect">
                            <a:avLst/>
                          </a:prstGeom>
                        </pic:spPr>
                      </pic:pic>
                    </a:graphicData>
                  </a:graphic>
                </wp:inline>
              </w:drawing>
            </w:r>
          </w:p>
        </w:tc>
        <w:tc>
          <w:tcPr>
            <w:tcW w:w="4414" w:type="dxa"/>
          </w:tcPr>
          <w:p w14:paraId="452B05F0" w14:textId="77777777" w:rsidR="00C36261" w:rsidRPr="00F908B5" w:rsidRDefault="00C36261" w:rsidP="006A7377">
            <w:pPr>
              <w:jc w:val="both"/>
            </w:pPr>
            <w:r w:rsidRPr="00F908B5">
              <w:rPr>
                <w:noProof/>
              </w:rPr>
              <w:drawing>
                <wp:inline distT="0" distB="0" distL="0" distR="0" wp14:anchorId="70142701" wp14:editId="21F2D025">
                  <wp:extent cx="2723515" cy="1990725"/>
                  <wp:effectExtent l="0" t="0" r="63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23515" cy="1990725"/>
                          </a:xfrm>
                          <a:prstGeom prst="rect">
                            <a:avLst/>
                          </a:prstGeom>
                          <a:noFill/>
                        </pic:spPr>
                      </pic:pic>
                    </a:graphicData>
                  </a:graphic>
                </wp:inline>
              </w:drawing>
            </w:r>
          </w:p>
        </w:tc>
      </w:tr>
    </w:tbl>
    <w:p w14:paraId="064AC399" w14:textId="1EF0D3CD" w:rsidR="00C36261" w:rsidRDefault="00C36261" w:rsidP="00C36261">
      <w:pPr>
        <w:jc w:val="both"/>
        <w:rPr>
          <w:sz w:val="16"/>
          <w:szCs w:val="16"/>
        </w:rPr>
      </w:pPr>
      <w:r w:rsidRPr="00A77D12">
        <w:rPr>
          <w:sz w:val="16"/>
          <w:szCs w:val="16"/>
        </w:rPr>
        <w:t>Fuente: Superintendencia de Bancos</w:t>
      </w:r>
      <w:r w:rsidR="002D5363">
        <w:rPr>
          <w:sz w:val="16"/>
          <w:szCs w:val="16"/>
        </w:rPr>
        <w:t>.</w:t>
      </w:r>
    </w:p>
    <w:p w14:paraId="17FA20AA" w14:textId="77777777" w:rsidR="002D5363" w:rsidRPr="00A77D12" w:rsidRDefault="002D5363" w:rsidP="00C36261">
      <w:pPr>
        <w:jc w:val="both"/>
        <w:rPr>
          <w:sz w:val="16"/>
          <w:szCs w:val="16"/>
        </w:rPr>
      </w:pPr>
    </w:p>
    <w:p w14:paraId="2320BBA0" w14:textId="4CABFDA4" w:rsidR="00135E7F" w:rsidRPr="00C62C1C" w:rsidRDefault="00C36261" w:rsidP="00BC7E77">
      <w:pPr>
        <w:pStyle w:val="Ttulo2"/>
        <w:numPr>
          <w:ilvl w:val="2"/>
          <w:numId w:val="35"/>
        </w:numPr>
        <w:rPr>
          <w:bCs/>
        </w:rPr>
      </w:pPr>
      <w:bookmarkStart w:id="742" w:name="_Toc144114439"/>
      <w:r w:rsidRPr="00C62C1C">
        <w:rPr>
          <w:bCs/>
        </w:rPr>
        <w:t xml:space="preserve">Riesgo de </w:t>
      </w:r>
      <w:r w:rsidR="00DC45A3" w:rsidRPr="00C62C1C">
        <w:rPr>
          <w:bCs/>
        </w:rPr>
        <w:t>s</w:t>
      </w:r>
      <w:r w:rsidRPr="00C62C1C">
        <w:rPr>
          <w:bCs/>
        </w:rPr>
        <w:t>olvencia</w:t>
      </w:r>
      <w:bookmarkEnd w:id="742"/>
    </w:p>
    <w:p w14:paraId="2D99809B" w14:textId="77777777" w:rsidR="00A77D12" w:rsidRDefault="00A77D12" w:rsidP="00C36261">
      <w:pPr>
        <w:jc w:val="both"/>
      </w:pPr>
    </w:p>
    <w:p w14:paraId="631A4BE4" w14:textId="2697EE30" w:rsidR="00C36261" w:rsidRPr="00F908B5" w:rsidRDefault="00C36261" w:rsidP="00C36261">
      <w:pPr>
        <w:jc w:val="both"/>
      </w:pPr>
      <w:r w:rsidRPr="00F908B5">
        <w:t>El índice de adecuación de capital, que representa el cociente del patrimonio computable y los activos ponderados por riesgo de los bancos, el cual se situó en 16.5% para el cierre de 2022, para las sociedades financieras de 46.8% y para las entidades fuera de plaza de 56.9%, los cuales superan el requerimiento mínimo legal de 10% y el estándar internacional de 8% recomendado en los acuerdos de capital del Comité de Supervisión Bancaria de Basilea.</w:t>
      </w:r>
    </w:p>
    <w:p w14:paraId="02DE5EF2" w14:textId="77777777" w:rsidR="00C36261" w:rsidRDefault="00C36261" w:rsidP="00C36261">
      <w:pPr>
        <w:jc w:val="both"/>
      </w:pPr>
      <w:r>
        <w:lastRenderedPageBreak/>
        <w:t>Asimismo, a</w:t>
      </w:r>
      <w:r w:rsidRPr="00F908B5">
        <w:t xml:space="preserve"> diciembre de 2022, en el caso de los bancos, la relación del patrimonio con respecto a los activos netos se ubicó en 9.6%, con respecto a la cartera de créditos bruta en 17.8% y con relación a las captaciones</w:t>
      </w:r>
      <w:r>
        <w:t xml:space="preserve"> </w:t>
      </w:r>
      <w:r w:rsidRPr="00F908B5">
        <w:t>en 12.4%.</w:t>
      </w:r>
    </w:p>
    <w:p w14:paraId="27ED19B8" w14:textId="77777777" w:rsidR="00C36261" w:rsidRDefault="00C36261" w:rsidP="00C36261">
      <w:pPr>
        <w:jc w:val="both"/>
      </w:pPr>
    </w:p>
    <w:p w14:paraId="4E007D57" w14:textId="558B24A9" w:rsidR="00C36261" w:rsidRPr="00A77D12" w:rsidRDefault="00A77D12" w:rsidP="00A77D12">
      <w:pPr>
        <w:pStyle w:val="Descripcin"/>
        <w:rPr>
          <w:b w:val="0"/>
          <w:bCs/>
          <w:color w:val="auto"/>
        </w:rPr>
      </w:pPr>
      <w:bookmarkStart w:id="743" w:name="_Toc143593646"/>
      <w:r w:rsidRPr="00A77D12">
        <w:rPr>
          <w:color w:val="auto"/>
        </w:rPr>
        <w:t xml:space="preserve">Gráfico </w:t>
      </w:r>
      <w:r w:rsidRPr="00A77D12">
        <w:rPr>
          <w:color w:val="auto"/>
        </w:rPr>
        <w:fldChar w:fldCharType="begin"/>
      </w:r>
      <w:r w:rsidRPr="00A77D12">
        <w:rPr>
          <w:color w:val="auto"/>
        </w:rPr>
        <w:instrText xml:space="preserve"> SEQ Gráfico \* ARABIC </w:instrText>
      </w:r>
      <w:r w:rsidRPr="00A77D12">
        <w:rPr>
          <w:color w:val="auto"/>
        </w:rPr>
        <w:fldChar w:fldCharType="separate"/>
      </w:r>
      <w:r w:rsidR="00A62AFA">
        <w:rPr>
          <w:noProof/>
          <w:color w:val="auto"/>
        </w:rPr>
        <w:t>88</w:t>
      </w:r>
      <w:r w:rsidRPr="00A77D12">
        <w:rPr>
          <w:color w:val="auto"/>
        </w:rPr>
        <w:fldChar w:fldCharType="end"/>
      </w:r>
      <w:r w:rsidRPr="00A77D12">
        <w:rPr>
          <w:color w:val="auto"/>
        </w:rPr>
        <w:t>.  Indicadores de Riesgo de Solvencia</w:t>
      </w:r>
      <w:bookmarkEnd w:id="743"/>
    </w:p>
    <w:tbl>
      <w:tblPr>
        <w:tblStyle w:val="Tablaconcuadrcula"/>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405"/>
      </w:tblGrid>
      <w:tr w:rsidR="00C36261" w14:paraId="57E44CB1" w14:textId="77777777" w:rsidTr="00F75946">
        <w:trPr>
          <w:trHeight w:val="290"/>
        </w:trPr>
        <w:tc>
          <w:tcPr>
            <w:tcW w:w="4482" w:type="dxa"/>
          </w:tcPr>
          <w:p w14:paraId="03D546C1" w14:textId="77777777" w:rsidR="00C36261" w:rsidRPr="00595A35" w:rsidRDefault="00C36261" w:rsidP="006A7377">
            <w:pPr>
              <w:jc w:val="center"/>
              <w:rPr>
                <w:b/>
                <w:bCs/>
              </w:rPr>
            </w:pPr>
            <w:r w:rsidRPr="00595A35">
              <w:rPr>
                <w:b/>
                <w:bCs/>
              </w:rPr>
              <w:t>Índice de Adecuación de Capital</w:t>
            </w:r>
          </w:p>
        </w:tc>
        <w:tc>
          <w:tcPr>
            <w:tcW w:w="4405" w:type="dxa"/>
          </w:tcPr>
          <w:p w14:paraId="28080CEB" w14:textId="77777777" w:rsidR="00C36261" w:rsidRPr="00595A35" w:rsidRDefault="00C36261" w:rsidP="006A7377">
            <w:pPr>
              <w:jc w:val="center"/>
              <w:rPr>
                <w:b/>
                <w:bCs/>
              </w:rPr>
            </w:pPr>
            <w:r w:rsidRPr="00595A35">
              <w:rPr>
                <w:b/>
                <w:bCs/>
              </w:rPr>
              <w:t>Indicadores de Solvencia de Bancos</w:t>
            </w:r>
          </w:p>
        </w:tc>
      </w:tr>
      <w:tr w:rsidR="00C36261" w14:paraId="771795BA" w14:textId="77777777" w:rsidTr="00F75946">
        <w:trPr>
          <w:trHeight w:val="3453"/>
        </w:trPr>
        <w:tc>
          <w:tcPr>
            <w:tcW w:w="4482" w:type="dxa"/>
          </w:tcPr>
          <w:p w14:paraId="6C5EFA6A" w14:textId="77777777" w:rsidR="00C36261" w:rsidRDefault="00C36261" w:rsidP="006A7377">
            <w:pPr>
              <w:jc w:val="both"/>
            </w:pPr>
            <w:r w:rsidRPr="0052420D">
              <w:rPr>
                <w:noProof/>
              </w:rPr>
              <w:drawing>
                <wp:inline distT="0" distB="0" distL="0" distR="0" wp14:anchorId="5CC63270" wp14:editId="427EF856">
                  <wp:extent cx="2704957" cy="2067636"/>
                  <wp:effectExtent l="0" t="0" r="635" b="889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715307" cy="2075547"/>
                          </a:xfrm>
                          <a:prstGeom prst="rect">
                            <a:avLst/>
                          </a:prstGeom>
                        </pic:spPr>
                      </pic:pic>
                    </a:graphicData>
                  </a:graphic>
                </wp:inline>
              </w:drawing>
            </w:r>
          </w:p>
        </w:tc>
        <w:tc>
          <w:tcPr>
            <w:tcW w:w="4405" w:type="dxa"/>
          </w:tcPr>
          <w:p w14:paraId="12B9A5BA" w14:textId="77777777" w:rsidR="00C36261" w:rsidRDefault="00C36261" w:rsidP="006A7377">
            <w:pPr>
              <w:jc w:val="both"/>
            </w:pPr>
            <w:r>
              <w:rPr>
                <w:noProof/>
              </w:rPr>
              <w:drawing>
                <wp:inline distT="0" distB="0" distL="0" distR="0" wp14:anchorId="55977045" wp14:editId="5D592DA1">
                  <wp:extent cx="2656446" cy="2067560"/>
                  <wp:effectExtent l="0" t="0" r="0" b="889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84819" cy="2089643"/>
                          </a:xfrm>
                          <a:prstGeom prst="rect">
                            <a:avLst/>
                          </a:prstGeom>
                          <a:noFill/>
                        </pic:spPr>
                      </pic:pic>
                    </a:graphicData>
                  </a:graphic>
                </wp:inline>
              </w:drawing>
            </w:r>
          </w:p>
        </w:tc>
      </w:tr>
    </w:tbl>
    <w:p w14:paraId="5ED7F382" w14:textId="77777777" w:rsidR="00C36261" w:rsidRPr="00A77D12" w:rsidRDefault="00C36261" w:rsidP="00C36261">
      <w:pPr>
        <w:jc w:val="both"/>
        <w:rPr>
          <w:sz w:val="16"/>
          <w:szCs w:val="16"/>
        </w:rPr>
      </w:pPr>
      <w:r w:rsidRPr="00A77D12">
        <w:rPr>
          <w:sz w:val="16"/>
          <w:szCs w:val="16"/>
        </w:rPr>
        <w:t>Fuente: Superintendencia de Bancos</w:t>
      </w:r>
    </w:p>
    <w:p w14:paraId="1DA5B4A5" w14:textId="77777777" w:rsidR="00C36261" w:rsidRDefault="00C36261" w:rsidP="00C36261">
      <w:pPr>
        <w:jc w:val="both"/>
        <w:rPr>
          <w:b/>
          <w:bCs/>
        </w:rPr>
      </w:pPr>
    </w:p>
    <w:p w14:paraId="790FDF6D" w14:textId="3BB5D621" w:rsidR="00C36261" w:rsidRPr="00C62C1C" w:rsidRDefault="00C36261" w:rsidP="00BC7E77">
      <w:pPr>
        <w:pStyle w:val="Ttulo2"/>
        <w:numPr>
          <w:ilvl w:val="2"/>
          <w:numId w:val="35"/>
        </w:numPr>
        <w:rPr>
          <w:bCs/>
        </w:rPr>
      </w:pPr>
      <w:bookmarkStart w:id="744" w:name="_Toc144114440"/>
      <w:r w:rsidRPr="00C62C1C">
        <w:rPr>
          <w:bCs/>
        </w:rPr>
        <w:t>Indicadores de Rentabilidad</w:t>
      </w:r>
      <w:bookmarkEnd w:id="744"/>
    </w:p>
    <w:p w14:paraId="211BF2ED" w14:textId="77777777" w:rsidR="00A77D12" w:rsidRDefault="00A77D12" w:rsidP="00C36261">
      <w:pPr>
        <w:jc w:val="both"/>
      </w:pPr>
    </w:p>
    <w:p w14:paraId="70FB4F5B" w14:textId="1A0A884F" w:rsidR="00C36261" w:rsidRDefault="00C36261" w:rsidP="00C36261">
      <w:pPr>
        <w:jc w:val="both"/>
      </w:pPr>
      <w:r w:rsidRPr="00760A28">
        <w:t>Las utilidades antes de impuesto de los bancos, al 31 de diciembre de 2022, alcanzaron un total de Q10,427 millones, lo cual representa un aumento del 36.4% respecto a lo registrado en el mismo período del año anterior. Por su parte, las utilidades de las sociedades financieras fueron Q289 millones, lo que representa una disminución de 4.4% con relación a diciembre de 2021.</w:t>
      </w:r>
    </w:p>
    <w:p w14:paraId="6A1C736D" w14:textId="77777777" w:rsidR="00135E7F" w:rsidRDefault="00135E7F" w:rsidP="00C36261">
      <w:pPr>
        <w:jc w:val="both"/>
      </w:pPr>
    </w:p>
    <w:p w14:paraId="74205283" w14:textId="77777777" w:rsidR="00C36261" w:rsidRDefault="00C36261" w:rsidP="00C36261">
      <w:pPr>
        <w:jc w:val="both"/>
      </w:pPr>
      <w:r>
        <w:t>Asimismo</w:t>
      </w:r>
      <w:r w:rsidRPr="000B1D1E">
        <w:t>, el rendimiento del patrimonio (ROE)</w:t>
      </w:r>
      <w:r>
        <w:t>, que mide el c</w:t>
      </w:r>
      <w:r w:rsidRPr="00922326">
        <w:t xml:space="preserve">ociente de las utilidades anuales antes de impuesto y el promedio anual de capital contable </w:t>
      </w:r>
      <w:r w:rsidRPr="000B1D1E">
        <w:t>de bancos</w:t>
      </w:r>
      <w:r>
        <w:t>,</w:t>
      </w:r>
      <w:r w:rsidRPr="000B1D1E">
        <w:t xml:space="preserve"> fue de 24.3%, mayor al registrado en diciembre de 2021 de 19.9%, y también mayor al promedio registrado en los últimos cinco años de 19.0%. Las sociedades financieras registraron un ROE de 21.0%, menor al 24.5% registrado en diciembre de 2021</w:t>
      </w:r>
      <w:r>
        <w:t>.</w:t>
      </w:r>
    </w:p>
    <w:p w14:paraId="6C9AC28F" w14:textId="77777777" w:rsidR="00135E7F" w:rsidRDefault="00135E7F" w:rsidP="00C36261">
      <w:pPr>
        <w:jc w:val="both"/>
      </w:pPr>
    </w:p>
    <w:p w14:paraId="499CF775" w14:textId="41386696" w:rsidR="007537E3" w:rsidRDefault="00C36261" w:rsidP="00C36261">
      <w:pPr>
        <w:jc w:val="both"/>
      </w:pPr>
      <w:r w:rsidRPr="002A6912">
        <w:t>Por su parte, el rendimiento del activo (ROA)</w:t>
      </w:r>
      <w:r>
        <w:t>, que mide c</w:t>
      </w:r>
      <w:r w:rsidRPr="007A4052">
        <w:t>ociente de las utilidades anuales antes de impuesto y el promedio anual del activo neto</w:t>
      </w:r>
      <w:r w:rsidRPr="002A6912">
        <w:t xml:space="preserve"> de bancos, a diciembre de 2022, fue de 2.3%, superior al registrado en el mismo mes del año previo de 1.9%, y también mayor al promedio del último lustro de 1.8%. Las sociedades financieras registraron un ROA de 3.2%, superior al registrado a diciembre del año anterior de 2.6%.</w:t>
      </w:r>
    </w:p>
    <w:p w14:paraId="2BC44DF4" w14:textId="5706654B" w:rsidR="002D5363" w:rsidRDefault="002D5363" w:rsidP="00C36261">
      <w:pPr>
        <w:jc w:val="both"/>
      </w:pPr>
    </w:p>
    <w:p w14:paraId="2B68C3AA" w14:textId="6D272D4B" w:rsidR="00F75946" w:rsidRDefault="00F75946" w:rsidP="00C36261">
      <w:pPr>
        <w:jc w:val="both"/>
      </w:pPr>
    </w:p>
    <w:p w14:paraId="13017C9A" w14:textId="423CC1AC" w:rsidR="00F75946" w:rsidRDefault="00F75946" w:rsidP="00C36261">
      <w:pPr>
        <w:jc w:val="both"/>
      </w:pPr>
    </w:p>
    <w:p w14:paraId="2FDEC9B0" w14:textId="590877AD" w:rsidR="00F75946" w:rsidRDefault="00F75946" w:rsidP="00C36261">
      <w:pPr>
        <w:jc w:val="both"/>
      </w:pPr>
    </w:p>
    <w:p w14:paraId="34E41458" w14:textId="593CC686" w:rsidR="00F75946" w:rsidRDefault="00F75946" w:rsidP="00C36261">
      <w:pPr>
        <w:jc w:val="both"/>
      </w:pPr>
    </w:p>
    <w:p w14:paraId="0B98FA45" w14:textId="1768D2B3" w:rsidR="00F75946" w:rsidRDefault="00F75946" w:rsidP="00C36261">
      <w:pPr>
        <w:jc w:val="both"/>
      </w:pPr>
    </w:p>
    <w:p w14:paraId="2B67D7D9" w14:textId="77777777" w:rsidR="00F75946" w:rsidRDefault="00F75946" w:rsidP="00C36261">
      <w:pPr>
        <w:jc w:val="both"/>
      </w:pPr>
    </w:p>
    <w:p w14:paraId="42DA7757" w14:textId="2D54FC03" w:rsidR="00C36261" w:rsidRPr="00A77D12" w:rsidRDefault="00A77D12" w:rsidP="00A77D12">
      <w:pPr>
        <w:pStyle w:val="Descripcin"/>
        <w:rPr>
          <w:b w:val="0"/>
          <w:bCs/>
          <w:color w:val="auto"/>
        </w:rPr>
      </w:pPr>
      <w:bookmarkStart w:id="745" w:name="_Toc143593647"/>
      <w:r w:rsidRPr="00A77D12">
        <w:rPr>
          <w:color w:val="auto"/>
        </w:rPr>
        <w:lastRenderedPageBreak/>
        <w:t xml:space="preserve">Gráfico </w:t>
      </w:r>
      <w:r w:rsidRPr="00A77D12">
        <w:rPr>
          <w:color w:val="auto"/>
        </w:rPr>
        <w:fldChar w:fldCharType="begin"/>
      </w:r>
      <w:r w:rsidRPr="00A77D12">
        <w:rPr>
          <w:color w:val="auto"/>
        </w:rPr>
        <w:instrText xml:space="preserve"> SEQ Gráfico \* ARABIC </w:instrText>
      </w:r>
      <w:r w:rsidRPr="00A77D12">
        <w:rPr>
          <w:color w:val="auto"/>
        </w:rPr>
        <w:fldChar w:fldCharType="separate"/>
      </w:r>
      <w:r w:rsidR="00A62AFA">
        <w:rPr>
          <w:noProof/>
          <w:color w:val="auto"/>
        </w:rPr>
        <w:t>89</w:t>
      </w:r>
      <w:r w:rsidRPr="00A77D12">
        <w:rPr>
          <w:color w:val="auto"/>
        </w:rPr>
        <w:fldChar w:fldCharType="end"/>
      </w:r>
      <w:r w:rsidRPr="00A77D12">
        <w:rPr>
          <w:color w:val="auto"/>
        </w:rPr>
        <w:t>.  Indicadores de Rentabilidad</w:t>
      </w:r>
      <w:bookmarkEnd w:id="74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368"/>
      </w:tblGrid>
      <w:tr w:rsidR="00C36261" w14:paraId="49BFDE57" w14:textId="77777777" w:rsidTr="00A77D12">
        <w:tc>
          <w:tcPr>
            <w:tcW w:w="4471" w:type="dxa"/>
          </w:tcPr>
          <w:p w14:paraId="52212ACF" w14:textId="77777777" w:rsidR="00C36261" w:rsidRPr="008B091E" w:rsidRDefault="00C36261" w:rsidP="006A7377">
            <w:pPr>
              <w:jc w:val="center"/>
              <w:rPr>
                <w:b/>
                <w:bCs/>
              </w:rPr>
            </w:pPr>
            <w:r w:rsidRPr="008B091E">
              <w:rPr>
                <w:b/>
                <w:bCs/>
              </w:rPr>
              <w:t>Rendimiento del Patrimonio (ROE)</w:t>
            </w:r>
          </w:p>
        </w:tc>
        <w:tc>
          <w:tcPr>
            <w:tcW w:w="4367" w:type="dxa"/>
          </w:tcPr>
          <w:p w14:paraId="5D7417BF" w14:textId="77777777" w:rsidR="00C36261" w:rsidRPr="008B091E" w:rsidRDefault="00C36261" w:rsidP="006A7377">
            <w:pPr>
              <w:jc w:val="center"/>
              <w:rPr>
                <w:b/>
                <w:bCs/>
              </w:rPr>
            </w:pPr>
            <w:r w:rsidRPr="008B091E">
              <w:rPr>
                <w:b/>
                <w:bCs/>
              </w:rPr>
              <w:t>Rendimiento del Activo (ROA)</w:t>
            </w:r>
          </w:p>
        </w:tc>
      </w:tr>
      <w:tr w:rsidR="00C36261" w14:paraId="05C5FC1C" w14:textId="77777777" w:rsidTr="00A77D12">
        <w:tc>
          <w:tcPr>
            <w:tcW w:w="4471" w:type="dxa"/>
          </w:tcPr>
          <w:p w14:paraId="60C19548" w14:textId="77777777" w:rsidR="00C36261" w:rsidRDefault="00C36261" w:rsidP="006A7377">
            <w:pPr>
              <w:jc w:val="both"/>
            </w:pPr>
            <w:r w:rsidRPr="000D4BC6">
              <w:rPr>
                <w:noProof/>
              </w:rPr>
              <w:drawing>
                <wp:inline distT="0" distB="0" distL="0" distR="0" wp14:anchorId="7943E88E" wp14:editId="06948E28">
                  <wp:extent cx="2713313" cy="1508078"/>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733195" cy="1519128"/>
                          </a:xfrm>
                          <a:prstGeom prst="rect">
                            <a:avLst/>
                          </a:prstGeom>
                        </pic:spPr>
                      </pic:pic>
                    </a:graphicData>
                  </a:graphic>
                </wp:inline>
              </w:drawing>
            </w:r>
          </w:p>
        </w:tc>
        <w:tc>
          <w:tcPr>
            <w:tcW w:w="4367" w:type="dxa"/>
          </w:tcPr>
          <w:p w14:paraId="7D88D7A6" w14:textId="77777777" w:rsidR="00C36261" w:rsidRDefault="00C36261" w:rsidP="006A7377">
            <w:pPr>
              <w:jc w:val="both"/>
            </w:pPr>
            <w:r w:rsidRPr="002D4304">
              <w:rPr>
                <w:noProof/>
              </w:rPr>
              <w:drawing>
                <wp:inline distT="0" distB="0" distL="0" distR="0" wp14:anchorId="7F62D74D" wp14:editId="39F6D5FC">
                  <wp:extent cx="2640330" cy="1507490"/>
                  <wp:effectExtent l="0" t="0" r="762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650769" cy="1513450"/>
                          </a:xfrm>
                          <a:prstGeom prst="rect">
                            <a:avLst/>
                          </a:prstGeom>
                        </pic:spPr>
                      </pic:pic>
                    </a:graphicData>
                  </a:graphic>
                </wp:inline>
              </w:drawing>
            </w:r>
          </w:p>
        </w:tc>
      </w:tr>
    </w:tbl>
    <w:p w14:paraId="74AD449D" w14:textId="77777777" w:rsidR="00A77D12" w:rsidRPr="00A77D12" w:rsidRDefault="00A77D12" w:rsidP="00A77D12">
      <w:pPr>
        <w:jc w:val="both"/>
        <w:rPr>
          <w:sz w:val="16"/>
          <w:szCs w:val="16"/>
        </w:rPr>
      </w:pPr>
      <w:r w:rsidRPr="00A77D12">
        <w:rPr>
          <w:sz w:val="16"/>
          <w:szCs w:val="16"/>
        </w:rPr>
        <w:t>Fuente: Superintendencia de Bancos</w:t>
      </w:r>
    </w:p>
    <w:p w14:paraId="17657AF1" w14:textId="77777777" w:rsidR="00C36261" w:rsidRPr="000B1D1E" w:rsidRDefault="00C36261" w:rsidP="00C36261">
      <w:pPr>
        <w:jc w:val="both"/>
      </w:pPr>
    </w:p>
    <w:p w14:paraId="2B2A2EF1" w14:textId="77777777" w:rsidR="00C36261" w:rsidRDefault="00C36261" w:rsidP="00C36261">
      <w:pPr>
        <w:jc w:val="both"/>
      </w:pPr>
      <w:r>
        <w:t>Tomando en cuenta lo anteriormente expuesto</w:t>
      </w:r>
      <w:r w:rsidRPr="00D8094E">
        <w:t>, se considera que el sistema financiero guatemalteco, en su conjunto, al 31 de diciembre de 2022, se encuentra estable, líquido y solvente, lo cual se ve reflejado tanto en su estructura de balance como en sus indicadores financieros</w:t>
      </w:r>
      <w:r>
        <w:t>, además se percibe que los riesgos del sistema son bajos, moderados y controlados.</w:t>
      </w:r>
    </w:p>
    <w:p w14:paraId="6060D42F" w14:textId="77777777" w:rsidR="00A7253B" w:rsidRPr="002D5363" w:rsidRDefault="00A7253B" w:rsidP="00C36261">
      <w:pPr>
        <w:jc w:val="both"/>
        <w:rPr>
          <w:b/>
          <w:bCs/>
          <w:sz w:val="20"/>
          <w:szCs w:val="20"/>
        </w:rPr>
      </w:pPr>
    </w:p>
    <w:p w14:paraId="0C57A0A8" w14:textId="77777777" w:rsidR="00C36261" w:rsidRPr="00C62C1C" w:rsidRDefault="00C36261" w:rsidP="007F19DF">
      <w:pPr>
        <w:pStyle w:val="Ttulo2"/>
        <w:numPr>
          <w:ilvl w:val="1"/>
          <w:numId w:val="35"/>
        </w:numPr>
        <w:ind w:left="426" w:hanging="284"/>
        <w:rPr>
          <w:bCs/>
        </w:rPr>
      </w:pPr>
      <w:bookmarkStart w:id="746" w:name="_Toc144114441"/>
      <w:r w:rsidRPr="00C62C1C">
        <w:rPr>
          <w:bCs/>
        </w:rPr>
        <w:t>Mecanismos gubernamentales de apoyo existentes para el sector financiero</w:t>
      </w:r>
      <w:bookmarkEnd w:id="746"/>
    </w:p>
    <w:p w14:paraId="2EA26E6C" w14:textId="77777777" w:rsidR="00096829" w:rsidRPr="002D5363" w:rsidRDefault="00096829" w:rsidP="00C36261">
      <w:pPr>
        <w:jc w:val="both"/>
        <w:rPr>
          <w:sz w:val="20"/>
          <w:szCs w:val="20"/>
        </w:rPr>
      </w:pPr>
    </w:p>
    <w:p w14:paraId="18BAFCFD" w14:textId="23D7F36D" w:rsidR="00C36261" w:rsidRDefault="00C36261" w:rsidP="00C36261">
      <w:pPr>
        <w:jc w:val="both"/>
      </w:pPr>
      <w:r>
        <w:t xml:space="preserve">Para el adecuado funcionamiento del sistema financiero, se necesita </w:t>
      </w:r>
      <w:r w:rsidRPr="00B96DE2">
        <w:t>de una red</w:t>
      </w:r>
      <w:r>
        <w:t xml:space="preserve"> </w:t>
      </w:r>
      <w:r w:rsidRPr="00B96DE2">
        <w:t>de seguridad, la cual consiste en un arreglo de funciones e</w:t>
      </w:r>
      <w:r>
        <w:t xml:space="preserve"> </w:t>
      </w:r>
      <w:r w:rsidRPr="00B96DE2">
        <w:t>instituciones destinadas a asegurar que dicho sistema opere con seguridad, eficiencia y</w:t>
      </w:r>
      <w:r>
        <w:t xml:space="preserve"> </w:t>
      </w:r>
      <w:r w:rsidRPr="00B96DE2">
        <w:t>que dé certeza a los agentes económicos. Cuatro elementos básicos caracterizan a la</w:t>
      </w:r>
      <w:r>
        <w:t xml:space="preserve"> </w:t>
      </w:r>
      <w:r w:rsidRPr="00B96DE2">
        <w:t>mayoría de las redes de seguridad del sistema financiero: i) los procesos de supervisión</w:t>
      </w:r>
      <w:r>
        <w:t xml:space="preserve"> </w:t>
      </w:r>
      <w:r w:rsidRPr="00B96DE2">
        <w:t xml:space="preserve">financiera; </w:t>
      </w:r>
      <w:proofErr w:type="spellStart"/>
      <w:r w:rsidRPr="00B96DE2">
        <w:t>ii</w:t>
      </w:r>
      <w:proofErr w:type="spellEnd"/>
      <w:r w:rsidRPr="00B96DE2">
        <w:t xml:space="preserve">) el prestamista de última instancia; </w:t>
      </w:r>
      <w:proofErr w:type="spellStart"/>
      <w:r w:rsidRPr="00B96DE2">
        <w:t>iii</w:t>
      </w:r>
      <w:proofErr w:type="spellEnd"/>
      <w:r w:rsidRPr="00B96DE2">
        <w:t>) los mecanismos de resolución</w:t>
      </w:r>
      <w:r>
        <w:t xml:space="preserve"> </w:t>
      </w:r>
      <w:r w:rsidRPr="00B96DE2">
        <w:t xml:space="preserve">bancaria; y, </w:t>
      </w:r>
      <w:proofErr w:type="spellStart"/>
      <w:r w:rsidRPr="00B96DE2">
        <w:t>iv</w:t>
      </w:r>
      <w:proofErr w:type="spellEnd"/>
      <w:r w:rsidRPr="00B96DE2">
        <w:t xml:space="preserve">) el esquema de seguro o garantía de depósitos. </w:t>
      </w:r>
    </w:p>
    <w:p w14:paraId="588832FA" w14:textId="77777777" w:rsidR="00C36261" w:rsidRDefault="00C36261" w:rsidP="00C36261">
      <w:pPr>
        <w:jc w:val="both"/>
      </w:pPr>
      <w:r>
        <w:t>Este último elemento básico denominado esquema de seguro o garantía de depósitos tiene como objetivo: “</w:t>
      </w:r>
      <w:r w:rsidRPr="00DB44DB">
        <w:t>promover la estabilidad financiera del país y proteger a los pequeños depositantes de</w:t>
      </w:r>
      <w:r>
        <w:t xml:space="preserve"> </w:t>
      </w:r>
      <w:r w:rsidRPr="00DB44DB">
        <w:t>las consecuencias de una quiebra bancaria. El transmitir a los depositantes la información</w:t>
      </w:r>
      <w:r>
        <w:t xml:space="preserve"> </w:t>
      </w:r>
      <w:r w:rsidRPr="00DB44DB">
        <w:t>que podrán recuperar sus depósitos, aun cuando el banco donde mantienen sus</w:t>
      </w:r>
      <w:r>
        <w:t xml:space="preserve"> </w:t>
      </w:r>
      <w:r w:rsidRPr="00DB44DB">
        <w:t>depósitos sea suspendido, tiende a evitar que la salida ordenada de un banco precipite</w:t>
      </w:r>
      <w:r>
        <w:t xml:space="preserve"> </w:t>
      </w:r>
      <w:r w:rsidRPr="00DB44DB">
        <w:t>corridas sobre otros bancos, aun sobre aquellos bancos solventes que pudieran ser</w:t>
      </w:r>
      <w:r>
        <w:t xml:space="preserve"> </w:t>
      </w:r>
      <w:r w:rsidRPr="00DB44DB">
        <w:t>obligados a cerrar sus puertas por efectos del contagio</w:t>
      </w:r>
      <w:r>
        <w:t>.”</w:t>
      </w:r>
      <w:r>
        <w:rPr>
          <w:rStyle w:val="Refdenotaalpie"/>
        </w:rPr>
        <w:footnoteReference w:id="17"/>
      </w:r>
    </w:p>
    <w:p w14:paraId="5C710F3C" w14:textId="77777777" w:rsidR="00135E7F" w:rsidRDefault="00135E7F" w:rsidP="00C36261">
      <w:pPr>
        <w:jc w:val="both"/>
      </w:pPr>
    </w:p>
    <w:p w14:paraId="7C187C14" w14:textId="77777777" w:rsidR="00C36261" w:rsidRDefault="00C36261" w:rsidP="00C36261">
      <w:pPr>
        <w:jc w:val="both"/>
      </w:pPr>
      <w:r>
        <w:t>Lo anterior contribuye</w:t>
      </w:r>
      <w:r w:rsidRPr="00EF795A">
        <w:t xml:space="preserve"> a la estabilidad financiera de un país; el papel del seguro no termina una vez que los depósitos de uno o dos bancos suspendidos son devueltos a sus titulares; en realidad, su verdadero papel</w:t>
      </w:r>
      <w:r>
        <w:t xml:space="preserve"> </w:t>
      </w:r>
      <w:r w:rsidRPr="00EF795A">
        <w:t>comienza cuando los depositantes de otros bancos no reaccionan luego de esas suspensiones; es decir, que el contagio se ha controlado y se ha cumplido con su principal objetivo de promover la estabilidad financiera.</w:t>
      </w:r>
    </w:p>
    <w:p w14:paraId="049A4554" w14:textId="77777777" w:rsidR="002D5363" w:rsidRDefault="002D5363" w:rsidP="00C36261">
      <w:pPr>
        <w:jc w:val="both"/>
      </w:pPr>
    </w:p>
    <w:p w14:paraId="525D149C" w14:textId="77777777" w:rsidR="00C36261" w:rsidRPr="00C62C1C" w:rsidRDefault="00C36261" w:rsidP="007F19DF">
      <w:pPr>
        <w:pStyle w:val="Ttulo2"/>
        <w:numPr>
          <w:ilvl w:val="2"/>
          <w:numId w:val="35"/>
        </w:numPr>
        <w:tabs>
          <w:tab w:val="left" w:pos="993"/>
        </w:tabs>
        <w:ind w:left="567" w:hanging="283"/>
        <w:rPr>
          <w:bCs/>
        </w:rPr>
      </w:pPr>
      <w:bookmarkStart w:id="747" w:name="_Toc144114442"/>
      <w:r w:rsidRPr="00C62C1C">
        <w:rPr>
          <w:bCs/>
        </w:rPr>
        <w:t>Fondo para la Protección del Ahorro -FOPA-</w:t>
      </w:r>
      <w:bookmarkEnd w:id="747"/>
    </w:p>
    <w:p w14:paraId="5BDD8B46" w14:textId="77777777" w:rsidR="00096829" w:rsidRDefault="00096829" w:rsidP="00C36261">
      <w:pPr>
        <w:jc w:val="both"/>
      </w:pPr>
    </w:p>
    <w:p w14:paraId="57EC7C90" w14:textId="1ED49179" w:rsidR="00C36261" w:rsidRDefault="00C36261" w:rsidP="00C36261">
      <w:pPr>
        <w:jc w:val="both"/>
      </w:pPr>
      <w:r>
        <w:t xml:space="preserve">Para el caso de </w:t>
      </w:r>
      <w:r w:rsidRPr="00195955">
        <w:t xml:space="preserve">Guatemala, la función de seguro de depósitos está contemplada en la Ley de Bancos y Grupos Financieros, Decreto Número 19-2002 del Congreso de la República de </w:t>
      </w:r>
      <w:r w:rsidRPr="00195955">
        <w:lastRenderedPageBreak/>
        <w:t>Guatemala, y sus modificaciones, con la creación del Fondo para la Protección del Ahorro. Las disposiciones reglamentarias de dicho fondo fueron aprobadas por la Junta Monetaria en resolución JM-187-2002, del 1 de junio de 2002, y sus modificaciones.</w:t>
      </w:r>
    </w:p>
    <w:p w14:paraId="329E61F7" w14:textId="77777777" w:rsidR="00135E7F" w:rsidRDefault="00135E7F" w:rsidP="00C36261">
      <w:pPr>
        <w:jc w:val="both"/>
      </w:pPr>
    </w:p>
    <w:p w14:paraId="26737CA0" w14:textId="77777777" w:rsidR="00C36261" w:rsidRDefault="00C36261" w:rsidP="00F75946">
      <w:pPr>
        <w:jc w:val="both"/>
      </w:pPr>
      <w:r w:rsidRPr="00261335">
        <w:t>El Fondo para la Protección del Ahorro, tiene como objeto garantizar al depositante en el sistema bancario la recuperación de sus depósitos hasta por un monto de Q20.0 miles, o su equivalente en moneda extranjera, por persona individual o jurídica. Los recursos del fondo son administrados por el Banco de Guatemala, de acuerdo a lo establecido en el artículo 90 de la mencionada Ley de Bancos y Grupos Financieros.</w:t>
      </w:r>
    </w:p>
    <w:p w14:paraId="6DA648FA" w14:textId="77777777" w:rsidR="00135E7F" w:rsidRPr="00261335" w:rsidRDefault="00135E7F" w:rsidP="00F75946">
      <w:pPr>
        <w:jc w:val="both"/>
      </w:pPr>
    </w:p>
    <w:p w14:paraId="3780D793" w14:textId="2D624D6E" w:rsidR="00C36261" w:rsidRDefault="00C36261" w:rsidP="00F75946">
      <w:pPr>
        <w:jc w:val="both"/>
      </w:pPr>
      <w:r w:rsidRPr="00023EDD">
        <w:t>La forma en que se financia dicho fondo es de la siguiente manera:</w:t>
      </w:r>
    </w:p>
    <w:p w14:paraId="2F414B5B" w14:textId="77777777" w:rsidR="002D5363" w:rsidRPr="00023EDD" w:rsidRDefault="002D5363" w:rsidP="00F75946">
      <w:pPr>
        <w:jc w:val="both"/>
      </w:pPr>
    </w:p>
    <w:p w14:paraId="64DAE6E3" w14:textId="77777777" w:rsidR="00C36261" w:rsidRPr="00023EDD" w:rsidRDefault="00C36261" w:rsidP="00F75946">
      <w:pPr>
        <w:pStyle w:val="Prrafodelista"/>
        <w:numPr>
          <w:ilvl w:val="0"/>
          <w:numId w:val="19"/>
        </w:numPr>
        <w:spacing w:after="160"/>
        <w:jc w:val="both"/>
      </w:pPr>
      <w:r w:rsidRPr="00023EDD">
        <w:t xml:space="preserve">Los aportes del Estado para fortalecer la posición financiera del fondo, o para que éste pueda cumplir con sus obligaciones de cobertura. </w:t>
      </w:r>
    </w:p>
    <w:p w14:paraId="3CD86D0E" w14:textId="77777777" w:rsidR="00C36261" w:rsidRPr="00023EDD" w:rsidRDefault="00C36261" w:rsidP="00F75946">
      <w:pPr>
        <w:pStyle w:val="Prrafodelista"/>
        <w:numPr>
          <w:ilvl w:val="0"/>
          <w:numId w:val="19"/>
        </w:numPr>
        <w:spacing w:after="160"/>
        <w:jc w:val="both"/>
      </w:pPr>
      <w:r w:rsidRPr="00023EDD">
        <w:t xml:space="preserve">Las cuotas que obligatoriamente deben aportar los bancos nacionales y sucursales de bancos extranjeros; </w:t>
      </w:r>
    </w:p>
    <w:p w14:paraId="55DC7CB7" w14:textId="77777777" w:rsidR="00C36261" w:rsidRPr="00023EDD" w:rsidRDefault="00C36261" w:rsidP="00F75946">
      <w:pPr>
        <w:pStyle w:val="Prrafodelista"/>
        <w:numPr>
          <w:ilvl w:val="0"/>
          <w:numId w:val="19"/>
        </w:numPr>
        <w:spacing w:after="160"/>
        <w:jc w:val="both"/>
      </w:pPr>
      <w:r w:rsidRPr="00023EDD">
        <w:t xml:space="preserve">Los rendimientos de las inversiones de sus recursos, multas e intereses; </w:t>
      </w:r>
    </w:p>
    <w:p w14:paraId="06A94F07" w14:textId="77777777" w:rsidR="00C36261" w:rsidRPr="00023EDD" w:rsidRDefault="00C36261" w:rsidP="00F75946">
      <w:pPr>
        <w:pStyle w:val="Prrafodelista"/>
        <w:numPr>
          <w:ilvl w:val="0"/>
          <w:numId w:val="19"/>
        </w:numPr>
        <w:spacing w:after="160"/>
        <w:jc w:val="both"/>
      </w:pPr>
      <w:r w:rsidRPr="00023EDD">
        <w:t>Los recursos en efectivo que se obtengan en virtud del proceso de liquidación del banco de que se trate, con motivo de la subrogación de derechos;</w:t>
      </w:r>
    </w:p>
    <w:p w14:paraId="28496B27" w14:textId="77777777" w:rsidR="00C36261" w:rsidRPr="00023EDD" w:rsidRDefault="00C36261" w:rsidP="00F75946">
      <w:pPr>
        <w:pStyle w:val="Prrafodelista"/>
        <w:numPr>
          <w:ilvl w:val="0"/>
          <w:numId w:val="19"/>
        </w:numPr>
        <w:spacing w:after="160"/>
        <w:jc w:val="both"/>
      </w:pPr>
      <w:r w:rsidRPr="00023EDD">
        <w:t xml:space="preserve">Los recursos en efectivo que se obtengan de la venta de los activos que le hubieren sido adjudicados al fondo, en virtud del proceso de liquidación del banco de que se trate; </w:t>
      </w:r>
    </w:p>
    <w:p w14:paraId="23A08612" w14:textId="77777777" w:rsidR="00C36261" w:rsidRPr="00023EDD" w:rsidRDefault="00C36261" w:rsidP="00F75946">
      <w:pPr>
        <w:pStyle w:val="Prrafodelista"/>
        <w:numPr>
          <w:ilvl w:val="0"/>
          <w:numId w:val="19"/>
        </w:numPr>
        <w:jc w:val="both"/>
      </w:pPr>
      <w:r w:rsidRPr="00023EDD">
        <w:t xml:space="preserve">Otras fuentes que incrementen sus recursos </w:t>
      </w:r>
    </w:p>
    <w:p w14:paraId="710F0225" w14:textId="77777777" w:rsidR="00F75946" w:rsidRDefault="00F75946" w:rsidP="00C36261">
      <w:pPr>
        <w:jc w:val="both"/>
      </w:pPr>
    </w:p>
    <w:p w14:paraId="7349A114" w14:textId="53AEB97E" w:rsidR="002D5363" w:rsidRDefault="00C36261" w:rsidP="00C36261">
      <w:pPr>
        <w:jc w:val="both"/>
      </w:pPr>
      <w:r>
        <w:t xml:space="preserve">Al 31 de diciembre de 2022, el Fondo para la Protección del Ahorro, cuenta con inversiones de corto y largo plazo por un monto de Q8,888.6 millones y cuentas activas por liquidar por Q436.7 millones, es decir, tiene un activo total que asciende a Q9,325.3 millones.  Asimismo, este fondo tiene un pasivo total de Q442.2 millones, por lo que el patrimonio neto es de Q8,883.1 millones, excluyendo los fideicomisos por exclusión de activos. Dicho patrimonio es equivalente al 1.2% del PIB de 2022, nivel que duplica la necesidad de financiamiento de la intervención más alta que ha realizado la Junta Monetaria en los últimos 20 años.  </w:t>
      </w:r>
    </w:p>
    <w:p w14:paraId="2397B121" w14:textId="77777777" w:rsidR="002D5363" w:rsidRDefault="002D5363" w:rsidP="00C36261">
      <w:pPr>
        <w:jc w:val="both"/>
      </w:pPr>
    </w:p>
    <w:p w14:paraId="304A7D69" w14:textId="01C1F6AF" w:rsidR="00C36261" w:rsidRPr="002D5363" w:rsidRDefault="002D5363" w:rsidP="002D5363">
      <w:pPr>
        <w:pStyle w:val="Descripcin"/>
        <w:keepNext/>
        <w:rPr>
          <w:color w:val="auto"/>
        </w:rPr>
      </w:pPr>
      <w:bookmarkStart w:id="748" w:name="_Toc143593541"/>
      <w:r w:rsidRPr="002D5363">
        <w:rPr>
          <w:color w:val="auto"/>
        </w:rPr>
        <w:t xml:space="preserve">Tabla </w:t>
      </w:r>
      <w:r w:rsidRPr="002D5363">
        <w:rPr>
          <w:color w:val="auto"/>
        </w:rPr>
        <w:fldChar w:fldCharType="begin"/>
      </w:r>
      <w:r w:rsidRPr="002D5363">
        <w:rPr>
          <w:color w:val="auto"/>
        </w:rPr>
        <w:instrText xml:space="preserve"> SEQ Tabla \* ARABIC </w:instrText>
      </w:r>
      <w:r w:rsidRPr="002D5363">
        <w:rPr>
          <w:color w:val="auto"/>
        </w:rPr>
        <w:fldChar w:fldCharType="separate"/>
      </w:r>
      <w:r w:rsidR="00A62AFA">
        <w:rPr>
          <w:noProof/>
          <w:color w:val="auto"/>
        </w:rPr>
        <w:t>39</w:t>
      </w:r>
      <w:r w:rsidRPr="002D5363">
        <w:rPr>
          <w:color w:val="auto"/>
        </w:rPr>
        <w:fldChar w:fldCharType="end"/>
      </w:r>
      <w:r w:rsidRPr="002D5363">
        <w:rPr>
          <w:color w:val="auto"/>
        </w:rPr>
        <w:t xml:space="preserve">.  </w:t>
      </w:r>
      <w:r w:rsidR="00C36261" w:rsidRPr="002D5363">
        <w:rPr>
          <w:bCs/>
          <w:color w:val="auto"/>
        </w:rPr>
        <w:t>Balance General 2022</w:t>
      </w:r>
      <w:bookmarkEnd w:id="748"/>
    </w:p>
    <w:p w14:paraId="34B9E309" w14:textId="77777777" w:rsidR="00C36261" w:rsidRPr="00EA6555" w:rsidRDefault="00C36261" w:rsidP="00C36261">
      <w:pPr>
        <w:pStyle w:val="Sinespaciado"/>
        <w:jc w:val="center"/>
        <w:rPr>
          <w:b/>
          <w:bCs/>
        </w:rPr>
      </w:pPr>
      <w:r w:rsidRPr="00EA6555">
        <w:rPr>
          <w:b/>
          <w:bCs/>
        </w:rPr>
        <w:t xml:space="preserve">Fondo para la Protección </w:t>
      </w:r>
      <w:r>
        <w:rPr>
          <w:b/>
          <w:bCs/>
        </w:rPr>
        <w:t>del</w:t>
      </w:r>
      <w:r w:rsidRPr="00EA6555">
        <w:rPr>
          <w:b/>
          <w:bCs/>
        </w:rPr>
        <w:t xml:space="preserve"> Ahorro -FOPA-</w:t>
      </w:r>
    </w:p>
    <w:p w14:paraId="5A47AB75" w14:textId="77777777" w:rsidR="00C36261" w:rsidRPr="00EA6555" w:rsidRDefault="00C36261" w:rsidP="00C36261">
      <w:pPr>
        <w:pStyle w:val="Sinespaciado"/>
        <w:jc w:val="center"/>
        <w:rPr>
          <w:sz w:val="18"/>
          <w:szCs w:val="18"/>
        </w:rPr>
      </w:pPr>
      <w:r w:rsidRPr="00EA6555">
        <w:t>Cifras es quetzales</w:t>
      </w:r>
    </w:p>
    <w:p w14:paraId="0A898385" w14:textId="77777777" w:rsidR="00C36261" w:rsidRDefault="00C36261" w:rsidP="00C36261">
      <w:pPr>
        <w:pStyle w:val="Sinespaciado"/>
        <w:rPr>
          <w:sz w:val="18"/>
          <w:szCs w:val="18"/>
        </w:rPr>
      </w:pPr>
      <w:r w:rsidRPr="00A459D5">
        <w:rPr>
          <w:noProof/>
        </w:rPr>
        <w:drawing>
          <wp:inline distT="0" distB="0" distL="0" distR="0" wp14:anchorId="7A6E4818" wp14:editId="5287425E">
            <wp:extent cx="5667375" cy="1931158"/>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74959" cy="1933742"/>
                    </a:xfrm>
                    <a:prstGeom prst="rect">
                      <a:avLst/>
                    </a:prstGeom>
                    <a:noFill/>
                    <a:ln>
                      <a:noFill/>
                    </a:ln>
                  </pic:spPr>
                </pic:pic>
              </a:graphicData>
            </a:graphic>
          </wp:inline>
        </w:drawing>
      </w:r>
    </w:p>
    <w:p w14:paraId="58873AE4" w14:textId="77777777" w:rsidR="00C36261" w:rsidRPr="002D5363" w:rsidRDefault="00C36261" w:rsidP="00C36261">
      <w:pPr>
        <w:pStyle w:val="Sinespaciado"/>
        <w:rPr>
          <w:sz w:val="16"/>
          <w:szCs w:val="16"/>
        </w:rPr>
      </w:pPr>
      <w:r w:rsidRPr="002D5363">
        <w:rPr>
          <w:sz w:val="16"/>
          <w:szCs w:val="16"/>
        </w:rPr>
        <w:t>Fuente: Banco de Guatemala</w:t>
      </w:r>
    </w:p>
    <w:p w14:paraId="56EB11CC" w14:textId="77777777" w:rsidR="00C36261" w:rsidRDefault="00C36261" w:rsidP="00C36261">
      <w:pPr>
        <w:pStyle w:val="Sinespaciado"/>
      </w:pPr>
    </w:p>
    <w:p w14:paraId="13169834" w14:textId="77777777" w:rsidR="00C36261" w:rsidRDefault="00C36261" w:rsidP="00C36261">
      <w:pPr>
        <w:jc w:val="both"/>
      </w:pPr>
      <w:r w:rsidRPr="007543FD">
        <w:lastRenderedPageBreak/>
        <w:t xml:space="preserve">Con estos </w:t>
      </w:r>
      <w:r>
        <w:t>resultados se puede indicar que el FOPA tiene los recursos necesarios para atender una posible situación de emergencia en el sistema financiero, ya que el monto del patrimonio representa el 2.1% del total de pasivos del sistema bancario nacional.</w:t>
      </w:r>
    </w:p>
    <w:p w14:paraId="5AEDD96B" w14:textId="77777777" w:rsidR="00135E7F" w:rsidRDefault="00135E7F" w:rsidP="00C36261">
      <w:pPr>
        <w:jc w:val="both"/>
      </w:pPr>
    </w:p>
    <w:p w14:paraId="64D9B53E" w14:textId="77777777" w:rsidR="00C36261" w:rsidRPr="00F75946" w:rsidRDefault="00C36261" w:rsidP="007F19DF">
      <w:pPr>
        <w:pStyle w:val="Ttulo2"/>
        <w:numPr>
          <w:ilvl w:val="2"/>
          <w:numId w:val="35"/>
        </w:numPr>
        <w:tabs>
          <w:tab w:val="left" w:pos="993"/>
        </w:tabs>
        <w:ind w:left="567" w:hanging="283"/>
        <w:rPr>
          <w:bCs/>
        </w:rPr>
      </w:pPr>
      <w:bookmarkStart w:id="749" w:name="_Toc144114443"/>
      <w:r w:rsidRPr="00F75946">
        <w:rPr>
          <w:bCs/>
        </w:rPr>
        <w:t>Fondo Fiduciario de Capitalización Bancaria</w:t>
      </w:r>
      <w:bookmarkEnd w:id="749"/>
    </w:p>
    <w:p w14:paraId="3857C625" w14:textId="77777777" w:rsidR="00096829" w:rsidRDefault="00096829" w:rsidP="00C36261">
      <w:pPr>
        <w:jc w:val="both"/>
      </w:pPr>
    </w:p>
    <w:p w14:paraId="0F0AE7C3" w14:textId="1C1A4F0F" w:rsidR="00C36261" w:rsidRDefault="00C36261" w:rsidP="00C36261">
      <w:pPr>
        <w:jc w:val="both"/>
      </w:pPr>
      <w:r w:rsidRPr="00775E14">
        <w:t xml:space="preserve">Este </w:t>
      </w:r>
      <w:r>
        <w:t>fondo</w:t>
      </w:r>
      <w:r w:rsidRPr="00775E14">
        <w:t xml:space="preserve"> tiene por objeto apoyar financieramente el proceso de saneamiento y fortalecimiento del sistema bancario nacional, dentro del contexto de procesos de fusión de bancos; adquisición de activos; y, procesos de exclusión de activos y pasivos que se realicen de conformidad con la Ley de Bancos y Grupos Financieros, mediante la inversión en obligaciones subordinadas u obligaciones convertibles en acciones o la compra de acciones de la entidad bancaria de que se trate, según sea el caso. "El Fondo Fiduciario de Capitalización Bancaria" no podrá ejercitar derecho a voto alguno a que dieren lugar tales acciones.</w:t>
      </w:r>
    </w:p>
    <w:p w14:paraId="2396ADBF" w14:textId="77777777" w:rsidR="00135E7F" w:rsidRDefault="00135E7F" w:rsidP="00C36261">
      <w:pPr>
        <w:jc w:val="both"/>
      </w:pPr>
    </w:p>
    <w:p w14:paraId="3069EE52" w14:textId="77777777" w:rsidR="00C36261" w:rsidRDefault="00C36261" w:rsidP="00C36261">
      <w:pPr>
        <w:jc w:val="both"/>
      </w:pPr>
      <w:r w:rsidRPr="006212FF">
        <w:t>Los recursos del f</w:t>
      </w:r>
      <w:r>
        <w:t>ondo</w:t>
      </w:r>
      <w:r w:rsidRPr="006212FF">
        <w:t xml:space="preserve"> serán administrados mediante la constitución de un fideicomiso en el Banco de Guatemala, institución que actuará como fiduciario del mismo, en tanto que el fideicomitente será el Estado de Guatemala, por medio del Ministerio de Finanzas Públicas y fideicomisarios los bancos que tengan interés y que resulten elegibles para el financiamiento, y el Estado de Guatemala.</w:t>
      </w:r>
    </w:p>
    <w:p w14:paraId="61FE19EF" w14:textId="77777777" w:rsidR="00135E7F" w:rsidRDefault="00135E7F" w:rsidP="00C36261">
      <w:pPr>
        <w:jc w:val="both"/>
      </w:pPr>
    </w:p>
    <w:p w14:paraId="6AE88864" w14:textId="23FB4AA6" w:rsidR="00C36261" w:rsidRDefault="00C36261" w:rsidP="00C36261">
      <w:pPr>
        <w:jc w:val="both"/>
      </w:pPr>
      <w:r w:rsidRPr="00691873">
        <w:t xml:space="preserve">Las fuentes de financiamiento del Fondo Fiduciario de Capitalización Bancaria estarán constituidas por: </w:t>
      </w:r>
    </w:p>
    <w:p w14:paraId="7A6B84C3" w14:textId="77777777" w:rsidR="002D5363" w:rsidRPr="00691873" w:rsidRDefault="002D5363" w:rsidP="00C36261">
      <w:pPr>
        <w:jc w:val="both"/>
      </w:pPr>
    </w:p>
    <w:p w14:paraId="75C564E7" w14:textId="77777777" w:rsidR="00C36261" w:rsidRPr="00691873" w:rsidRDefault="00C36261" w:rsidP="000E12CF">
      <w:pPr>
        <w:pStyle w:val="Prrafodelista"/>
        <w:numPr>
          <w:ilvl w:val="0"/>
          <w:numId w:val="20"/>
        </w:numPr>
        <w:spacing w:after="160" w:line="259" w:lineRule="auto"/>
        <w:jc w:val="both"/>
      </w:pPr>
      <w:r w:rsidRPr="00691873">
        <w:t>Un aporte inicial por el equivalente en quetzales de setenta y cinco millones de dólares de los Estados Unidos de América (USD75,000,000.00) provenientes del segundo y tercer desembolso del préstamo BIRF-713</w:t>
      </w:r>
      <w:r>
        <w:t>0</w:t>
      </w:r>
      <w:r w:rsidRPr="00691873">
        <w:t xml:space="preserve">-GU. </w:t>
      </w:r>
    </w:p>
    <w:p w14:paraId="30BCE66F" w14:textId="77777777" w:rsidR="00C36261" w:rsidRPr="00691873" w:rsidRDefault="00C36261" w:rsidP="000E12CF">
      <w:pPr>
        <w:pStyle w:val="Prrafodelista"/>
        <w:numPr>
          <w:ilvl w:val="0"/>
          <w:numId w:val="20"/>
        </w:numPr>
        <w:spacing w:after="160" w:line="259" w:lineRule="auto"/>
        <w:jc w:val="both"/>
      </w:pPr>
      <w:r w:rsidRPr="00691873">
        <w:t>Aportes provenientes de organismos internacionales</w:t>
      </w:r>
    </w:p>
    <w:p w14:paraId="59E0F52F" w14:textId="77777777" w:rsidR="00C36261" w:rsidRPr="00691873" w:rsidRDefault="00C36261" w:rsidP="000E12CF">
      <w:pPr>
        <w:pStyle w:val="Prrafodelista"/>
        <w:numPr>
          <w:ilvl w:val="0"/>
          <w:numId w:val="20"/>
        </w:numPr>
        <w:spacing w:after="160" w:line="259" w:lineRule="auto"/>
        <w:jc w:val="both"/>
      </w:pPr>
      <w:r w:rsidRPr="00691873">
        <w:t xml:space="preserve">Facilidad crediticia que, en los casos específicos y cuando sea estrictamente necesario, dentro del esquema de red de protección bancaria, le otorgue el Fondo para la protección del Ahorro- FOPA- a que se refiere la Ley de Bancos y Grupos Financieros, a cuyo efecto el Banco de Guatemala, en su calidad de administrador de dicho fondo, queda plenamente autorizado para realizar los actos y las operaciones que correspondan; y, </w:t>
      </w:r>
    </w:p>
    <w:p w14:paraId="262AE325" w14:textId="77777777" w:rsidR="00C36261" w:rsidRDefault="00C36261" w:rsidP="000E12CF">
      <w:pPr>
        <w:pStyle w:val="Prrafodelista"/>
        <w:numPr>
          <w:ilvl w:val="0"/>
          <w:numId w:val="20"/>
        </w:numPr>
        <w:spacing w:after="160" w:line="259" w:lineRule="auto"/>
        <w:jc w:val="both"/>
      </w:pPr>
      <w:r w:rsidRPr="00691873">
        <w:t xml:space="preserve">Otras fuentes que incrementen los recursos del Fondo Fiduciario de Capitalización Bancaria. </w:t>
      </w:r>
    </w:p>
    <w:p w14:paraId="5658B877" w14:textId="77777777" w:rsidR="00C36261" w:rsidRDefault="00C36261" w:rsidP="00C36261">
      <w:pPr>
        <w:jc w:val="both"/>
      </w:pPr>
      <w:r w:rsidRPr="00691873">
        <w:t xml:space="preserve">Al 31 de diciembre de 2022, el Fondo </w:t>
      </w:r>
      <w:r>
        <w:t>Fiduciario de Capitalización Bancaria</w:t>
      </w:r>
      <w:r w:rsidRPr="00691873">
        <w:t xml:space="preserve">, cuenta </w:t>
      </w:r>
      <w:r>
        <w:t xml:space="preserve">con un activo comprendido principalmente por </w:t>
      </w:r>
      <w:r w:rsidRPr="00691873">
        <w:t xml:space="preserve">inversiones de corto y largo plazo por un monto de </w:t>
      </w:r>
      <w:r>
        <w:t>Q1,090.0</w:t>
      </w:r>
      <w:r w:rsidRPr="00691873">
        <w:t xml:space="preserve"> millones</w:t>
      </w:r>
      <w:r>
        <w:t xml:space="preserve">. </w:t>
      </w:r>
      <w:r w:rsidRPr="00691873">
        <w:t xml:space="preserve"> Asimismo, este fondo tiene un pasivo total de Q</w:t>
      </w:r>
      <w:r>
        <w:t>0.6</w:t>
      </w:r>
      <w:r w:rsidRPr="00691873">
        <w:t xml:space="preserve"> millones, por lo que el Patrimonio Neto es de Q</w:t>
      </w:r>
      <w:r>
        <w:t>1,089.3</w:t>
      </w:r>
      <w:r w:rsidRPr="00691873">
        <w:t xml:space="preserve"> millones</w:t>
      </w:r>
      <w:r>
        <w:t>, equivalente a 0.2% del PIB.</w:t>
      </w:r>
    </w:p>
    <w:p w14:paraId="64B6320D" w14:textId="77777777" w:rsidR="00135E7F" w:rsidRDefault="00135E7F" w:rsidP="00C36261">
      <w:pPr>
        <w:jc w:val="both"/>
      </w:pPr>
    </w:p>
    <w:p w14:paraId="42D003A9" w14:textId="4A131352" w:rsidR="007537E3" w:rsidRDefault="007537E3" w:rsidP="00C36261">
      <w:pPr>
        <w:jc w:val="both"/>
      </w:pPr>
    </w:p>
    <w:p w14:paraId="58D90455" w14:textId="18881F07" w:rsidR="00F75946" w:rsidRDefault="00F75946" w:rsidP="00C36261">
      <w:pPr>
        <w:jc w:val="both"/>
      </w:pPr>
    </w:p>
    <w:p w14:paraId="391B0378" w14:textId="5AF913EA" w:rsidR="00F75946" w:rsidRDefault="00F75946" w:rsidP="00C36261">
      <w:pPr>
        <w:jc w:val="both"/>
      </w:pPr>
    </w:p>
    <w:p w14:paraId="207DD4FF" w14:textId="77777777" w:rsidR="00F75946" w:rsidRPr="00691873" w:rsidRDefault="00F75946" w:rsidP="00C36261">
      <w:pPr>
        <w:jc w:val="both"/>
      </w:pPr>
    </w:p>
    <w:p w14:paraId="24A985A6" w14:textId="49B4D83B" w:rsidR="00C36261" w:rsidRPr="002D5363" w:rsidRDefault="002D5363" w:rsidP="002D5363">
      <w:pPr>
        <w:pStyle w:val="Descripcin"/>
        <w:keepNext/>
        <w:rPr>
          <w:color w:val="auto"/>
        </w:rPr>
      </w:pPr>
      <w:bookmarkStart w:id="750" w:name="_Toc143593542"/>
      <w:r w:rsidRPr="002D5363">
        <w:rPr>
          <w:color w:val="auto"/>
        </w:rPr>
        <w:lastRenderedPageBreak/>
        <w:t xml:space="preserve">Tabla </w:t>
      </w:r>
      <w:r w:rsidRPr="002D5363">
        <w:rPr>
          <w:color w:val="auto"/>
        </w:rPr>
        <w:fldChar w:fldCharType="begin"/>
      </w:r>
      <w:r w:rsidRPr="002D5363">
        <w:rPr>
          <w:color w:val="auto"/>
        </w:rPr>
        <w:instrText xml:space="preserve"> SEQ Tabla \* ARABIC </w:instrText>
      </w:r>
      <w:r w:rsidRPr="002D5363">
        <w:rPr>
          <w:color w:val="auto"/>
        </w:rPr>
        <w:fldChar w:fldCharType="separate"/>
      </w:r>
      <w:r w:rsidR="00A62AFA">
        <w:rPr>
          <w:noProof/>
          <w:color w:val="auto"/>
        </w:rPr>
        <w:t>40</w:t>
      </w:r>
      <w:r w:rsidRPr="002D5363">
        <w:rPr>
          <w:color w:val="auto"/>
        </w:rPr>
        <w:fldChar w:fldCharType="end"/>
      </w:r>
      <w:r w:rsidRPr="002D5363">
        <w:rPr>
          <w:color w:val="auto"/>
        </w:rPr>
        <w:t xml:space="preserve">. </w:t>
      </w:r>
      <w:r w:rsidR="00C36261" w:rsidRPr="002D5363">
        <w:rPr>
          <w:bCs/>
          <w:color w:val="auto"/>
        </w:rPr>
        <w:t>Balance General 2022</w:t>
      </w:r>
      <w:bookmarkEnd w:id="750"/>
    </w:p>
    <w:p w14:paraId="1678F1AC" w14:textId="77777777" w:rsidR="00C36261" w:rsidRPr="000232DE" w:rsidRDefault="00C36261" w:rsidP="00C36261">
      <w:pPr>
        <w:pStyle w:val="Sinespaciado"/>
        <w:jc w:val="center"/>
        <w:rPr>
          <w:b/>
          <w:bCs/>
        </w:rPr>
      </w:pPr>
      <w:r w:rsidRPr="000232DE">
        <w:rPr>
          <w:b/>
          <w:bCs/>
        </w:rPr>
        <w:t xml:space="preserve">Fondo Fiduciario de Capitalización Bancaria </w:t>
      </w:r>
    </w:p>
    <w:p w14:paraId="38DC0816" w14:textId="77777777" w:rsidR="00C36261" w:rsidRPr="000232DE" w:rsidRDefault="00C36261" w:rsidP="00C36261">
      <w:pPr>
        <w:pStyle w:val="Sinespaciado"/>
        <w:jc w:val="center"/>
        <w:rPr>
          <w:sz w:val="18"/>
          <w:szCs w:val="18"/>
        </w:rPr>
      </w:pPr>
      <w:r w:rsidRPr="000232DE">
        <w:t>Cifras es quetzales</w:t>
      </w:r>
    </w:p>
    <w:p w14:paraId="6C2EFB19" w14:textId="77777777" w:rsidR="00C36261" w:rsidRPr="007543FD" w:rsidRDefault="00C36261" w:rsidP="00C36261">
      <w:pPr>
        <w:jc w:val="center"/>
      </w:pPr>
      <w:r w:rsidRPr="00A36905">
        <w:rPr>
          <w:noProof/>
        </w:rPr>
        <w:drawing>
          <wp:inline distT="0" distB="0" distL="0" distR="0" wp14:anchorId="28B72461" wp14:editId="14FB6998">
            <wp:extent cx="5362575" cy="1382395"/>
            <wp:effectExtent l="0" t="0" r="9525" b="825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62575" cy="1382395"/>
                    </a:xfrm>
                    <a:prstGeom prst="rect">
                      <a:avLst/>
                    </a:prstGeom>
                    <a:noFill/>
                    <a:ln>
                      <a:noFill/>
                    </a:ln>
                  </pic:spPr>
                </pic:pic>
              </a:graphicData>
            </a:graphic>
          </wp:inline>
        </w:drawing>
      </w:r>
    </w:p>
    <w:p w14:paraId="6163D661" w14:textId="77777777" w:rsidR="00C36261" w:rsidRPr="002D5363" w:rsidRDefault="00C36261" w:rsidP="00C36261">
      <w:pPr>
        <w:jc w:val="both"/>
        <w:rPr>
          <w:sz w:val="16"/>
          <w:szCs w:val="16"/>
        </w:rPr>
      </w:pPr>
      <w:r w:rsidRPr="002D5363">
        <w:rPr>
          <w:sz w:val="16"/>
          <w:szCs w:val="16"/>
        </w:rPr>
        <w:t>Fuente: Banco de Guatemala</w:t>
      </w:r>
    </w:p>
    <w:p w14:paraId="05C1C3FD" w14:textId="77777777" w:rsidR="00135E7F" w:rsidRDefault="00135E7F" w:rsidP="00C36261">
      <w:pPr>
        <w:jc w:val="both"/>
        <w:rPr>
          <w:b/>
          <w:bCs/>
        </w:rPr>
      </w:pPr>
    </w:p>
    <w:p w14:paraId="4E244172" w14:textId="3CAAF690" w:rsidR="00C36261" w:rsidRPr="00096829" w:rsidRDefault="00C36261" w:rsidP="007F19DF">
      <w:pPr>
        <w:pStyle w:val="Ttulo2"/>
        <w:numPr>
          <w:ilvl w:val="1"/>
          <w:numId w:val="35"/>
        </w:numPr>
        <w:ind w:left="426" w:hanging="284"/>
        <w:rPr>
          <w:bCs/>
        </w:rPr>
      </w:pPr>
      <w:bookmarkStart w:id="751" w:name="_Toc144114444"/>
      <w:r>
        <w:rPr>
          <w:bCs/>
        </w:rPr>
        <w:t>M</w:t>
      </w:r>
      <w:r w:rsidRPr="00A73BC3">
        <w:rPr>
          <w:bCs/>
        </w:rPr>
        <w:t>aterialización histórica en el sector financi</w:t>
      </w:r>
      <w:r w:rsidRPr="00AD724F">
        <w:rPr>
          <w:bCs/>
        </w:rPr>
        <w:t>e</w:t>
      </w:r>
      <w:r w:rsidRPr="00A73BC3">
        <w:rPr>
          <w:bCs/>
        </w:rPr>
        <w:t>ro</w:t>
      </w:r>
      <w:r>
        <w:rPr>
          <w:bCs/>
        </w:rPr>
        <w:t xml:space="preserve"> en Guatemala</w:t>
      </w:r>
      <w:bookmarkEnd w:id="751"/>
      <w:r w:rsidRPr="00A73BC3">
        <w:rPr>
          <w:bCs/>
        </w:rPr>
        <w:t xml:space="preserve"> </w:t>
      </w:r>
    </w:p>
    <w:p w14:paraId="3465EFFE" w14:textId="77777777" w:rsidR="00096829" w:rsidRDefault="00096829" w:rsidP="00C36261">
      <w:pPr>
        <w:jc w:val="both"/>
      </w:pPr>
    </w:p>
    <w:p w14:paraId="5FEF9611" w14:textId="47918346" w:rsidR="00C36261" w:rsidRDefault="00C36261" w:rsidP="00C36261">
      <w:pPr>
        <w:jc w:val="both"/>
      </w:pPr>
      <w:r w:rsidRPr="00FC450D">
        <w:t xml:space="preserve">No se reporta crisis sistémicas </w:t>
      </w:r>
      <w:r>
        <w:t>en la historia reciente</w:t>
      </w:r>
      <w:r w:rsidRPr="00FC450D">
        <w:t xml:space="preserve"> en Guatemala</w:t>
      </w:r>
      <w:r>
        <w:t xml:space="preserve">.  Sin embargo, en 2001 se tuvo un escenario crítico con 3 bancos del sistema (Metropolitano, Promotor y Empresarial), en donde por problemas crónicos de liquidez, posición patrimonial negativa y alta concentración de préstamos en personas individuales o jurídicas vinculadas con los accionistas, dio lugar a la intervención de estas instituciones, en donde el Banco Central adoptó como medida la concesión de una línea de crédito contingente con recursos internos del Banco de Guatemala, para cada una de las entidades bancarias, a efecto que restituyeran los depósitos a sus cuentahabientes. Se estimó la pérdida del proceso de liquidación en alrededor de Q966.8 millones, equivalente a 0.6% del PIB. </w:t>
      </w:r>
    </w:p>
    <w:p w14:paraId="0ED48C6A" w14:textId="77777777" w:rsidR="00135E7F" w:rsidRDefault="00135E7F" w:rsidP="00C36261">
      <w:pPr>
        <w:jc w:val="both"/>
      </w:pPr>
    </w:p>
    <w:p w14:paraId="055CFA59" w14:textId="77777777" w:rsidR="00C36261" w:rsidRPr="00FC450D" w:rsidRDefault="00C36261" w:rsidP="00C36261">
      <w:pPr>
        <w:jc w:val="both"/>
      </w:pPr>
      <w:r>
        <w:t>Posteriormente, al evento ocurrido en 2001, se creó el FOPA en 2002 y de este</w:t>
      </w:r>
      <w:r w:rsidRPr="00FC450D">
        <w:t xml:space="preserve"> se ha</w:t>
      </w:r>
      <w:r>
        <w:t>n</w:t>
      </w:r>
      <w:r w:rsidRPr="00FC450D">
        <w:t xml:space="preserve"> utilizado los recursos para realizar aportes a</w:t>
      </w:r>
      <w:r>
        <w:t xml:space="preserve"> los</w:t>
      </w:r>
      <w:r w:rsidRPr="00FC450D">
        <w:t xml:space="preserve"> fideicomiso</w:t>
      </w:r>
      <w:r>
        <w:t>s</w:t>
      </w:r>
      <w:r w:rsidRPr="00FC450D">
        <w:t xml:space="preserve"> que </w:t>
      </w:r>
      <w:r>
        <w:t xml:space="preserve">se </w:t>
      </w:r>
      <w:r w:rsidRPr="00FC450D">
        <w:t>constituya</w:t>
      </w:r>
      <w:r>
        <w:t>n</w:t>
      </w:r>
      <w:r w:rsidRPr="00FC450D">
        <w:t xml:space="preserve"> para la exclusión de los activos de las entidades bancarias</w:t>
      </w:r>
      <w:r>
        <w:t xml:space="preserve">, en donde la Junta Monetaria </w:t>
      </w:r>
      <w:r w:rsidRPr="00FC450D">
        <w:t>suspend</w:t>
      </w:r>
      <w:r>
        <w:t>ió</w:t>
      </w:r>
      <w:r w:rsidRPr="00FC450D">
        <w:t xml:space="preserve"> operaciones</w:t>
      </w:r>
      <w:r>
        <w:t xml:space="preserve"> en los casos siguientes</w:t>
      </w:r>
      <w:r w:rsidRPr="00FC450D">
        <w:t>:</w:t>
      </w:r>
    </w:p>
    <w:p w14:paraId="3A93F851" w14:textId="77777777" w:rsidR="00135E7F" w:rsidRDefault="00135E7F" w:rsidP="00C36261">
      <w:pPr>
        <w:jc w:val="both"/>
      </w:pPr>
    </w:p>
    <w:p w14:paraId="5AFCD896" w14:textId="0B1B8A44" w:rsidR="00C36261" w:rsidRPr="00096829" w:rsidRDefault="00C36261" w:rsidP="007F19DF">
      <w:pPr>
        <w:pStyle w:val="Ttulo2"/>
        <w:numPr>
          <w:ilvl w:val="2"/>
          <w:numId w:val="35"/>
        </w:numPr>
        <w:tabs>
          <w:tab w:val="left" w:pos="993"/>
        </w:tabs>
        <w:ind w:left="567" w:hanging="283"/>
        <w:rPr>
          <w:bCs/>
        </w:rPr>
      </w:pPr>
      <w:bookmarkStart w:id="752" w:name="_Toc144114445"/>
      <w:r w:rsidRPr="00096829">
        <w:rPr>
          <w:bCs/>
        </w:rPr>
        <w:t>El Banco del Café, Sociedad Anónima. (Año 2006)</w:t>
      </w:r>
      <w:bookmarkEnd w:id="752"/>
      <w:r w:rsidRPr="00096829">
        <w:rPr>
          <w:bCs/>
        </w:rPr>
        <w:t xml:space="preserve"> </w:t>
      </w:r>
    </w:p>
    <w:p w14:paraId="73AD89CD" w14:textId="77777777" w:rsidR="00D54F96" w:rsidRPr="00135E7F" w:rsidRDefault="00D54F96" w:rsidP="00C36261">
      <w:pPr>
        <w:jc w:val="both"/>
        <w:rPr>
          <w:i/>
          <w:iCs/>
        </w:rPr>
      </w:pPr>
    </w:p>
    <w:p w14:paraId="310DCB6F" w14:textId="77777777" w:rsidR="00C36261" w:rsidRDefault="00C36261" w:rsidP="00C36261">
      <w:pPr>
        <w:jc w:val="both"/>
      </w:pPr>
      <w:r w:rsidRPr="00E2752E">
        <w:t xml:space="preserve">La Junta Monetaria, en resolución JM-120-2006, del 19 de octubre de 2006, resolvió suspender las operaciones del Banco del Café, Sociedad Anónima, conforme lo dispuesto en el artículo 75 de la Ley de Bancos y Grupos Financieros. En virtud de lo anterior, el 21 y 26 de octubre de 2006 la Junta de Exclusión de Activos y Pasivos solicitó al Banco de Guatemala, como Administrador de los Recursos del Fondo para la Protección del Ahorro, que realizara aportes al fideicomiso que se constituyó para excluir los activos de dicha institución bancaria. </w:t>
      </w:r>
    </w:p>
    <w:p w14:paraId="6E0CD737" w14:textId="77777777" w:rsidR="00135E7F" w:rsidRPr="00E2752E" w:rsidRDefault="00135E7F" w:rsidP="00C36261">
      <w:pPr>
        <w:jc w:val="both"/>
      </w:pPr>
    </w:p>
    <w:p w14:paraId="79422C19" w14:textId="77777777" w:rsidR="00C36261" w:rsidRDefault="00C36261" w:rsidP="00C36261">
      <w:pPr>
        <w:jc w:val="both"/>
      </w:pPr>
      <w:r w:rsidRPr="00E2752E">
        <w:t xml:space="preserve">A la fecha de la suspensión de operaciones, el Banco del Café, Sociedad Anónima, registraba depósitos en moneda nacional y extranjera que ascendían a Q6,776.5 millones, los cuales representaban aproximadamente un millón de cuentas. Considerando que la garantía del Fondo para la Protección del Ahorro es de hasta Q20.0 miles por persona individual o jurídica, en el caso de que la Junta de Exclusión de Activos y Pasivos hubiera elegido la opción de cubrir a todos los depositantes hasta por el monto indicado, el fondo hubiese desembolsado Q2,047.0 millones. Sin embargo, dicha Junta de Exclusión escogió la opción </w:t>
      </w:r>
      <w:r w:rsidRPr="00E2752E">
        <w:lastRenderedPageBreak/>
        <w:t>de solicitar al fondo que realizara aportes al fideicomiso a constituirse para la exclusión de activos del Banco del Café, Sociedad Anónima, con el propósito de que, con dichos recursos, más los provenientes de la realización de los activos excluidos a dicha institución bancaria, se cubriera la totalidad de los depósitos. En ese sentido, el fondo realizó un aporte de Q1,600.0 millones</w:t>
      </w:r>
      <w:r>
        <w:t xml:space="preserve"> (0.7% del PIB)</w:t>
      </w:r>
      <w:r w:rsidRPr="00E2752E">
        <w:t>, que representa el 78.2% del monto total de la cobertura que debía realizar (Q2,047.0 millones), lo cual significó un ahorro para el Fondo para la Protección del Ahorro de Q447.0 millones, aproximadamente.</w:t>
      </w:r>
    </w:p>
    <w:p w14:paraId="642E3910" w14:textId="77777777" w:rsidR="00135E7F" w:rsidRPr="00E2752E" w:rsidRDefault="00135E7F" w:rsidP="00C36261">
      <w:pPr>
        <w:jc w:val="both"/>
      </w:pPr>
    </w:p>
    <w:p w14:paraId="7AA2C5EC" w14:textId="77777777" w:rsidR="00C36261" w:rsidRDefault="00C36261" w:rsidP="00C36261">
      <w:pPr>
        <w:jc w:val="both"/>
      </w:pPr>
      <w:r w:rsidRPr="00E2752E">
        <w:t>Es importante resaltar que el mecanismo utilizado permitió que se cubriera el 100% de los depósitos, y que el aporte del fondo fuera por el equivalente al 23.6% del total de las obligaciones depositarias del suspendido Banco del Café, Sociedad Anónima.</w:t>
      </w:r>
    </w:p>
    <w:p w14:paraId="037D6FEE" w14:textId="77777777" w:rsidR="00135E7F" w:rsidRPr="00E2752E" w:rsidRDefault="00135E7F" w:rsidP="00C36261">
      <w:pPr>
        <w:jc w:val="both"/>
      </w:pPr>
    </w:p>
    <w:p w14:paraId="518FDEE7" w14:textId="77777777" w:rsidR="00C36261" w:rsidRPr="00096829" w:rsidRDefault="00C36261" w:rsidP="007F19DF">
      <w:pPr>
        <w:pStyle w:val="Ttulo2"/>
        <w:numPr>
          <w:ilvl w:val="2"/>
          <w:numId w:val="35"/>
        </w:numPr>
        <w:tabs>
          <w:tab w:val="left" w:pos="993"/>
        </w:tabs>
        <w:ind w:left="567" w:hanging="283"/>
        <w:rPr>
          <w:bCs/>
        </w:rPr>
      </w:pPr>
      <w:bookmarkStart w:id="753" w:name="_Toc144114446"/>
      <w:r w:rsidRPr="00096829">
        <w:rPr>
          <w:bCs/>
        </w:rPr>
        <w:t>Banco de Comercio, Sociedad Anónima (Año 2007)</w:t>
      </w:r>
      <w:bookmarkEnd w:id="753"/>
    </w:p>
    <w:p w14:paraId="1CB32A92" w14:textId="77777777" w:rsidR="00D54F96" w:rsidRPr="00135E7F" w:rsidRDefault="00D54F96" w:rsidP="00C36261">
      <w:pPr>
        <w:jc w:val="both"/>
        <w:rPr>
          <w:i/>
          <w:iCs/>
        </w:rPr>
      </w:pPr>
    </w:p>
    <w:p w14:paraId="17671A9D" w14:textId="77777777" w:rsidR="00C36261" w:rsidRDefault="00C36261" w:rsidP="00C36261">
      <w:pPr>
        <w:jc w:val="both"/>
      </w:pPr>
      <w:r w:rsidRPr="00E2752E">
        <w:t>La Junta Monetaria, en resolución JM-13-2007, del 12 de enero de 2007, resolvió suspender las operaciones del Banco de Comercio, Sociedad Anónima, conforme lo dispuesto en el artículo 75 de la Ley de Bancos y Grupos Financieros. En virtud de lo anterior, el 13 de enero de 2007 la Junta de Exclusión de Activos y Pasivos solicitó al Banco de Guatemala, como Administrador de los Recursos del Fondo para la Protección del Ahorro, que realizara un aporte al fideicomiso a constituirse para excluir los activos de dicha institución bancaria, por un monto de Q371.9 millones</w:t>
      </w:r>
      <w:r>
        <w:t xml:space="preserve"> (0.1% del PIB)</w:t>
      </w:r>
      <w:r w:rsidRPr="00E2752E">
        <w:t xml:space="preserve">. </w:t>
      </w:r>
    </w:p>
    <w:p w14:paraId="51228E54" w14:textId="77777777" w:rsidR="00135E7F" w:rsidRPr="00E2752E" w:rsidRDefault="00135E7F" w:rsidP="00C36261">
      <w:pPr>
        <w:jc w:val="both"/>
      </w:pPr>
    </w:p>
    <w:p w14:paraId="6974B294" w14:textId="77777777" w:rsidR="00C36261" w:rsidRDefault="00C36261" w:rsidP="00C36261">
      <w:pPr>
        <w:jc w:val="both"/>
      </w:pPr>
      <w:r w:rsidRPr="00E2752E">
        <w:t xml:space="preserve">A la fecha de la suspensión de operaciones, el Banco de Comercio, Sociedad Anónima, registraba depósitos en moneda nacional y extranjera que ascendían a Q951.7 millones, los cuales representaban aproximadamente ciento veinte mil cuentas. Tal como se mencionó anteriormente, la garantía del fondo es de hasta Q20.0 miles por persona individual o jurídica, en el caso de que la Junta de Exclusión de Activos y Pasivos hubiera elegido la opción de cubrir a todos los depositantes hasta por el monto indicado, el fondo hubiese desembolsado Q374.5 millones. </w:t>
      </w:r>
    </w:p>
    <w:p w14:paraId="61E72EA0" w14:textId="77777777" w:rsidR="00135E7F" w:rsidRPr="00E2752E" w:rsidRDefault="00135E7F" w:rsidP="00C36261">
      <w:pPr>
        <w:jc w:val="both"/>
      </w:pPr>
    </w:p>
    <w:p w14:paraId="3CF3C4C9" w14:textId="77777777" w:rsidR="00C36261" w:rsidRDefault="00C36261" w:rsidP="00C36261">
      <w:pPr>
        <w:jc w:val="both"/>
      </w:pPr>
      <w:r w:rsidRPr="00E2752E">
        <w:t>Al igual que en el caso de Banco del Café, Sociedad Anónima, para poder hacer efectiva la cobertura de las obligaciones depositarias del Banco de Comercio, Sociedad Anónima, el Fondo para la Protección del Ahorro realizó aportes al fideicomiso de exclusión de activos, con el propósito de que, con dichos recursos, más los provenientes de la venta de activos excluidos se cubriera la totalidad de depósitos. En ese sentido, el fondo realizó un aporte de Q371.9 millones, el cual representa el 99.3% del monto total de la cobertura que debía realizar (Q374.5 millones), lo que significó un ahorro para el Fondo para la Protección del Ahorro de aproximadamente Q2.6 millones.</w:t>
      </w:r>
    </w:p>
    <w:p w14:paraId="515FA0B9" w14:textId="77777777" w:rsidR="00135E7F" w:rsidRPr="00E2752E" w:rsidRDefault="00135E7F" w:rsidP="00C36261">
      <w:pPr>
        <w:jc w:val="both"/>
      </w:pPr>
    </w:p>
    <w:p w14:paraId="6ED137DF" w14:textId="77777777" w:rsidR="00C36261" w:rsidRDefault="00C36261" w:rsidP="00C36261">
      <w:pPr>
        <w:jc w:val="both"/>
      </w:pPr>
      <w:r w:rsidRPr="00E2752E">
        <w:t>En ese sentido, el mecanismo utilizado permitió que se cubriera el 100% de los depósitos, y que el aporte del fondo fuera por el equivalente al 39.1% del total de las obligaciones depositarias del suspendido Banco de Comercio, Sociedad Anónima.</w:t>
      </w:r>
    </w:p>
    <w:p w14:paraId="5C459FDB" w14:textId="77777777" w:rsidR="00135E7F" w:rsidRPr="00E2752E" w:rsidRDefault="00135E7F" w:rsidP="00C36261">
      <w:pPr>
        <w:jc w:val="both"/>
      </w:pPr>
    </w:p>
    <w:p w14:paraId="6B595295" w14:textId="77777777" w:rsidR="00C36261" w:rsidRDefault="00C36261" w:rsidP="00C36261">
      <w:pPr>
        <w:jc w:val="both"/>
      </w:pPr>
      <w:r w:rsidRPr="00E2752E">
        <w:t xml:space="preserve">Los recursos del fondo, previo a la suspensión de operaciones del Banco del Café, y de Comercio, Sociedad Anónima, ascendían a Q1,664.7 millones, provenientes de aportes del Estado (Q1,108.4 millones), de cuotas de formación aportadas por los bancos del sistema (Q258.9 millones) y de resultados acumulados (Q297.4 millones). Con dichos recursos y el </w:t>
      </w:r>
      <w:r w:rsidRPr="00E2752E">
        <w:lastRenderedPageBreak/>
        <w:t>apoyo financiero de Q360.0 millones otorgado por el fideicomiso denominado Fondo Fiduciario de Capitalización Bancaria, el Fondo para la Protección del Ahorro cubrió los aportes realizados a los fideicomisos constituidos para la exclusión de activos de los suspendidos bancos del Café, Sociedad Anónima, y de Comercio, Sociedad Anónima.</w:t>
      </w:r>
      <w:r>
        <w:t xml:space="preserve">   Además, dada la disponibilidad de recursos del FOPA en 2007, el gobierno de la república realizó una transferencia al Banco de Guatemala para apoyar financieramente al FOPA por Q273.6 millones (0.1% del PIB), fue la última aportación que ha realizado el Estado desde entonces.</w:t>
      </w:r>
    </w:p>
    <w:p w14:paraId="401BA2F2" w14:textId="77777777" w:rsidR="00135E7F" w:rsidRPr="00E2752E" w:rsidRDefault="00135E7F" w:rsidP="00C36261">
      <w:pPr>
        <w:jc w:val="both"/>
      </w:pPr>
    </w:p>
    <w:p w14:paraId="5CC1FF9C" w14:textId="77777777" w:rsidR="00C36261" w:rsidRPr="00096829" w:rsidRDefault="00C36261" w:rsidP="007F19DF">
      <w:pPr>
        <w:pStyle w:val="Ttulo2"/>
        <w:numPr>
          <w:ilvl w:val="2"/>
          <w:numId w:val="35"/>
        </w:numPr>
        <w:tabs>
          <w:tab w:val="left" w:pos="993"/>
        </w:tabs>
        <w:ind w:left="567" w:hanging="283"/>
        <w:rPr>
          <w:bCs/>
        </w:rPr>
      </w:pPr>
      <w:bookmarkStart w:id="754" w:name="_Toc144114447"/>
      <w:r w:rsidRPr="00096829">
        <w:rPr>
          <w:bCs/>
        </w:rPr>
        <w:t>Banco de Crédito, Sociedad Anónima (Año 2019)</w:t>
      </w:r>
      <w:bookmarkEnd w:id="754"/>
    </w:p>
    <w:p w14:paraId="49CADAEA" w14:textId="77777777" w:rsidR="00D54F96" w:rsidRPr="00135E7F" w:rsidRDefault="00D54F96" w:rsidP="00C36261">
      <w:pPr>
        <w:jc w:val="both"/>
        <w:rPr>
          <w:i/>
          <w:iCs/>
        </w:rPr>
      </w:pPr>
    </w:p>
    <w:p w14:paraId="1977E9A7" w14:textId="77777777" w:rsidR="00C36261" w:rsidRDefault="00C36261" w:rsidP="00C36261">
      <w:pPr>
        <w:jc w:val="both"/>
      </w:pPr>
      <w:r w:rsidRPr="00E2752E">
        <w:t xml:space="preserve">La Junta Monetaria, en resolución JM-110-2019 del 6 de diciembre de 2019, resolvió suspender las operaciones del Banco de Crédito, Sociedad Anónima, </w:t>
      </w:r>
      <w:r w:rsidRPr="00C832FD">
        <w:t>por incumplimiento al plan de regularización aprobado por el órgano supervisor en resolución número 851-2019</w:t>
      </w:r>
      <w:r w:rsidRPr="00FA7F7C">
        <w:t>, del 8 de julio de 2019</w:t>
      </w:r>
      <w:r>
        <w:t xml:space="preserve"> </w:t>
      </w:r>
      <w:r w:rsidRPr="00E2752E">
        <w:t>conforme lo dispuesto en el artículo 75 de la Ley de Bancos y Grupos Financieros. En virtud de lo anterior, el 10 de diciembre de 2019 la Junta de Exclusión de Activos y Pasivos solicitó al Banco de Guatemala, como Administrador de los Recursos del Fondo para la Protección del Ahorro, que realizara un aporte al fideicomiso que se constituyó para excluir los activos de dicha institución bancaria, por un monto de Q57.3 millones</w:t>
      </w:r>
      <w:r>
        <w:t xml:space="preserve"> (0.01% del PIB)</w:t>
      </w:r>
      <w:r w:rsidRPr="00E2752E">
        <w:t>.</w:t>
      </w:r>
    </w:p>
    <w:p w14:paraId="6061FB5F" w14:textId="77777777" w:rsidR="00135E7F" w:rsidRPr="00E2752E" w:rsidRDefault="00135E7F" w:rsidP="00C36261">
      <w:pPr>
        <w:jc w:val="both"/>
      </w:pPr>
    </w:p>
    <w:p w14:paraId="284B6750" w14:textId="77777777" w:rsidR="00C36261" w:rsidRDefault="00C36261" w:rsidP="00C36261">
      <w:pPr>
        <w:jc w:val="both"/>
      </w:pPr>
      <w:r w:rsidRPr="00E2752E">
        <w:t xml:space="preserve">De acuerdo con información publicada por la Superintendencia de Bancos, al 31 de octubre de 2019, el Banco de Crédito, Sociedad Anónima, registraba depósitos en moneda nacional y extranjera que ascendían a Q728.8 millones, los cuales representaban aproximadamente trece mil ochocientas veinte cuentas. De acuerdo con el requerimiento realizado por la mencionada junta de exclusión, el aporte solicitado al fondo corresponde al total de depósitos cubiertos por la garantía de dicho fondo. </w:t>
      </w:r>
    </w:p>
    <w:p w14:paraId="4241560E" w14:textId="77777777" w:rsidR="00135E7F" w:rsidRPr="00E2752E" w:rsidRDefault="00135E7F" w:rsidP="00C36261">
      <w:pPr>
        <w:jc w:val="both"/>
      </w:pPr>
    </w:p>
    <w:p w14:paraId="6FC73204" w14:textId="77777777" w:rsidR="00C36261" w:rsidRPr="00E2752E" w:rsidRDefault="00C36261" w:rsidP="00C36261">
      <w:pPr>
        <w:jc w:val="both"/>
      </w:pPr>
      <w:r w:rsidRPr="00E2752E">
        <w:t>Los recursos del Fondo para la Protección del Ahorro, previo a la suspensión de operaciones del Banco de Crédito, Sociedad Anónima, ascendían a Q5,771.6 millones. Con dichos recursos, el fondo cubrió los aportes realizados al fideicomiso constituido para la exclusión de activos del suspendido Banco de Crédito, Sociedad Anónima. En ese sentido, el fondo realizó un aporte de Q57.3 millones, que representa el 72.7% del monto total de la cobertura que debía realizar al 31 de octubre de 2019 (Q78.8 millones), lo cual significó un ahorro para el Fondo para la Protección del Ahorro de Q21.5 millones, aproximadamente, a la fecha referida.</w:t>
      </w:r>
    </w:p>
    <w:p w14:paraId="47D6A802" w14:textId="77777777" w:rsidR="00C36261" w:rsidRDefault="00C36261" w:rsidP="00C36261">
      <w:pPr>
        <w:jc w:val="both"/>
      </w:pPr>
      <w:r w:rsidRPr="00E2752E">
        <w:t>En su conjunto, los aportes efectuados a los fideicomisos de mérito, a requerimiento de las juntas de exclusión, más los recursos provenientes de la venta de activos excluidos de los bancos, permitió que se cubriera la totalidad de depósitos, y el fondo dejó de erogar Q552.7 millones, favoreciendo su situación financiera</w:t>
      </w:r>
      <w:r>
        <w:t>.</w:t>
      </w:r>
    </w:p>
    <w:p w14:paraId="14CA74F6" w14:textId="77777777" w:rsidR="00135E7F" w:rsidRDefault="00135E7F" w:rsidP="00C36261">
      <w:pPr>
        <w:jc w:val="both"/>
      </w:pPr>
    </w:p>
    <w:p w14:paraId="10F82594" w14:textId="77777777" w:rsidR="00C36261" w:rsidRPr="00096829" w:rsidRDefault="00C36261" w:rsidP="007F19DF">
      <w:pPr>
        <w:pStyle w:val="Ttulo2"/>
        <w:numPr>
          <w:ilvl w:val="1"/>
          <w:numId w:val="35"/>
        </w:numPr>
        <w:ind w:left="426" w:hanging="284"/>
        <w:rPr>
          <w:bCs/>
        </w:rPr>
      </w:pPr>
      <w:bookmarkStart w:id="755" w:name="_Toc144114448"/>
      <w:r w:rsidRPr="00096829">
        <w:rPr>
          <w:bCs/>
        </w:rPr>
        <w:t>Análisis de riesgos relacionados con los bancos públicos</w:t>
      </w:r>
      <w:bookmarkEnd w:id="755"/>
      <w:r w:rsidRPr="00096829">
        <w:rPr>
          <w:bCs/>
        </w:rPr>
        <w:t xml:space="preserve"> </w:t>
      </w:r>
    </w:p>
    <w:p w14:paraId="2E4A1297" w14:textId="77777777" w:rsidR="00135E7F" w:rsidRDefault="00135E7F" w:rsidP="00C36261">
      <w:pPr>
        <w:jc w:val="both"/>
      </w:pPr>
    </w:p>
    <w:p w14:paraId="1AC651DF" w14:textId="35F5B5BE" w:rsidR="00C36261" w:rsidRDefault="00C36261" w:rsidP="00C36261">
      <w:pPr>
        <w:jc w:val="both"/>
      </w:pPr>
      <w:r>
        <w:t>En Guatemala, solo existe un banco público, conocido como Crédito Hipotecario Nacional (CHN), el cual fue fundado</w:t>
      </w:r>
      <w:r w:rsidRPr="00FB0F21">
        <w:t xml:space="preserve"> el 4 de diciembre de 1929, </w:t>
      </w:r>
      <w:r>
        <w:t xml:space="preserve">mediante </w:t>
      </w:r>
      <w:r w:rsidRPr="00FB0F21">
        <w:t>Decreto No. 1040</w:t>
      </w:r>
      <w:r>
        <w:t xml:space="preserve"> y</w:t>
      </w:r>
      <w:r w:rsidRPr="00FB0F21">
        <w:t xml:space="preserve"> el 6 de octubre de 1930, se inauguró la institución</w:t>
      </w:r>
      <w:r>
        <w:t>.</w:t>
      </w:r>
      <w:r>
        <w:tab/>
      </w:r>
    </w:p>
    <w:p w14:paraId="2EDE4641" w14:textId="77777777" w:rsidR="00135E7F" w:rsidRDefault="00135E7F" w:rsidP="00C36261">
      <w:pPr>
        <w:jc w:val="both"/>
      </w:pPr>
    </w:p>
    <w:p w14:paraId="453F86D8" w14:textId="77777777" w:rsidR="00C36261" w:rsidRDefault="00C36261" w:rsidP="00C36261">
      <w:pPr>
        <w:jc w:val="both"/>
      </w:pPr>
      <w:r>
        <w:lastRenderedPageBreak/>
        <w:t>Conforme al comportamiento que se observa en los indicadores financieros del Crédito Hipotecario Nacional -CHN- para el período 2018-2022, se observa que estos se mantienen en un buen nivel y que con el tiempo han ido mejorando, destacando en este caso los indicadores de solvencia que en 2022 alcanzan su mejor nivel incluso superando el promedio observado en el sistema bancario, al igual que los indicadores de liquidez.</w:t>
      </w:r>
    </w:p>
    <w:p w14:paraId="6A3E23D9" w14:textId="77777777" w:rsidR="00135E7F" w:rsidRDefault="00135E7F" w:rsidP="00C36261">
      <w:pPr>
        <w:jc w:val="both"/>
      </w:pPr>
    </w:p>
    <w:p w14:paraId="3124D41A" w14:textId="77777777" w:rsidR="00C36261" w:rsidRDefault="00C36261" w:rsidP="00C36261">
      <w:pPr>
        <w:jc w:val="both"/>
      </w:pPr>
      <w:r>
        <w:t>Los indicadores de rentabilidad mantienen niveles aceptables y que solo en 2022 se redujo levemente el ROE, mientras que el ROA aumentó.  No obstante, ambos están por arriba del promedio del sistema bancario.</w:t>
      </w:r>
    </w:p>
    <w:p w14:paraId="22A2C634" w14:textId="77777777" w:rsidR="00135E7F" w:rsidRDefault="00135E7F" w:rsidP="00C36261">
      <w:pPr>
        <w:jc w:val="both"/>
      </w:pPr>
    </w:p>
    <w:p w14:paraId="6CE9B5CB" w14:textId="77777777" w:rsidR="00C36261" w:rsidRDefault="00C36261" w:rsidP="00C36261">
      <w:pPr>
        <w:jc w:val="both"/>
      </w:pPr>
      <w:r>
        <w:t xml:space="preserve">Por su parte, los indicadores de calidad de activos, muestran una mejora significativa en el tiempo, por ejemplo, el indicador de cartera de créditos vencida con relación a cartera de créditos bruta (CVC) pasó de 14.31% en 2018 a 2.85% al cierre de 2022 una disminución que se observó en todos los años, además este indicador no está muy lejano del promedio del sistema bancario (1.25%) lo que muestra una mejora por parte del CHN en este indicador.  Sin embargo, en lo que respecta al indicador de cobertura de cartera de créditos en riesgo (CCR) el comportamiento a lo largo de estos últimos años ha mostrado cierta volatilidad, llegando a obtener un nivel de 109.3% en 2022, el cual si está por debajo del promedio del sistema bancario el cual fue de 262.54%, aunque pareciera que el nivel del CHN dista mucho del promedio, en realidad una cobertura mayor al 100% es un signo positivo en un banco. </w:t>
      </w:r>
    </w:p>
    <w:p w14:paraId="5CF03078" w14:textId="77777777" w:rsidR="00C36261" w:rsidRDefault="00C36261" w:rsidP="00C36261">
      <w:pPr>
        <w:jc w:val="both"/>
      </w:pPr>
    </w:p>
    <w:p w14:paraId="23AC9B98" w14:textId="562B2AF3" w:rsidR="00C36261" w:rsidRPr="002D5363" w:rsidRDefault="002D5363" w:rsidP="002D5363">
      <w:pPr>
        <w:pStyle w:val="Descripcin"/>
        <w:keepNext/>
        <w:rPr>
          <w:color w:val="auto"/>
        </w:rPr>
      </w:pPr>
      <w:bookmarkStart w:id="756" w:name="_Toc143593543"/>
      <w:r w:rsidRPr="002D5363">
        <w:rPr>
          <w:color w:val="auto"/>
        </w:rPr>
        <w:t xml:space="preserve">Tabla </w:t>
      </w:r>
      <w:r w:rsidRPr="002D5363">
        <w:rPr>
          <w:color w:val="auto"/>
        </w:rPr>
        <w:fldChar w:fldCharType="begin"/>
      </w:r>
      <w:r w:rsidRPr="002D5363">
        <w:rPr>
          <w:color w:val="auto"/>
        </w:rPr>
        <w:instrText xml:space="preserve"> SEQ Tabla \* ARABIC </w:instrText>
      </w:r>
      <w:r w:rsidRPr="002D5363">
        <w:rPr>
          <w:color w:val="auto"/>
        </w:rPr>
        <w:fldChar w:fldCharType="separate"/>
      </w:r>
      <w:r w:rsidR="00A62AFA">
        <w:rPr>
          <w:noProof/>
          <w:color w:val="auto"/>
        </w:rPr>
        <w:t>41</w:t>
      </w:r>
      <w:r w:rsidRPr="002D5363">
        <w:rPr>
          <w:color w:val="auto"/>
        </w:rPr>
        <w:fldChar w:fldCharType="end"/>
      </w:r>
      <w:r w:rsidRPr="002D5363">
        <w:rPr>
          <w:color w:val="auto"/>
        </w:rPr>
        <w:t xml:space="preserve">.  </w:t>
      </w:r>
      <w:r w:rsidR="00C36261" w:rsidRPr="002D5363">
        <w:rPr>
          <w:bCs/>
          <w:color w:val="auto"/>
        </w:rPr>
        <w:t>Indicadores Financieros del Crédito Hipotecario Nacional -CHN-</w:t>
      </w:r>
      <w:bookmarkEnd w:id="756"/>
    </w:p>
    <w:p w14:paraId="2FD9E545" w14:textId="77777777" w:rsidR="00C36261" w:rsidRPr="00B02626" w:rsidRDefault="00C36261" w:rsidP="00C36261">
      <w:pPr>
        <w:pStyle w:val="Sinespaciado"/>
        <w:jc w:val="center"/>
        <w:rPr>
          <w:b/>
          <w:bCs/>
        </w:rPr>
      </w:pPr>
      <w:r w:rsidRPr="00B02626">
        <w:rPr>
          <w:b/>
          <w:bCs/>
        </w:rPr>
        <w:t>Serie anual 2018-2022 y comparativo con el Sistema Bancario en 2022</w:t>
      </w:r>
    </w:p>
    <w:p w14:paraId="553D53BE" w14:textId="77777777" w:rsidR="00C36261" w:rsidRPr="00B02626" w:rsidRDefault="00C36261" w:rsidP="00C36261">
      <w:pPr>
        <w:pStyle w:val="Sinespaciado"/>
        <w:jc w:val="center"/>
      </w:pPr>
      <w:r w:rsidRPr="00B02626">
        <w:t>Porcentajes</w:t>
      </w:r>
    </w:p>
    <w:p w14:paraId="2CC28B66" w14:textId="77777777" w:rsidR="00C36261" w:rsidRDefault="00C36261" w:rsidP="00C36261">
      <w:pPr>
        <w:jc w:val="both"/>
      </w:pPr>
      <w:r w:rsidRPr="00CF2B99">
        <w:rPr>
          <w:noProof/>
        </w:rPr>
        <w:drawing>
          <wp:inline distT="0" distB="0" distL="0" distR="0" wp14:anchorId="0C0EA338" wp14:editId="28985B42">
            <wp:extent cx="5612130" cy="2124075"/>
            <wp:effectExtent l="0" t="0" r="762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12130" cy="2124075"/>
                    </a:xfrm>
                    <a:prstGeom prst="rect">
                      <a:avLst/>
                    </a:prstGeom>
                    <a:noFill/>
                    <a:ln>
                      <a:noFill/>
                    </a:ln>
                  </pic:spPr>
                </pic:pic>
              </a:graphicData>
            </a:graphic>
          </wp:inline>
        </w:drawing>
      </w:r>
    </w:p>
    <w:p w14:paraId="3E6A86B2" w14:textId="77777777" w:rsidR="00C36261" w:rsidRPr="002D5363" w:rsidRDefault="00C36261" w:rsidP="00C36261">
      <w:pPr>
        <w:jc w:val="both"/>
        <w:rPr>
          <w:sz w:val="16"/>
          <w:szCs w:val="16"/>
        </w:rPr>
      </w:pPr>
      <w:r w:rsidRPr="002D5363">
        <w:rPr>
          <w:sz w:val="16"/>
          <w:szCs w:val="16"/>
        </w:rPr>
        <w:t>Fuente: Superintendencia de Bancos</w:t>
      </w:r>
    </w:p>
    <w:p w14:paraId="180D77DA" w14:textId="77777777" w:rsidR="00135E7F" w:rsidRDefault="00135E7F" w:rsidP="00C36261">
      <w:pPr>
        <w:jc w:val="both"/>
      </w:pPr>
    </w:p>
    <w:p w14:paraId="17BE2ED0" w14:textId="599A85D7" w:rsidR="00C36261" w:rsidRDefault="00C36261" w:rsidP="00C36261">
      <w:pPr>
        <w:jc w:val="both"/>
      </w:pPr>
      <w:r>
        <w:t>Lo anterior muestra que conforme a lo observado históricamente en el comportamiento de los principales indicadores financieros del Banco CHN y al compararlo en 2022 con el promedio de todo el sistema financiero, se puede concluir que el banco es líquido, solvente y rentable y que está en una continua mejora en la calidad de sus activos.</w:t>
      </w:r>
    </w:p>
    <w:p w14:paraId="17CE90F6" w14:textId="77777777" w:rsidR="00C36261" w:rsidRDefault="00C36261" w:rsidP="00C36261">
      <w:pPr>
        <w:jc w:val="both"/>
      </w:pPr>
    </w:p>
    <w:p w14:paraId="7616945C" w14:textId="6A9BE2CA" w:rsidR="00C36261" w:rsidRDefault="00C36261" w:rsidP="00C36261">
      <w:pPr>
        <w:jc w:val="both"/>
      </w:pPr>
      <w:r>
        <w:t xml:space="preserve">Situación que se confirma, con la evaluación de la calificadora Fitch Ratings al banco CHN, en donde destaca que esta institución mostró el mayor crecimiento porcentual en la cartera del sistema bancario en 2022, además es uno de los bancos más rentables de Guatemala, rentabilidad que se origina principalmente de las actividades de seguros y fianzas. Asimismo, </w:t>
      </w:r>
      <w:r>
        <w:lastRenderedPageBreak/>
        <w:t xml:space="preserve">que el capital de la institución se ha fortalecido de manera relevante en los últimos años debido a las aportaciones del gobierno y a la acumulación de la utilidad neta.  Por esas razones más el hecho de ser un banco que goza de garantía incondicional e ilimitada del Estado, la calificación de esta agencia para dicho banco en 2022 fue BB con perspectiva estable.  </w:t>
      </w:r>
    </w:p>
    <w:p w14:paraId="79584CC6" w14:textId="77777777" w:rsidR="00C36261" w:rsidRDefault="00C36261" w:rsidP="00C36261">
      <w:pPr>
        <w:jc w:val="both"/>
      </w:pPr>
    </w:p>
    <w:p w14:paraId="5B469378" w14:textId="77777777" w:rsidR="00C36261" w:rsidRDefault="00C36261" w:rsidP="00C36261">
      <w:pPr>
        <w:jc w:val="both"/>
      </w:pPr>
      <w:r>
        <w:t>En cuanto a las acciones del gobierno para apoyar el fortalecimiento del Banco CHN, se puede mencionar que se han realizado pequeñas transferencias para fortalecer la solidez patrimonial de la institución, mediante capitalizaciones y aportes para constitución de reservas a lo largo de los últimos 13 años, realizando para el efecto los siguientes aportes:</w:t>
      </w:r>
    </w:p>
    <w:p w14:paraId="55AF4E60" w14:textId="6ED7AE36" w:rsidR="00135E7F" w:rsidRDefault="00135E7F" w:rsidP="00C36261">
      <w:pPr>
        <w:jc w:val="both"/>
      </w:pPr>
    </w:p>
    <w:p w14:paraId="63434E6B" w14:textId="675B2645" w:rsidR="002D5363" w:rsidRPr="00781360" w:rsidRDefault="00781360" w:rsidP="00781360">
      <w:pPr>
        <w:pStyle w:val="Descripcin"/>
        <w:keepNext/>
        <w:rPr>
          <w:color w:val="auto"/>
        </w:rPr>
      </w:pPr>
      <w:bookmarkStart w:id="757" w:name="_Toc143593544"/>
      <w:r w:rsidRPr="00781360">
        <w:rPr>
          <w:color w:val="auto"/>
        </w:rPr>
        <w:t xml:space="preserve">Tabla </w:t>
      </w:r>
      <w:r w:rsidRPr="00781360">
        <w:rPr>
          <w:color w:val="auto"/>
        </w:rPr>
        <w:fldChar w:fldCharType="begin"/>
      </w:r>
      <w:r w:rsidRPr="00781360">
        <w:rPr>
          <w:color w:val="auto"/>
        </w:rPr>
        <w:instrText xml:space="preserve"> SEQ Tabla \* ARABIC </w:instrText>
      </w:r>
      <w:r w:rsidRPr="00781360">
        <w:rPr>
          <w:color w:val="auto"/>
        </w:rPr>
        <w:fldChar w:fldCharType="separate"/>
      </w:r>
      <w:r w:rsidR="00A62AFA">
        <w:rPr>
          <w:noProof/>
          <w:color w:val="auto"/>
        </w:rPr>
        <w:t>42</w:t>
      </w:r>
      <w:r w:rsidRPr="00781360">
        <w:rPr>
          <w:color w:val="auto"/>
        </w:rPr>
        <w:fldChar w:fldCharType="end"/>
      </w:r>
      <w:r w:rsidRPr="00781360">
        <w:rPr>
          <w:color w:val="auto"/>
        </w:rPr>
        <w:t xml:space="preserve">.  </w:t>
      </w:r>
      <w:r w:rsidR="002D5363" w:rsidRPr="00781360">
        <w:rPr>
          <w:color w:val="auto"/>
        </w:rPr>
        <w:t>Transferencias para fortalecer la solidez patrimonial</w:t>
      </w:r>
      <w:bookmarkEnd w:id="757"/>
    </w:p>
    <w:p w14:paraId="3D943AC9" w14:textId="77777777" w:rsidR="00C36261" w:rsidRPr="0028564D" w:rsidRDefault="00C36261" w:rsidP="00C36261">
      <w:pPr>
        <w:pStyle w:val="Sinespaciado"/>
        <w:jc w:val="center"/>
      </w:pPr>
      <w:r w:rsidRPr="0028564D">
        <w:t>Millones de quetzales</w:t>
      </w:r>
    </w:p>
    <w:tbl>
      <w:tblPr>
        <w:tblW w:w="7591" w:type="dxa"/>
        <w:jc w:val="center"/>
        <w:tblCellMar>
          <w:left w:w="70" w:type="dxa"/>
          <w:right w:w="70" w:type="dxa"/>
        </w:tblCellMar>
        <w:tblLook w:val="04A0" w:firstRow="1" w:lastRow="0" w:firstColumn="1" w:lastColumn="0" w:noHBand="0" w:noVBand="1"/>
      </w:tblPr>
      <w:tblGrid>
        <w:gridCol w:w="2788"/>
        <w:gridCol w:w="2040"/>
        <w:gridCol w:w="2763"/>
      </w:tblGrid>
      <w:tr w:rsidR="00C36261" w:rsidRPr="00567760" w14:paraId="263AAC13" w14:textId="77777777" w:rsidTr="006A7377">
        <w:trPr>
          <w:trHeight w:val="481"/>
          <w:jc w:val="center"/>
        </w:trPr>
        <w:tc>
          <w:tcPr>
            <w:tcW w:w="2788" w:type="dxa"/>
            <w:tcBorders>
              <w:top w:val="single" w:sz="8" w:space="0" w:color="auto"/>
              <w:left w:val="single" w:sz="8" w:space="0" w:color="auto"/>
              <w:bottom w:val="single" w:sz="8" w:space="0" w:color="auto"/>
              <w:right w:val="single" w:sz="4" w:space="0" w:color="auto"/>
            </w:tcBorders>
            <w:shd w:val="clear" w:color="000000" w:fill="8EA9DB"/>
            <w:noWrap/>
            <w:vAlign w:val="center"/>
            <w:hideMark/>
          </w:tcPr>
          <w:p w14:paraId="7AA002D7" w14:textId="77777777" w:rsidR="00C36261" w:rsidRPr="00567760" w:rsidRDefault="00C36261" w:rsidP="006A7377">
            <w:pPr>
              <w:jc w:val="center"/>
              <w:rPr>
                <w:rFonts w:ascii="Calibri" w:hAnsi="Calibri" w:cs="Calibri"/>
                <w:b/>
                <w:bCs/>
                <w:color w:val="000000"/>
                <w:sz w:val="20"/>
                <w:szCs w:val="20"/>
              </w:rPr>
            </w:pPr>
            <w:r w:rsidRPr="00567760">
              <w:rPr>
                <w:rFonts w:ascii="Calibri" w:hAnsi="Calibri" w:cs="Calibri"/>
                <w:b/>
                <w:bCs/>
                <w:color w:val="000000"/>
                <w:sz w:val="20"/>
                <w:szCs w:val="20"/>
              </w:rPr>
              <w:t>Año</w:t>
            </w:r>
          </w:p>
        </w:tc>
        <w:tc>
          <w:tcPr>
            <w:tcW w:w="2040" w:type="dxa"/>
            <w:tcBorders>
              <w:top w:val="single" w:sz="8" w:space="0" w:color="auto"/>
              <w:left w:val="nil"/>
              <w:bottom w:val="single" w:sz="8" w:space="0" w:color="auto"/>
              <w:right w:val="single" w:sz="4" w:space="0" w:color="auto"/>
            </w:tcBorders>
            <w:shd w:val="clear" w:color="000000" w:fill="8EA9DB"/>
            <w:vAlign w:val="center"/>
            <w:hideMark/>
          </w:tcPr>
          <w:p w14:paraId="6799D96E" w14:textId="77777777" w:rsidR="00C36261" w:rsidRPr="00567760" w:rsidRDefault="00C36261" w:rsidP="006A7377">
            <w:pPr>
              <w:jc w:val="center"/>
              <w:rPr>
                <w:rFonts w:ascii="Calibri" w:hAnsi="Calibri" w:cs="Calibri"/>
                <w:b/>
                <w:bCs/>
                <w:color w:val="000000"/>
                <w:sz w:val="20"/>
                <w:szCs w:val="20"/>
              </w:rPr>
            </w:pPr>
            <w:r w:rsidRPr="00567760">
              <w:rPr>
                <w:rFonts w:ascii="Calibri" w:hAnsi="Calibri" w:cs="Calibri"/>
                <w:b/>
                <w:bCs/>
                <w:color w:val="000000"/>
                <w:sz w:val="20"/>
                <w:szCs w:val="20"/>
              </w:rPr>
              <w:t>Aporte al CHN</w:t>
            </w:r>
          </w:p>
        </w:tc>
        <w:tc>
          <w:tcPr>
            <w:tcW w:w="2763" w:type="dxa"/>
            <w:tcBorders>
              <w:top w:val="single" w:sz="8" w:space="0" w:color="auto"/>
              <w:left w:val="nil"/>
              <w:bottom w:val="single" w:sz="8" w:space="0" w:color="auto"/>
              <w:right w:val="single" w:sz="8" w:space="0" w:color="auto"/>
            </w:tcBorders>
            <w:shd w:val="clear" w:color="000000" w:fill="8EA9DB"/>
            <w:vAlign w:val="center"/>
            <w:hideMark/>
          </w:tcPr>
          <w:p w14:paraId="14373D63" w14:textId="77777777" w:rsidR="00C36261" w:rsidRPr="00567760" w:rsidRDefault="00C36261" w:rsidP="006A7377">
            <w:pPr>
              <w:jc w:val="center"/>
              <w:rPr>
                <w:rFonts w:ascii="Calibri" w:hAnsi="Calibri" w:cs="Calibri"/>
                <w:b/>
                <w:bCs/>
                <w:color w:val="000000"/>
                <w:sz w:val="20"/>
                <w:szCs w:val="20"/>
              </w:rPr>
            </w:pPr>
            <w:r w:rsidRPr="00567760">
              <w:rPr>
                <w:rFonts w:ascii="Calibri" w:hAnsi="Calibri" w:cs="Calibri"/>
                <w:b/>
                <w:bCs/>
                <w:color w:val="000000"/>
                <w:sz w:val="20"/>
                <w:szCs w:val="20"/>
              </w:rPr>
              <w:t>Fondos de apoyo por Emergencia COVID-19</w:t>
            </w:r>
          </w:p>
        </w:tc>
      </w:tr>
      <w:tr w:rsidR="00C36261" w:rsidRPr="00567760" w14:paraId="5F43F196" w14:textId="77777777" w:rsidTr="006A7377">
        <w:trPr>
          <w:trHeight w:val="243"/>
          <w:jc w:val="center"/>
        </w:trPr>
        <w:tc>
          <w:tcPr>
            <w:tcW w:w="2788" w:type="dxa"/>
            <w:tcBorders>
              <w:top w:val="nil"/>
              <w:left w:val="single" w:sz="8" w:space="0" w:color="auto"/>
              <w:bottom w:val="nil"/>
              <w:right w:val="single" w:sz="4" w:space="0" w:color="auto"/>
            </w:tcBorders>
            <w:shd w:val="clear" w:color="000000" w:fill="FFFFFF"/>
            <w:noWrap/>
            <w:vAlign w:val="bottom"/>
            <w:hideMark/>
          </w:tcPr>
          <w:p w14:paraId="33E815B7"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2008</w:t>
            </w:r>
          </w:p>
        </w:tc>
        <w:tc>
          <w:tcPr>
            <w:tcW w:w="2040" w:type="dxa"/>
            <w:tcBorders>
              <w:top w:val="nil"/>
              <w:left w:val="nil"/>
              <w:bottom w:val="nil"/>
              <w:right w:val="single" w:sz="4" w:space="0" w:color="auto"/>
            </w:tcBorders>
            <w:shd w:val="clear" w:color="000000" w:fill="FFFFFF"/>
            <w:noWrap/>
            <w:vAlign w:val="bottom"/>
            <w:hideMark/>
          </w:tcPr>
          <w:p w14:paraId="6995EBE3"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200.0</w:t>
            </w:r>
          </w:p>
        </w:tc>
        <w:tc>
          <w:tcPr>
            <w:tcW w:w="2763" w:type="dxa"/>
            <w:tcBorders>
              <w:top w:val="nil"/>
              <w:left w:val="nil"/>
              <w:bottom w:val="nil"/>
              <w:right w:val="single" w:sz="8" w:space="0" w:color="auto"/>
            </w:tcBorders>
            <w:shd w:val="clear" w:color="000000" w:fill="FFFFFF"/>
            <w:noWrap/>
            <w:vAlign w:val="bottom"/>
            <w:hideMark/>
          </w:tcPr>
          <w:p w14:paraId="37875E93"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 </w:t>
            </w:r>
          </w:p>
        </w:tc>
      </w:tr>
      <w:tr w:rsidR="00C36261" w:rsidRPr="00567760" w14:paraId="20F508C1" w14:textId="77777777" w:rsidTr="006A7377">
        <w:trPr>
          <w:trHeight w:val="203"/>
          <w:jc w:val="center"/>
        </w:trPr>
        <w:tc>
          <w:tcPr>
            <w:tcW w:w="2788" w:type="dxa"/>
            <w:tcBorders>
              <w:top w:val="nil"/>
              <w:left w:val="single" w:sz="8" w:space="0" w:color="auto"/>
              <w:bottom w:val="nil"/>
              <w:right w:val="single" w:sz="4" w:space="0" w:color="auto"/>
            </w:tcBorders>
            <w:shd w:val="clear" w:color="000000" w:fill="FFFFFF"/>
            <w:noWrap/>
            <w:vAlign w:val="bottom"/>
            <w:hideMark/>
          </w:tcPr>
          <w:p w14:paraId="4C97EC92"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2012</w:t>
            </w:r>
          </w:p>
        </w:tc>
        <w:tc>
          <w:tcPr>
            <w:tcW w:w="2040" w:type="dxa"/>
            <w:tcBorders>
              <w:top w:val="nil"/>
              <w:left w:val="nil"/>
              <w:bottom w:val="nil"/>
              <w:right w:val="single" w:sz="4" w:space="0" w:color="auto"/>
            </w:tcBorders>
            <w:shd w:val="clear" w:color="000000" w:fill="FFFFFF"/>
            <w:noWrap/>
            <w:vAlign w:val="bottom"/>
            <w:hideMark/>
          </w:tcPr>
          <w:p w14:paraId="7B5B7826"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150.0</w:t>
            </w:r>
          </w:p>
        </w:tc>
        <w:tc>
          <w:tcPr>
            <w:tcW w:w="2763" w:type="dxa"/>
            <w:tcBorders>
              <w:top w:val="nil"/>
              <w:left w:val="nil"/>
              <w:bottom w:val="nil"/>
              <w:right w:val="single" w:sz="8" w:space="0" w:color="auto"/>
            </w:tcBorders>
            <w:shd w:val="clear" w:color="000000" w:fill="FFFFFF"/>
            <w:noWrap/>
            <w:vAlign w:val="bottom"/>
            <w:hideMark/>
          </w:tcPr>
          <w:p w14:paraId="7F1D4535"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 </w:t>
            </w:r>
          </w:p>
        </w:tc>
      </w:tr>
      <w:tr w:rsidR="00C36261" w:rsidRPr="00567760" w14:paraId="4D911E28" w14:textId="77777777" w:rsidTr="006A7377">
        <w:trPr>
          <w:trHeight w:val="203"/>
          <w:jc w:val="center"/>
        </w:trPr>
        <w:tc>
          <w:tcPr>
            <w:tcW w:w="2788" w:type="dxa"/>
            <w:tcBorders>
              <w:top w:val="nil"/>
              <w:left w:val="single" w:sz="8" w:space="0" w:color="auto"/>
              <w:bottom w:val="nil"/>
              <w:right w:val="single" w:sz="4" w:space="0" w:color="auto"/>
            </w:tcBorders>
            <w:shd w:val="clear" w:color="000000" w:fill="FFFFFF"/>
            <w:noWrap/>
            <w:vAlign w:val="bottom"/>
            <w:hideMark/>
          </w:tcPr>
          <w:p w14:paraId="735D8962"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2016</w:t>
            </w:r>
          </w:p>
        </w:tc>
        <w:tc>
          <w:tcPr>
            <w:tcW w:w="2040" w:type="dxa"/>
            <w:tcBorders>
              <w:top w:val="nil"/>
              <w:left w:val="nil"/>
              <w:bottom w:val="nil"/>
              <w:right w:val="single" w:sz="4" w:space="0" w:color="auto"/>
            </w:tcBorders>
            <w:shd w:val="clear" w:color="000000" w:fill="FFFFFF"/>
            <w:noWrap/>
            <w:vAlign w:val="bottom"/>
            <w:hideMark/>
          </w:tcPr>
          <w:p w14:paraId="666C7A6C"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179.4</w:t>
            </w:r>
          </w:p>
        </w:tc>
        <w:tc>
          <w:tcPr>
            <w:tcW w:w="2763" w:type="dxa"/>
            <w:tcBorders>
              <w:top w:val="nil"/>
              <w:left w:val="nil"/>
              <w:bottom w:val="nil"/>
              <w:right w:val="single" w:sz="8" w:space="0" w:color="auto"/>
            </w:tcBorders>
            <w:shd w:val="clear" w:color="000000" w:fill="FFFFFF"/>
            <w:noWrap/>
            <w:vAlign w:val="bottom"/>
            <w:hideMark/>
          </w:tcPr>
          <w:p w14:paraId="6AA16AF5"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 </w:t>
            </w:r>
          </w:p>
        </w:tc>
      </w:tr>
      <w:tr w:rsidR="00C36261" w:rsidRPr="00567760" w14:paraId="4238A1C3" w14:textId="77777777" w:rsidTr="006A7377">
        <w:trPr>
          <w:trHeight w:val="194"/>
          <w:jc w:val="center"/>
        </w:trPr>
        <w:tc>
          <w:tcPr>
            <w:tcW w:w="2788" w:type="dxa"/>
            <w:tcBorders>
              <w:top w:val="nil"/>
              <w:left w:val="single" w:sz="8" w:space="0" w:color="auto"/>
              <w:bottom w:val="nil"/>
              <w:right w:val="single" w:sz="4" w:space="0" w:color="auto"/>
            </w:tcBorders>
            <w:shd w:val="clear" w:color="000000" w:fill="FFFFFF"/>
            <w:noWrap/>
            <w:vAlign w:val="bottom"/>
            <w:hideMark/>
          </w:tcPr>
          <w:p w14:paraId="533EC69D"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2017</w:t>
            </w:r>
          </w:p>
        </w:tc>
        <w:tc>
          <w:tcPr>
            <w:tcW w:w="2040" w:type="dxa"/>
            <w:tcBorders>
              <w:top w:val="nil"/>
              <w:left w:val="nil"/>
              <w:bottom w:val="nil"/>
              <w:right w:val="single" w:sz="4" w:space="0" w:color="auto"/>
            </w:tcBorders>
            <w:shd w:val="clear" w:color="000000" w:fill="FFFFFF"/>
            <w:noWrap/>
            <w:vAlign w:val="bottom"/>
            <w:hideMark/>
          </w:tcPr>
          <w:p w14:paraId="2A5645F6"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74.2</w:t>
            </w:r>
          </w:p>
        </w:tc>
        <w:tc>
          <w:tcPr>
            <w:tcW w:w="2763" w:type="dxa"/>
            <w:tcBorders>
              <w:top w:val="nil"/>
              <w:left w:val="nil"/>
              <w:bottom w:val="nil"/>
              <w:right w:val="single" w:sz="8" w:space="0" w:color="auto"/>
            </w:tcBorders>
            <w:shd w:val="clear" w:color="000000" w:fill="FFFFFF"/>
            <w:noWrap/>
            <w:vAlign w:val="bottom"/>
            <w:hideMark/>
          </w:tcPr>
          <w:p w14:paraId="4AC6A870" w14:textId="77777777" w:rsidR="00C36261" w:rsidRPr="00567760" w:rsidRDefault="00C36261" w:rsidP="006A7377">
            <w:pPr>
              <w:jc w:val="center"/>
              <w:rPr>
                <w:rFonts w:ascii="Calibri" w:hAnsi="Calibri" w:cs="Calibri"/>
                <w:b/>
                <w:bCs/>
                <w:color w:val="000000"/>
                <w:sz w:val="20"/>
                <w:szCs w:val="20"/>
              </w:rPr>
            </w:pPr>
            <w:r w:rsidRPr="00567760">
              <w:rPr>
                <w:rFonts w:ascii="Calibri" w:hAnsi="Calibri" w:cs="Calibri"/>
                <w:b/>
                <w:bCs/>
                <w:color w:val="000000"/>
                <w:sz w:val="20"/>
                <w:szCs w:val="20"/>
              </w:rPr>
              <w:t> </w:t>
            </w:r>
          </w:p>
        </w:tc>
      </w:tr>
      <w:tr w:rsidR="00C36261" w:rsidRPr="00567760" w14:paraId="321169BE" w14:textId="77777777" w:rsidTr="006A7377">
        <w:trPr>
          <w:trHeight w:val="194"/>
          <w:jc w:val="center"/>
        </w:trPr>
        <w:tc>
          <w:tcPr>
            <w:tcW w:w="2788" w:type="dxa"/>
            <w:tcBorders>
              <w:top w:val="nil"/>
              <w:left w:val="single" w:sz="8" w:space="0" w:color="auto"/>
              <w:bottom w:val="nil"/>
              <w:right w:val="single" w:sz="4" w:space="0" w:color="auto"/>
            </w:tcBorders>
            <w:shd w:val="clear" w:color="000000" w:fill="FFFFFF"/>
            <w:noWrap/>
            <w:vAlign w:val="bottom"/>
            <w:hideMark/>
          </w:tcPr>
          <w:p w14:paraId="11A27DD9"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2019</w:t>
            </w:r>
          </w:p>
        </w:tc>
        <w:tc>
          <w:tcPr>
            <w:tcW w:w="2040" w:type="dxa"/>
            <w:tcBorders>
              <w:top w:val="nil"/>
              <w:left w:val="nil"/>
              <w:bottom w:val="nil"/>
              <w:right w:val="single" w:sz="4" w:space="0" w:color="auto"/>
            </w:tcBorders>
            <w:shd w:val="clear" w:color="000000" w:fill="FFFFFF"/>
            <w:noWrap/>
            <w:vAlign w:val="bottom"/>
            <w:hideMark/>
          </w:tcPr>
          <w:p w14:paraId="21C2B6AA"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1.0</w:t>
            </w:r>
          </w:p>
        </w:tc>
        <w:tc>
          <w:tcPr>
            <w:tcW w:w="2763" w:type="dxa"/>
            <w:tcBorders>
              <w:top w:val="nil"/>
              <w:left w:val="nil"/>
              <w:bottom w:val="nil"/>
              <w:right w:val="single" w:sz="8" w:space="0" w:color="auto"/>
            </w:tcBorders>
            <w:shd w:val="clear" w:color="000000" w:fill="FFFFFF"/>
            <w:noWrap/>
            <w:vAlign w:val="bottom"/>
            <w:hideMark/>
          </w:tcPr>
          <w:p w14:paraId="45E66083"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 </w:t>
            </w:r>
          </w:p>
        </w:tc>
      </w:tr>
      <w:tr w:rsidR="00C36261" w:rsidRPr="00567760" w14:paraId="6309E4FB" w14:textId="77777777" w:rsidTr="006A7377">
        <w:trPr>
          <w:trHeight w:val="194"/>
          <w:jc w:val="center"/>
        </w:trPr>
        <w:tc>
          <w:tcPr>
            <w:tcW w:w="2788" w:type="dxa"/>
            <w:tcBorders>
              <w:top w:val="nil"/>
              <w:left w:val="single" w:sz="8" w:space="0" w:color="auto"/>
              <w:bottom w:val="nil"/>
              <w:right w:val="single" w:sz="4" w:space="0" w:color="auto"/>
            </w:tcBorders>
            <w:shd w:val="clear" w:color="000000" w:fill="FFFFFF"/>
            <w:noWrap/>
            <w:vAlign w:val="bottom"/>
            <w:hideMark/>
          </w:tcPr>
          <w:p w14:paraId="611263EE"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2020</w:t>
            </w:r>
          </w:p>
        </w:tc>
        <w:tc>
          <w:tcPr>
            <w:tcW w:w="2040" w:type="dxa"/>
            <w:tcBorders>
              <w:top w:val="nil"/>
              <w:left w:val="nil"/>
              <w:bottom w:val="nil"/>
              <w:right w:val="single" w:sz="4" w:space="0" w:color="auto"/>
            </w:tcBorders>
            <w:shd w:val="clear" w:color="000000" w:fill="FFFFFF"/>
            <w:noWrap/>
            <w:vAlign w:val="bottom"/>
            <w:hideMark/>
          </w:tcPr>
          <w:p w14:paraId="19908D5C"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0.9</w:t>
            </w:r>
          </w:p>
        </w:tc>
        <w:tc>
          <w:tcPr>
            <w:tcW w:w="2763" w:type="dxa"/>
            <w:tcBorders>
              <w:top w:val="nil"/>
              <w:left w:val="nil"/>
              <w:bottom w:val="nil"/>
              <w:right w:val="single" w:sz="8" w:space="0" w:color="auto"/>
            </w:tcBorders>
            <w:shd w:val="clear" w:color="000000" w:fill="FFFFFF"/>
            <w:noWrap/>
            <w:vAlign w:val="bottom"/>
            <w:hideMark/>
          </w:tcPr>
          <w:p w14:paraId="598BCB7A"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2,950.0</w:t>
            </w:r>
          </w:p>
        </w:tc>
      </w:tr>
      <w:tr w:rsidR="00C36261" w:rsidRPr="00567760" w14:paraId="58A787FD" w14:textId="77777777" w:rsidTr="006A7377">
        <w:trPr>
          <w:trHeight w:val="194"/>
          <w:jc w:val="center"/>
        </w:trPr>
        <w:tc>
          <w:tcPr>
            <w:tcW w:w="2788" w:type="dxa"/>
            <w:tcBorders>
              <w:top w:val="nil"/>
              <w:left w:val="single" w:sz="8" w:space="0" w:color="auto"/>
              <w:bottom w:val="nil"/>
              <w:right w:val="single" w:sz="4" w:space="0" w:color="auto"/>
            </w:tcBorders>
            <w:shd w:val="clear" w:color="000000" w:fill="FFFFFF"/>
            <w:noWrap/>
            <w:vAlign w:val="bottom"/>
            <w:hideMark/>
          </w:tcPr>
          <w:p w14:paraId="0DA24CF9"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2021</w:t>
            </w:r>
          </w:p>
        </w:tc>
        <w:tc>
          <w:tcPr>
            <w:tcW w:w="2040" w:type="dxa"/>
            <w:tcBorders>
              <w:top w:val="nil"/>
              <w:left w:val="nil"/>
              <w:bottom w:val="nil"/>
              <w:right w:val="single" w:sz="4" w:space="0" w:color="auto"/>
            </w:tcBorders>
            <w:shd w:val="clear" w:color="000000" w:fill="FFFFFF"/>
            <w:noWrap/>
            <w:vAlign w:val="bottom"/>
            <w:hideMark/>
          </w:tcPr>
          <w:p w14:paraId="266FB37E"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51.0</w:t>
            </w:r>
          </w:p>
        </w:tc>
        <w:tc>
          <w:tcPr>
            <w:tcW w:w="2763" w:type="dxa"/>
            <w:tcBorders>
              <w:top w:val="nil"/>
              <w:left w:val="nil"/>
              <w:bottom w:val="nil"/>
              <w:right w:val="single" w:sz="8" w:space="0" w:color="auto"/>
            </w:tcBorders>
            <w:shd w:val="clear" w:color="000000" w:fill="FFFFFF"/>
            <w:noWrap/>
            <w:vAlign w:val="bottom"/>
            <w:hideMark/>
          </w:tcPr>
          <w:p w14:paraId="2645A3BE"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 </w:t>
            </w:r>
          </w:p>
        </w:tc>
      </w:tr>
      <w:tr w:rsidR="00C36261" w:rsidRPr="00567760" w14:paraId="25FEBEE7" w14:textId="77777777" w:rsidTr="006A7377">
        <w:trPr>
          <w:trHeight w:val="146"/>
          <w:jc w:val="center"/>
        </w:trPr>
        <w:tc>
          <w:tcPr>
            <w:tcW w:w="2788" w:type="dxa"/>
            <w:tcBorders>
              <w:top w:val="nil"/>
              <w:left w:val="single" w:sz="8" w:space="0" w:color="auto"/>
              <w:bottom w:val="single" w:sz="8" w:space="0" w:color="auto"/>
              <w:right w:val="single" w:sz="4" w:space="0" w:color="auto"/>
            </w:tcBorders>
            <w:shd w:val="clear" w:color="000000" w:fill="FFFFFF"/>
            <w:noWrap/>
            <w:vAlign w:val="bottom"/>
            <w:hideMark/>
          </w:tcPr>
          <w:p w14:paraId="2E18D831"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2022</w:t>
            </w:r>
          </w:p>
        </w:tc>
        <w:tc>
          <w:tcPr>
            <w:tcW w:w="2040" w:type="dxa"/>
            <w:tcBorders>
              <w:top w:val="nil"/>
              <w:left w:val="nil"/>
              <w:bottom w:val="single" w:sz="8" w:space="0" w:color="auto"/>
              <w:right w:val="single" w:sz="4" w:space="0" w:color="auto"/>
            </w:tcBorders>
            <w:shd w:val="clear" w:color="000000" w:fill="FFFFFF"/>
            <w:noWrap/>
            <w:vAlign w:val="bottom"/>
            <w:hideMark/>
          </w:tcPr>
          <w:p w14:paraId="0A2A9D21"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50.0</w:t>
            </w:r>
          </w:p>
        </w:tc>
        <w:tc>
          <w:tcPr>
            <w:tcW w:w="2763" w:type="dxa"/>
            <w:tcBorders>
              <w:top w:val="nil"/>
              <w:left w:val="nil"/>
              <w:bottom w:val="single" w:sz="8" w:space="0" w:color="auto"/>
              <w:right w:val="single" w:sz="8" w:space="0" w:color="auto"/>
            </w:tcBorders>
            <w:shd w:val="clear" w:color="000000" w:fill="FFFFFF"/>
            <w:noWrap/>
            <w:vAlign w:val="bottom"/>
            <w:hideMark/>
          </w:tcPr>
          <w:p w14:paraId="1FDABFDA" w14:textId="77777777" w:rsidR="00C36261" w:rsidRPr="00567760" w:rsidRDefault="00C36261" w:rsidP="006A7377">
            <w:pPr>
              <w:jc w:val="center"/>
              <w:rPr>
                <w:rFonts w:ascii="Calibri" w:hAnsi="Calibri" w:cs="Calibri"/>
                <w:color w:val="000000"/>
                <w:sz w:val="20"/>
                <w:szCs w:val="20"/>
              </w:rPr>
            </w:pPr>
            <w:r w:rsidRPr="00567760">
              <w:rPr>
                <w:rFonts w:ascii="Calibri" w:hAnsi="Calibri" w:cs="Calibri"/>
                <w:color w:val="000000"/>
                <w:sz w:val="20"/>
                <w:szCs w:val="20"/>
              </w:rPr>
              <w:t> </w:t>
            </w:r>
          </w:p>
        </w:tc>
      </w:tr>
      <w:tr w:rsidR="00C36261" w:rsidRPr="00567760" w14:paraId="5B7D7F77" w14:textId="77777777" w:rsidTr="006A7377">
        <w:trPr>
          <w:trHeight w:val="194"/>
          <w:jc w:val="center"/>
        </w:trPr>
        <w:tc>
          <w:tcPr>
            <w:tcW w:w="2788" w:type="dxa"/>
            <w:tcBorders>
              <w:top w:val="nil"/>
              <w:left w:val="nil"/>
              <w:bottom w:val="nil"/>
              <w:right w:val="nil"/>
            </w:tcBorders>
            <w:shd w:val="clear" w:color="000000" w:fill="FFFFFF"/>
            <w:noWrap/>
            <w:vAlign w:val="bottom"/>
            <w:hideMark/>
          </w:tcPr>
          <w:p w14:paraId="38EE59F1" w14:textId="77777777" w:rsidR="00C36261" w:rsidRPr="00567760" w:rsidRDefault="00C36261" w:rsidP="006A7377">
            <w:pPr>
              <w:jc w:val="center"/>
              <w:rPr>
                <w:rFonts w:ascii="Calibri" w:hAnsi="Calibri" w:cs="Calibri"/>
                <w:b/>
                <w:bCs/>
                <w:color w:val="000000"/>
                <w:sz w:val="18"/>
                <w:szCs w:val="18"/>
              </w:rPr>
            </w:pPr>
            <w:r w:rsidRPr="00567760">
              <w:rPr>
                <w:rFonts w:ascii="Calibri" w:hAnsi="Calibri" w:cs="Calibri"/>
                <w:b/>
                <w:bCs/>
                <w:color w:val="000000"/>
                <w:sz w:val="18"/>
                <w:szCs w:val="18"/>
              </w:rPr>
              <w:t>Total</w:t>
            </w:r>
          </w:p>
        </w:tc>
        <w:tc>
          <w:tcPr>
            <w:tcW w:w="2040" w:type="dxa"/>
            <w:tcBorders>
              <w:top w:val="nil"/>
              <w:left w:val="nil"/>
              <w:bottom w:val="nil"/>
              <w:right w:val="nil"/>
            </w:tcBorders>
            <w:shd w:val="clear" w:color="000000" w:fill="FFFFFF"/>
            <w:noWrap/>
            <w:vAlign w:val="bottom"/>
            <w:hideMark/>
          </w:tcPr>
          <w:p w14:paraId="2AFD4AF8" w14:textId="77777777" w:rsidR="00C36261" w:rsidRPr="00567760" w:rsidRDefault="00C36261" w:rsidP="006A7377">
            <w:pPr>
              <w:jc w:val="center"/>
              <w:rPr>
                <w:rFonts w:ascii="Calibri" w:hAnsi="Calibri" w:cs="Calibri"/>
                <w:b/>
                <w:bCs/>
                <w:color w:val="000000"/>
                <w:sz w:val="18"/>
                <w:szCs w:val="18"/>
              </w:rPr>
            </w:pPr>
            <w:r w:rsidRPr="00567760">
              <w:rPr>
                <w:rFonts w:ascii="Calibri" w:hAnsi="Calibri" w:cs="Calibri"/>
                <w:b/>
                <w:bCs/>
                <w:color w:val="000000"/>
                <w:sz w:val="18"/>
                <w:szCs w:val="18"/>
              </w:rPr>
              <w:t>706.5</w:t>
            </w:r>
            <w:r>
              <w:rPr>
                <w:rFonts w:ascii="Calibri" w:hAnsi="Calibri" w:cs="Calibri"/>
                <w:b/>
                <w:bCs/>
                <w:color w:val="000000"/>
                <w:sz w:val="18"/>
                <w:szCs w:val="18"/>
              </w:rPr>
              <w:t xml:space="preserve"> </w:t>
            </w:r>
          </w:p>
        </w:tc>
        <w:tc>
          <w:tcPr>
            <w:tcW w:w="2763" w:type="dxa"/>
            <w:tcBorders>
              <w:top w:val="nil"/>
              <w:left w:val="nil"/>
              <w:bottom w:val="nil"/>
              <w:right w:val="nil"/>
            </w:tcBorders>
            <w:shd w:val="clear" w:color="000000" w:fill="FFFFFF"/>
            <w:noWrap/>
            <w:vAlign w:val="bottom"/>
            <w:hideMark/>
          </w:tcPr>
          <w:p w14:paraId="5231CC75" w14:textId="77777777" w:rsidR="00C36261" w:rsidRPr="00567760" w:rsidRDefault="00C36261" w:rsidP="006A7377">
            <w:pPr>
              <w:rPr>
                <w:rFonts w:ascii="Calibri" w:hAnsi="Calibri" w:cs="Calibri"/>
                <w:color w:val="000000"/>
              </w:rPr>
            </w:pPr>
            <w:r w:rsidRPr="00567760">
              <w:rPr>
                <w:rFonts w:ascii="Calibri" w:hAnsi="Calibri" w:cs="Calibri"/>
                <w:color w:val="000000"/>
              </w:rPr>
              <w:t> </w:t>
            </w:r>
          </w:p>
        </w:tc>
      </w:tr>
      <w:tr w:rsidR="00C36261" w:rsidRPr="00567760" w14:paraId="6A0A7B13" w14:textId="77777777" w:rsidTr="006A7377">
        <w:trPr>
          <w:trHeight w:val="194"/>
          <w:jc w:val="center"/>
        </w:trPr>
        <w:tc>
          <w:tcPr>
            <w:tcW w:w="2788" w:type="dxa"/>
            <w:tcBorders>
              <w:top w:val="nil"/>
              <w:left w:val="nil"/>
              <w:bottom w:val="nil"/>
              <w:right w:val="nil"/>
            </w:tcBorders>
            <w:shd w:val="clear" w:color="000000" w:fill="FFFFFF"/>
            <w:noWrap/>
            <w:vAlign w:val="bottom"/>
            <w:hideMark/>
          </w:tcPr>
          <w:p w14:paraId="788FE5B3" w14:textId="77777777" w:rsidR="00C36261" w:rsidRPr="00567760" w:rsidRDefault="00C36261" w:rsidP="006A7377">
            <w:pPr>
              <w:rPr>
                <w:rFonts w:ascii="Calibri" w:hAnsi="Calibri" w:cs="Calibri"/>
                <w:b/>
                <w:bCs/>
                <w:color w:val="000000"/>
                <w:sz w:val="18"/>
                <w:szCs w:val="18"/>
              </w:rPr>
            </w:pPr>
            <w:r w:rsidRPr="00567760">
              <w:rPr>
                <w:rFonts w:ascii="Calibri" w:hAnsi="Calibri" w:cs="Calibri"/>
                <w:b/>
                <w:bCs/>
                <w:color w:val="000000"/>
                <w:sz w:val="18"/>
                <w:szCs w:val="18"/>
              </w:rPr>
              <w:t>Promedio anual (13 años)</w:t>
            </w:r>
          </w:p>
        </w:tc>
        <w:tc>
          <w:tcPr>
            <w:tcW w:w="2040" w:type="dxa"/>
            <w:tcBorders>
              <w:top w:val="nil"/>
              <w:left w:val="nil"/>
              <w:bottom w:val="nil"/>
              <w:right w:val="nil"/>
            </w:tcBorders>
            <w:shd w:val="clear" w:color="000000" w:fill="FFFFFF"/>
            <w:noWrap/>
            <w:vAlign w:val="bottom"/>
            <w:hideMark/>
          </w:tcPr>
          <w:p w14:paraId="436BEC54" w14:textId="77777777" w:rsidR="00C36261" w:rsidRPr="00567760" w:rsidRDefault="00C36261" w:rsidP="006A7377">
            <w:pPr>
              <w:jc w:val="center"/>
              <w:rPr>
                <w:rFonts w:ascii="Calibri" w:hAnsi="Calibri" w:cs="Calibri"/>
                <w:b/>
                <w:bCs/>
                <w:color w:val="000000"/>
                <w:sz w:val="18"/>
                <w:szCs w:val="18"/>
              </w:rPr>
            </w:pPr>
            <w:r w:rsidRPr="00567760">
              <w:rPr>
                <w:rFonts w:ascii="Calibri" w:hAnsi="Calibri" w:cs="Calibri"/>
                <w:b/>
                <w:bCs/>
                <w:color w:val="000000"/>
                <w:sz w:val="18"/>
                <w:szCs w:val="18"/>
              </w:rPr>
              <w:t>54.3</w:t>
            </w:r>
          </w:p>
        </w:tc>
        <w:tc>
          <w:tcPr>
            <w:tcW w:w="2763" w:type="dxa"/>
            <w:tcBorders>
              <w:top w:val="nil"/>
              <w:left w:val="nil"/>
              <w:bottom w:val="nil"/>
              <w:right w:val="nil"/>
            </w:tcBorders>
            <w:shd w:val="clear" w:color="000000" w:fill="FFFFFF"/>
            <w:noWrap/>
            <w:vAlign w:val="bottom"/>
            <w:hideMark/>
          </w:tcPr>
          <w:p w14:paraId="1E56265D" w14:textId="77777777" w:rsidR="00C36261" w:rsidRPr="00567760" w:rsidRDefault="00C36261" w:rsidP="006A7377">
            <w:pPr>
              <w:rPr>
                <w:rFonts w:ascii="Calibri" w:hAnsi="Calibri" w:cs="Calibri"/>
                <w:color w:val="000000"/>
              </w:rPr>
            </w:pPr>
            <w:r w:rsidRPr="00567760">
              <w:rPr>
                <w:rFonts w:ascii="Calibri" w:hAnsi="Calibri" w:cs="Calibri"/>
                <w:color w:val="000000"/>
              </w:rPr>
              <w:t> </w:t>
            </w:r>
          </w:p>
        </w:tc>
      </w:tr>
    </w:tbl>
    <w:p w14:paraId="2F207812" w14:textId="77777777" w:rsidR="00C36261" w:rsidRPr="00781360" w:rsidRDefault="00C36261" w:rsidP="00C36261">
      <w:pPr>
        <w:ind w:firstLine="708"/>
        <w:jc w:val="both"/>
        <w:rPr>
          <w:sz w:val="16"/>
          <w:szCs w:val="16"/>
        </w:rPr>
      </w:pPr>
      <w:r w:rsidRPr="00781360">
        <w:rPr>
          <w:sz w:val="22"/>
          <w:szCs w:val="22"/>
        </w:rPr>
        <w:t xml:space="preserve">    </w:t>
      </w:r>
      <w:r w:rsidRPr="00781360">
        <w:rPr>
          <w:sz w:val="16"/>
          <w:szCs w:val="16"/>
        </w:rPr>
        <w:t>Fuente: Ministerio de Finanzas Públicas</w:t>
      </w:r>
    </w:p>
    <w:p w14:paraId="3DE8F108" w14:textId="77777777" w:rsidR="00D54F96" w:rsidRDefault="00D54F96" w:rsidP="00C36261">
      <w:pPr>
        <w:jc w:val="both"/>
      </w:pPr>
    </w:p>
    <w:p w14:paraId="0BAB2129" w14:textId="2074DA57" w:rsidR="00C36261" w:rsidRPr="000647B7" w:rsidRDefault="00C36261" w:rsidP="00C36261">
      <w:pPr>
        <w:jc w:val="both"/>
      </w:pPr>
      <w:r>
        <w:t>Es importante indicar que, en 2020 el Ministerio de Finanzas Públicas, conforme lo establecido en las diferentes ampliaciones presupuestarias realizadas por el Congreso de la República para atender el programa de emergencia derivado de la Pandemia del COVID-19, realizó traslados al CHN para que administrara los diferentes fondos creados para el efecto, tales como:  F</w:t>
      </w:r>
      <w:r w:rsidRPr="001620DC">
        <w:t xml:space="preserve">ondo para la </w:t>
      </w:r>
      <w:r>
        <w:t>M</w:t>
      </w:r>
      <w:r w:rsidRPr="001620DC">
        <w:t xml:space="preserve">icro, </w:t>
      </w:r>
      <w:r>
        <w:t>P</w:t>
      </w:r>
      <w:r w:rsidRPr="001620DC">
        <w:t xml:space="preserve">equeña y </w:t>
      </w:r>
      <w:r>
        <w:t>M</w:t>
      </w:r>
      <w:r w:rsidRPr="001620DC">
        <w:t xml:space="preserve">ediana </w:t>
      </w:r>
      <w:r>
        <w:t>E</w:t>
      </w:r>
      <w:r w:rsidRPr="001620DC">
        <w:t>mpresa</w:t>
      </w:r>
      <w:r>
        <w:t xml:space="preserve"> (Q400 millones), F</w:t>
      </w:r>
      <w:r w:rsidRPr="001620DC">
        <w:t xml:space="preserve">ondo de </w:t>
      </w:r>
      <w:r>
        <w:t>P</w:t>
      </w:r>
      <w:r w:rsidRPr="001620DC">
        <w:t xml:space="preserve">rotección de </w:t>
      </w:r>
      <w:r>
        <w:t>C</w:t>
      </w:r>
      <w:r w:rsidRPr="001620DC">
        <w:t>apitales</w:t>
      </w:r>
      <w:r>
        <w:t xml:space="preserve"> (Q250 millones), y </w:t>
      </w:r>
      <w:r w:rsidRPr="00BA1063">
        <w:t xml:space="preserve">el </w:t>
      </w:r>
      <w:r>
        <w:t>F</w:t>
      </w:r>
      <w:r w:rsidRPr="00BA1063">
        <w:t xml:space="preserve">ondo de </w:t>
      </w:r>
      <w:r>
        <w:t>C</w:t>
      </w:r>
      <w:r w:rsidRPr="00BA1063">
        <w:t xml:space="preserve">rédito para </w:t>
      </w:r>
      <w:r>
        <w:t>C</w:t>
      </w:r>
      <w:r w:rsidRPr="00BA1063">
        <w:t xml:space="preserve">apital de </w:t>
      </w:r>
      <w:r>
        <w:t>T</w:t>
      </w:r>
      <w:r w:rsidRPr="00BA1063">
        <w:t>rabajo</w:t>
      </w:r>
      <w:r>
        <w:t xml:space="preserve"> (Q2,300 millones).   Los cuales, en su momento, no tenían como destino el fortalecimiento patrimonial del Banco, sino más bien atender las necesidades de emergencia por el COVID-19, según lo estableció la Ley. </w:t>
      </w:r>
    </w:p>
    <w:p w14:paraId="56756040" w14:textId="604AFFA0" w:rsidR="005F38A6" w:rsidRPr="00A77EE7" w:rsidRDefault="005F38A6" w:rsidP="005F38A6">
      <w:pPr>
        <w:jc w:val="both"/>
        <w:rPr>
          <w:bCs/>
          <w:color w:val="000000" w:themeColor="text1"/>
          <w:lang w:val="es-MX"/>
        </w:rPr>
        <w:sectPr w:rsidR="005F38A6" w:rsidRPr="00A77EE7" w:rsidSect="00A62AFA">
          <w:type w:val="continuous"/>
          <w:pgSz w:w="12240" w:h="15840" w:code="1"/>
          <w:pgMar w:top="1418" w:right="1701" w:bottom="1418" w:left="1701" w:header="397" w:footer="590" w:gutter="0"/>
          <w:pgNumType w:start="1"/>
          <w:cols w:space="720"/>
          <w:docGrid w:linePitch="326"/>
        </w:sectPr>
      </w:pPr>
    </w:p>
    <w:p w14:paraId="53C1DB8B" w14:textId="77777777" w:rsidR="003170B7" w:rsidRPr="003170B7" w:rsidRDefault="003170B7" w:rsidP="00F75946">
      <w:pPr>
        <w:rPr>
          <w:lang w:val="es-ES" w:eastAsia="en-US"/>
        </w:rPr>
      </w:pPr>
    </w:p>
    <w:p w14:paraId="444E3624" w14:textId="77777777" w:rsidR="00C36261" w:rsidRPr="00C36261" w:rsidRDefault="00C36261" w:rsidP="007F19DF">
      <w:pPr>
        <w:pStyle w:val="Prrafodelista"/>
        <w:numPr>
          <w:ilvl w:val="0"/>
          <w:numId w:val="44"/>
        </w:numPr>
        <w:tabs>
          <w:tab w:val="left" w:pos="426"/>
        </w:tabs>
        <w:spacing w:line="259" w:lineRule="auto"/>
        <w:ind w:left="284" w:hanging="284"/>
        <w:jc w:val="both"/>
        <w:outlineLvl w:val="0"/>
        <w:rPr>
          <w:b/>
          <w:bCs/>
        </w:rPr>
      </w:pPr>
      <w:bookmarkStart w:id="758" w:name="_Toc144114449"/>
      <w:r w:rsidRPr="00C36261">
        <w:rPr>
          <w:b/>
          <w:bCs/>
        </w:rPr>
        <w:t>Riesgo Fiscales por Garantías</w:t>
      </w:r>
      <w:bookmarkEnd w:id="758"/>
    </w:p>
    <w:p w14:paraId="26744E86" w14:textId="77777777" w:rsidR="00C36261" w:rsidRDefault="00C36261" w:rsidP="00C36261">
      <w:pPr>
        <w:rPr>
          <w:b/>
          <w:bCs/>
          <w:lang w:val="es-ES"/>
        </w:rPr>
      </w:pPr>
    </w:p>
    <w:p w14:paraId="1DE34CF2" w14:textId="77777777" w:rsidR="005C69D1" w:rsidRPr="005C69D1" w:rsidRDefault="005C69D1" w:rsidP="005C69D1">
      <w:pPr>
        <w:pStyle w:val="Prrafodelista"/>
        <w:keepNext/>
        <w:widowControl w:val="0"/>
        <w:numPr>
          <w:ilvl w:val="0"/>
          <w:numId w:val="35"/>
        </w:numPr>
        <w:contextualSpacing w:val="0"/>
        <w:outlineLvl w:val="1"/>
        <w:rPr>
          <w:rFonts w:eastAsiaTheme="minorHAnsi"/>
          <w:b/>
          <w:bCs/>
          <w:vanish/>
          <w:color w:val="000000"/>
          <w:lang w:eastAsia="en-US"/>
        </w:rPr>
      </w:pPr>
      <w:bookmarkStart w:id="759" w:name="_Toc143252275"/>
      <w:bookmarkStart w:id="760" w:name="_Toc143252419"/>
      <w:bookmarkStart w:id="761" w:name="_Toc143252561"/>
      <w:bookmarkStart w:id="762" w:name="_Toc143874091"/>
      <w:bookmarkStart w:id="763" w:name="_Toc143874236"/>
      <w:bookmarkStart w:id="764" w:name="_Toc144114002"/>
      <w:bookmarkStart w:id="765" w:name="_Toc144114160"/>
      <w:bookmarkStart w:id="766" w:name="_Toc144114306"/>
      <w:bookmarkStart w:id="767" w:name="_Toc144114450"/>
      <w:bookmarkEnd w:id="759"/>
      <w:bookmarkEnd w:id="760"/>
      <w:bookmarkEnd w:id="761"/>
      <w:bookmarkEnd w:id="762"/>
      <w:bookmarkEnd w:id="763"/>
      <w:bookmarkEnd w:id="764"/>
      <w:bookmarkEnd w:id="765"/>
      <w:bookmarkEnd w:id="766"/>
      <w:bookmarkEnd w:id="767"/>
    </w:p>
    <w:p w14:paraId="077FCD90" w14:textId="41B6D3AC" w:rsidR="00C36261" w:rsidRPr="00623943" w:rsidRDefault="00C36261" w:rsidP="007F19DF">
      <w:pPr>
        <w:pStyle w:val="Ttulo2"/>
        <w:numPr>
          <w:ilvl w:val="1"/>
          <w:numId w:val="35"/>
        </w:numPr>
        <w:ind w:left="426" w:hanging="284"/>
        <w:rPr>
          <w:bCs/>
        </w:rPr>
      </w:pPr>
      <w:bookmarkStart w:id="768" w:name="_Toc144114451"/>
      <w:r w:rsidRPr="00623943">
        <w:rPr>
          <w:bCs/>
        </w:rPr>
        <w:t>Marco legal relacionado con la concesión de garantías</w:t>
      </w:r>
      <w:bookmarkEnd w:id="768"/>
    </w:p>
    <w:p w14:paraId="7AA9852A" w14:textId="77777777" w:rsidR="00C36261" w:rsidRPr="00F741ED" w:rsidRDefault="00C36261" w:rsidP="00C36261">
      <w:pPr>
        <w:rPr>
          <w:lang w:val="es-MX"/>
        </w:rPr>
      </w:pPr>
    </w:p>
    <w:p w14:paraId="4CFDAF8E" w14:textId="54668681" w:rsidR="00C36261" w:rsidRDefault="00C36261" w:rsidP="00C36261">
      <w:pPr>
        <w:jc w:val="both"/>
        <w:rPr>
          <w:lang w:val="es-MX"/>
        </w:rPr>
      </w:pPr>
      <w:r w:rsidRPr="00F741ED">
        <w:rPr>
          <w:lang w:val="es-MX"/>
        </w:rPr>
        <w:t xml:space="preserve">El artículo 171 literal i) de la Constitución Política de la República de Guatemala, establece que es función del Congreso de la República, el contraer, convertir, consolidar o efectuar otras operaciones relativas a la deuda pública interna o externa, debiendo en todos los casos escuchar las opiniones del Ejecutivo y de la Junta Monetaria; asimismo para que el Ejecutivo, la Banca Central o cualquier otra entidad estatal pueda concluir negociaciones de empréstitos u otras formas de deudas, en el interior o en el exterior, es necesaria la aprobación previa del Congreso de la República, por lo que en ese sentido cabe mencionar que por regla general </w:t>
      </w:r>
      <w:r w:rsidRPr="00F741ED">
        <w:rPr>
          <w:lang w:val="es-MX"/>
        </w:rPr>
        <w:lastRenderedPageBreak/>
        <w:t xml:space="preserve">cualquier tipo de deuda que contraiga el Estado como ente soberano debe ser aprobada por el Congreso de la República. </w:t>
      </w:r>
    </w:p>
    <w:p w14:paraId="7C42F294" w14:textId="77777777" w:rsidR="00C36261" w:rsidRPr="00F741ED" w:rsidRDefault="00C36261" w:rsidP="00C36261">
      <w:pPr>
        <w:jc w:val="both"/>
        <w:rPr>
          <w:lang w:val="es-MX"/>
        </w:rPr>
      </w:pPr>
    </w:p>
    <w:p w14:paraId="3B44B4CD" w14:textId="2F61114D" w:rsidR="00C36261" w:rsidRDefault="00C36261" w:rsidP="00C36261">
      <w:pPr>
        <w:jc w:val="both"/>
        <w:rPr>
          <w:lang w:val="es-MX"/>
        </w:rPr>
      </w:pPr>
      <w:r w:rsidRPr="00F741ED">
        <w:rPr>
          <w:lang w:val="es-MX"/>
        </w:rPr>
        <w:t xml:space="preserve">La Ley Orgánica del Presupuesto -LOP- en su artículo 66 literal d) establece la posibilidad de que el Gobierno Central efectué pagos por compromisos de deuda pública a cuenta de entidades descentralizadas o autónomas que hayan sido adquiridos al amparo del artículo 171 literal i) de la Constitución Política de la República de Guatemala y demás leyes aplicables, aunado a lo anterior el órgano rector del sistema de crédito público deberá de realizar los trámites para que la entidad deudora suscriba un reconocimiento de deuda en el cual se comprometa a reintegrar lo pagado por su cuenta al Estado. </w:t>
      </w:r>
    </w:p>
    <w:p w14:paraId="39E1826D" w14:textId="77777777" w:rsidR="00C36261" w:rsidRPr="00F741ED" w:rsidRDefault="00C36261" w:rsidP="00C36261">
      <w:pPr>
        <w:jc w:val="both"/>
        <w:rPr>
          <w:lang w:val="es-MX"/>
        </w:rPr>
      </w:pPr>
    </w:p>
    <w:p w14:paraId="55D8EA9F" w14:textId="1B556611" w:rsidR="00C36261" w:rsidRDefault="00C36261" w:rsidP="00C36261">
      <w:pPr>
        <w:jc w:val="both"/>
        <w:rPr>
          <w:lang w:val="es-MX"/>
        </w:rPr>
      </w:pPr>
      <w:r w:rsidRPr="00F741ED">
        <w:rPr>
          <w:lang w:val="es-MX"/>
        </w:rPr>
        <w:t>El artículo 66 en la literal e), de la Ley antes referida, establece que el Ministerio de Finanzas Públicas queda autorizado para, en caso de efectuarse pagos por cuenta de las municipalidades del país, por incumplimiento de pagos de deuda pública contraída con aval o garantía del Estado, o mediante convenios específicos, descuente los montos correspondientes de los recursos que les corresponde percibir provenientes del Impuesto al Valor Agregado y de otras leyes ordinarias.</w:t>
      </w:r>
    </w:p>
    <w:p w14:paraId="3639652E" w14:textId="77777777" w:rsidR="00C36261" w:rsidRPr="00781360" w:rsidRDefault="00C36261" w:rsidP="00781360">
      <w:pPr>
        <w:jc w:val="both"/>
        <w:rPr>
          <w:sz w:val="28"/>
          <w:szCs w:val="28"/>
          <w:lang w:val="es-MX"/>
        </w:rPr>
      </w:pPr>
    </w:p>
    <w:p w14:paraId="7DADC0E8" w14:textId="77777777" w:rsidR="00C36261" w:rsidRPr="00781360" w:rsidRDefault="00C36261" w:rsidP="00781360">
      <w:pPr>
        <w:pStyle w:val="Prrafodelista"/>
        <w:numPr>
          <w:ilvl w:val="0"/>
          <w:numId w:val="22"/>
        </w:numPr>
        <w:jc w:val="both"/>
        <w:rPr>
          <w:b/>
          <w:bCs/>
          <w:lang w:val="es-MX"/>
        </w:rPr>
      </w:pPr>
      <w:r w:rsidRPr="00781360">
        <w:rPr>
          <w:b/>
          <w:bCs/>
          <w:lang w:val="es-MX"/>
        </w:rPr>
        <w:t>Municipalidades</w:t>
      </w:r>
    </w:p>
    <w:p w14:paraId="4547AB9B" w14:textId="5655C9A1" w:rsidR="00C36261" w:rsidRPr="00781360" w:rsidRDefault="00C36261" w:rsidP="00781360">
      <w:pPr>
        <w:pStyle w:val="Prrafodelista"/>
        <w:ind w:left="360"/>
        <w:jc w:val="both"/>
        <w:rPr>
          <w:lang w:val="es-MX"/>
        </w:rPr>
      </w:pPr>
      <w:r w:rsidRPr="00781360">
        <w:rPr>
          <w:lang w:val="es-MX"/>
        </w:rPr>
        <w:t>El artículo 110 del Decreto 12-2002 del Congreso de la República, Código Municipal establece que las municipalidades para el logro de sus fines podrán contratar prestamos con los requisitos legales establecidos para el efecto, debiendo observar cuidadosamente el principio de capacidad de pago para no afectar las finanzas municipales y asegurar que el endeudamiento en que incurren no afecte ni comprometa las finanzas públicas nacionales. En realidad, de manera expresa, el Código Municipal no trata el tema de garantías, pero en los casos de incumplimiento, bajo determinadas circunstancias, podría aplicar lo que estable el artículo 66, literal e) de la LOP.</w:t>
      </w:r>
    </w:p>
    <w:p w14:paraId="3F91C0F2" w14:textId="77777777" w:rsidR="003170B7" w:rsidRDefault="003170B7" w:rsidP="003170B7">
      <w:pPr>
        <w:pStyle w:val="Prrafodelista"/>
        <w:ind w:left="360"/>
        <w:jc w:val="both"/>
        <w:rPr>
          <w:b/>
          <w:bCs/>
          <w:lang w:val="es-MX"/>
        </w:rPr>
      </w:pPr>
    </w:p>
    <w:p w14:paraId="698F3851" w14:textId="4F104E1E" w:rsidR="00C36261" w:rsidRPr="00781360" w:rsidRDefault="00C36261" w:rsidP="00781360">
      <w:pPr>
        <w:pStyle w:val="Prrafodelista"/>
        <w:numPr>
          <w:ilvl w:val="0"/>
          <w:numId w:val="22"/>
        </w:numPr>
        <w:jc w:val="both"/>
        <w:rPr>
          <w:b/>
          <w:bCs/>
          <w:lang w:val="es-MX"/>
        </w:rPr>
      </w:pPr>
      <w:r w:rsidRPr="00781360">
        <w:rPr>
          <w:b/>
          <w:bCs/>
          <w:lang w:val="es-MX"/>
        </w:rPr>
        <w:t xml:space="preserve">Crédito Hipotecario Nacional </w:t>
      </w:r>
    </w:p>
    <w:p w14:paraId="105B4E2B" w14:textId="45AE7C69" w:rsidR="00C36261" w:rsidRPr="00781360" w:rsidRDefault="00C36261" w:rsidP="00781360">
      <w:pPr>
        <w:pStyle w:val="Prrafodelista"/>
        <w:ind w:left="360"/>
        <w:jc w:val="both"/>
        <w:rPr>
          <w:lang w:val="es-MX"/>
        </w:rPr>
      </w:pPr>
      <w:r w:rsidRPr="00781360">
        <w:rPr>
          <w:lang w:val="es-MX"/>
        </w:rPr>
        <w:t xml:space="preserve">De conformidad con el artículo 49 del Decreto 25-79 del Congreso de la República, Ley Orgánica del Crédito Hipotecario Nacional de Guatemala, las obligaciones que contraiga El Crédito Hipotecario Nacional de Guatemala, provenientes de la aceptación de depósitos y de la emisión de sus propios bonos, letras, notas, certificados fiduciarios, cédulas hipotecarias, y otros títulos y documentos de crédito, gozan de la incondicional e ilimitada garantía del Estado por el solo hecho de su emisión. </w:t>
      </w:r>
    </w:p>
    <w:p w14:paraId="0A11CBB4" w14:textId="77777777" w:rsidR="003170B7" w:rsidRDefault="003170B7" w:rsidP="003170B7">
      <w:pPr>
        <w:pStyle w:val="Prrafodelista"/>
        <w:ind w:left="360"/>
        <w:jc w:val="both"/>
        <w:rPr>
          <w:b/>
          <w:bCs/>
          <w:lang w:val="es-MX"/>
        </w:rPr>
      </w:pPr>
    </w:p>
    <w:p w14:paraId="19D28956" w14:textId="55A3DAE8" w:rsidR="00C36261" w:rsidRPr="00781360" w:rsidRDefault="00C36261" w:rsidP="00781360">
      <w:pPr>
        <w:pStyle w:val="Prrafodelista"/>
        <w:numPr>
          <w:ilvl w:val="0"/>
          <w:numId w:val="22"/>
        </w:numPr>
        <w:jc w:val="both"/>
        <w:rPr>
          <w:b/>
          <w:bCs/>
          <w:lang w:val="es-MX"/>
        </w:rPr>
      </w:pPr>
      <w:r w:rsidRPr="00781360">
        <w:rPr>
          <w:b/>
          <w:bCs/>
          <w:lang w:val="es-MX"/>
        </w:rPr>
        <w:t>Instituto Nacional de Electrificación</w:t>
      </w:r>
    </w:p>
    <w:p w14:paraId="2DE23FBB" w14:textId="2B146152" w:rsidR="00C36261" w:rsidRPr="00781360" w:rsidRDefault="00C36261" w:rsidP="00781360">
      <w:pPr>
        <w:pStyle w:val="Prrafodelista"/>
        <w:ind w:left="360"/>
        <w:jc w:val="both"/>
        <w:rPr>
          <w:lang w:val="es-MX"/>
        </w:rPr>
      </w:pPr>
      <w:r w:rsidRPr="00781360">
        <w:rPr>
          <w:lang w:val="es-MX"/>
        </w:rPr>
        <w:t xml:space="preserve">Para el caso del Instituto Nacional de Electrificación, en lo que respecta a la obtención de empréstitos, emisión de obligaciones y otras formas de deudas internas y/o externas que le sean necesarias al INDE, el Estado podrá otorgar su garantía si lo considera conveniente a través del Congreso de la República, esto de conformidad con el artículo 44 del Decreto 64-94 del Congreso de la República de Guatemala, Ley Orgánica del Instituto Nacional de Electrificación. </w:t>
      </w:r>
    </w:p>
    <w:p w14:paraId="5C5E70AA" w14:textId="70F4055A" w:rsidR="003170B7" w:rsidRDefault="003170B7" w:rsidP="003170B7">
      <w:pPr>
        <w:pStyle w:val="Prrafodelista"/>
        <w:ind w:left="360"/>
        <w:jc w:val="both"/>
        <w:rPr>
          <w:b/>
          <w:bCs/>
          <w:lang w:val="es-MX"/>
        </w:rPr>
      </w:pPr>
    </w:p>
    <w:p w14:paraId="5C7E455B" w14:textId="7337910B" w:rsidR="00F75946" w:rsidRDefault="00F75946" w:rsidP="003170B7">
      <w:pPr>
        <w:pStyle w:val="Prrafodelista"/>
        <w:ind w:left="360"/>
        <w:jc w:val="both"/>
        <w:rPr>
          <w:b/>
          <w:bCs/>
          <w:lang w:val="es-MX"/>
        </w:rPr>
      </w:pPr>
    </w:p>
    <w:p w14:paraId="35C43CCC" w14:textId="77777777" w:rsidR="00F75946" w:rsidRDefault="00F75946" w:rsidP="003170B7">
      <w:pPr>
        <w:pStyle w:val="Prrafodelista"/>
        <w:ind w:left="360"/>
        <w:jc w:val="both"/>
        <w:rPr>
          <w:b/>
          <w:bCs/>
          <w:lang w:val="es-MX"/>
        </w:rPr>
      </w:pPr>
    </w:p>
    <w:p w14:paraId="5BB3B19D" w14:textId="67C06E90" w:rsidR="00C36261" w:rsidRPr="00781360" w:rsidRDefault="00C36261" w:rsidP="00781360">
      <w:pPr>
        <w:pStyle w:val="Prrafodelista"/>
        <w:numPr>
          <w:ilvl w:val="0"/>
          <w:numId w:val="22"/>
        </w:numPr>
        <w:jc w:val="both"/>
        <w:rPr>
          <w:b/>
          <w:bCs/>
          <w:lang w:val="es-MX"/>
        </w:rPr>
      </w:pPr>
      <w:r w:rsidRPr="00781360">
        <w:rPr>
          <w:b/>
          <w:bCs/>
          <w:lang w:val="es-MX"/>
        </w:rPr>
        <w:lastRenderedPageBreak/>
        <w:t>Alianzas Público Privadas</w:t>
      </w:r>
    </w:p>
    <w:p w14:paraId="17B1B538" w14:textId="77777777" w:rsidR="00C36261" w:rsidRPr="00781360" w:rsidRDefault="00C36261" w:rsidP="00781360">
      <w:pPr>
        <w:pStyle w:val="Prrafodelista"/>
        <w:ind w:left="360"/>
        <w:jc w:val="both"/>
        <w:rPr>
          <w:lang w:val="es-MX"/>
        </w:rPr>
      </w:pPr>
      <w:r w:rsidRPr="00781360">
        <w:rPr>
          <w:lang w:val="es-MX"/>
        </w:rPr>
        <w:t>En lo que respecta a los contratos de Alianzas Público Privadas, no existe dentro de su Ley vigente, algún tipo de garantía que el Estado preste como tal ante el incumplimiento de un contrato, cabe mencionar que para esta modalidad de contrataciones rige lo estipulado en el contrato.</w:t>
      </w:r>
    </w:p>
    <w:p w14:paraId="1781EF60" w14:textId="77777777" w:rsidR="00C36261" w:rsidRPr="00781360" w:rsidRDefault="00C36261" w:rsidP="00781360">
      <w:pPr>
        <w:pStyle w:val="Prrafodelista"/>
        <w:ind w:left="360"/>
        <w:jc w:val="both"/>
        <w:rPr>
          <w:lang w:val="es-MX"/>
        </w:rPr>
      </w:pPr>
    </w:p>
    <w:p w14:paraId="6EC8FB08" w14:textId="77777777" w:rsidR="00C36261" w:rsidRPr="00781360" w:rsidRDefault="00C36261" w:rsidP="00781360">
      <w:pPr>
        <w:pStyle w:val="Prrafodelista"/>
        <w:ind w:left="360"/>
        <w:jc w:val="both"/>
        <w:rPr>
          <w:lang w:val="es-MX"/>
        </w:rPr>
      </w:pPr>
      <w:r w:rsidRPr="00781360">
        <w:rPr>
          <w:lang w:val="es-MX"/>
        </w:rPr>
        <w:t xml:space="preserve">La Ley mandata en el artículo 31 del Decreto 16-2010 del Congreso de la República, Ley de Alianzas para el Desarrollo de Infraestructura Económica, que en el caso que el contrato estipule pagos al participante privado que excedan más de un ejercicio fiscal, cada institución contratante del Estado deberá de incluir dentro de su presupuesto de inversión para cada ejercicio fiscal y durante la vigencia del contrato, la asignación equivalente al pago estipulado. Asimismo, en lo que concierne a los compromisos presupuestarios de años futuros derivados de las obligaciones de pagos futuros de los proyectos de alianzas para el desarrollo de infraestructura económica, deberán enmarcarse y quedar plenamente identificados dentro de la autorización de endeudamiento público que se establezca en el presupuesto de ingresos y egresos del Estado para el ejercicio fiscal de cada año. </w:t>
      </w:r>
    </w:p>
    <w:p w14:paraId="2F5354D9" w14:textId="77777777" w:rsidR="00C36261" w:rsidRPr="00781360" w:rsidRDefault="00C36261" w:rsidP="00781360">
      <w:pPr>
        <w:pStyle w:val="Prrafodelista"/>
        <w:ind w:left="360"/>
        <w:jc w:val="both"/>
        <w:rPr>
          <w:lang w:val="es-MX"/>
        </w:rPr>
      </w:pPr>
    </w:p>
    <w:p w14:paraId="2AEAD4E3" w14:textId="77777777" w:rsidR="00C36261" w:rsidRPr="00781360" w:rsidRDefault="00C36261" w:rsidP="00781360">
      <w:pPr>
        <w:pStyle w:val="Prrafodelista"/>
        <w:ind w:left="360"/>
        <w:jc w:val="both"/>
        <w:rPr>
          <w:lang w:val="es-MX"/>
        </w:rPr>
      </w:pPr>
      <w:r w:rsidRPr="00781360">
        <w:rPr>
          <w:lang w:val="es-MX"/>
        </w:rPr>
        <w:t xml:space="preserve">Derivado de lo anterior, se puede colegir que el hecho de que el Congreso de la República apruebe el endeudamiento público para el pago del proyecto, la obligación de pago la adquiere el Estado como tal por medio de su Entidad Contratante, por lo que en ese sentido al momento que una Entidad Contratante del Estado incumpla con el pago para el privado, es el Estado de Guatemala el que debe responder sobre dicha deuda de forma directa, de forma voluntaria o bien seria sujeto de una demanda por incumplimiento de pago por la vía del arbitraje. </w:t>
      </w:r>
    </w:p>
    <w:p w14:paraId="0DF5C9F5" w14:textId="77777777" w:rsidR="00C36261" w:rsidRPr="00781360" w:rsidRDefault="00C36261" w:rsidP="00781360">
      <w:pPr>
        <w:pStyle w:val="Prrafodelista"/>
        <w:ind w:left="360"/>
        <w:jc w:val="both"/>
        <w:rPr>
          <w:lang w:val="es-MX"/>
        </w:rPr>
      </w:pPr>
    </w:p>
    <w:p w14:paraId="2951660A" w14:textId="52EB68BB" w:rsidR="00C36261" w:rsidRPr="00781360" w:rsidRDefault="00C36261" w:rsidP="00781360">
      <w:pPr>
        <w:pStyle w:val="Prrafodelista"/>
        <w:ind w:left="360"/>
        <w:jc w:val="both"/>
        <w:rPr>
          <w:lang w:val="es-MX"/>
        </w:rPr>
      </w:pPr>
      <w:r w:rsidRPr="00781360">
        <w:rPr>
          <w:lang w:val="es-MX"/>
        </w:rPr>
        <w:t xml:space="preserve">Asimismo, cabe mencionar que, de conformidad con el artículo 65 de la Ley de Alianzas para el Desarrollo de Infraestructura Económica para garantizar los contratos celebrados, pueden pactar su sujeción a la normativa de seguros de organismos multilaterales e instituciones que ofrecen garantías de inversiones reconocidas. </w:t>
      </w:r>
    </w:p>
    <w:p w14:paraId="2C1DB1AA" w14:textId="0A359789" w:rsidR="00C36261" w:rsidRPr="00781360" w:rsidRDefault="00C36261" w:rsidP="00781360">
      <w:pPr>
        <w:pStyle w:val="Prrafodelista"/>
        <w:ind w:left="360"/>
        <w:jc w:val="both"/>
        <w:rPr>
          <w:lang w:val="es-MX"/>
        </w:rPr>
      </w:pPr>
    </w:p>
    <w:p w14:paraId="32C463A7" w14:textId="7F9E3CD6" w:rsidR="00C36261" w:rsidRDefault="007537E3" w:rsidP="007F19DF">
      <w:pPr>
        <w:pStyle w:val="Ttulo2"/>
        <w:numPr>
          <w:ilvl w:val="1"/>
          <w:numId w:val="35"/>
        </w:numPr>
        <w:ind w:left="426" w:hanging="284"/>
        <w:rPr>
          <w:bCs/>
        </w:rPr>
      </w:pPr>
      <w:bookmarkStart w:id="769" w:name="_Toc144114452"/>
      <w:r w:rsidRPr="005C69D1">
        <w:rPr>
          <w:bCs/>
        </w:rPr>
        <w:t>I</w:t>
      </w:r>
      <w:r w:rsidR="00C36261" w:rsidRPr="005C69D1">
        <w:rPr>
          <w:bCs/>
        </w:rPr>
        <w:t>nformación relativa a los pasivos contingentes por garantías</w:t>
      </w:r>
      <w:bookmarkEnd w:id="769"/>
    </w:p>
    <w:p w14:paraId="7490E057" w14:textId="77777777" w:rsidR="005C69D1" w:rsidRPr="005C69D1" w:rsidRDefault="005C69D1" w:rsidP="005C69D1">
      <w:pPr>
        <w:rPr>
          <w:lang w:eastAsia="en-US"/>
        </w:rPr>
      </w:pPr>
    </w:p>
    <w:p w14:paraId="332FC53A" w14:textId="77777777" w:rsidR="00C36261" w:rsidRPr="005C69D1" w:rsidRDefault="00C36261" w:rsidP="007F19DF">
      <w:pPr>
        <w:pStyle w:val="Ttulo2"/>
        <w:numPr>
          <w:ilvl w:val="2"/>
          <w:numId w:val="35"/>
        </w:numPr>
        <w:tabs>
          <w:tab w:val="left" w:pos="993"/>
        </w:tabs>
        <w:ind w:left="567" w:hanging="283"/>
        <w:rPr>
          <w:bCs/>
        </w:rPr>
      </w:pPr>
      <w:bookmarkStart w:id="770" w:name="_Toc144114453"/>
      <w:r w:rsidRPr="005C69D1">
        <w:rPr>
          <w:bCs/>
        </w:rPr>
        <w:t>Saldos de los préstamos garantizados por el Estado</w:t>
      </w:r>
      <w:bookmarkEnd w:id="770"/>
    </w:p>
    <w:p w14:paraId="4AAE0774" w14:textId="0A52F402" w:rsidR="00C36261" w:rsidRDefault="00C36261" w:rsidP="00C36261">
      <w:pPr>
        <w:spacing w:before="240" w:after="240"/>
        <w:jc w:val="both"/>
      </w:pPr>
      <w:r w:rsidRPr="00F741ED">
        <w:t>Como establece la Ley, las entidades descentralizadas y autónomas, incluyendo las Municipalidades, puede</w:t>
      </w:r>
      <w:r>
        <w:t>n</w:t>
      </w:r>
      <w:r w:rsidRPr="00F741ED">
        <w:t xml:space="preserve"> contraer préstamos con garantía del Estado, estos casos son especiales y usualmente se da con organismos financieros internacionales, en donde el organismo solicita a estas entidades el aval del Estado, para lo cual debe ser necesario la aprobación por parte del Congreso de la República. A lo largo de los últimos 1</w:t>
      </w:r>
      <w:r>
        <w:t>9</w:t>
      </w:r>
      <w:r w:rsidRPr="00F741ED">
        <w:t xml:space="preserve"> años, son pocas las operaciones de préstamos externos que cuentan con la garantía del Estado y han disminuido tanto en </w:t>
      </w:r>
      <w:r w:rsidR="00534CF1" w:rsidRPr="00F741ED">
        <w:t>número</w:t>
      </w:r>
      <w:r w:rsidRPr="00F741ED">
        <w:t xml:space="preserve"> de operaciones, así como </w:t>
      </w:r>
      <w:r>
        <w:t>su</w:t>
      </w:r>
      <w:r w:rsidRPr="00F741ED">
        <w:t xml:space="preserve"> saldo</w:t>
      </w:r>
      <w:r>
        <w:t>.</w:t>
      </w:r>
    </w:p>
    <w:p w14:paraId="2B215CBF" w14:textId="47E64E45" w:rsidR="00534CF1" w:rsidRPr="00781360" w:rsidRDefault="00C36261" w:rsidP="00781360">
      <w:pPr>
        <w:spacing w:before="240" w:after="240"/>
        <w:jc w:val="both"/>
      </w:pPr>
      <w:r>
        <w:t xml:space="preserve">En efecto, en el año 2005, 4 empresas públicas (incluyendo una financiera, CORFINA) tenían préstamos con organismos financieros internacionales, en donde el gobierno actuaba como el garante de dicha deuda, en ese año el saldo de estas operaciones ascendía a US$ 84.4 millones, equivalente a 0.3% del PIB, la empresa que mayor deuda tenía era la Empresa </w:t>
      </w:r>
      <w:r>
        <w:lastRenderedPageBreak/>
        <w:t>Municipal de Agua de la Ciudad de Guatemala -EMPAGUA- con un saldo de US$46.1 millones, seguido de la empresa denominada Instituto Nacional de Electrificación -INDE- con un saldo de US$35.6 millones.  En los siguientes años la deuda disminuyó hasta 2008, en donde aumenta el saldo nuevamente y muestra un repunte en el año 2009, en alcanza su nivel más alto en el período indicado, situándose en US$137.8 millones, equivalente a 0.4% del PIB, la empresa que mayor endeudamiento generó en dicho año fue el INDE, alcanzando un saldo de US$96.2 millones.  Posteriormente, la deuda de todas las empresas disminuyó gradualmente, al punto que, al 30 de junio de 2023, únicamente el INDE muestra un saldo deudor de US$19.1 millones, equivalente a 0.02% del PIB.</w:t>
      </w:r>
    </w:p>
    <w:p w14:paraId="49E38FAA" w14:textId="7122DD82" w:rsidR="00C36261" w:rsidRPr="00781360" w:rsidRDefault="00781360" w:rsidP="00781360">
      <w:pPr>
        <w:pStyle w:val="Descripcin"/>
        <w:keepNext/>
        <w:rPr>
          <w:color w:val="auto"/>
        </w:rPr>
      </w:pPr>
      <w:bookmarkStart w:id="771" w:name="_Toc143593545"/>
      <w:r w:rsidRPr="00781360">
        <w:rPr>
          <w:color w:val="auto"/>
        </w:rPr>
        <w:t xml:space="preserve">Tabla </w:t>
      </w:r>
      <w:r w:rsidRPr="00781360">
        <w:rPr>
          <w:color w:val="auto"/>
        </w:rPr>
        <w:fldChar w:fldCharType="begin"/>
      </w:r>
      <w:r w:rsidRPr="00781360">
        <w:rPr>
          <w:color w:val="auto"/>
        </w:rPr>
        <w:instrText xml:space="preserve"> SEQ Tabla \* ARABIC </w:instrText>
      </w:r>
      <w:r w:rsidRPr="00781360">
        <w:rPr>
          <w:color w:val="auto"/>
        </w:rPr>
        <w:fldChar w:fldCharType="separate"/>
      </w:r>
      <w:r w:rsidR="00A62AFA">
        <w:rPr>
          <w:noProof/>
          <w:color w:val="auto"/>
        </w:rPr>
        <w:t>43</w:t>
      </w:r>
      <w:r w:rsidRPr="00781360">
        <w:rPr>
          <w:color w:val="auto"/>
        </w:rPr>
        <w:fldChar w:fldCharType="end"/>
      </w:r>
      <w:r w:rsidRPr="00781360">
        <w:rPr>
          <w:color w:val="auto"/>
        </w:rPr>
        <w:t xml:space="preserve">.  </w:t>
      </w:r>
      <w:r w:rsidR="00C36261" w:rsidRPr="00781360">
        <w:rPr>
          <w:bCs/>
          <w:color w:val="auto"/>
        </w:rPr>
        <w:t>Saldo de Préstamos Externos Garantizados por el Gobierno a Empresas Públicas</w:t>
      </w:r>
      <w:bookmarkEnd w:id="771"/>
    </w:p>
    <w:p w14:paraId="3A0B47CC" w14:textId="77777777" w:rsidR="00C36261" w:rsidRPr="00DC3A59" w:rsidRDefault="00C36261" w:rsidP="00C36261">
      <w:pPr>
        <w:pStyle w:val="Sinespaciado"/>
        <w:jc w:val="center"/>
        <w:rPr>
          <w:b/>
          <w:bCs/>
        </w:rPr>
      </w:pPr>
      <w:r w:rsidRPr="00DC3A59">
        <w:rPr>
          <w:b/>
          <w:bCs/>
        </w:rPr>
        <w:t>2005 – 2023*</w:t>
      </w:r>
    </w:p>
    <w:p w14:paraId="5DCE2B2F" w14:textId="77777777" w:rsidR="00C36261" w:rsidRPr="00DC3A59" w:rsidRDefault="00C36261" w:rsidP="00C36261">
      <w:pPr>
        <w:pStyle w:val="Sinespaciado"/>
        <w:jc w:val="center"/>
      </w:pPr>
      <w:r w:rsidRPr="00B352C8">
        <w:rPr>
          <w:noProof/>
        </w:rPr>
        <w:drawing>
          <wp:anchor distT="0" distB="0" distL="114300" distR="114300" simplePos="0" relativeHeight="251665408" behindDoc="1" locked="0" layoutInCell="1" allowOverlap="1" wp14:anchorId="2960A55D" wp14:editId="7BB4AF62">
            <wp:simplePos x="0" y="0"/>
            <wp:positionH relativeFrom="margin">
              <wp:align>right</wp:align>
            </wp:positionH>
            <wp:positionV relativeFrom="paragraph">
              <wp:posOffset>236220</wp:posOffset>
            </wp:positionV>
            <wp:extent cx="5612130" cy="2266950"/>
            <wp:effectExtent l="0" t="0" r="7620" b="0"/>
            <wp:wrapTight wrapText="bothSides">
              <wp:wrapPolygon edited="0">
                <wp:start x="0" y="0"/>
                <wp:lineTo x="0" y="21418"/>
                <wp:lineTo x="21556" y="21418"/>
                <wp:lineTo x="21556" y="0"/>
                <wp:lineTo x="0" y="0"/>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1213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A59">
        <w:t>Millones de US dólares</w:t>
      </w:r>
    </w:p>
    <w:p w14:paraId="495B8E41" w14:textId="4854E838" w:rsidR="00C36261" w:rsidRDefault="00C36261" w:rsidP="00C36261">
      <w:pPr>
        <w:pStyle w:val="Sinespaciado"/>
        <w:rPr>
          <w:sz w:val="16"/>
          <w:szCs w:val="16"/>
        </w:rPr>
      </w:pPr>
      <w:r w:rsidRPr="00781360">
        <w:rPr>
          <w:sz w:val="16"/>
          <w:szCs w:val="16"/>
        </w:rPr>
        <w:t>Fuente: Ministerio de Finanzas Públicas</w:t>
      </w:r>
    </w:p>
    <w:p w14:paraId="7C5D8235" w14:textId="77777777" w:rsidR="00781360" w:rsidRPr="00781360" w:rsidRDefault="00781360" w:rsidP="00C36261">
      <w:pPr>
        <w:pStyle w:val="Sinespaciado"/>
      </w:pPr>
    </w:p>
    <w:p w14:paraId="586D27D5" w14:textId="3F8C5C14" w:rsidR="00C36261" w:rsidRPr="005C69D1" w:rsidRDefault="00C36261" w:rsidP="007F19DF">
      <w:pPr>
        <w:pStyle w:val="Ttulo2"/>
        <w:numPr>
          <w:ilvl w:val="2"/>
          <w:numId w:val="35"/>
        </w:numPr>
        <w:tabs>
          <w:tab w:val="left" w:pos="1134"/>
        </w:tabs>
        <w:ind w:left="567" w:hanging="283"/>
        <w:rPr>
          <w:bCs/>
        </w:rPr>
      </w:pPr>
      <w:bookmarkStart w:id="772" w:name="_Toc144114454"/>
      <w:r w:rsidRPr="005C69D1">
        <w:rPr>
          <w:bCs/>
        </w:rPr>
        <w:t>Garantías relacionadas con A</w:t>
      </w:r>
      <w:r w:rsidR="003170B7">
        <w:rPr>
          <w:bCs/>
        </w:rPr>
        <w:t xml:space="preserve">lianzas </w:t>
      </w:r>
      <w:r w:rsidRPr="005C69D1">
        <w:rPr>
          <w:bCs/>
        </w:rPr>
        <w:t>P</w:t>
      </w:r>
      <w:r w:rsidR="003170B7">
        <w:rPr>
          <w:bCs/>
        </w:rPr>
        <w:t xml:space="preserve">úblico </w:t>
      </w:r>
      <w:r w:rsidRPr="005C69D1">
        <w:rPr>
          <w:bCs/>
        </w:rPr>
        <w:t>P</w:t>
      </w:r>
      <w:r w:rsidR="003170B7">
        <w:rPr>
          <w:bCs/>
        </w:rPr>
        <w:t>rivadas (APP)</w:t>
      </w:r>
      <w:r w:rsidRPr="005C69D1">
        <w:rPr>
          <w:bCs/>
        </w:rPr>
        <w:t xml:space="preserve"> y gobiernos subnacionales</w:t>
      </w:r>
      <w:bookmarkEnd w:id="772"/>
    </w:p>
    <w:p w14:paraId="6E9DF682" w14:textId="77777777" w:rsidR="00C36261" w:rsidRDefault="00C36261" w:rsidP="00C36261">
      <w:pPr>
        <w:pStyle w:val="Prrafodelista"/>
        <w:rPr>
          <w:sz w:val="22"/>
          <w:szCs w:val="22"/>
        </w:rPr>
      </w:pPr>
    </w:p>
    <w:p w14:paraId="3D06DB27" w14:textId="77777777" w:rsidR="00C36261" w:rsidRPr="00781360" w:rsidRDefault="00C36261" w:rsidP="00C36261">
      <w:pPr>
        <w:pStyle w:val="Prrafodelista"/>
        <w:ind w:left="0"/>
        <w:jc w:val="both"/>
      </w:pPr>
      <w:r w:rsidRPr="00781360">
        <w:t>En el país únicamente hay una APP aprobada por el Congreso de la República, pero aún está pendiente que inicie el proyecto en su fase construcción, según el contrato no se establece alguna garantía para el participante privado ante alguna eventualidad que el Estado deba cubrir.</w:t>
      </w:r>
    </w:p>
    <w:p w14:paraId="4B123FCF" w14:textId="77777777" w:rsidR="00C36261" w:rsidRPr="00781360" w:rsidRDefault="00C36261" w:rsidP="00C36261">
      <w:pPr>
        <w:pStyle w:val="Prrafodelista"/>
        <w:ind w:left="0"/>
        <w:jc w:val="both"/>
      </w:pPr>
    </w:p>
    <w:p w14:paraId="1626BD78" w14:textId="77777777" w:rsidR="00C36261" w:rsidRPr="00781360" w:rsidRDefault="00C36261" w:rsidP="00C36261">
      <w:pPr>
        <w:pStyle w:val="Prrafodelista"/>
        <w:ind w:left="0"/>
        <w:jc w:val="both"/>
      </w:pPr>
      <w:r w:rsidRPr="00781360">
        <w:t>El nombre del único proyecto de APP se denomina “Rehabilitación, Administración, Operación, Mantenimiento y Obras Complementarias de la Autopista Escuintla Puerto Quetzal Con Cobro de Peaje”.  En este caso, el Estado no aportará recursos, es el privado quien debe pagar y realizar toda la infraestructura, ya que mediante el cobro de peaje se financiará el proyecto.  La institución pública contratante es el Ministerio de Comunicaciones, Infraestructura y Vivienda.   El costo estimado del proyecto, según información de la Alianza Nacional para el Desarrollo de la Infraestructura Económica -ANADIE- es de US$125.0 millones y la vigencia del proyecto es por 25 años.</w:t>
      </w:r>
    </w:p>
    <w:p w14:paraId="673F7331" w14:textId="77777777" w:rsidR="00C36261" w:rsidRPr="00781360" w:rsidRDefault="00C36261" w:rsidP="00C36261">
      <w:pPr>
        <w:pStyle w:val="Prrafodelista"/>
        <w:ind w:left="0"/>
        <w:jc w:val="both"/>
      </w:pPr>
    </w:p>
    <w:p w14:paraId="08330D66" w14:textId="1E059768" w:rsidR="00C36261" w:rsidRPr="00781360" w:rsidRDefault="00C36261" w:rsidP="00C36261">
      <w:pPr>
        <w:pStyle w:val="Prrafodelista"/>
        <w:ind w:left="0"/>
        <w:jc w:val="both"/>
      </w:pPr>
      <w:r w:rsidRPr="00781360">
        <w:lastRenderedPageBreak/>
        <w:t xml:space="preserve">En lo que respecta a las Municipalidades del país, estás muestran un endeudamiento relativamente bajo y conforme establece el Código Municipal, el endeudamiento </w:t>
      </w:r>
      <w:r w:rsidR="00781360" w:rsidRPr="00781360">
        <w:t>está</w:t>
      </w:r>
      <w:r w:rsidRPr="00781360">
        <w:t xml:space="preserve"> determinado por su capacidad de pago y la Administración Municipal no debe endeudarse más allá de su período de administración que es de 4 años.  Lo cual limita la capacidad de endeudamiento de estas instituciones.   Sin embargo, conforme establece la Ley Orgánica del Presupuesto, el Estado podría asumir algunos pagos de sus obligaciones de deuda, pero el Estado le puede cobrar mediante la reducción de los aportes que deben recibir mensualmente las municipalidades.</w:t>
      </w:r>
    </w:p>
    <w:p w14:paraId="2995B96E" w14:textId="77777777" w:rsidR="00C36261" w:rsidRPr="00781360" w:rsidRDefault="00C36261" w:rsidP="00C36261">
      <w:pPr>
        <w:pStyle w:val="Prrafodelista"/>
        <w:ind w:left="0"/>
        <w:jc w:val="both"/>
      </w:pPr>
    </w:p>
    <w:p w14:paraId="022AFEF9" w14:textId="7D513BF4" w:rsidR="00C36261" w:rsidRDefault="00C36261" w:rsidP="00781360">
      <w:pPr>
        <w:pStyle w:val="Prrafodelista"/>
        <w:ind w:left="0"/>
        <w:jc w:val="both"/>
      </w:pPr>
      <w:r w:rsidRPr="00781360">
        <w:t>Por más de 10 años, las municipalidades han estado solventes y han cumplido con sus obligaciones.  Además, el Estado no se ha visto en la necesidad de financiar el pago de sus obligaciones con terceros.</w:t>
      </w:r>
    </w:p>
    <w:p w14:paraId="30760C35" w14:textId="77777777" w:rsidR="00781360" w:rsidRPr="00781360" w:rsidRDefault="00781360" w:rsidP="00781360">
      <w:pPr>
        <w:pStyle w:val="Prrafodelista"/>
        <w:ind w:left="0"/>
        <w:jc w:val="both"/>
      </w:pPr>
    </w:p>
    <w:p w14:paraId="468451E0" w14:textId="77777777" w:rsidR="00C36261" w:rsidRPr="005C69D1" w:rsidRDefault="00C36261" w:rsidP="007F19DF">
      <w:pPr>
        <w:pStyle w:val="Ttulo2"/>
        <w:numPr>
          <w:ilvl w:val="2"/>
          <w:numId w:val="35"/>
        </w:numPr>
        <w:tabs>
          <w:tab w:val="left" w:pos="1134"/>
        </w:tabs>
        <w:ind w:left="567" w:hanging="283"/>
        <w:rPr>
          <w:bCs/>
        </w:rPr>
      </w:pPr>
      <w:bookmarkStart w:id="773" w:name="_Toc144114455"/>
      <w:r w:rsidRPr="005C69D1">
        <w:rPr>
          <w:bCs/>
        </w:rPr>
        <w:t>Fondo de Protección del Ahorro (garantía al sector financiero)</w:t>
      </w:r>
      <w:bookmarkEnd w:id="773"/>
    </w:p>
    <w:p w14:paraId="0F51D61C" w14:textId="77777777" w:rsidR="005C69D1" w:rsidRDefault="005C69D1" w:rsidP="00C36261">
      <w:pPr>
        <w:jc w:val="both"/>
      </w:pPr>
    </w:p>
    <w:p w14:paraId="5D45D9CA" w14:textId="272B2187" w:rsidR="00C36261" w:rsidRDefault="00C36261" w:rsidP="00C36261">
      <w:pPr>
        <w:jc w:val="both"/>
      </w:pPr>
      <w:r>
        <w:t>Este fondo</w:t>
      </w:r>
      <w:r w:rsidRPr="00261335">
        <w:t xml:space="preserve"> tiene como objeto garantizar al depositante en el sistema bancario la recuperación de sus depósitos hasta por un monto de Q20.0 miles, o su equivalente en moneda extranjera, por persona individual o jurídica. Los recursos del fondo son administrados por el Banco de Guatemala, de acuerdo a lo establecido en el artículo 90 de la mencionada Ley de Bancos y Grupos Financieros.</w:t>
      </w:r>
    </w:p>
    <w:p w14:paraId="3CB1F5B6" w14:textId="77777777" w:rsidR="00F75946" w:rsidRPr="00261335" w:rsidRDefault="00F75946" w:rsidP="00C36261">
      <w:pPr>
        <w:jc w:val="both"/>
      </w:pPr>
    </w:p>
    <w:p w14:paraId="5BC0FBF0" w14:textId="1793AC47" w:rsidR="00C36261" w:rsidRDefault="00C36261" w:rsidP="00C36261">
      <w:pPr>
        <w:jc w:val="both"/>
      </w:pPr>
      <w:r w:rsidRPr="00023EDD">
        <w:t>La forma en que se financia dicho fondo es de la siguiente manera:</w:t>
      </w:r>
    </w:p>
    <w:p w14:paraId="1744E5EE" w14:textId="77777777" w:rsidR="00781360" w:rsidRPr="00023EDD" w:rsidRDefault="00781360" w:rsidP="00C36261">
      <w:pPr>
        <w:jc w:val="both"/>
      </w:pPr>
    </w:p>
    <w:p w14:paraId="158E1310" w14:textId="77777777" w:rsidR="00C36261" w:rsidRPr="00023EDD" w:rsidRDefault="00C36261" w:rsidP="00F75946">
      <w:pPr>
        <w:pStyle w:val="Prrafodelista"/>
        <w:numPr>
          <w:ilvl w:val="0"/>
          <w:numId w:val="45"/>
        </w:numPr>
        <w:jc w:val="both"/>
      </w:pPr>
      <w:r w:rsidRPr="00023EDD">
        <w:t xml:space="preserve">Los aportes del Estado para fortalecer la posición financiera del fondo, o para que éste pueda cumplir con sus obligaciones de cobertura. </w:t>
      </w:r>
    </w:p>
    <w:p w14:paraId="067DFD5F" w14:textId="77777777" w:rsidR="00C36261" w:rsidRPr="00023EDD" w:rsidRDefault="00C36261" w:rsidP="00F75946">
      <w:pPr>
        <w:pStyle w:val="Prrafodelista"/>
        <w:numPr>
          <w:ilvl w:val="0"/>
          <w:numId w:val="45"/>
        </w:numPr>
        <w:jc w:val="both"/>
      </w:pPr>
      <w:r w:rsidRPr="00023EDD">
        <w:t xml:space="preserve">Las cuotas que obligatoriamente deben aportar los bancos nacionales y sucursales de bancos extranjeros; </w:t>
      </w:r>
    </w:p>
    <w:p w14:paraId="2A6DCD9A" w14:textId="77777777" w:rsidR="00C36261" w:rsidRPr="00023EDD" w:rsidRDefault="00C36261" w:rsidP="00F75946">
      <w:pPr>
        <w:pStyle w:val="Prrafodelista"/>
        <w:numPr>
          <w:ilvl w:val="0"/>
          <w:numId w:val="45"/>
        </w:numPr>
        <w:jc w:val="both"/>
      </w:pPr>
      <w:r w:rsidRPr="00023EDD">
        <w:t xml:space="preserve">Los rendimientos de las inversiones de sus recursos, multas e intereses; </w:t>
      </w:r>
    </w:p>
    <w:p w14:paraId="5175473D" w14:textId="77777777" w:rsidR="00C36261" w:rsidRPr="00023EDD" w:rsidRDefault="00C36261" w:rsidP="00F75946">
      <w:pPr>
        <w:pStyle w:val="Prrafodelista"/>
        <w:numPr>
          <w:ilvl w:val="0"/>
          <w:numId w:val="45"/>
        </w:numPr>
        <w:jc w:val="both"/>
      </w:pPr>
      <w:r w:rsidRPr="00023EDD">
        <w:t>Los recursos en efectivo que se obtengan en virtud del proceso de liquidación del banco de que se trate, con motivo de la subrogación de derechos;</w:t>
      </w:r>
    </w:p>
    <w:p w14:paraId="1B3AD524" w14:textId="77777777" w:rsidR="00C36261" w:rsidRPr="00023EDD" w:rsidRDefault="00C36261" w:rsidP="00F75946">
      <w:pPr>
        <w:pStyle w:val="Prrafodelista"/>
        <w:numPr>
          <w:ilvl w:val="0"/>
          <w:numId w:val="45"/>
        </w:numPr>
        <w:jc w:val="both"/>
      </w:pPr>
      <w:r w:rsidRPr="00023EDD">
        <w:t xml:space="preserve">Los recursos en efectivo que se obtengan de la venta de los activos que le hubieren sido adjudicados al fondo, en virtud del proceso de liquidación del banco de que se trate; </w:t>
      </w:r>
    </w:p>
    <w:p w14:paraId="3B0F81B9" w14:textId="77777777" w:rsidR="00C36261" w:rsidRPr="00023EDD" w:rsidRDefault="00C36261" w:rsidP="00F75946">
      <w:pPr>
        <w:pStyle w:val="Prrafodelista"/>
        <w:numPr>
          <w:ilvl w:val="0"/>
          <w:numId w:val="45"/>
        </w:numPr>
        <w:jc w:val="both"/>
      </w:pPr>
      <w:r w:rsidRPr="00023EDD">
        <w:t xml:space="preserve">Otras fuentes que incrementen sus recursos </w:t>
      </w:r>
    </w:p>
    <w:p w14:paraId="7EA55141" w14:textId="77777777" w:rsidR="00F75946" w:rsidRDefault="00F75946" w:rsidP="00C36261">
      <w:pPr>
        <w:jc w:val="both"/>
      </w:pPr>
    </w:p>
    <w:p w14:paraId="5CF06029" w14:textId="06978A67" w:rsidR="00C36261" w:rsidRDefault="00C36261" w:rsidP="00C36261">
      <w:pPr>
        <w:jc w:val="both"/>
      </w:pPr>
      <w:r>
        <w:t xml:space="preserve">Al 31 de diciembre de 2022, el Fondo para la Protección del Ahorro, cuenta con un activo total que asciende a Q9,325.3 millones.  Asimismo, este fondo tiene un pasivo total de Q442.2 millones, por lo que el patrimonio neto es de Q8,883.1 millones. Dicho patrimonio es equivalente al 1.2% del PIB de 2022. </w:t>
      </w:r>
    </w:p>
    <w:p w14:paraId="707FAD21" w14:textId="77777777" w:rsidR="003170B7" w:rsidRDefault="003170B7" w:rsidP="00C36261">
      <w:pPr>
        <w:jc w:val="both"/>
      </w:pPr>
    </w:p>
    <w:p w14:paraId="0CA5E974" w14:textId="06B5335A" w:rsidR="00C36261" w:rsidRDefault="00C36261" w:rsidP="00C36261">
      <w:pPr>
        <w:jc w:val="both"/>
      </w:pPr>
      <w:r>
        <w:t xml:space="preserve">Es importante indicar que, este fondo se constituyó originalmente en 2002 con recursos del Estado, según los Estados Financieros a través de 2 componentes efectivo y Bonos Paz, en el caso del aporte en efectivo fue de Q374.7 millones (producto de un préstamo con el BIRF por US$48.5 millones,) y el aporte a través de Bonos Paz que fue de Q540.2 millones.  En 2004, aumentó el aporte del Estado debido a que se realizó el segundo desembolso del préstamo del BIRF por US$25.0 millones, por lo que el componente del aporte en efectivo </w:t>
      </w:r>
      <w:r>
        <w:lastRenderedPageBreak/>
        <w:t xml:space="preserve">aumentó a Q568.2 millones. Posteriormente, el único que ha aumentado es el aporte en efectivo, el cual aumentó a Q841.8 millones (variación de Q273.6 millones) como apoyo adicional que se otorgó en 2007 debido a </w:t>
      </w:r>
      <w:r w:rsidRPr="00FC450D">
        <w:t>la</w:t>
      </w:r>
      <w:r>
        <w:t xml:space="preserve">s intervenciones por </w:t>
      </w:r>
      <w:r w:rsidRPr="00FC450D">
        <w:t xml:space="preserve">exclusión de activos </w:t>
      </w:r>
      <w:r>
        <w:t>que se realizaron en 2006 y 2007 que afectó las disponibilidades de este fondo.</w:t>
      </w:r>
    </w:p>
    <w:p w14:paraId="533BA071" w14:textId="77777777" w:rsidR="00781360" w:rsidRDefault="00781360" w:rsidP="00C36261">
      <w:pPr>
        <w:jc w:val="both"/>
      </w:pPr>
    </w:p>
    <w:p w14:paraId="63501ADC" w14:textId="59FB99FB" w:rsidR="00BF054D" w:rsidRPr="005C69D1" w:rsidRDefault="00BF054D" w:rsidP="007F19DF">
      <w:pPr>
        <w:pStyle w:val="Ttulo2"/>
        <w:numPr>
          <w:ilvl w:val="2"/>
          <w:numId w:val="35"/>
        </w:numPr>
        <w:tabs>
          <w:tab w:val="left" w:pos="993"/>
        </w:tabs>
        <w:ind w:left="567" w:hanging="283"/>
        <w:rPr>
          <w:bCs/>
        </w:rPr>
      </w:pPr>
      <w:bookmarkStart w:id="774" w:name="_Toc144114456"/>
      <w:r w:rsidRPr="00BF054D">
        <w:rPr>
          <w:bCs/>
        </w:rPr>
        <w:t xml:space="preserve">Fideicomisos de </w:t>
      </w:r>
      <w:r w:rsidR="002E7071">
        <w:rPr>
          <w:bCs/>
        </w:rPr>
        <w:t>g</w:t>
      </w:r>
      <w:r w:rsidRPr="00BF054D">
        <w:rPr>
          <w:bCs/>
        </w:rPr>
        <w:t>arantía</w:t>
      </w:r>
      <w:bookmarkEnd w:id="774"/>
    </w:p>
    <w:p w14:paraId="6BB82E12" w14:textId="77777777" w:rsidR="00BF054D" w:rsidRDefault="00BF054D" w:rsidP="00C36261">
      <w:pPr>
        <w:jc w:val="both"/>
      </w:pPr>
    </w:p>
    <w:p w14:paraId="53F9B179" w14:textId="0A382B88" w:rsidR="00C36261" w:rsidRDefault="00C36261" w:rsidP="00781360">
      <w:pPr>
        <w:jc w:val="both"/>
      </w:pPr>
      <w:r>
        <w:t>En cuanto a los fideicomisos constituidos por el gobierno, hay un fideicomiso con las características de un fondo de garantía, denominado Fideicomiso para el Desarrollo de Guatemala “</w:t>
      </w:r>
      <w:proofErr w:type="spellStart"/>
      <w:r>
        <w:t>Guateinvierte</w:t>
      </w:r>
      <w:proofErr w:type="spellEnd"/>
      <w:r>
        <w:t xml:space="preserve">”, el cual fue creado en abril del año 2005, cuyo vencimiento se tiene previsto en 2030, dicho fideicomiso tiene como patrimonio contractual </w:t>
      </w:r>
      <w:proofErr w:type="spellStart"/>
      <w:r>
        <w:t>fideicometido</w:t>
      </w:r>
      <w:proofErr w:type="spellEnd"/>
      <w:r>
        <w:t xml:space="preserve"> la cantidad de Q150.0 millones. </w:t>
      </w:r>
      <w:r w:rsidRPr="006A7ECA">
        <w:t>Asimismo, dicho fideicomiso tiene como fines los siguientes:</w:t>
      </w:r>
    </w:p>
    <w:p w14:paraId="27EAA413" w14:textId="77777777" w:rsidR="00781360" w:rsidRPr="006A7ECA" w:rsidRDefault="00781360" w:rsidP="00781360">
      <w:pPr>
        <w:jc w:val="both"/>
      </w:pPr>
    </w:p>
    <w:p w14:paraId="2D1A60D9" w14:textId="77777777" w:rsidR="00C36261" w:rsidRDefault="00C36261" w:rsidP="00781360">
      <w:pPr>
        <w:pStyle w:val="Prrafodelista"/>
        <w:numPr>
          <w:ilvl w:val="0"/>
          <w:numId w:val="21"/>
        </w:numPr>
        <w:jc w:val="both"/>
      </w:pPr>
      <w:r>
        <w:t xml:space="preserve">Contribuir económicamente con las personas individuales o jurídicas beneficiadas con los costos para la formulación y establecimiento de proyectos económicos que generen desarrollo en el área rural del país. </w:t>
      </w:r>
    </w:p>
    <w:p w14:paraId="68024244" w14:textId="77777777" w:rsidR="00C36261" w:rsidRDefault="00C36261" w:rsidP="00781360">
      <w:pPr>
        <w:pStyle w:val="Prrafodelista"/>
        <w:numPr>
          <w:ilvl w:val="0"/>
          <w:numId w:val="21"/>
        </w:numPr>
        <w:jc w:val="both"/>
      </w:pPr>
      <w:r>
        <w:t xml:space="preserve">Otorgar garantía de pago hasta por el 80% del financiamiento que otorgantes de créditos concedan a proyectos productivos que generen desarrollo en las áreas rurales del país; </w:t>
      </w:r>
    </w:p>
    <w:p w14:paraId="39B517F3" w14:textId="77777777" w:rsidR="00C36261" w:rsidRDefault="00C36261" w:rsidP="00781360">
      <w:pPr>
        <w:pStyle w:val="Prrafodelista"/>
        <w:numPr>
          <w:ilvl w:val="0"/>
          <w:numId w:val="21"/>
        </w:numPr>
        <w:jc w:val="both"/>
      </w:pPr>
      <w:r>
        <w:t>Contribuir económicamente con los costos de asistencia técnica de los proyectos productivos.</w:t>
      </w:r>
    </w:p>
    <w:p w14:paraId="736498AB" w14:textId="77777777" w:rsidR="00C36261" w:rsidRDefault="00C36261" w:rsidP="00781360">
      <w:pPr>
        <w:pStyle w:val="Prrafodelista"/>
        <w:numPr>
          <w:ilvl w:val="0"/>
          <w:numId w:val="21"/>
        </w:numPr>
        <w:jc w:val="both"/>
      </w:pPr>
      <w:r>
        <w:t xml:space="preserve">Cubrir total o parcialmente los intereses de créditos garantizados por el Fideicomiso durante el plazo que el Consejo Directivo o el ente debidamente facultado establezca; </w:t>
      </w:r>
    </w:p>
    <w:p w14:paraId="7541DEB0" w14:textId="77777777" w:rsidR="00C36261" w:rsidRDefault="00C36261" w:rsidP="00781360">
      <w:pPr>
        <w:pStyle w:val="Prrafodelista"/>
        <w:numPr>
          <w:ilvl w:val="0"/>
          <w:numId w:val="21"/>
        </w:numPr>
        <w:jc w:val="both"/>
      </w:pPr>
      <w:r>
        <w:t xml:space="preserve">Cubrir hasta el 70% del costo de la prima de seguro agropecuario u otros seguros otorgados por compañías aseguradoras aprobadas para operar en el país y que se relacionen con proyectos aprobados para el efecto por el Consejo Directivo, susceptibles de generar desarrollo directo o indirecto en el área rural del país </w:t>
      </w:r>
    </w:p>
    <w:p w14:paraId="7B090ED4" w14:textId="77777777" w:rsidR="00C36261" w:rsidRDefault="00C36261" w:rsidP="00781360">
      <w:pPr>
        <w:pStyle w:val="Prrafodelista"/>
        <w:numPr>
          <w:ilvl w:val="0"/>
          <w:numId w:val="21"/>
        </w:numPr>
        <w:jc w:val="both"/>
      </w:pPr>
      <w:r>
        <w:t>Administrar e invertir los recursos del Fideicomiso</w:t>
      </w:r>
    </w:p>
    <w:p w14:paraId="258AD5D3" w14:textId="77777777" w:rsidR="00C36261" w:rsidRDefault="00C36261" w:rsidP="00781360">
      <w:pPr>
        <w:jc w:val="both"/>
      </w:pPr>
    </w:p>
    <w:p w14:paraId="5A39CE67" w14:textId="039E23C2" w:rsidR="00C36261" w:rsidRDefault="00C36261" w:rsidP="00C36261">
      <w:pPr>
        <w:jc w:val="both"/>
      </w:pPr>
      <w:r>
        <w:t>Además, el fideicomiso dentro de lo establecido en el Acuerdo Gubernativo que lo crea, establece los siguientes destinos:</w:t>
      </w:r>
    </w:p>
    <w:p w14:paraId="64CE7921" w14:textId="77777777" w:rsidR="00781360" w:rsidRDefault="00781360" w:rsidP="00781360">
      <w:pPr>
        <w:jc w:val="both"/>
      </w:pPr>
    </w:p>
    <w:p w14:paraId="76B01B95" w14:textId="77777777" w:rsidR="00C36261" w:rsidRPr="006A7ECA" w:rsidRDefault="00C36261" w:rsidP="00781360">
      <w:pPr>
        <w:pStyle w:val="Prrafodelista"/>
        <w:numPr>
          <w:ilvl w:val="0"/>
          <w:numId w:val="21"/>
        </w:numPr>
        <w:jc w:val="both"/>
      </w:pPr>
      <w:r w:rsidRPr="006A7ECA">
        <w:t xml:space="preserve">Constitución de un fondo de garantía de hasta Q100 millones y el consecuente otorgamiento de garantías; </w:t>
      </w:r>
    </w:p>
    <w:p w14:paraId="5D1F1EFC" w14:textId="77777777" w:rsidR="00C36261" w:rsidRPr="006A7ECA" w:rsidRDefault="00C36261" w:rsidP="00781360">
      <w:pPr>
        <w:pStyle w:val="Prrafodelista"/>
        <w:numPr>
          <w:ilvl w:val="0"/>
          <w:numId w:val="21"/>
        </w:numPr>
        <w:jc w:val="both"/>
      </w:pPr>
      <w:r w:rsidRPr="006A7ECA">
        <w:t xml:space="preserve">Hasta Q10.0 millones como presupuesto anual operativo del Fideicomiso; </w:t>
      </w:r>
    </w:p>
    <w:p w14:paraId="0DF48D21" w14:textId="77777777" w:rsidR="00C36261" w:rsidRDefault="00C36261" w:rsidP="00781360">
      <w:pPr>
        <w:pStyle w:val="Prrafodelista"/>
        <w:numPr>
          <w:ilvl w:val="0"/>
          <w:numId w:val="21"/>
        </w:numPr>
        <w:jc w:val="both"/>
      </w:pPr>
      <w:r w:rsidRPr="006A7ECA">
        <w:t>Pagos de estudio de pre</w:t>
      </w:r>
      <w:r>
        <w:t xml:space="preserve"> </w:t>
      </w:r>
      <w:r w:rsidRPr="006A7ECA">
        <w:t>inversión, seguro y asistencia técnica.</w:t>
      </w:r>
    </w:p>
    <w:p w14:paraId="79D6EDD2" w14:textId="77777777" w:rsidR="00C36261" w:rsidRDefault="00C36261" w:rsidP="00781360">
      <w:pPr>
        <w:jc w:val="both"/>
      </w:pPr>
    </w:p>
    <w:p w14:paraId="456E9264" w14:textId="77777777" w:rsidR="00C36261" w:rsidRPr="00D71C34" w:rsidRDefault="00C36261" w:rsidP="00781360">
      <w:pPr>
        <w:jc w:val="both"/>
      </w:pPr>
      <w:r w:rsidRPr="00D71C34">
        <w:t>A la fecha el fideicomiso tiene un patrimonio neto de Q7</w:t>
      </w:r>
      <w:r>
        <w:t>5.5</w:t>
      </w:r>
      <w:r w:rsidRPr="00D71C34">
        <w:t xml:space="preserve"> millones, resultante de la ejecución de garantías</w:t>
      </w:r>
      <w:r>
        <w:t xml:space="preserve"> (Q56.8 millones)</w:t>
      </w:r>
      <w:r w:rsidRPr="00D71C34">
        <w:t>, gastos administrativas e impuestos (gastos), y recuperaci</w:t>
      </w:r>
      <w:r>
        <w:t>ón y capitalización</w:t>
      </w:r>
      <w:r w:rsidRPr="00D71C34">
        <w:t xml:space="preserve"> de garantías</w:t>
      </w:r>
      <w:r>
        <w:t xml:space="preserve"> (Q19.6 millones)</w:t>
      </w:r>
      <w:r w:rsidRPr="00D71C34">
        <w:t xml:space="preserve"> e inversiones financieras (ingresos).</w:t>
      </w:r>
    </w:p>
    <w:p w14:paraId="3DF2DEF8" w14:textId="215F8D3C" w:rsidR="00C36261" w:rsidRDefault="00C36261" w:rsidP="00781360">
      <w:pPr>
        <w:spacing w:before="240" w:after="240"/>
        <w:jc w:val="both"/>
      </w:pPr>
      <w:r>
        <w:t xml:space="preserve">Derivado de lo expuesto anteriormente, se puede indicar que el riesgo fiscal derivado de garantías es relativamente bajo ya que no hay garantías explicitas a las municipalidades, y solo hay un caso de garantía a empresas públicas (INDE) cuyo monto es bajo, además, dicha entidad ha honrado adecuadamente sus compromisos y su situación financiera es bastante </w:t>
      </w:r>
      <w:r>
        <w:lastRenderedPageBreak/>
        <w:t xml:space="preserve">solvente.  En el caso del FOPA, su posición patrimonial es solvente para atender necesidades de emergencia causadas por intervenciones a los bancos del sistema. En lo que respecta al fideicomiso </w:t>
      </w:r>
      <w:proofErr w:type="spellStart"/>
      <w:r>
        <w:t>Guateinvierte</w:t>
      </w:r>
      <w:proofErr w:type="spellEnd"/>
      <w:r>
        <w:t>, cuenta con un patrimonio neto aceptable considerando las necesidades para ejecutar garantías en más de 15 años.</w:t>
      </w:r>
    </w:p>
    <w:p w14:paraId="26C5B71E" w14:textId="77777777" w:rsidR="00C36261" w:rsidRPr="000E12CF" w:rsidRDefault="00C36261" w:rsidP="007F19DF">
      <w:pPr>
        <w:pStyle w:val="Prrafodelista"/>
        <w:numPr>
          <w:ilvl w:val="0"/>
          <w:numId w:val="44"/>
        </w:numPr>
        <w:tabs>
          <w:tab w:val="left" w:pos="426"/>
        </w:tabs>
        <w:spacing w:line="259" w:lineRule="auto"/>
        <w:ind w:left="284" w:hanging="284"/>
        <w:jc w:val="both"/>
        <w:outlineLvl w:val="0"/>
        <w:rPr>
          <w:b/>
          <w:bCs/>
        </w:rPr>
      </w:pPr>
      <w:bookmarkStart w:id="775" w:name="_Toc110522975"/>
      <w:bookmarkStart w:id="776" w:name="_Toc144114457"/>
      <w:r w:rsidRPr="000E12CF">
        <w:rPr>
          <w:b/>
          <w:bCs/>
        </w:rPr>
        <w:t>Riesgos fiscales por Recursos Naturales</w:t>
      </w:r>
      <w:bookmarkEnd w:id="775"/>
      <w:bookmarkEnd w:id="776"/>
      <w:r w:rsidRPr="000E12CF">
        <w:rPr>
          <w:b/>
          <w:bCs/>
        </w:rPr>
        <w:t xml:space="preserve"> </w:t>
      </w:r>
    </w:p>
    <w:p w14:paraId="0A0EC9DA" w14:textId="77777777" w:rsidR="00C36261" w:rsidRPr="000E12CF" w:rsidRDefault="00C36261" w:rsidP="00781360">
      <w:pPr>
        <w:pStyle w:val="Prrafodelista"/>
        <w:ind w:left="360"/>
        <w:jc w:val="both"/>
        <w:rPr>
          <w:b/>
          <w:bCs/>
        </w:rPr>
      </w:pPr>
      <w:bookmarkStart w:id="777" w:name="_Hlk109988879"/>
    </w:p>
    <w:p w14:paraId="74625C66" w14:textId="77777777" w:rsidR="00C36261" w:rsidRPr="00A57ABC" w:rsidRDefault="00C36261" w:rsidP="00781360">
      <w:pPr>
        <w:widowControl w:val="0"/>
        <w:jc w:val="both"/>
        <w:rPr>
          <w:lang w:val="es-ES" w:eastAsia="en-US"/>
        </w:rPr>
      </w:pPr>
      <w:r w:rsidRPr="00A57ABC">
        <w:rPr>
          <w:lang w:val="es-ES" w:eastAsia="en-US"/>
        </w:rPr>
        <w:t xml:space="preserve">De acuerdo al Instituto de Agricultura, Recursos Naturales y Ambiente -IARNA-, los recursos naturales no renovables son bienes de la naturaleza agotables, que no se pueden regenerar una vez hayan sido utilizados. Entre ellos se cuentan los recursos mineros, el petróleo y sus derivados. Para el caso de Guatemala los recursos no renovables más importantes es la actividad petrolera y la minería. </w:t>
      </w:r>
    </w:p>
    <w:p w14:paraId="7C7FBBB3" w14:textId="77777777" w:rsidR="00C36261" w:rsidRPr="00A57ABC" w:rsidRDefault="00C36261" w:rsidP="00781360">
      <w:pPr>
        <w:widowControl w:val="0"/>
        <w:jc w:val="both"/>
        <w:rPr>
          <w:lang w:val="es-ES" w:eastAsia="en-US"/>
        </w:rPr>
      </w:pPr>
    </w:p>
    <w:p w14:paraId="4B50AB9A" w14:textId="77777777" w:rsidR="00C36261" w:rsidRPr="00A57ABC" w:rsidRDefault="00C36261" w:rsidP="00781360">
      <w:pPr>
        <w:widowControl w:val="0"/>
        <w:jc w:val="both"/>
        <w:rPr>
          <w:lang w:val="es-ES" w:eastAsia="en-US"/>
        </w:rPr>
      </w:pPr>
      <w:r w:rsidRPr="00A57ABC">
        <w:rPr>
          <w:lang w:val="es-ES" w:eastAsia="en-US"/>
        </w:rPr>
        <w:t>Guatemala desde el 2014 forma parte de la Iniciativa de Transparencia en la Industria Extractiva (EITI por sus siglas en inglés), siendo el primer país Centroamericano en conseguir la certificación como País Cumplidor de las normas EITI. Dicha iniciativa es un estándar global para promover la gestión transparente y responsable de los recursos petroleros, gasíferos y mineros en los países implementadores; a la vez que prioriza la participación ciudadana, la fiscalización, el diálogo y el consenso. En Guatemala, ya se han</w:t>
      </w:r>
    </w:p>
    <w:p w14:paraId="70D40A3C" w14:textId="77777777" w:rsidR="00C36261" w:rsidRPr="00A57ABC" w:rsidRDefault="00C36261" w:rsidP="00781360">
      <w:pPr>
        <w:widowControl w:val="0"/>
        <w:jc w:val="both"/>
        <w:rPr>
          <w:lang w:val="es-ES" w:eastAsia="en-US"/>
        </w:rPr>
      </w:pPr>
      <w:r w:rsidRPr="00A57ABC">
        <w:rPr>
          <w:lang w:val="es-ES" w:eastAsia="en-US"/>
        </w:rPr>
        <w:t>realizado cinco informes de conciliación EITI, siendo el primero en el periodo fiscal 2010-2011, el segundo en 2012-2013, el tercero en 2004-2015, el cuarto en 2016-2017 y el quinto en 2018-2019 y 2020. Dichos informes son relevantes para el país ya que aportan no solamente en temas de transparencia sino en tener un mejor entendimiento sobre el sector extractivo.</w:t>
      </w:r>
    </w:p>
    <w:p w14:paraId="11999117" w14:textId="77777777" w:rsidR="00C36261" w:rsidRPr="00A57ABC" w:rsidRDefault="00C36261" w:rsidP="00C36261">
      <w:pPr>
        <w:widowControl w:val="0"/>
        <w:jc w:val="both"/>
        <w:rPr>
          <w:lang w:val="es-ES" w:eastAsia="en-US"/>
        </w:rPr>
      </w:pPr>
    </w:p>
    <w:p w14:paraId="45AF93EC" w14:textId="77777777" w:rsidR="005C69D1" w:rsidRPr="005C69D1" w:rsidRDefault="005C69D1" w:rsidP="005C69D1">
      <w:pPr>
        <w:pStyle w:val="Prrafodelista"/>
        <w:keepNext/>
        <w:widowControl w:val="0"/>
        <w:numPr>
          <w:ilvl w:val="0"/>
          <w:numId w:val="35"/>
        </w:numPr>
        <w:contextualSpacing w:val="0"/>
        <w:outlineLvl w:val="1"/>
        <w:rPr>
          <w:rFonts w:eastAsiaTheme="minorHAnsi"/>
          <w:b/>
          <w:bCs/>
          <w:vanish/>
          <w:color w:val="000000"/>
          <w:lang w:eastAsia="en-US"/>
        </w:rPr>
      </w:pPr>
      <w:bookmarkStart w:id="778" w:name="_Toc143252283"/>
      <w:bookmarkStart w:id="779" w:name="_Toc143252427"/>
      <w:bookmarkStart w:id="780" w:name="_Toc143252569"/>
      <w:bookmarkStart w:id="781" w:name="_Toc143874099"/>
      <w:bookmarkStart w:id="782" w:name="_Toc143874244"/>
      <w:bookmarkStart w:id="783" w:name="_Toc144114010"/>
      <w:bookmarkStart w:id="784" w:name="_Toc144114168"/>
      <w:bookmarkStart w:id="785" w:name="_Toc144114314"/>
      <w:bookmarkStart w:id="786" w:name="_Toc144114458"/>
      <w:bookmarkEnd w:id="778"/>
      <w:bookmarkEnd w:id="779"/>
      <w:bookmarkEnd w:id="780"/>
      <w:bookmarkEnd w:id="781"/>
      <w:bookmarkEnd w:id="782"/>
      <w:bookmarkEnd w:id="783"/>
      <w:bookmarkEnd w:id="784"/>
      <w:bookmarkEnd w:id="785"/>
      <w:bookmarkEnd w:id="786"/>
    </w:p>
    <w:p w14:paraId="4B5FEB68" w14:textId="08EBC414" w:rsidR="00C36261" w:rsidRPr="005C69D1" w:rsidRDefault="00C36261" w:rsidP="007F19DF">
      <w:pPr>
        <w:pStyle w:val="Ttulo2"/>
        <w:numPr>
          <w:ilvl w:val="1"/>
          <w:numId w:val="35"/>
        </w:numPr>
        <w:ind w:left="426" w:hanging="284"/>
        <w:rPr>
          <w:bCs/>
        </w:rPr>
      </w:pPr>
      <w:bookmarkStart w:id="787" w:name="_Toc144114459"/>
      <w:r w:rsidRPr="0048273D">
        <w:rPr>
          <w:bCs/>
        </w:rPr>
        <w:t xml:space="preserve">Industria </w:t>
      </w:r>
      <w:r w:rsidR="002E7071">
        <w:rPr>
          <w:bCs/>
        </w:rPr>
        <w:t>p</w:t>
      </w:r>
      <w:r w:rsidRPr="0048273D">
        <w:rPr>
          <w:bCs/>
        </w:rPr>
        <w:t>etrolera</w:t>
      </w:r>
      <w:bookmarkEnd w:id="787"/>
      <w:r w:rsidRPr="0048273D">
        <w:rPr>
          <w:bCs/>
        </w:rPr>
        <w:t xml:space="preserve"> </w:t>
      </w:r>
    </w:p>
    <w:p w14:paraId="7D5A1896" w14:textId="77777777" w:rsidR="00BB0A30" w:rsidRPr="0048273D" w:rsidRDefault="00BB0A30" w:rsidP="00781360">
      <w:pPr>
        <w:widowControl w:val="0"/>
        <w:jc w:val="both"/>
        <w:rPr>
          <w:rFonts w:eastAsiaTheme="minorHAnsi"/>
          <w:b/>
          <w:bCs/>
          <w:lang w:eastAsia="en-US"/>
        </w:rPr>
      </w:pPr>
    </w:p>
    <w:p w14:paraId="02DB0341" w14:textId="77777777" w:rsidR="00C36261" w:rsidRPr="00A57ABC" w:rsidRDefault="00C36261" w:rsidP="00781360">
      <w:pPr>
        <w:widowControl w:val="0"/>
        <w:jc w:val="both"/>
        <w:rPr>
          <w:rFonts w:eastAsiaTheme="minorHAnsi"/>
          <w:lang w:eastAsia="en-US"/>
        </w:rPr>
      </w:pPr>
      <w:r w:rsidRPr="00A57ABC">
        <w:rPr>
          <w:rFonts w:eastAsiaTheme="minorHAnsi"/>
          <w:lang w:eastAsia="en-US"/>
        </w:rPr>
        <w:t xml:space="preserve">La industria petrolera en Guatemala comprende la exploración y explotación de hidrocarburos, su refinación y transformación, así como su transporte y comercialización. Dicha actividad está regulada por la Ley de Hidrocarburos, creada mediante el Decreto Número 109-83, en la cual se establece que todos los yacimientos de hidrocarburos que se encuentran en el territorio son bienes de la Nación, y declara de utilidad y necesidad públicas, a las operaciones petroleras básicas y estratégicas para el desarrollo del país. Determina que este tipo de operaciones podrán ser ejecutadas por persona individual o jurídica. </w:t>
      </w:r>
    </w:p>
    <w:p w14:paraId="27188445" w14:textId="77777777" w:rsidR="00C36261" w:rsidRPr="00A57ABC" w:rsidRDefault="00C36261" w:rsidP="00781360">
      <w:pPr>
        <w:widowControl w:val="0"/>
        <w:jc w:val="both"/>
        <w:rPr>
          <w:rFonts w:eastAsiaTheme="minorHAnsi"/>
          <w:lang w:eastAsia="en-US"/>
        </w:rPr>
      </w:pPr>
    </w:p>
    <w:p w14:paraId="7297129F" w14:textId="4488F717" w:rsidR="00C36261" w:rsidRPr="0078770C" w:rsidRDefault="00C36261" w:rsidP="00781360">
      <w:pPr>
        <w:widowControl w:val="0"/>
        <w:jc w:val="both"/>
        <w:rPr>
          <w:rFonts w:eastAsiaTheme="minorHAnsi"/>
          <w:lang w:eastAsia="en-US"/>
        </w:rPr>
      </w:pPr>
      <w:r w:rsidRPr="0078770C">
        <w:rPr>
          <w:rFonts w:eastAsiaTheme="minorHAnsi"/>
          <w:lang w:eastAsia="en-US"/>
        </w:rPr>
        <w:t>La actividad petrolera juega un papel fundamental para el desarrollo de la economía nacional puesto que provee insumos y combustibles indispensables para la producción de energía, contribuye en la generación de divisas, proporciona transferencia de tecnología y contribuye como fuente generadora de empleos. Los beneficios proporcionados por la actividad petrolera en nuestro país generan tanto beneficios directos como indirectos. Los beneficios indirectos se traducen en la activación de importantes industrias y empresas de servicios (servicios de transporte terrestre, aéreo, navieros, portuarios, servicios bancarios, hoteleros, manufactura, etc.).</w:t>
      </w:r>
    </w:p>
    <w:p w14:paraId="557C1774" w14:textId="34593DA6" w:rsidR="00311409" w:rsidRPr="0078770C" w:rsidRDefault="00311409" w:rsidP="00781360">
      <w:pPr>
        <w:widowControl w:val="0"/>
        <w:jc w:val="both"/>
        <w:rPr>
          <w:rFonts w:eastAsiaTheme="minorHAnsi"/>
          <w:lang w:eastAsia="en-US"/>
        </w:rPr>
      </w:pPr>
    </w:p>
    <w:p w14:paraId="5E9EC6D2" w14:textId="1CD03BA0" w:rsidR="00311409" w:rsidRPr="0078770C" w:rsidRDefault="00311409" w:rsidP="00781360">
      <w:pPr>
        <w:widowControl w:val="0"/>
        <w:jc w:val="both"/>
        <w:rPr>
          <w:lang w:val="es-ES" w:eastAsia="en-US"/>
        </w:rPr>
      </w:pPr>
      <w:r w:rsidRPr="0078770C">
        <w:rPr>
          <w:rFonts w:eastAsiaTheme="minorHAnsi"/>
          <w:lang w:eastAsia="en-US"/>
        </w:rPr>
        <w:t xml:space="preserve">Actualmente en Guatemala se encuentra en discusión </w:t>
      </w:r>
      <w:r w:rsidR="003E577B" w:rsidRPr="0078770C">
        <w:rPr>
          <w:rFonts w:eastAsiaTheme="minorHAnsi"/>
          <w:lang w:eastAsia="en-US"/>
        </w:rPr>
        <w:t>la Iniciativa de Ley 6021</w:t>
      </w:r>
      <w:r w:rsidR="0078770C">
        <w:rPr>
          <w:rFonts w:eastAsiaTheme="minorHAnsi"/>
          <w:lang w:eastAsia="en-US"/>
        </w:rPr>
        <w:t>,</w:t>
      </w:r>
      <w:r w:rsidR="003E577B" w:rsidRPr="0078770C">
        <w:rPr>
          <w:rFonts w:eastAsiaTheme="minorHAnsi"/>
          <w:lang w:eastAsia="en-US"/>
        </w:rPr>
        <w:t xml:space="preserve"> la cual propone reformas a la Ley de Hidrocarburos, Decreto No. 109-83 en donde se proponen reformas al </w:t>
      </w:r>
      <w:r w:rsidR="009004BD" w:rsidRPr="0078770C">
        <w:rPr>
          <w:rFonts w:eastAsiaTheme="minorHAnsi"/>
          <w:lang w:eastAsia="en-US"/>
        </w:rPr>
        <w:t>límite</w:t>
      </w:r>
      <w:r w:rsidR="003E577B" w:rsidRPr="0078770C">
        <w:rPr>
          <w:rFonts w:eastAsiaTheme="minorHAnsi"/>
          <w:lang w:eastAsia="en-US"/>
        </w:rPr>
        <w:t xml:space="preserve"> económico, plazo de contratos, procedimiento de </w:t>
      </w:r>
      <w:proofErr w:type="spellStart"/>
      <w:r w:rsidR="003E577B" w:rsidRPr="0078770C">
        <w:rPr>
          <w:rFonts w:eastAsiaTheme="minorHAnsi"/>
          <w:lang w:eastAsia="en-US"/>
        </w:rPr>
        <w:t>prorroga</w:t>
      </w:r>
      <w:proofErr w:type="spellEnd"/>
      <w:r w:rsidR="003E577B" w:rsidRPr="0078770C">
        <w:rPr>
          <w:rFonts w:eastAsiaTheme="minorHAnsi"/>
          <w:lang w:eastAsia="en-US"/>
        </w:rPr>
        <w:t xml:space="preserve"> de contratos, </w:t>
      </w:r>
      <w:r w:rsidR="003E577B" w:rsidRPr="0078770C">
        <w:rPr>
          <w:rFonts w:eastAsiaTheme="minorHAnsi"/>
          <w:lang w:eastAsia="en-US"/>
        </w:rPr>
        <w:lastRenderedPageBreak/>
        <w:t xml:space="preserve">facilidades de pago y la derogación del Articulo 8 de la Ley del Fondo para el Desarrollo Económico de la Nación, Decreto 71-2008. Con la aprobación de dicha ley se abre la puerta a la explotación petrolera por </w:t>
      </w:r>
      <w:r w:rsidR="009004BD" w:rsidRPr="0078770C">
        <w:rPr>
          <w:rFonts w:eastAsiaTheme="minorHAnsi"/>
          <w:lang w:eastAsia="en-US"/>
        </w:rPr>
        <w:t>más</w:t>
      </w:r>
      <w:r w:rsidR="003E577B" w:rsidRPr="0078770C">
        <w:rPr>
          <w:rFonts w:eastAsiaTheme="minorHAnsi"/>
          <w:lang w:eastAsia="en-US"/>
        </w:rPr>
        <w:t xml:space="preserve"> tiempo</w:t>
      </w:r>
      <w:r w:rsidR="0078770C" w:rsidRPr="0078770C">
        <w:rPr>
          <w:rFonts w:eastAsiaTheme="minorHAnsi"/>
          <w:lang w:eastAsia="en-US"/>
        </w:rPr>
        <w:t>,</w:t>
      </w:r>
      <w:r w:rsidR="003E577B" w:rsidRPr="0078770C">
        <w:rPr>
          <w:rFonts w:eastAsiaTheme="minorHAnsi"/>
          <w:lang w:eastAsia="en-US"/>
        </w:rPr>
        <w:t xml:space="preserve"> </w:t>
      </w:r>
      <w:r w:rsidR="009004BD" w:rsidRPr="0078770C">
        <w:rPr>
          <w:rFonts w:eastAsiaTheme="minorHAnsi"/>
          <w:lang w:eastAsia="en-US"/>
        </w:rPr>
        <w:t>lo cual atraerá inversión extranjera aument</w:t>
      </w:r>
      <w:r w:rsidR="0078770C" w:rsidRPr="0078770C">
        <w:rPr>
          <w:rFonts w:eastAsiaTheme="minorHAnsi"/>
          <w:lang w:eastAsia="en-US"/>
        </w:rPr>
        <w:t>ando</w:t>
      </w:r>
      <w:r w:rsidR="009004BD" w:rsidRPr="0078770C">
        <w:rPr>
          <w:rFonts w:eastAsiaTheme="minorHAnsi"/>
          <w:lang w:eastAsia="en-US"/>
        </w:rPr>
        <w:t xml:space="preserve"> los beneficios económicos que dicha actividad genera al país</w:t>
      </w:r>
      <w:r w:rsidR="0078770C" w:rsidRPr="0078770C">
        <w:rPr>
          <w:rFonts w:eastAsiaTheme="minorHAnsi"/>
          <w:lang w:eastAsia="en-US"/>
        </w:rPr>
        <w:t>. P</w:t>
      </w:r>
      <w:r w:rsidR="009004BD" w:rsidRPr="0078770C">
        <w:rPr>
          <w:rFonts w:eastAsiaTheme="minorHAnsi"/>
          <w:lang w:eastAsia="en-US"/>
        </w:rPr>
        <w:t xml:space="preserve">or otro lado, abre la brecha </w:t>
      </w:r>
      <w:r w:rsidR="0078770C" w:rsidRPr="0078770C">
        <w:rPr>
          <w:rFonts w:eastAsiaTheme="minorHAnsi"/>
          <w:lang w:eastAsia="en-US"/>
        </w:rPr>
        <w:t>a</w:t>
      </w:r>
      <w:r w:rsidR="009004BD" w:rsidRPr="0078770C">
        <w:rPr>
          <w:rFonts w:eastAsiaTheme="minorHAnsi"/>
          <w:lang w:eastAsia="en-US"/>
        </w:rPr>
        <w:t>l mayor uso de recursos naturales</w:t>
      </w:r>
      <w:r w:rsidR="0078770C" w:rsidRPr="0078770C">
        <w:rPr>
          <w:rFonts w:eastAsiaTheme="minorHAnsi"/>
          <w:lang w:eastAsia="en-US"/>
        </w:rPr>
        <w:t>, así como la</w:t>
      </w:r>
      <w:r w:rsidR="009004BD" w:rsidRPr="0078770C">
        <w:rPr>
          <w:rFonts w:eastAsiaTheme="minorHAnsi"/>
          <w:lang w:eastAsia="en-US"/>
        </w:rPr>
        <w:t xml:space="preserve"> degradación de los ecosistemas por lo que </w:t>
      </w:r>
      <w:r w:rsidR="00CB5379" w:rsidRPr="0078770C">
        <w:rPr>
          <w:rFonts w:eastAsiaTheme="minorHAnsi"/>
          <w:lang w:eastAsia="en-US"/>
        </w:rPr>
        <w:t xml:space="preserve">los </w:t>
      </w:r>
      <w:r w:rsidR="00C84132" w:rsidRPr="0078770C">
        <w:rPr>
          <w:rFonts w:eastAsiaTheme="minorHAnsi"/>
          <w:lang w:eastAsia="en-US"/>
        </w:rPr>
        <w:t>riesgos</w:t>
      </w:r>
      <w:r w:rsidR="00CB5379" w:rsidRPr="0078770C">
        <w:rPr>
          <w:rFonts w:eastAsiaTheme="minorHAnsi"/>
          <w:lang w:eastAsia="en-US"/>
        </w:rPr>
        <w:t xml:space="preserve"> vinculados a la parte ambiental</w:t>
      </w:r>
      <w:r w:rsidR="0078770C" w:rsidRPr="0078770C">
        <w:rPr>
          <w:rFonts w:eastAsiaTheme="minorHAnsi"/>
          <w:lang w:eastAsia="en-US"/>
        </w:rPr>
        <w:t xml:space="preserve"> podrían</w:t>
      </w:r>
      <w:r w:rsidR="00CB5379" w:rsidRPr="0078770C">
        <w:rPr>
          <w:rFonts w:eastAsiaTheme="minorHAnsi"/>
          <w:lang w:eastAsia="en-US"/>
        </w:rPr>
        <w:t xml:space="preserve"> aumentar. </w:t>
      </w:r>
    </w:p>
    <w:bookmarkEnd w:id="777"/>
    <w:p w14:paraId="28B26083" w14:textId="77777777" w:rsidR="00C36261" w:rsidRPr="00A57ABC" w:rsidRDefault="00C36261" w:rsidP="00781360">
      <w:pPr>
        <w:widowControl w:val="0"/>
        <w:rPr>
          <w:lang w:val="es-ES" w:eastAsia="en-US"/>
        </w:rPr>
      </w:pPr>
    </w:p>
    <w:p w14:paraId="5E2D5A14" w14:textId="77777777" w:rsidR="00C36261" w:rsidRPr="00A57ABC" w:rsidRDefault="00C36261" w:rsidP="00BC7E77">
      <w:pPr>
        <w:widowControl w:val="0"/>
        <w:jc w:val="both"/>
        <w:rPr>
          <w:rFonts w:eastAsiaTheme="minorHAnsi"/>
          <w:lang w:eastAsia="en-US"/>
        </w:rPr>
      </w:pPr>
      <w:r w:rsidRPr="00A57ABC">
        <w:rPr>
          <w:rFonts w:eastAsiaTheme="minorHAnsi"/>
          <w:lang w:eastAsia="en-US"/>
        </w:rPr>
        <w:t>Según el Informe Estadístico Subsector Hidrocarburos del Ministerio de Energía y Minas para el primer trimestre 2023, existen cuatro contratos vigentes de exploración Petrolera y cinco contratos de explotación petrolera en el país. Los contratos son los siguientes:</w:t>
      </w:r>
    </w:p>
    <w:p w14:paraId="5D2B8518" w14:textId="77777777" w:rsidR="00781360" w:rsidRPr="00A57ABC" w:rsidRDefault="00781360" w:rsidP="00C36261">
      <w:pPr>
        <w:widowControl w:val="0"/>
        <w:rPr>
          <w:rFonts w:eastAsiaTheme="minorHAnsi"/>
          <w:lang w:eastAsia="en-US"/>
        </w:rPr>
      </w:pPr>
    </w:p>
    <w:p w14:paraId="20C576D1" w14:textId="1A994469" w:rsidR="00C36261" w:rsidRPr="00781360" w:rsidRDefault="00781360" w:rsidP="00781360">
      <w:pPr>
        <w:pStyle w:val="Descripcin"/>
        <w:keepNext/>
        <w:rPr>
          <w:color w:val="auto"/>
        </w:rPr>
      </w:pPr>
      <w:bookmarkStart w:id="788" w:name="_Toc143593546"/>
      <w:r w:rsidRPr="00781360">
        <w:rPr>
          <w:color w:val="auto"/>
        </w:rPr>
        <w:t xml:space="preserve">Tabla </w:t>
      </w:r>
      <w:r w:rsidRPr="00781360">
        <w:rPr>
          <w:color w:val="auto"/>
        </w:rPr>
        <w:fldChar w:fldCharType="begin"/>
      </w:r>
      <w:r w:rsidRPr="00781360">
        <w:rPr>
          <w:color w:val="auto"/>
        </w:rPr>
        <w:instrText xml:space="preserve"> SEQ Tabla \* ARABIC </w:instrText>
      </w:r>
      <w:r w:rsidRPr="00781360">
        <w:rPr>
          <w:color w:val="auto"/>
        </w:rPr>
        <w:fldChar w:fldCharType="separate"/>
      </w:r>
      <w:r w:rsidR="00A62AFA">
        <w:rPr>
          <w:noProof/>
          <w:color w:val="auto"/>
        </w:rPr>
        <w:t>44</w:t>
      </w:r>
      <w:r w:rsidRPr="00781360">
        <w:rPr>
          <w:color w:val="auto"/>
        </w:rPr>
        <w:fldChar w:fldCharType="end"/>
      </w:r>
      <w:r w:rsidRPr="00781360">
        <w:rPr>
          <w:color w:val="auto"/>
        </w:rPr>
        <w:t xml:space="preserve">.  </w:t>
      </w:r>
      <w:r w:rsidR="00C36261" w:rsidRPr="00781360">
        <w:rPr>
          <w:bCs/>
          <w:color w:val="auto"/>
        </w:rPr>
        <w:t>Contratos vigentes de exploración y explotación</w:t>
      </w:r>
      <w:bookmarkEnd w:id="788"/>
    </w:p>
    <w:p w14:paraId="526BEC3E" w14:textId="77777777" w:rsidR="00C36261" w:rsidRPr="00781360" w:rsidRDefault="00C36261" w:rsidP="00C36261">
      <w:pPr>
        <w:widowControl w:val="0"/>
        <w:rPr>
          <w:sz w:val="14"/>
          <w:szCs w:val="14"/>
          <w:lang w:val="es-ES" w:eastAsia="en-US"/>
        </w:rPr>
      </w:pPr>
    </w:p>
    <w:tbl>
      <w:tblPr>
        <w:tblStyle w:val="Tabladecuadrcula4-nfasis11"/>
        <w:tblW w:w="8783" w:type="dxa"/>
        <w:tblLook w:val="04A0" w:firstRow="1" w:lastRow="0" w:firstColumn="1" w:lastColumn="0" w:noHBand="0" w:noVBand="1"/>
      </w:tblPr>
      <w:tblGrid>
        <w:gridCol w:w="1021"/>
        <w:gridCol w:w="2134"/>
        <w:gridCol w:w="2179"/>
        <w:gridCol w:w="1128"/>
        <w:gridCol w:w="1205"/>
        <w:gridCol w:w="1116"/>
      </w:tblGrid>
      <w:tr w:rsidR="00C36261" w:rsidRPr="00F75946" w14:paraId="34BAF2D8" w14:textId="77777777" w:rsidTr="00F75946">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783" w:type="dxa"/>
            <w:gridSpan w:val="6"/>
          </w:tcPr>
          <w:p w14:paraId="1152E8D5" w14:textId="77777777" w:rsidR="00C36261" w:rsidRPr="00F75946" w:rsidRDefault="00C36261" w:rsidP="006A7377">
            <w:pPr>
              <w:widowControl w:val="0"/>
              <w:jc w:val="center"/>
              <w:rPr>
                <w:rFonts w:eastAsia="Malgun Gothic"/>
                <w:b w:val="0"/>
                <w:bCs w:val="0"/>
                <w:sz w:val="20"/>
                <w:szCs w:val="20"/>
                <w:lang w:val="es-ES"/>
              </w:rPr>
            </w:pPr>
            <w:r w:rsidRPr="00F75946">
              <w:rPr>
                <w:rFonts w:eastAsia="Malgun Gothic"/>
                <w:sz w:val="20"/>
                <w:szCs w:val="20"/>
                <w:lang w:val="es-ES"/>
              </w:rPr>
              <w:t>Contratos de exploración</w:t>
            </w:r>
          </w:p>
        </w:tc>
      </w:tr>
      <w:tr w:rsidR="00C36261" w:rsidRPr="00F75946" w14:paraId="15DFC81A" w14:textId="77777777" w:rsidTr="00F7594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025" w:type="dxa"/>
          </w:tcPr>
          <w:p w14:paraId="03031C8B" w14:textId="77777777" w:rsidR="00C36261" w:rsidRPr="00F75946" w:rsidRDefault="00C36261" w:rsidP="006A7377">
            <w:pPr>
              <w:widowControl w:val="0"/>
              <w:jc w:val="center"/>
              <w:rPr>
                <w:rFonts w:eastAsia="Malgun Gothic"/>
                <w:sz w:val="20"/>
                <w:szCs w:val="20"/>
                <w:lang w:val="es-ES"/>
              </w:rPr>
            </w:pPr>
            <w:r w:rsidRPr="00F75946">
              <w:rPr>
                <w:rFonts w:eastAsia="Malgun Gothic"/>
                <w:sz w:val="20"/>
                <w:szCs w:val="20"/>
                <w:lang w:val="es-ES"/>
              </w:rPr>
              <w:t>Contrato</w:t>
            </w:r>
          </w:p>
        </w:tc>
        <w:tc>
          <w:tcPr>
            <w:tcW w:w="2227" w:type="dxa"/>
          </w:tcPr>
          <w:p w14:paraId="296AAC55"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b/>
                <w:bCs/>
                <w:sz w:val="20"/>
                <w:szCs w:val="20"/>
                <w:lang w:val="es-ES"/>
              </w:rPr>
            </w:pPr>
            <w:r w:rsidRPr="00F75946">
              <w:rPr>
                <w:rFonts w:eastAsia="Malgun Gothic"/>
                <w:b/>
                <w:bCs/>
                <w:sz w:val="20"/>
                <w:szCs w:val="20"/>
                <w:lang w:val="es-ES"/>
              </w:rPr>
              <w:t>Titular del contrato</w:t>
            </w:r>
          </w:p>
        </w:tc>
        <w:tc>
          <w:tcPr>
            <w:tcW w:w="2300" w:type="dxa"/>
          </w:tcPr>
          <w:p w14:paraId="7C61F652"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b/>
                <w:bCs/>
                <w:sz w:val="20"/>
                <w:szCs w:val="20"/>
                <w:lang w:val="es-ES"/>
              </w:rPr>
            </w:pPr>
            <w:r w:rsidRPr="00F75946">
              <w:rPr>
                <w:rFonts w:eastAsia="Malgun Gothic"/>
                <w:b/>
                <w:bCs/>
                <w:sz w:val="20"/>
                <w:szCs w:val="20"/>
                <w:lang w:val="es-ES"/>
              </w:rPr>
              <w:t>Tip de contrato</w:t>
            </w:r>
          </w:p>
        </w:tc>
        <w:tc>
          <w:tcPr>
            <w:tcW w:w="1033" w:type="dxa"/>
          </w:tcPr>
          <w:p w14:paraId="55339688"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b/>
                <w:bCs/>
                <w:sz w:val="20"/>
                <w:szCs w:val="20"/>
                <w:lang w:val="es-ES"/>
              </w:rPr>
            </w:pPr>
            <w:r w:rsidRPr="00F75946">
              <w:rPr>
                <w:rFonts w:eastAsia="Malgun Gothic"/>
                <w:b/>
                <w:bCs/>
                <w:sz w:val="20"/>
                <w:szCs w:val="20"/>
                <w:lang w:val="es-ES"/>
              </w:rPr>
              <w:t>Fecha inicio</w:t>
            </w:r>
          </w:p>
        </w:tc>
        <w:tc>
          <w:tcPr>
            <w:tcW w:w="1162" w:type="dxa"/>
          </w:tcPr>
          <w:p w14:paraId="3722CB3B"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b/>
                <w:bCs/>
                <w:sz w:val="20"/>
                <w:szCs w:val="20"/>
                <w:lang w:val="es-ES"/>
              </w:rPr>
            </w:pPr>
            <w:r w:rsidRPr="00F75946">
              <w:rPr>
                <w:rFonts w:eastAsia="Malgun Gothic"/>
                <w:b/>
                <w:bCs/>
                <w:sz w:val="20"/>
                <w:szCs w:val="20"/>
                <w:lang w:val="es-ES"/>
              </w:rPr>
              <w:t xml:space="preserve">Fecha finalización </w:t>
            </w:r>
          </w:p>
        </w:tc>
        <w:tc>
          <w:tcPr>
            <w:tcW w:w="1033" w:type="dxa"/>
          </w:tcPr>
          <w:p w14:paraId="4CDB5885"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b/>
                <w:bCs/>
                <w:sz w:val="20"/>
                <w:szCs w:val="20"/>
                <w:lang w:val="es-ES"/>
              </w:rPr>
            </w:pPr>
            <w:r w:rsidRPr="00F75946">
              <w:rPr>
                <w:rFonts w:eastAsia="Malgun Gothic"/>
                <w:b/>
                <w:bCs/>
                <w:sz w:val="20"/>
                <w:szCs w:val="20"/>
                <w:lang w:val="es-ES"/>
              </w:rPr>
              <w:t xml:space="preserve">Área </w:t>
            </w:r>
          </w:p>
        </w:tc>
      </w:tr>
      <w:tr w:rsidR="00C36261" w:rsidRPr="00F75946" w14:paraId="0085DEF9" w14:textId="77777777" w:rsidTr="00F75946">
        <w:trPr>
          <w:trHeight w:val="427"/>
        </w:trPr>
        <w:tc>
          <w:tcPr>
            <w:cnfStyle w:val="001000000000" w:firstRow="0" w:lastRow="0" w:firstColumn="1" w:lastColumn="0" w:oddVBand="0" w:evenVBand="0" w:oddHBand="0" w:evenHBand="0" w:firstRowFirstColumn="0" w:firstRowLastColumn="0" w:lastRowFirstColumn="0" w:lastRowLastColumn="0"/>
            <w:tcW w:w="1025" w:type="dxa"/>
          </w:tcPr>
          <w:p w14:paraId="450C427F" w14:textId="77777777" w:rsidR="00C36261" w:rsidRPr="00F75946" w:rsidRDefault="00C36261" w:rsidP="006A7377">
            <w:pPr>
              <w:widowControl w:val="0"/>
              <w:jc w:val="center"/>
              <w:rPr>
                <w:rFonts w:eastAsia="Malgun Gothic"/>
                <w:sz w:val="20"/>
                <w:szCs w:val="20"/>
                <w:lang w:val="es-ES" w:eastAsia="en-US"/>
              </w:rPr>
            </w:pPr>
            <w:r w:rsidRPr="00F75946">
              <w:rPr>
                <w:rFonts w:eastAsia="Malgun Gothic"/>
                <w:sz w:val="20"/>
                <w:szCs w:val="20"/>
                <w:lang w:val="es-ES" w:eastAsia="en-US"/>
              </w:rPr>
              <w:t>No. 1-15</w:t>
            </w:r>
          </w:p>
        </w:tc>
        <w:tc>
          <w:tcPr>
            <w:tcW w:w="2227" w:type="dxa"/>
          </w:tcPr>
          <w:p w14:paraId="025FCCB2"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n-US" w:eastAsia="en-US"/>
              </w:rPr>
            </w:pPr>
            <w:r w:rsidRPr="00F75946">
              <w:rPr>
                <w:rFonts w:eastAsia="Malgun Gothic"/>
                <w:sz w:val="20"/>
                <w:szCs w:val="20"/>
                <w:lang w:val="en-US" w:eastAsia="en-US"/>
              </w:rPr>
              <w:t>Island Oil Exploration Service, S. A</w:t>
            </w:r>
          </w:p>
        </w:tc>
        <w:tc>
          <w:tcPr>
            <w:tcW w:w="2300" w:type="dxa"/>
          </w:tcPr>
          <w:p w14:paraId="303C71E0"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Exploración y exploración de hidrocarburos</w:t>
            </w:r>
          </w:p>
        </w:tc>
        <w:tc>
          <w:tcPr>
            <w:tcW w:w="1033" w:type="dxa"/>
          </w:tcPr>
          <w:p w14:paraId="19E97479"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12/06/2015</w:t>
            </w:r>
          </w:p>
        </w:tc>
        <w:tc>
          <w:tcPr>
            <w:tcW w:w="1162" w:type="dxa"/>
          </w:tcPr>
          <w:p w14:paraId="2C260520"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11/06/2040</w:t>
            </w:r>
          </w:p>
        </w:tc>
        <w:tc>
          <w:tcPr>
            <w:tcW w:w="1033" w:type="dxa"/>
          </w:tcPr>
          <w:p w14:paraId="499F54D2"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158,912.08 hectáreas</w:t>
            </w:r>
          </w:p>
        </w:tc>
      </w:tr>
      <w:tr w:rsidR="00C36261" w:rsidRPr="00F75946" w14:paraId="5C839D14" w14:textId="77777777" w:rsidTr="00F7594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025" w:type="dxa"/>
          </w:tcPr>
          <w:p w14:paraId="2AC7B267" w14:textId="77777777" w:rsidR="00C36261" w:rsidRPr="00F75946" w:rsidRDefault="00C36261" w:rsidP="006A7377">
            <w:pPr>
              <w:widowControl w:val="0"/>
              <w:jc w:val="center"/>
              <w:rPr>
                <w:rFonts w:eastAsia="Malgun Gothic"/>
                <w:sz w:val="20"/>
                <w:szCs w:val="20"/>
                <w:lang w:val="es-ES" w:eastAsia="en-US"/>
              </w:rPr>
            </w:pPr>
            <w:r w:rsidRPr="00F75946">
              <w:rPr>
                <w:rFonts w:eastAsia="Malgun Gothic"/>
                <w:sz w:val="20"/>
                <w:szCs w:val="20"/>
                <w:lang w:val="es-ES" w:eastAsia="en-US"/>
              </w:rPr>
              <w:t>No. 1-2011</w:t>
            </w:r>
          </w:p>
        </w:tc>
        <w:tc>
          <w:tcPr>
            <w:tcW w:w="2227" w:type="dxa"/>
          </w:tcPr>
          <w:p w14:paraId="4A13D8E2"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City Petén, Sociedad de Responsabilidad Limitada</w:t>
            </w:r>
          </w:p>
        </w:tc>
        <w:tc>
          <w:tcPr>
            <w:tcW w:w="2300" w:type="dxa"/>
          </w:tcPr>
          <w:p w14:paraId="767435AB"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Exploración y exploración de hidrocarburos</w:t>
            </w:r>
          </w:p>
        </w:tc>
        <w:tc>
          <w:tcPr>
            <w:tcW w:w="1033" w:type="dxa"/>
          </w:tcPr>
          <w:p w14:paraId="633BE84A"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27/08/2013</w:t>
            </w:r>
          </w:p>
        </w:tc>
        <w:tc>
          <w:tcPr>
            <w:tcW w:w="1162" w:type="dxa"/>
          </w:tcPr>
          <w:p w14:paraId="0C4B52CD"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26/08/2038</w:t>
            </w:r>
          </w:p>
        </w:tc>
        <w:tc>
          <w:tcPr>
            <w:tcW w:w="1033" w:type="dxa"/>
          </w:tcPr>
          <w:p w14:paraId="40B435E0"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143,344.55 hectáreas </w:t>
            </w:r>
          </w:p>
        </w:tc>
      </w:tr>
      <w:tr w:rsidR="00C36261" w:rsidRPr="00F75946" w14:paraId="314A3E58" w14:textId="77777777" w:rsidTr="00F75946">
        <w:trPr>
          <w:trHeight w:val="427"/>
        </w:trPr>
        <w:tc>
          <w:tcPr>
            <w:cnfStyle w:val="001000000000" w:firstRow="0" w:lastRow="0" w:firstColumn="1" w:lastColumn="0" w:oddVBand="0" w:evenVBand="0" w:oddHBand="0" w:evenHBand="0" w:firstRowFirstColumn="0" w:firstRowLastColumn="0" w:lastRowFirstColumn="0" w:lastRowLastColumn="0"/>
            <w:tcW w:w="1025" w:type="dxa"/>
          </w:tcPr>
          <w:p w14:paraId="402DE5C7" w14:textId="77777777" w:rsidR="00C36261" w:rsidRPr="00F75946" w:rsidRDefault="00C36261" w:rsidP="006A7377">
            <w:pPr>
              <w:widowControl w:val="0"/>
              <w:jc w:val="center"/>
              <w:rPr>
                <w:rFonts w:eastAsia="Malgun Gothic"/>
                <w:sz w:val="20"/>
                <w:szCs w:val="20"/>
                <w:lang w:val="es-ES" w:eastAsia="en-US"/>
              </w:rPr>
            </w:pPr>
            <w:r w:rsidRPr="00F75946">
              <w:rPr>
                <w:rFonts w:eastAsia="Malgun Gothic"/>
                <w:sz w:val="20"/>
                <w:szCs w:val="20"/>
                <w:lang w:val="es-ES" w:eastAsia="en-US"/>
              </w:rPr>
              <w:t>No. 2-2014</w:t>
            </w:r>
          </w:p>
        </w:tc>
        <w:tc>
          <w:tcPr>
            <w:tcW w:w="2227" w:type="dxa"/>
          </w:tcPr>
          <w:p w14:paraId="3BD4D125"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proofErr w:type="spellStart"/>
            <w:r w:rsidRPr="00F75946">
              <w:rPr>
                <w:rFonts w:eastAsia="Malgun Gothic"/>
                <w:sz w:val="20"/>
                <w:szCs w:val="20"/>
                <w:lang w:val="es-ES" w:eastAsia="en-US"/>
              </w:rPr>
              <w:t>Greenfields</w:t>
            </w:r>
            <w:proofErr w:type="spellEnd"/>
            <w:r w:rsidRPr="00F75946">
              <w:rPr>
                <w:rFonts w:eastAsia="Malgun Gothic"/>
                <w:sz w:val="20"/>
                <w:szCs w:val="20"/>
                <w:lang w:val="es-ES" w:eastAsia="en-US"/>
              </w:rPr>
              <w:t xml:space="preserve"> </w:t>
            </w:r>
            <w:proofErr w:type="spellStart"/>
            <w:r w:rsidRPr="00F75946">
              <w:rPr>
                <w:rFonts w:eastAsia="Malgun Gothic"/>
                <w:sz w:val="20"/>
                <w:szCs w:val="20"/>
                <w:lang w:val="es-ES" w:eastAsia="en-US"/>
              </w:rPr>
              <w:t>Petroleum</w:t>
            </w:r>
            <w:proofErr w:type="spellEnd"/>
            <w:r w:rsidRPr="00F75946">
              <w:rPr>
                <w:rFonts w:eastAsia="Malgun Gothic"/>
                <w:sz w:val="20"/>
                <w:szCs w:val="20"/>
                <w:lang w:val="es-ES" w:eastAsia="en-US"/>
              </w:rPr>
              <w:t xml:space="preserve"> (Guatemala) </w:t>
            </w:r>
            <w:proofErr w:type="spellStart"/>
            <w:r w:rsidRPr="00F75946">
              <w:rPr>
                <w:rFonts w:eastAsia="Malgun Gothic"/>
                <w:sz w:val="20"/>
                <w:szCs w:val="20"/>
                <w:lang w:val="es-ES" w:eastAsia="en-US"/>
              </w:rPr>
              <w:t>Limited</w:t>
            </w:r>
            <w:proofErr w:type="spellEnd"/>
          </w:p>
        </w:tc>
        <w:tc>
          <w:tcPr>
            <w:tcW w:w="2300" w:type="dxa"/>
          </w:tcPr>
          <w:p w14:paraId="6E6847B7"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Exploración de Hidrocarburos</w:t>
            </w:r>
          </w:p>
        </w:tc>
        <w:tc>
          <w:tcPr>
            <w:tcW w:w="1033" w:type="dxa"/>
          </w:tcPr>
          <w:p w14:paraId="31941810"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2/01/2015 </w:t>
            </w:r>
          </w:p>
        </w:tc>
        <w:tc>
          <w:tcPr>
            <w:tcW w:w="1162" w:type="dxa"/>
          </w:tcPr>
          <w:p w14:paraId="196BFCE6"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01/01/2040</w:t>
            </w:r>
          </w:p>
        </w:tc>
        <w:tc>
          <w:tcPr>
            <w:tcW w:w="1033" w:type="dxa"/>
          </w:tcPr>
          <w:p w14:paraId="5ED1CA49"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34,723.38 hectáreas</w:t>
            </w:r>
          </w:p>
        </w:tc>
      </w:tr>
      <w:tr w:rsidR="00C36261" w:rsidRPr="00F75946" w14:paraId="11685280" w14:textId="77777777" w:rsidTr="00F7594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025" w:type="dxa"/>
          </w:tcPr>
          <w:p w14:paraId="0846780F" w14:textId="77777777" w:rsidR="00C36261" w:rsidRPr="00F75946" w:rsidRDefault="00C36261" w:rsidP="006A7377">
            <w:pPr>
              <w:widowControl w:val="0"/>
              <w:jc w:val="center"/>
              <w:rPr>
                <w:rFonts w:eastAsia="Malgun Gothic"/>
                <w:sz w:val="20"/>
                <w:szCs w:val="20"/>
                <w:lang w:val="es-ES" w:eastAsia="en-US"/>
              </w:rPr>
            </w:pPr>
            <w:r w:rsidRPr="00F75946">
              <w:rPr>
                <w:rFonts w:eastAsia="Malgun Gothic"/>
                <w:sz w:val="20"/>
                <w:szCs w:val="20"/>
                <w:lang w:val="es-ES" w:eastAsia="en-US"/>
              </w:rPr>
              <w:t>No. 2-19</w:t>
            </w:r>
          </w:p>
        </w:tc>
        <w:tc>
          <w:tcPr>
            <w:tcW w:w="2227" w:type="dxa"/>
          </w:tcPr>
          <w:p w14:paraId="127892DF"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proofErr w:type="spellStart"/>
            <w:r w:rsidRPr="00F75946">
              <w:rPr>
                <w:rFonts w:eastAsia="Malgun Gothic"/>
                <w:sz w:val="20"/>
                <w:szCs w:val="20"/>
                <w:lang w:val="es-ES" w:eastAsia="en-US"/>
              </w:rPr>
              <w:t>Alyonca</w:t>
            </w:r>
            <w:proofErr w:type="spellEnd"/>
            <w:r w:rsidRPr="00F75946">
              <w:rPr>
                <w:rFonts w:eastAsia="Malgun Gothic"/>
                <w:sz w:val="20"/>
                <w:szCs w:val="20"/>
                <w:lang w:val="es-ES" w:eastAsia="en-US"/>
              </w:rPr>
              <w:t xml:space="preserve"> </w:t>
            </w:r>
            <w:proofErr w:type="spellStart"/>
            <w:r w:rsidRPr="00F75946">
              <w:rPr>
                <w:rFonts w:eastAsia="Malgun Gothic"/>
                <w:sz w:val="20"/>
                <w:szCs w:val="20"/>
                <w:lang w:val="es-ES" w:eastAsia="en-US"/>
              </w:rPr>
              <w:t>Corporation</w:t>
            </w:r>
            <w:proofErr w:type="spellEnd"/>
            <w:r w:rsidRPr="00F75946">
              <w:rPr>
                <w:rFonts w:eastAsia="Malgun Gothic"/>
                <w:sz w:val="20"/>
                <w:szCs w:val="20"/>
                <w:lang w:val="es-ES" w:eastAsia="en-US"/>
              </w:rPr>
              <w:t>, Sociedad Anónima</w:t>
            </w:r>
          </w:p>
        </w:tc>
        <w:tc>
          <w:tcPr>
            <w:tcW w:w="2300" w:type="dxa"/>
          </w:tcPr>
          <w:p w14:paraId="36A72A10"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Contrato de Emergencia </w:t>
            </w:r>
          </w:p>
        </w:tc>
        <w:tc>
          <w:tcPr>
            <w:tcW w:w="1033" w:type="dxa"/>
          </w:tcPr>
          <w:p w14:paraId="4605725E"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22/08/2019</w:t>
            </w:r>
          </w:p>
        </w:tc>
        <w:tc>
          <w:tcPr>
            <w:tcW w:w="1162" w:type="dxa"/>
          </w:tcPr>
          <w:p w14:paraId="5A014FB9"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21/08/2024</w:t>
            </w:r>
          </w:p>
        </w:tc>
        <w:tc>
          <w:tcPr>
            <w:tcW w:w="1033" w:type="dxa"/>
          </w:tcPr>
          <w:p w14:paraId="7F5C424C"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130,186.29 hectáreas </w:t>
            </w:r>
          </w:p>
        </w:tc>
      </w:tr>
      <w:tr w:rsidR="00C36261" w:rsidRPr="00F75946" w14:paraId="0D688CCC" w14:textId="77777777" w:rsidTr="00F75946">
        <w:trPr>
          <w:trHeight w:val="213"/>
        </w:trPr>
        <w:tc>
          <w:tcPr>
            <w:cnfStyle w:val="001000000000" w:firstRow="0" w:lastRow="0" w:firstColumn="1" w:lastColumn="0" w:oddVBand="0" w:evenVBand="0" w:oddHBand="0" w:evenHBand="0" w:firstRowFirstColumn="0" w:firstRowLastColumn="0" w:lastRowFirstColumn="0" w:lastRowLastColumn="0"/>
            <w:tcW w:w="6587" w:type="dxa"/>
            <w:gridSpan w:val="4"/>
          </w:tcPr>
          <w:p w14:paraId="6A31B9C3" w14:textId="77777777" w:rsidR="00C36261" w:rsidRPr="00F75946" w:rsidRDefault="00C36261" w:rsidP="006A7377">
            <w:pPr>
              <w:widowControl w:val="0"/>
              <w:ind w:left="2124"/>
              <w:jc w:val="center"/>
              <w:rPr>
                <w:rFonts w:eastAsia="Malgun Gothic"/>
                <w:sz w:val="20"/>
                <w:szCs w:val="20"/>
                <w:lang w:val="es-ES"/>
              </w:rPr>
            </w:pPr>
            <w:r w:rsidRPr="00F75946">
              <w:rPr>
                <w:rFonts w:eastAsia="Malgun Gothic"/>
                <w:sz w:val="20"/>
                <w:szCs w:val="20"/>
                <w:lang w:val="es-ES"/>
              </w:rPr>
              <w:t>Contratación de explotación</w:t>
            </w:r>
          </w:p>
        </w:tc>
        <w:tc>
          <w:tcPr>
            <w:tcW w:w="1162" w:type="dxa"/>
          </w:tcPr>
          <w:p w14:paraId="10B04FB3"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0"/>
                <w:szCs w:val="20"/>
                <w:lang w:val="es-ES"/>
              </w:rPr>
            </w:pPr>
          </w:p>
        </w:tc>
        <w:tc>
          <w:tcPr>
            <w:tcW w:w="1033" w:type="dxa"/>
          </w:tcPr>
          <w:p w14:paraId="56EE420B"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0"/>
                <w:szCs w:val="20"/>
                <w:lang w:val="es-ES"/>
              </w:rPr>
            </w:pPr>
          </w:p>
        </w:tc>
      </w:tr>
      <w:tr w:rsidR="00C36261" w:rsidRPr="00F75946" w14:paraId="7A679E06" w14:textId="77777777" w:rsidTr="00F7594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025" w:type="dxa"/>
          </w:tcPr>
          <w:p w14:paraId="7EEE17B1" w14:textId="77777777" w:rsidR="00C36261" w:rsidRPr="00F75946" w:rsidRDefault="00C36261" w:rsidP="006A7377">
            <w:pPr>
              <w:widowControl w:val="0"/>
              <w:jc w:val="center"/>
              <w:rPr>
                <w:rFonts w:eastAsia="Malgun Gothic"/>
                <w:sz w:val="20"/>
                <w:szCs w:val="20"/>
                <w:lang w:val="es-ES" w:eastAsia="en-US"/>
              </w:rPr>
            </w:pPr>
            <w:r w:rsidRPr="00F75946">
              <w:rPr>
                <w:rFonts w:eastAsia="Malgun Gothic"/>
                <w:sz w:val="20"/>
                <w:szCs w:val="20"/>
                <w:lang w:val="es-ES" w:eastAsia="en-US"/>
              </w:rPr>
              <w:t>No. 2-85</w:t>
            </w:r>
          </w:p>
        </w:tc>
        <w:tc>
          <w:tcPr>
            <w:tcW w:w="2227" w:type="dxa"/>
          </w:tcPr>
          <w:p w14:paraId="0F0FDA3D"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proofErr w:type="spellStart"/>
            <w:r w:rsidRPr="00F75946">
              <w:rPr>
                <w:rFonts w:eastAsia="Malgun Gothic"/>
                <w:sz w:val="20"/>
                <w:szCs w:val="20"/>
                <w:lang w:val="es-ES" w:eastAsia="en-US"/>
              </w:rPr>
              <w:t>Perenco</w:t>
            </w:r>
            <w:proofErr w:type="spellEnd"/>
            <w:r w:rsidRPr="00F75946">
              <w:rPr>
                <w:rFonts w:eastAsia="Malgun Gothic"/>
                <w:sz w:val="20"/>
                <w:szCs w:val="20"/>
                <w:lang w:val="es-ES" w:eastAsia="en-US"/>
              </w:rPr>
              <w:t xml:space="preserve"> Guatemala </w:t>
            </w:r>
            <w:proofErr w:type="spellStart"/>
            <w:r w:rsidRPr="00F75946">
              <w:rPr>
                <w:rFonts w:eastAsia="Malgun Gothic"/>
                <w:sz w:val="20"/>
                <w:szCs w:val="20"/>
                <w:lang w:val="es-ES" w:eastAsia="en-US"/>
              </w:rPr>
              <w:t>Limited</w:t>
            </w:r>
            <w:proofErr w:type="spellEnd"/>
          </w:p>
        </w:tc>
        <w:tc>
          <w:tcPr>
            <w:tcW w:w="2300" w:type="dxa"/>
          </w:tcPr>
          <w:p w14:paraId="6E34103A"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Modificación, ampliación y prórroga del contrato de operaciones petrolera de explotación</w:t>
            </w:r>
          </w:p>
        </w:tc>
        <w:tc>
          <w:tcPr>
            <w:tcW w:w="1033" w:type="dxa"/>
          </w:tcPr>
          <w:p w14:paraId="5E5F7881"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13/08/2010</w:t>
            </w:r>
          </w:p>
        </w:tc>
        <w:tc>
          <w:tcPr>
            <w:tcW w:w="1162" w:type="dxa"/>
          </w:tcPr>
          <w:p w14:paraId="0F9EDB63"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12/08/2025</w:t>
            </w:r>
          </w:p>
        </w:tc>
        <w:tc>
          <w:tcPr>
            <w:tcW w:w="1033" w:type="dxa"/>
          </w:tcPr>
          <w:p w14:paraId="5C53155E"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98,553 hectáreas </w:t>
            </w:r>
          </w:p>
        </w:tc>
      </w:tr>
      <w:tr w:rsidR="00C36261" w:rsidRPr="00F75946" w14:paraId="6C41D559" w14:textId="77777777" w:rsidTr="00F75946">
        <w:trPr>
          <w:trHeight w:val="878"/>
        </w:trPr>
        <w:tc>
          <w:tcPr>
            <w:cnfStyle w:val="001000000000" w:firstRow="0" w:lastRow="0" w:firstColumn="1" w:lastColumn="0" w:oddVBand="0" w:evenVBand="0" w:oddHBand="0" w:evenHBand="0" w:firstRowFirstColumn="0" w:firstRowLastColumn="0" w:lastRowFirstColumn="0" w:lastRowLastColumn="0"/>
            <w:tcW w:w="1025" w:type="dxa"/>
          </w:tcPr>
          <w:p w14:paraId="74263514" w14:textId="77777777" w:rsidR="00C36261" w:rsidRPr="00F75946" w:rsidRDefault="00C36261" w:rsidP="006A7377">
            <w:pPr>
              <w:widowControl w:val="0"/>
              <w:jc w:val="center"/>
              <w:rPr>
                <w:rFonts w:eastAsia="Malgun Gothic"/>
                <w:sz w:val="20"/>
                <w:szCs w:val="20"/>
                <w:lang w:val="es-ES" w:eastAsia="en-US"/>
              </w:rPr>
            </w:pPr>
            <w:r w:rsidRPr="00F75946">
              <w:rPr>
                <w:rFonts w:eastAsia="Malgun Gothic"/>
                <w:sz w:val="20"/>
                <w:szCs w:val="20"/>
                <w:lang w:val="es-ES" w:eastAsia="en-US"/>
              </w:rPr>
              <w:t>No. 1-91</w:t>
            </w:r>
          </w:p>
        </w:tc>
        <w:tc>
          <w:tcPr>
            <w:tcW w:w="2227" w:type="dxa"/>
          </w:tcPr>
          <w:p w14:paraId="78CF257E"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Petro Energy, S. A</w:t>
            </w:r>
          </w:p>
        </w:tc>
        <w:tc>
          <w:tcPr>
            <w:tcW w:w="2300" w:type="dxa"/>
          </w:tcPr>
          <w:p w14:paraId="3DDE3BE6"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Modificación, ampliación y prórroga del contrato de operaciones petrolera de explotación</w:t>
            </w:r>
          </w:p>
        </w:tc>
        <w:tc>
          <w:tcPr>
            <w:tcW w:w="1033" w:type="dxa"/>
          </w:tcPr>
          <w:p w14:paraId="11ACBA67"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13/12/2013</w:t>
            </w:r>
          </w:p>
        </w:tc>
        <w:tc>
          <w:tcPr>
            <w:tcW w:w="1162" w:type="dxa"/>
          </w:tcPr>
          <w:p w14:paraId="2A77BEB6"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12/12/2028</w:t>
            </w:r>
          </w:p>
        </w:tc>
        <w:tc>
          <w:tcPr>
            <w:tcW w:w="1033" w:type="dxa"/>
          </w:tcPr>
          <w:p w14:paraId="4EDC15EC"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19,773.07 hectáreas </w:t>
            </w:r>
          </w:p>
        </w:tc>
      </w:tr>
      <w:tr w:rsidR="00C36261" w:rsidRPr="00F75946" w14:paraId="0E7085AE" w14:textId="77777777" w:rsidTr="00F7594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25" w:type="dxa"/>
          </w:tcPr>
          <w:p w14:paraId="34A2B6A3" w14:textId="77777777" w:rsidR="00C36261" w:rsidRPr="00F75946" w:rsidRDefault="00C36261" w:rsidP="006A7377">
            <w:pPr>
              <w:widowControl w:val="0"/>
              <w:jc w:val="center"/>
              <w:rPr>
                <w:rFonts w:eastAsia="Malgun Gothic"/>
                <w:sz w:val="20"/>
                <w:szCs w:val="20"/>
                <w:lang w:val="es-ES" w:eastAsia="en-US"/>
              </w:rPr>
            </w:pPr>
            <w:r w:rsidRPr="00F75946">
              <w:rPr>
                <w:rFonts w:eastAsia="Malgun Gothic"/>
                <w:sz w:val="20"/>
                <w:szCs w:val="20"/>
                <w:lang w:val="es-ES" w:eastAsia="en-US"/>
              </w:rPr>
              <w:t>No. 1-2005</w:t>
            </w:r>
          </w:p>
        </w:tc>
        <w:tc>
          <w:tcPr>
            <w:tcW w:w="2227" w:type="dxa"/>
          </w:tcPr>
          <w:p w14:paraId="61455611"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proofErr w:type="spellStart"/>
            <w:r w:rsidRPr="00F75946">
              <w:rPr>
                <w:rFonts w:eastAsia="Malgun Gothic"/>
                <w:sz w:val="20"/>
                <w:szCs w:val="20"/>
                <w:lang w:val="es-ES" w:eastAsia="en-US"/>
              </w:rPr>
              <w:t>Latin</w:t>
            </w:r>
            <w:proofErr w:type="spellEnd"/>
            <w:r w:rsidRPr="00F75946">
              <w:rPr>
                <w:rFonts w:eastAsia="Malgun Gothic"/>
                <w:sz w:val="20"/>
                <w:szCs w:val="20"/>
                <w:lang w:val="es-ES" w:eastAsia="en-US"/>
              </w:rPr>
              <w:t xml:space="preserve"> American </w:t>
            </w:r>
            <w:proofErr w:type="spellStart"/>
            <w:r w:rsidRPr="00F75946">
              <w:rPr>
                <w:rFonts w:eastAsia="Malgun Gothic"/>
                <w:sz w:val="20"/>
                <w:szCs w:val="20"/>
                <w:lang w:val="es-ES" w:eastAsia="en-US"/>
              </w:rPr>
              <w:t>Resource</w:t>
            </w:r>
            <w:proofErr w:type="spellEnd"/>
            <w:r w:rsidRPr="00F75946">
              <w:rPr>
                <w:rFonts w:eastAsia="Malgun Gothic"/>
                <w:sz w:val="20"/>
                <w:szCs w:val="20"/>
                <w:lang w:val="es-ES" w:eastAsia="en-US"/>
              </w:rPr>
              <w:t xml:space="preserve"> LTD</w:t>
            </w:r>
          </w:p>
        </w:tc>
        <w:tc>
          <w:tcPr>
            <w:tcW w:w="2300" w:type="dxa"/>
          </w:tcPr>
          <w:p w14:paraId="3C03B5A0"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Contrato de exploración y explotación hidrocarburos </w:t>
            </w:r>
          </w:p>
        </w:tc>
        <w:tc>
          <w:tcPr>
            <w:tcW w:w="1033" w:type="dxa"/>
          </w:tcPr>
          <w:p w14:paraId="755B80BB"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28/03/2006</w:t>
            </w:r>
          </w:p>
        </w:tc>
        <w:tc>
          <w:tcPr>
            <w:tcW w:w="1162" w:type="dxa"/>
          </w:tcPr>
          <w:p w14:paraId="52667C52"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27/03/2031</w:t>
            </w:r>
          </w:p>
        </w:tc>
        <w:tc>
          <w:tcPr>
            <w:tcW w:w="1033" w:type="dxa"/>
          </w:tcPr>
          <w:p w14:paraId="40BC2F54"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31,451.29 hectáreas </w:t>
            </w:r>
          </w:p>
        </w:tc>
      </w:tr>
      <w:tr w:rsidR="00C36261" w:rsidRPr="00F75946" w14:paraId="75A6CD45" w14:textId="77777777" w:rsidTr="00F75946">
        <w:trPr>
          <w:trHeight w:val="653"/>
        </w:trPr>
        <w:tc>
          <w:tcPr>
            <w:cnfStyle w:val="001000000000" w:firstRow="0" w:lastRow="0" w:firstColumn="1" w:lastColumn="0" w:oddVBand="0" w:evenVBand="0" w:oddHBand="0" w:evenHBand="0" w:firstRowFirstColumn="0" w:firstRowLastColumn="0" w:lastRowFirstColumn="0" w:lastRowLastColumn="0"/>
            <w:tcW w:w="1025" w:type="dxa"/>
          </w:tcPr>
          <w:p w14:paraId="0DC527BA" w14:textId="77777777" w:rsidR="00C36261" w:rsidRPr="00F75946" w:rsidRDefault="00C36261" w:rsidP="006A7377">
            <w:pPr>
              <w:widowControl w:val="0"/>
              <w:jc w:val="center"/>
              <w:rPr>
                <w:rFonts w:eastAsia="Malgun Gothic"/>
                <w:sz w:val="20"/>
                <w:szCs w:val="20"/>
                <w:lang w:val="es-ES" w:eastAsia="en-US"/>
              </w:rPr>
            </w:pPr>
            <w:r w:rsidRPr="00F75946">
              <w:rPr>
                <w:rFonts w:eastAsia="Malgun Gothic"/>
                <w:sz w:val="20"/>
                <w:szCs w:val="20"/>
                <w:lang w:val="es-ES" w:eastAsia="en-US"/>
              </w:rPr>
              <w:t>No. 1-2006</w:t>
            </w:r>
          </w:p>
        </w:tc>
        <w:tc>
          <w:tcPr>
            <w:tcW w:w="2227" w:type="dxa"/>
          </w:tcPr>
          <w:p w14:paraId="5F91B0EF"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City Petén, Sociedad de Responsabilidad Limitada</w:t>
            </w:r>
          </w:p>
        </w:tc>
        <w:tc>
          <w:tcPr>
            <w:tcW w:w="2300" w:type="dxa"/>
          </w:tcPr>
          <w:p w14:paraId="733D9AA9"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Contrato de exploración y explotación de hidrocarburos</w:t>
            </w:r>
          </w:p>
        </w:tc>
        <w:tc>
          <w:tcPr>
            <w:tcW w:w="1033" w:type="dxa"/>
          </w:tcPr>
          <w:p w14:paraId="1D633D6F"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21/09/2006</w:t>
            </w:r>
          </w:p>
        </w:tc>
        <w:tc>
          <w:tcPr>
            <w:tcW w:w="1162" w:type="dxa"/>
          </w:tcPr>
          <w:p w14:paraId="03387E81"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20/09/2031</w:t>
            </w:r>
          </w:p>
        </w:tc>
        <w:tc>
          <w:tcPr>
            <w:tcW w:w="1033" w:type="dxa"/>
          </w:tcPr>
          <w:p w14:paraId="2959D0AA"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23,761.99 hectáreas </w:t>
            </w:r>
          </w:p>
        </w:tc>
      </w:tr>
      <w:tr w:rsidR="00C36261" w:rsidRPr="00F75946" w14:paraId="50667732" w14:textId="77777777" w:rsidTr="00F75946">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025" w:type="dxa"/>
          </w:tcPr>
          <w:p w14:paraId="1B1DB3CC" w14:textId="77777777" w:rsidR="00C36261" w:rsidRPr="00F75946" w:rsidRDefault="00C36261" w:rsidP="006A7377">
            <w:pPr>
              <w:widowControl w:val="0"/>
              <w:jc w:val="center"/>
              <w:rPr>
                <w:rFonts w:eastAsia="Malgun Gothic"/>
                <w:sz w:val="20"/>
                <w:szCs w:val="20"/>
                <w:lang w:val="es-ES" w:eastAsia="en-US"/>
              </w:rPr>
            </w:pPr>
            <w:r w:rsidRPr="00F75946">
              <w:rPr>
                <w:rFonts w:eastAsia="Malgun Gothic"/>
                <w:sz w:val="20"/>
                <w:szCs w:val="20"/>
                <w:lang w:val="es-ES" w:eastAsia="en-US"/>
              </w:rPr>
              <w:t>No. 2-2009</w:t>
            </w:r>
          </w:p>
        </w:tc>
        <w:tc>
          <w:tcPr>
            <w:tcW w:w="2227" w:type="dxa"/>
          </w:tcPr>
          <w:p w14:paraId="5D8769F5"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Empresa Petrolera del </w:t>
            </w:r>
            <w:proofErr w:type="spellStart"/>
            <w:r w:rsidRPr="00F75946">
              <w:rPr>
                <w:rFonts w:eastAsia="Malgun Gothic"/>
                <w:sz w:val="20"/>
                <w:szCs w:val="20"/>
                <w:lang w:val="es-ES" w:eastAsia="en-US"/>
              </w:rPr>
              <w:t>Itsmo</w:t>
            </w:r>
            <w:proofErr w:type="spellEnd"/>
            <w:r w:rsidRPr="00F75946">
              <w:rPr>
                <w:rFonts w:eastAsia="Malgun Gothic"/>
                <w:sz w:val="20"/>
                <w:szCs w:val="20"/>
                <w:lang w:val="es-ES" w:eastAsia="en-US"/>
              </w:rPr>
              <w:t xml:space="preserve">, S.A </w:t>
            </w:r>
          </w:p>
        </w:tc>
        <w:tc>
          <w:tcPr>
            <w:tcW w:w="2300" w:type="dxa"/>
          </w:tcPr>
          <w:p w14:paraId="2EF8B578"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Contrato de administración y ejecución de los Convenios para la conservación y producción eficiente de las áreas de </w:t>
            </w:r>
            <w:proofErr w:type="spellStart"/>
            <w:r w:rsidRPr="00F75946">
              <w:rPr>
                <w:rFonts w:eastAsia="Malgun Gothic"/>
                <w:sz w:val="20"/>
                <w:szCs w:val="20"/>
                <w:lang w:val="es-ES" w:eastAsia="en-US"/>
              </w:rPr>
              <w:t>Rubelsanto</w:t>
            </w:r>
            <w:proofErr w:type="spellEnd"/>
            <w:r w:rsidRPr="00F75946">
              <w:rPr>
                <w:rFonts w:eastAsia="Malgun Gothic"/>
                <w:sz w:val="20"/>
                <w:szCs w:val="20"/>
                <w:lang w:val="es-ES" w:eastAsia="en-US"/>
              </w:rPr>
              <w:t xml:space="preserve">, Tierra Blanca, Caribe y </w:t>
            </w:r>
            <w:proofErr w:type="spellStart"/>
            <w:r w:rsidRPr="00F75946">
              <w:rPr>
                <w:rFonts w:eastAsia="Malgun Gothic"/>
                <w:sz w:val="20"/>
                <w:szCs w:val="20"/>
                <w:lang w:val="es-ES" w:eastAsia="en-US"/>
              </w:rPr>
              <w:t>Chinaja</w:t>
            </w:r>
            <w:proofErr w:type="spellEnd"/>
            <w:r w:rsidRPr="00F75946">
              <w:rPr>
                <w:rFonts w:eastAsia="Malgun Gothic"/>
                <w:sz w:val="20"/>
                <w:szCs w:val="20"/>
                <w:lang w:val="es-ES" w:eastAsia="en-US"/>
              </w:rPr>
              <w:t xml:space="preserve"> Oeste </w:t>
            </w:r>
          </w:p>
        </w:tc>
        <w:tc>
          <w:tcPr>
            <w:tcW w:w="1033" w:type="dxa"/>
          </w:tcPr>
          <w:p w14:paraId="165691CA"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28/07/2009</w:t>
            </w:r>
          </w:p>
        </w:tc>
        <w:tc>
          <w:tcPr>
            <w:tcW w:w="1162" w:type="dxa"/>
          </w:tcPr>
          <w:p w14:paraId="1223BA04"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27/07/2034</w:t>
            </w:r>
          </w:p>
        </w:tc>
        <w:tc>
          <w:tcPr>
            <w:tcW w:w="1033" w:type="dxa"/>
          </w:tcPr>
          <w:p w14:paraId="7FA3F7CD"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lang w:val="es-ES" w:eastAsia="en-US"/>
              </w:rPr>
            </w:pPr>
            <w:r w:rsidRPr="00F75946">
              <w:rPr>
                <w:rFonts w:eastAsia="Malgun Gothic"/>
                <w:sz w:val="20"/>
                <w:szCs w:val="20"/>
                <w:lang w:val="es-ES" w:eastAsia="en-US"/>
              </w:rPr>
              <w:t xml:space="preserve">20,706.77 hectáreas </w:t>
            </w:r>
          </w:p>
        </w:tc>
      </w:tr>
    </w:tbl>
    <w:p w14:paraId="05F79F98" w14:textId="77777777" w:rsidR="00C36261" w:rsidRPr="00781360" w:rsidRDefault="00C36261" w:rsidP="00C36261">
      <w:pPr>
        <w:widowControl w:val="0"/>
        <w:rPr>
          <w:sz w:val="16"/>
          <w:szCs w:val="16"/>
          <w:lang w:val="es-ES" w:eastAsia="en-US"/>
        </w:rPr>
      </w:pPr>
      <w:r w:rsidRPr="00781360">
        <w:rPr>
          <w:sz w:val="16"/>
          <w:szCs w:val="16"/>
          <w:lang w:val="es-ES" w:eastAsia="en-US"/>
        </w:rPr>
        <w:t>Fuente: Dirección General de Hidrocarburos, MEM 2023</w:t>
      </w:r>
    </w:p>
    <w:p w14:paraId="07B24950" w14:textId="77777777" w:rsidR="00C36261" w:rsidRPr="00A57ABC" w:rsidRDefault="00C36261" w:rsidP="00C36261">
      <w:pPr>
        <w:widowControl w:val="0"/>
        <w:rPr>
          <w:sz w:val="18"/>
          <w:szCs w:val="18"/>
          <w:lang w:val="es-ES" w:eastAsia="en-US"/>
        </w:rPr>
      </w:pPr>
    </w:p>
    <w:p w14:paraId="350E306F" w14:textId="149F116E" w:rsidR="00C36261" w:rsidRPr="00781360" w:rsidRDefault="00781360" w:rsidP="00781360">
      <w:pPr>
        <w:pStyle w:val="Descripcin"/>
        <w:rPr>
          <w:color w:val="auto"/>
          <w:sz w:val="22"/>
          <w:szCs w:val="22"/>
        </w:rPr>
      </w:pPr>
      <w:bookmarkStart w:id="789" w:name="_Toc143593648"/>
      <w:r w:rsidRPr="00781360">
        <w:rPr>
          <w:color w:val="auto"/>
        </w:rPr>
        <w:lastRenderedPageBreak/>
        <w:t xml:space="preserve">Gráfico </w:t>
      </w:r>
      <w:r w:rsidRPr="00781360">
        <w:rPr>
          <w:color w:val="auto"/>
        </w:rPr>
        <w:fldChar w:fldCharType="begin"/>
      </w:r>
      <w:r w:rsidRPr="00781360">
        <w:rPr>
          <w:color w:val="auto"/>
        </w:rPr>
        <w:instrText xml:space="preserve"> SEQ Gráfico \* ARABIC </w:instrText>
      </w:r>
      <w:r w:rsidRPr="00781360">
        <w:rPr>
          <w:color w:val="auto"/>
        </w:rPr>
        <w:fldChar w:fldCharType="separate"/>
      </w:r>
      <w:r w:rsidR="00A62AFA">
        <w:rPr>
          <w:noProof/>
          <w:color w:val="auto"/>
        </w:rPr>
        <w:t>90</w:t>
      </w:r>
      <w:r w:rsidRPr="00781360">
        <w:rPr>
          <w:color w:val="auto"/>
        </w:rPr>
        <w:fldChar w:fldCharType="end"/>
      </w:r>
      <w:r w:rsidRPr="00781360">
        <w:rPr>
          <w:color w:val="auto"/>
        </w:rPr>
        <w:t>.  Mapa de ubicación de contratos de exploración y explotación petrolera vigentes en Guatemala</w:t>
      </w:r>
      <w:bookmarkEnd w:id="789"/>
    </w:p>
    <w:p w14:paraId="7C64EA83" w14:textId="77777777" w:rsidR="00C36261" w:rsidRPr="00A57ABC" w:rsidRDefault="00C36261" w:rsidP="00C36261">
      <w:pPr>
        <w:widowControl w:val="0"/>
        <w:rPr>
          <w:lang w:val="es-ES" w:eastAsia="en-US"/>
        </w:rPr>
      </w:pPr>
      <w:r w:rsidRPr="00A57ABC">
        <w:rPr>
          <w:noProof/>
          <w:lang w:val="es-ES" w:eastAsia="en-US"/>
        </w:rPr>
        <w:drawing>
          <wp:inline distT="0" distB="0" distL="0" distR="0" wp14:anchorId="17E4C2E8" wp14:editId="2DDAD858">
            <wp:extent cx="5603168" cy="3898900"/>
            <wp:effectExtent l="0" t="0" r="0" b="635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3">
                      <a:extLst>
                        <a:ext uri="{28A0092B-C50C-407E-A947-70E740481C1C}">
                          <a14:useLocalDpi xmlns:a14="http://schemas.microsoft.com/office/drawing/2010/main" val="0"/>
                        </a:ext>
                      </a:extLst>
                    </a:blip>
                    <a:srcRect t="3791"/>
                    <a:stretch/>
                  </pic:blipFill>
                  <pic:spPr bwMode="auto">
                    <a:xfrm>
                      <a:off x="0" y="0"/>
                      <a:ext cx="5617413" cy="3908813"/>
                    </a:xfrm>
                    <a:prstGeom prst="rect">
                      <a:avLst/>
                    </a:prstGeom>
                    <a:noFill/>
                    <a:ln>
                      <a:noFill/>
                    </a:ln>
                    <a:extLst>
                      <a:ext uri="{53640926-AAD7-44D8-BBD7-CCE9431645EC}">
                        <a14:shadowObscured xmlns:a14="http://schemas.microsoft.com/office/drawing/2010/main"/>
                      </a:ext>
                    </a:extLst>
                  </pic:spPr>
                </pic:pic>
              </a:graphicData>
            </a:graphic>
          </wp:inline>
        </w:drawing>
      </w:r>
    </w:p>
    <w:p w14:paraId="46859BC6" w14:textId="77777777" w:rsidR="00C36261" w:rsidRPr="00781360" w:rsidRDefault="00C36261" w:rsidP="00C36261">
      <w:pPr>
        <w:widowControl w:val="0"/>
        <w:rPr>
          <w:sz w:val="16"/>
          <w:szCs w:val="16"/>
          <w:lang w:val="es-ES" w:eastAsia="en-US"/>
        </w:rPr>
      </w:pPr>
      <w:r w:rsidRPr="00781360">
        <w:rPr>
          <w:sz w:val="16"/>
          <w:szCs w:val="16"/>
          <w:lang w:val="es-ES" w:eastAsia="en-US"/>
        </w:rPr>
        <w:t xml:space="preserve">Fuente: Informe estadísticos subsector hidrocarburos primer trimestre 2023 </w:t>
      </w:r>
    </w:p>
    <w:p w14:paraId="72B5C3F5" w14:textId="0A3B1C3F" w:rsidR="00C36261" w:rsidRPr="00A57ABC" w:rsidRDefault="00C36261" w:rsidP="00781360">
      <w:pPr>
        <w:widowControl w:val="0"/>
        <w:rPr>
          <w:lang w:val="es-ES" w:eastAsia="en-US"/>
        </w:rPr>
      </w:pPr>
      <w:r w:rsidRPr="00A57ABC">
        <w:rPr>
          <w:lang w:val="es-ES" w:eastAsia="en-US"/>
        </w:rPr>
        <w:t xml:space="preserve"> </w:t>
      </w:r>
    </w:p>
    <w:p w14:paraId="422B80DF" w14:textId="77777777" w:rsidR="00C36261" w:rsidRPr="00A57ABC" w:rsidRDefault="00C36261" w:rsidP="00C36261">
      <w:pPr>
        <w:widowControl w:val="0"/>
        <w:jc w:val="both"/>
        <w:rPr>
          <w:rFonts w:eastAsiaTheme="minorHAnsi"/>
          <w:lang w:eastAsia="en-US"/>
        </w:rPr>
      </w:pPr>
      <w:r w:rsidRPr="00A57ABC">
        <w:rPr>
          <w:rFonts w:eastAsiaTheme="minorHAnsi"/>
          <w:lang w:eastAsia="en-US"/>
        </w:rPr>
        <w:t xml:space="preserve">En la Actualidad Guatemala tiene actividades en contratos en fase de exploración y explotación pero vale la pena resaltar que en los últimos años la producción nacional de hidrocarburos ha mostrado una tendencia a la baja, lo cual es consecuencia a la declinación naturales de los yacimientos de hidrocarburo en fases de explotación, lo que se complementa con la falta de inversión para nuevos proyectos de exploración, derivado que la tendencia de nuevas inversiones en el sector energético es invertir en el desarrollo de energías renovables.  </w:t>
      </w:r>
    </w:p>
    <w:p w14:paraId="19FBB006" w14:textId="77777777" w:rsidR="00C36261" w:rsidRPr="00A57ABC" w:rsidRDefault="00C36261" w:rsidP="00C36261">
      <w:pPr>
        <w:widowControl w:val="0"/>
        <w:jc w:val="both"/>
        <w:rPr>
          <w:rFonts w:eastAsiaTheme="minorHAnsi"/>
          <w:lang w:eastAsia="en-US"/>
        </w:rPr>
      </w:pPr>
    </w:p>
    <w:p w14:paraId="679C94D1" w14:textId="77777777" w:rsidR="00C36261" w:rsidRPr="00A57ABC" w:rsidRDefault="00C36261" w:rsidP="00C36261">
      <w:pPr>
        <w:widowControl w:val="0"/>
        <w:jc w:val="both"/>
        <w:rPr>
          <w:rFonts w:eastAsiaTheme="minorHAnsi"/>
          <w:lang w:eastAsia="en-US"/>
        </w:rPr>
      </w:pPr>
      <w:r w:rsidRPr="00A57ABC">
        <w:rPr>
          <w:rFonts w:eastAsiaTheme="minorHAnsi"/>
          <w:lang w:eastAsia="en-US"/>
        </w:rPr>
        <w:t xml:space="preserve">Lo anteriormente mencionado impactó directamente en la producción nacional. Para los años del 2016 hasta junio 2023, la producción de petróleo muestra una tendencia a la baja debido a la declinación natural de las zonas productoras de petróleo en el país, entre otros factores. Según información del Departamento de Explotación del Ministerio de Energía y Minas para el año 2022 la producción nacional de Petróleo fue de 2,258,439.23 barriles y de condensado fue de 301,859.30 barriles, mientras que de gas natural fue de 72,319,874.14 metros cúbicos. </w:t>
      </w:r>
    </w:p>
    <w:p w14:paraId="7D06106E" w14:textId="77777777" w:rsidR="00C36261" w:rsidRDefault="00C36261" w:rsidP="00C36261">
      <w:pPr>
        <w:widowControl w:val="0"/>
        <w:jc w:val="both"/>
        <w:rPr>
          <w:rFonts w:eastAsiaTheme="minorHAnsi"/>
          <w:lang w:eastAsia="en-US"/>
        </w:rPr>
      </w:pPr>
    </w:p>
    <w:p w14:paraId="5E63CDCD" w14:textId="77777777" w:rsidR="0048273D" w:rsidRDefault="0048273D" w:rsidP="00C36261">
      <w:pPr>
        <w:widowControl w:val="0"/>
        <w:jc w:val="both"/>
        <w:rPr>
          <w:rFonts w:eastAsiaTheme="minorHAnsi"/>
          <w:lang w:eastAsia="en-US"/>
        </w:rPr>
      </w:pPr>
    </w:p>
    <w:p w14:paraId="304AC25B" w14:textId="77777777" w:rsidR="0048273D" w:rsidRDefault="0048273D" w:rsidP="00C36261">
      <w:pPr>
        <w:widowControl w:val="0"/>
        <w:jc w:val="both"/>
        <w:rPr>
          <w:rFonts w:eastAsiaTheme="minorHAnsi"/>
          <w:lang w:eastAsia="en-US"/>
        </w:rPr>
      </w:pPr>
    </w:p>
    <w:p w14:paraId="39768602" w14:textId="77777777" w:rsidR="0048273D" w:rsidRDefault="0048273D" w:rsidP="00C36261">
      <w:pPr>
        <w:widowControl w:val="0"/>
        <w:jc w:val="both"/>
        <w:rPr>
          <w:rFonts w:eastAsiaTheme="minorHAnsi"/>
          <w:lang w:eastAsia="en-US"/>
        </w:rPr>
      </w:pPr>
    </w:p>
    <w:p w14:paraId="106D6075" w14:textId="77777777" w:rsidR="002E7071" w:rsidRPr="00A57ABC" w:rsidRDefault="002E7071" w:rsidP="00C36261">
      <w:pPr>
        <w:widowControl w:val="0"/>
        <w:jc w:val="both"/>
        <w:rPr>
          <w:rFonts w:eastAsiaTheme="minorHAnsi"/>
          <w:lang w:eastAsia="en-US"/>
        </w:rPr>
      </w:pPr>
    </w:p>
    <w:p w14:paraId="6CB14B7D" w14:textId="77777777" w:rsidR="00C36261" w:rsidRPr="00A57ABC" w:rsidRDefault="00C36261" w:rsidP="00C36261">
      <w:pPr>
        <w:widowControl w:val="0"/>
        <w:jc w:val="both"/>
        <w:rPr>
          <w:rFonts w:eastAsiaTheme="minorHAnsi"/>
          <w:lang w:eastAsia="en-US"/>
        </w:rPr>
      </w:pPr>
    </w:p>
    <w:p w14:paraId="68A9DA3E" w14:textId="77777777" w:rsidR="00C36261" w:rsidRPr="00A57ABC" w:rsidRDefault="00C36261" w:rsidP="00C36261">
      <w:pPr>
        <w:widowControl w:val="0"/>
        <w:jc w:val="both"/>
        <w:rPr>
          <w:rFonts w:eastAsiaTheme="minorHAnsi"/>
          <w:lang w:eastAsia="en-US"/>
        </w:rPr>
      </w:pPr>
    </w:p>
    <w:p w14:paraId="572662A6" w14:textId="77777777" w:rsidR="00C36261" w:rsidRPr="00A57ABC" w:rsidRDefault="00C36261" w:rsidP="00C36261">
      <w:pPr>
        <w:widowControl w:val="0"/>
        <w:jc w:val="both"/>
        <w:rPr>
          <w:rFonts w:eastAsiaTheme="minorHAnsi"/>
          <w:lang w:eastAsia="en-US"/>
        </w:rPr>
      </w:pPr>
    </w:p>
    <w:p w14:paraId="76A36A3F" w14:textId="262D524F" w:rsidR="00C36261" w:rsidRPr="00781360" w:rsidRDefault="00781360" w:rsidP="00781360">
      <w:pPr>
        <w:pStyle w:val="Descripcin"/>
        <w:keepNext/>
      </w:pPr>
      <w:bookmarkStart w:id="790" w:name="_Toc143593547"/>
      <w:r w:rsidRPr="00781360">
        <w:rPr>
          <w:color w:val="auto"/>
        </w:rPr>
        <w:lastRenderedPageBreak/>
        <w:t xml:space="preserve">Tabla </w:t>
      </w:r>
      <w:r w:rsidRPr="00781360">
        <w:rPr>
          <w:color w:val="auto"/>
        </w:rPr>
        <w:fldChar w:fldCharType="begin"/>
      </w:r>
      <w:r w:rsidRPr="00781360">
        <w:rPr>
          <w:color w:val="auto"/>
        </w:rPr>
        <w:instrText xml:space="preserve"> SEQ Tabla \* ARABIC </w:instrText>
      </w:r>
      <w:r w:rsidRPr="00781360">
        <w:rPr>
          <w:color w:val="auto"/>
        </w:rPr>
        <w:fldChar w:fldCharType="separate"/>
      </w:r>
      <w:r w:rsidR="00A62AFA">
        <w:rPr>
          <w:noProof/>
          <w:color w:val="auto"/>
        </w:rPr>
        <w:t>45</w:t>
      </w:r>
      <w:r w:rsidRPr="00781360">
        <w:rPr>
          <w:color w:val="auto"/>
        </w:rPr>
        <w:fldChar w:fldCharType="end"/>
      </w:r>
      <w:r w:rsidRPr="00781360">
        <w:rPr>
          <w:color w:val="auto"/>
        </w:rPr>
        <w:t xml:space="preserve">.  </w:t>
      </w:r>
      <w:r w:rsidR="00C36261" w:rsidRPr="00781360">
        <w:rPr>
          <w:bCs/>
          <w:color w:val="auto"/>
        </w:rPr>
        <w:t>Producción Nacional del petróleo, condensado y gas natural para los años 2016- 2023</w:t>
      </w:r>
      <w:bookmarkEnd w:id="790"/>
    </w:p>
    <w:p w14:paraId="762FDAF6" w14:textId="77777777" w:rsidR="00C36261" w:rsidRPr="00A57ABC" w:rsidRDefault="00C36261" w:rsidP="00C36261">
      <w:pPr>
        <w:widowControl w:val="0"/>
        <w:jc w:val="center"/>
        <w:rPr>
          <w:rFonts w:eastAsiaTheme="minorHAnsi"/>
          <w:lang w:eastAsia="en-US"/>
        </w:rPr>
      </w:pPr>
      <w:r w:rsidRPr="00A57ABC">
        <w:rPr>
          <w:rFonts w:eastAsiaTheme="minorHAnsi"/>
          <w:lang w:eastAsia="en-US"/>
        </w:rPr>
        <w:t xml:space="preserve">Cifras en US </w:t>
      </w:r>
      <w:proofErr w:type="gramStart"/>
      <w:r w:rsidRPr="00A57ABC">
        <w:rPr>
          <w:rFonts w:eastAsiaTheme="minorHAnsi"/>
          <w:lang w:eastAsia="en-US"/>
        </w:rPr>
        <w:t>Dólares</w:t>
      </w:r>
      <w:proofErr w:type="gramEnd"/>
    </w:p>
    <w:tbl>
      <w:tblPr>
        <w:tblStyle w:val="Tabladecuadrcula4-nfasis11"/>
        <w:tblW w:w="0" w:type="auto"/>
        <w:jc w:val="center"/>
        <w:tblLook w:val="04A0" w:firstRow="1" w:lastRow="0" w:firstColumn="1" w:lastColumn="0" w:noHBand="0" w:noVBand="1"/>
      </w:tblPr>
      <w:tblGrid>
        <w:gridCol w:w="1134"/>
        <w:gridCol w:w="1701"/>
        <w:gridCol w:w="2268"/>
        <w:gridCol w:w="2126"/>
      </w:tblGrid>
      <w:tr w:rsidR="00C36261" w:rsidRPr="00A57ABC" w14:paraId="24987011" w14:textId="77777777" w:rsidTr="00F759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24EFF4BF" w14:textId="77777777" w:rsidR="00C36261" w:rsidRPr="00A57ABC" w:rsidRDefault="00C36261" w:rsidP="006A7377">
            <w:pPr>
              <w:widowControl w:val="0"/>
              <w:jc w:val="center"/>
              <w:rPr>
                <w:rFonts w:eastAsia="Malgun Gothic"/>
              </w:rPr>
            </w:pPr>
            <w:r w:rsidRPr="00A57ABC">
              <w:rPr>
                <w:rFonts w:eastAsia="Malgun Gothic"/>
              </w:rPr>
              <w:t>Año</w:t>
            </w:r>
          </w:p>
        </w:tc>
        <w:tc>
          <w:tcPr>
            <w:tcW w:w="1701" w:type="dxa"/>
          </w:tcPr>
          <w:p w14:paraId="248D1416"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b w:val="0"/>
                <w:bCs w:val="0"/>
              </w:rPr>
            </w:pPr>
            <w:r w:rsidRPr="00A57ABC">
              <w:rPr>
                <w:rFonts w:eastAsia="Malgun Gothic"/>
              </w:rPr>
              <w:t>Petróleo</w:t>
            </w:r>
          </w:p>
          <w:p w14:paraId="53485B85"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rPr>
            </w:pPr>
            <w:r w:rsidRPr="00A57ABC">
              <w:rPr>
                <w:rFonts w:eastAsia="Malgun Gothic"/>
              </w:rPr>
              <w:t xml:space="preserve"> (barriles)</w:t>
            </w:r>
          </w:p>
        </w:tc>
        <w:tc>
          <w:tcPr>
            <w:tcW w:w="2268" w:type="dxa"/>
          </w:tcPr>
          <w:p w14:paraId="19EBDAC1"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b w:val="0"/>
                <w:bCs w:val="0"/>
              </w:rPr>
            </w:pPr>
            <w:r w:rsidRPr="00A57ABC">
              <w:rPr>
                <w:rFonts w:eastAsia="Malgun Gothic"/>
              </w:rPr>
              <w:t xml:space="preserve">Condensado </w:t>
            </w:r>
          </w:p>
          <w:p w14:paraId="0833E500"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rPr>
            </w:pPr>
            <w:r w:rsidRPr="00A57ABC">
              <w:rPr>
                <w:rFonts w:eastAsia="Malgun Gothic"/>
              </w:rPr>
              <w:t>(barriles)</w:t>
            </w:r>
          </w:p>
        </w:tc>
        <w:tc>
          <w:tcPr>
            <w:tcW w:w="2126" w:type="dxa"/>
          </w:tcPr>
          <w:p w14:paraId="49E4DE08"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b w:val="0"/>
                <w:bCs w:val="0"/>
              </w:rPr>
            </w:pPr>
            <w:r w:rsidRPr="00A57ABC">
              <w:rPr>
                <w:rFonts w:eastAsia="Malgun Gothic"/>
              </w:rPr>
              <w:t xml:space="preserve">Gas Natural </w:t>
            </w:r>
          </w:p>
          <w:p w14:paraId="6C26B91D"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rPr>
            </w:pPr>
            <w:r w:rsidRPr="00A57ABC">
              <w:rPr>
                <w:rFonts w:eastAsia="Malgun Gothic"/>
              </w:rPr>
              <w:t>(metros cúbicos)</w:t>
            </w:r>
          </w:p>
        </w:tc>
      </w:tr>
      <w:tr w:rsidR="00C36261" w:rsidRPr="00A57ABC" w14:paraId="22955166" w14:textId="77777777" w:rsidTr="00F75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071010A0" w14:textId="77777777" w:rsidR="00C36261" w:rsidRPr="00A57ABC" w:rsidRDefault="00C36261" w:rsidP="006A7377">
            <w:pPr>
              <w:widowControl w:val="0"/>
              <w:jc w:val="center"/>
              <w:rPr>
                <w:rFonts w:eastAsia="Malgun Gothic"/>
                <w:sz w:val="22"/>
                <w:szCs w:val="22"/>
              </w:rPr>
            </w:pPr>
            <w:r w:rsidRPr="00A57ABC">
              <w:rPr>
                <w:rFonts w:eastAsia="Malgun Gothic"/>
                <w:sz w:val="22"/>
                <w:szCs w:val="22"/>
              </w:rPr>
              <w:t>2016</w:t>
            </w:r>
          </w:p>
        </w:tc>
        <w:tc>
          <w:tcPr>
            <w:tcW w:w="1701" w:type="dxa"/>
          </w:tcPr>
          <w:p w14:paraId="0E5A7271"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3,144,751.12</w:t>
            </w:r>
          </w:p>
        </w:tc>
        <w:tc>
          <w:tcPr>
            <w:tcW w:w="2268" w:type="dxa"/>
          </w:tcPr>
          <w:p w14:paraId="3EE501E3"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275,056.79</w:t>
            </w:r>
          </w:p>
        </w:tc>
        <w:tc>
          <w:tcPr>
            <w:tcW w:w="2126" w:type="dxa"/>
          </w:tcPr>
          <w:p w14:paraId="72863B14"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60,730,624.43</w:t>
            </w:r>
          </w:p>
        </w:tc>
      </w:tr>
      <w:tr w:rsidR="00C36261" w:rsidRPr="00A57ABC" w14:paraId="7809A9A3" w14:textId="77777777" w:rsidTr="00F75946">
        <w:trPr>
          <w:jc w:val="center"/>
        </w:trPr>
        <w:tc>
          <w:tcPr>
            <w:cnfStyle w:val="001000000000" w:firstRow="0" w:lastRow="0" w:firstColumn="1" w:lastColumn="0" w:oddVBand="0" w:evenVBand="0" w:oddHBand="0" w:evenHBand="0" w:firstRowFirstColumn="0" w:firstRowLastColumn="0" w:lastRowFirstColumn="0" w:lastRowLastColumn="0"/>
            <w:tcW w:w="1134" w:type="dxa"/>
          </w:tcPr>
          <w:p w14:paraId="55607585" w14:textId="77777777" w:rsidR="00C36261" w:rsidRPr="00A57ABC" w:rsidRDefault="00C36261" w:rsidP="006A7377">
            <w:pPr>
              <w:widowControl w:val="0"/>
              <w:jc w:val="center"/>
              <w:rPr>
                <w:rFonts w:eastAsia="Malgun Gothic"/>
                <w:sz w:val="22"/>
                <w:szCs w:val="22"/>
              </w:rPr>
            </w:pPr>
            <w:r w:rsidRPr="00A57ABC">
              <w:rPr>
                <w:rFonts w:eastAsia="Malgun Gothic"/>
                <w:sz w:val="22"/>
                <w:szCs w:val="22"/>
              </w:rPr>
              <w:t>2017</w:t>
            </w:r>
          </w:p>
        </w:tc>
        <w:tc>
          <w:tcPr>
            <w:tcW w:w="1701" w:type="dxa"/>
          </w:tcPr>
          <w:p w14:paraId="70894362"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3,220,259.09</w:t>
            </w:r>
          </w:p>
        </w:tc>
        <w:tc>
          <w:tcPr>
            <w:tcW w:w="2268" w:type="dxa"/>
          </w:tcPr>
          <w:p w14:paraId="5CEAFF29"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296,189.49</w:t>
            </w:r>
          </w:p>
        </w:tc>
        <w:tc>
          <w:tcPr>
            <w:tcW w:w="2126" w:type="dxa"/>
          </w:tcPr>
          <w:p w14:paraId="3E4BABC6"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72,077,923.15</w:t>
            </w:r>
          </w:p>
        </w:tc>
      </w:tr>
      <w:tr w:rsidR="00C36261" w:rsidRPr="00A57ABC" w14:paraId="7B79383E" w14:textId="77777777" w:rsidTr="00F75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25BDC2D6" w14:textId="77777777" w:rsidR="00C36261" w:rsidRPr="00A57ABC" w:rsidRDefault="00C36261" w:rsidP="006A7377">
            <w:pPr>
              <w:widowControl w:val="0"/>
              <w:jc w:val="center"/>
              <w:rPr>
                <w:rFonts w:eastAsia="Malgun Gothic"/>
                <w:sz w:val="22"/>
                <w:szCs w:val="22"/>
              </w:rPr>
            </w:pPr>
            <w:r w:rsidRPr="00A57ABC">
              <w:rPr>
                <w:rFonts w:eastAsia="Malgun Gothic"/>
                <w:sz w:val="22"/>
                <w:szCs w:val="22"/>
              </w:rPr>
              <w:t>2018</w:t>
            </w:r>
          </w:p>
        </w:tc>
        <w:tc>
          <w:tcPr>
            <w:tcW w:w="1701" w:type="dxa"/>
          </w:tcPr>
          <w:p w14:paraId="7BE83F84"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3,061,437.96</w:t>
            </w:r>
          </w:p>
        </w:tc>
        <w:tc>
          <w:tcPr>
            <w:tcW w:w="2268" w:type="dxa"/>
          </w:tcPr>
          <w:p w14:paraId="17D99880"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304,216.02</w:t>
            </w:r>
          </w:p>
        </w:tc>
        <w:tc>
          <w:tcPr>
            <w:tcW w:w="2126" w:type="dxa"/>
          </w:tcPr>
          <w:p w14:paraId="11BC2F8F"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67,358,047.29</w:t>
            </w:r>
          </w:p>
        </w:tc>
      </w:tr>
      <w:tr w:rsidR="00C36261" w:rsidRPr="00A57ABC" w14:paraId="5C1C781B" w14:textId="77777777" w:rsidTr="00F75946">
        <w:trPr>
          <w:jc w:val="center"/>
        </w:trPr>
        <w:tc>
          <w:tcPr>
            <w:cnfStyle w:val="001000000000" w:firstRow="0" w:lastRow="0" w:firstColumn="1" w:lastColumn="0" w:oddVBand="0" w:evenVBand="0" w:oddHBand="0" w:evenHBand="0" w:firstRowFirstColumn="0" w:firstRowLastColumn="0" w:lastRowFirstColumn="0" w:lastRowLastColumn="0"/>
            <w:tcW w:w="1134" w:type="dxa"/>
          </w:tcPr>
          <w:p w14:paraId="746FA4AC" w14:textId="77777777" w:rsidR="00C36261" w:rsidRPr="00A57ABC" w:rsidRDefault="00C36261" w:rsidP="006A7377">
            <w:pPr>
              <w:widowControl w:val="0"/>
              <w:jc w:val="center"/>
              <w:rPr>
                <w:rFonts w:eastAsia="Malgun Gothic"/>
                <w:sz w:val="22"/>
                <w:szCs w:val="22"/>
              </w:rPr>
            </w:pPr>
            <w:r w:rsidRPr="00A57ABC">
              <w:rPr>
                <w:rFonts w:eastAsia="Malgun Gothic"/>
                <w:sz w:val="22"/>
                <w:szCs w:val="22"/>
              </w:rPr>
              <w:t>2019</w:t>
            </w:r>
          </w:p>
        </w:tc>
        <w:tc>
          <w:tcPr>
            <w:tcW w:w="1701" w:type="dxa"/>
          </w:tcPr>
          <w:p w14:paraId="7A0D47F4"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3,195,971.68</w:t>
            </w:r>
          </w:p>
        </w:tc>
        <w:tc>
          <w:tcPr>
            <w:tcW w:w="2268" w:type="dxa"/>
          </w:tcPr>
          <w:p w14:paraId="6A8E4403"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309,192.23</w:t>
            </w:r>
          </w:p>
        </w:tc>
        <w:tc>
          <w:tcPr>
            <w:tcW w:w="2126" w:type="dxa"/>
          </w:tcPr>
          <w:p w14:paraId="6ED42857"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69,890,255.39</w:t>
            </w:r>
          </w:p>
        </w:tc>
      </w:tr>
      <w:tr w:rsidR="00C36261" w:rsidRPr="00A57ABC" w14:paraId="479150BB" w14:textId="77777777" w:rsidTr="00F75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4B38903B" w14:textId="77777777" w:rsidR="00C36261" w:rsidRPr="00A57ABC" w:rsidRDefault="00C36261" w:rsidP="006A7377">
            <w:pPr>
              <w:widowControl w:val="0"/>
              <w:jc w:val="center"/>
              <w:rPr>
                <w:rFonts w:eastAsia="Malgun Gothic"/>
                <w:sz w:val="22"/>
                <w:szCs w:val="22"/>
              </w:rPr>
            </w:pPr>
            <w:r w:rsidRPr="00A57ABC">
              <w:rPr>
                <w:rFonts w:eastAsia="Malgun Gothic"/>
                <w:sz w:val="22"/>
                <w:szCs w:val="22"/>
              </w:rPr>
              <w:t>2020</w:t>
            </w:r>
          </w:p>
        </w:tc>
        <w:tc>
          <w:tcPr>
            <w:tcW w:w="1701" w:type="dxa"/>
          </w:tcPr>
          <w:p w14:paraId="5401FAE7"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2,554,235.29</w:t>
            </w:r>
          </w:p>
        </w:tc>
        <w:tc>
          <w:tcPr>
            <w:tcW w:w="2268" w:type="dxa"/>
          </w:tcPr>
          <w:p w14:paraId="6B035718"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304,606.67</w:t>
            </w:r>
          </w:p>
        </w:tc>
        <w:tc>
          <w:tcPr>
            <w:tcW w:w="2126" w:type="dxa"/>
          </w:tcPr>
          <w:p w14:paraId="7A311220"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67,270,075.99</w:t>
            </w:r>
          </w:p>
        </w:tc>
      </w:tr>
      <w:tr w:rsidR="00C36261" w:rsidRPr="00A57ABC" w14:paraId="4F7F2C01" w14:textId="77777777" w:rsidTr="00F75946">
        <w:trPr>
          <w:jc w:val="center"/>
        </w:trPr>
        <w:tc>
          <w:tcPr>
            <w:cnfStyle w:val="001000000000" w:firstRow="0" w:lastRow="0" w:firstColumn="1" w:lastColumn="0" w:oddVBand="0" w:evenVBand="0" w:oddHBand="0" w:evenHBand="0" w:firstRowFirstColumn="0" w:firstRowLastColumn="0" w:lastRowFirstColumn="0" w:lastRowLastColumn="0"/>
            <w:tcW w:w="1134" w:type="dxa"/>
          </w:tcPr>
          <w:p w14:paraId="2CD3008F" w14:textId="77777777" w:rsidR="00C36261" w:rsidRPr="00A57ABC" w:rsidRDefault="00C36261" w:rsidP="006A7377">
            <w:pPr>
              <w:widowControl w:val="0"/>
              <w:jc w:val="center"/>
              <w:rPr>
                <w:rFonts w:eastAsia="Malgun Gothic"/>
                <w:sz w:val="22"/>
                <w:szCs w:val="22"/>
              </w:rPr>
            </w:pPr>
            <w:r w:rsidRPr="00A57ABC">
              <w:rPr>
                <w:rFonts w:eastAsia="Malgun Gothic"/>
                <w:sz w:val="22"/>
                <w:szCs w:val="22"/>
              </w:rPr>
              <w:t>2021</w:t>
            </w:r>
          </w:p>
        </w:tc>
        <w:tc>
          <w:tcPr>
            <w:tcW w:w="1701" w:type="dxa"/>
          </w:tcPr>
          <w:p w14:paraId="35C933A2"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2,302,084.51</w:t>
            </w:r>
          </w:p>
        </w:tc>
        <w:tc>
          <w:tcPr>
            <w:tcW w:w="2268" w:type="dxa"/>
          </w:tcPr>
          <w:p w14:paraId="02CEA4D9"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304,454.69</w:t>
            </w:r>
          </w:p>
        </w:tc>
        <w:tc>
          <w:tcPr>
            <w:tcW w:w="2126" w:type="dxa"/>
          </w:tcPr>
          <w:p w14:paraId="4C96C7E3"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71,999,321.31</w:t>
            </w:r>
          </w:p>
        </w:tc>
      </w:tr>
      <w:tr w:rsidR="00C36261" w:rsidRPr="00A57ABC" w14:paraId="5AB50900" w14:textId="77777777" w:rsidTr="00F75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14:paraId="5CC7F95B" w14:textId="77777777" w:rsidR="00C36261" w:rsidRPr="00A57ABC" w:rsidRDefault="00C36261" w:rsidP="006A7377">
            <w:pPr>
              <w:widowControl w:val="0"/>
              <w:jc w:val="center"/>
              <w:rPr>
                <w:rFonts w:eastAsia="Malgun Gothic"/>
                <w:sz w:val="22"/>
                <w:szCs w:val="22"/>
              </w:rPr>
            </w:pPr>
            <w:r w:rsidRPr="00A57ABC">
              <w:rPr>
                <w:rFonts w:eastAsia="Malgun Gothic"/>
                <w:sz w:val="22"/>
                <w:szCs w:val="22"/>
              </w:rPr>
              <w:t>2022</w:t>
            </w:r>
          </w:p>
        </w:tc>
        <w:tc>
          <w:tcPr>
            <w:tcW w:w="1701" w:type="dxa"/>
          </w:tcPr>
          <w:p w14:paraId="7EB5ED79"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2,258,439.23</w:t>
            </w:r>
          </w:p>
        </w:tc>
        <w:tc>
          <w:tcPr>
            <w:tcW w:w="2268" w:type="dxa"/>
          </w:tcPr>
          <w:p w14:paraId="24643DDC"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301,859.30</w:t>
            </w:r>
          </w:p>
        </w:tc>
        <w:tc>
          <w:tcPr>
            <w:tcW w:w="2126" w:type="dxa"/>
          </w:tcPr>
          <w:p w14:paraId="34A5E0FD" w14:textId="77777777" w:rsidR="00C36261" w:rsidRPr="00A57ABC"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A57ABC">
              <w:rPr>
                <w:rFonts w:eastAsia="Malgun Gothic"/>
                <w:sz w:val="22"/>
                <w:szCs w:val="22"/>
              </w:rPr>
              <w:t>72,319,874.12</w:t>
            </w:r>
          </w:p>
        </w:tc>
      </w:tr>
      <w:tr w:rsidR="00C36261" w:rsidRPr="00A57ABC" w14:paraId="7336A019" w14:textId="77777777" w:rsidTr="00F75946">
        <w:trPr>
          <w:jc w:val="center"/>
        </w:trPr>
        <w:tc>
          <w:tcPr>
            <w:cnfStyle w:val="001000000000" w:firstRow="0" w:lastRow="0" w:firstColumn="1" w:lastColumn="0" w:oddVBand="0" w:evenVBand="0" w:oddHBand="0" w:evenHBand="0" w:firstRowFirstColumn="0" w:firstRowLastColumn="0" w:lastRowFirstColumn="0" w:lastRowLastColumn="0"/>
            <w:tcW w:w="1134" w:type="dxa"/>
          </w:tcPr>
          <w:p w14:paraId="6E271C97" w14:textId="77777777" w:rsidR="00C36261" w:rsidRPr="00A57ABC" w:rsidRDefault="00C36261" w:rsidP="006A7377">
            <w:pPr>
              <w:widowControl w:val="0"/>
              <w:jc w:val="center"/>
              <w:rPr>
                <w:rFonts w:eastAsia="Malgun Gothic"/>
                <w:sz w:val="22"/>
                <w:szCs w:val="22"/>
              </w:rPr>
            </w:pPr>
            <w:r w:rsidRPr="00A57ABC">
              <w:rPr>
                <w:rFonts w:eastAsia="Malgun Gothic"/>
                <w:sz w:val="22"/>
                <w:szCs w:val="22"/>
              </w:rPr>
              <w:t>Jun 2023</w:t>
            </w:r>
          </w:p>
        </w:tc>
        <w:tc>
          <w:tcPr>
            <w:tcW w:w="1701" w:type="dxa"/>
          </w:tcPr>
          <w:p w14:paraId="6D80B3A8"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997,584.23</w:t>
            </w:r>
          </w:p>
        </w:tc>
        <w:tc>
          <w:tcPr>
            <w:tcW w:w="2268" w:type="dxa"/>
          </w:tcPr>
          <w:p w14:paraId="7D7915F6"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150,273.49</w:t>
            </w:r>
          </w:p>
        </w:tc>
        <w:tc>
          <w:tcPr>
            <w:tcW w:w="2126" w:type="dxa"/>
          </w:tcPr>
          <w:p w14:paraId="294C67CB" w14:textId="77777777" w:rsidR="00C36261" w:rsidRPr="00A57ABC"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A57ABC">
              <w:rPr>
                <w:rFonts w:eastAsia="Malgun Gothic"/>
                <w:sz w:val="22"/>
                <w:szCs w:val="22"/>
              </w:rPr>
              <w:t>35,931,602.88</w:t>
            </w:r>
          </w:p>
        </w:tc>
      </w:tr>
    </w:tbl>
    <w:p w14:paraId="158AF0DB" w14:textId="49896074" w:rsidR="00C36261" w:rsidRPr="00781360" w:rsidRDefault="00F75946" w:rsidP="00C36261">
      <w:pPr>
        <w:widowControl w:val="0"/>
        <w:rPr>
          <w:sz w:val="16"/>
          <w:szCs w:val="16"/>
          <w:lang w:val="es-ES" w:eastAsia="en-US"/>
        </w:rPr>
      </w:pPr>
      <w:r>
        <w:rPr>
          <w:sz w:val="16"/>
          <w:szCs w:val="16"/>
          <w:lang w:val="es-ES" w:eastAsia="en-US"/>
        </w:rPr>
        <w:t xml:space="preserve">                   </w:t>
      </w:r>
      <w:r w:rsidR="00C36261" w:rsidRPr="00781360">
        <w:rPr>
          <w:sz w:val="16"/>
          <w:szCs w:val="16"/>
          <w:lang w:val="es-ES" w:eastAsia="en-US"/>
        </w:rPr>
        <w:t xml:space="preserve">Fuente: Sección de producción/ Departamento de explotación, Ministerio de Energía y Minas 2023 </w:t>
      </w:r>
    </w:p>
    <w:p w14:paraId="0E46B1AA" w14:textId="77777777" w:rsidR="00C36261" w:rsidRPr="00A57ABC" w:rsidRDefault="00C36261" w:rsidP="00C36261">
      <w:pPr>
        <w:widowControl w:val="0"/>
        <w:jc w:val="both"/>
        <w:rPr>
          <w:lang w:val="es-ES" w:eastAsia="en-US"/>
        </w:rPr>
      </w:pPr>
    </w:p>
    <w:p w14:paraId="355AE3A9" w14:textId="7442C74E" w:rsidR="003F7531" w:rsidRPr="005C69D1" w:rsidRDefault="003F7531" w:rsidP="007F19DF">
      <w:pPr>
        <w:pStyle w:val="Ttulo2"/>
        <w:numPr>
          <w:ilvl w:val="2"/>
          <w:numId w:val="35"/>
        </w:numPr>
        <w:tabs>
          <w:tab w:val="left" w:pos="993"/>
        </w:tabs>
        <w:ind w:left="567" w:hanging="283"/>
        <w:rPr>
          <w:bCs/>
        </w:rPr>
      </w:pPr>
      <w:bookmarkStart w:id="791" w:name="_Toc144114460"/>
      <w:r w:rsidRPr="005C69D1">
        <w:rPr>
          <w:bCs/>
        </w:rPr>
        <w:t xml:space="preserve">Ingresos </w:t>
      </w:r>
      <w:r w:rsidR="006B598F" w:rsidRPr="005C69D1">
        <w:rPr>
          <w:bCs/>
        </w:rPr>
        <w:t>derivados de la explotación petrolera</w:t>
      </w:r>
      <w:bookmarkEnd w:id="791"/>
    </w:p>
    <w:p w14:paraId="2870B2E3" w14:textId="77777777" w:rsidR="006B598F" w:rsidRDefault="006B598F" w:rsidP="00C36261">
      <w:pPr>
        <w:widowControl w:val="0"/>
        <w:jc w:val="both"/>
        <w:rPr>
          <w:lang w:val="es-ES" w:eastAsia="en-US"/>
        </w:rPr>
      </w:pPr>
    </w:p>
    <w:p w14:paraId="491A91C3" w14:textId="392757AA" w:rsidR="00C36261" w:rsidRPr="00A57ABC" w:rsidRDefault="00C36261" w:rsidP="00C36261">
      <w:pPr>
        <w:widowControl w:val="0"/>
        <w:jc w:val="both"/>
        <w:rPr>
          <w:lang w:val="es-ES" w:eastAsia="en-US"/>
        </w:rPr>
      </w:pPr>
      <w:r w:rsidRPr="00A57ABC">
        <w:rPr>
          <w:lang w:val="es-ES" w:eastAsia="en-US"/>
        </w:rPr>
        <w:t xml:space="preserve">Los montos de ingresos por conceptos de regalías e hidrocarburos compartibles fueron importantes para las finanzas públicas ya que los ingresos fiscales del sector impactan de forma directa a la economía nacional, la inversión contribuye al dinamismo del crecimiento económico y favorece al desarrollo de las diferentes regiones del interior del país, sin embargo, los ingresos se ven afectado por externalidades internacionales y nacionales. </w:t>
      </w:r>
    </w:p>
    <w:p w14:paraId="1B56B8DD" w14:textId="77777777" w:rsidR="00C36261" w:rsidRPr="00A57ABC" w:rsidRDefault="00C36261" w:rsidP="00C36261">
      <w:pPr>
        <w:widowControl w:val="0"/>
        <w:jc w:val="both"/>
        <w:rPr>
          <w:lang w:val="es-ES" w:eastAsia="en-US"/>
        </w:rPr>
      </w:pPr>
    </w:p>
    <w:p w14:paraId="68FEB3A6" w14:textId="77777777" w:rsidR="00C36261" w:rsidRPr="00A57ABC" w:rsidRDefault="00C36261" w:rsidP="00C36261">
      <w:pPr>
        <w:widowControl w:val="0"/>
        <w:jc w:val="both"/>
        <w:rPr>
          <w:lang w:val="es-ES" w:eastAsia="en-US"/>
        </w:rPr>
      </w:pPr>
      <w:r w:rsidRPr="00A57ABC">
        <w:rPr>
          <w:lang w:val="es-ES" w:eastAsia="en-US"/>
        </w:rPr>
        <w:t xml:space="preserve">Dentro de los temas internacionales se puede mencionar como relevante la volatilidad de los mercados ya que en los últimos años la cotización del precio de los hidrocarburos ha tenido variaciones debido a la oferta y demanda, conflictos geopolíticos, pandemia del COVID 19, competencia del petróleo con otras materias primas energéticas, la influencia del dólar en el petróleo, entre otros. </w:t>
      </w:r>
    </w:p>
    <w:p w14:paraId="0E3EDE72" w14:textId="77777777" w:rsidR="00C36261" w:rsidRPr="00A57ABC" w:rsidRDefault="00C36261" w:rsidP="00C36261">
      <w:pPr>
        <w:widowControl w:val="0"/>
        <w:jc w:val="both"/>
        <w:rPr>
          <w:lang w:val="es-ES" w:eastAsia="en-US"/>
        </w:rPr>
      </w:pPr>
    </w:p>
    <w:p w14:paraId="1CE8678D" w14:textId="39C9D9B8" w:rsidR="00C36261" w:rsidRPr="00781360" w:rsidRDefault="00781360" w:rsidP="00781360">
      <w:pPr>
        <w:pStyle w:val="Descripcin"/>
        <w:keepNext/>
      </w:pPr>
      <w:bookmarkStart w:id="792" w:name="_Toc143593548"/>
      <w:r w:rsidRPr="00781360">
        <w:rPr>
          <w:color w:val="auto"/>
        </w:rPr>
        <w:t xml:space="preserve">Tabla </w:t>
      </w:r>
      <w:r w:rsidRPr="00781360">
        <w:rPr>
          <w:color w:val="auto"/>
        </w:rPr>
        <w:fldChar w:fldCharType="begin"/>
      </w:r>
      <w:r w:rsidRPr="00781360">
        <w:rPr>
          <w:color w:val="auto"/>
        </w:rPr>
        <w:instrText xml:space="preserve"> SEQ Tabla \* ARABIC </w:instrText>
      </w:r>
      <w:r w:rsidRPr="00781360">
        <w:rPr>
          <w:color w:val="auto"/>
        </w:rPr>
        <w:fldChar w:fldCharType="separate"/>
      </w:r>
      <w:r w:rsidR="00A62AFA">
        <w:rPr>
          <w:noProof/>
          <w:color w:val="auto"/>
        </w:rPr>
        <w:t>46</w:t>
      </w:r>
      <w:r w:rsidRPr="00781360">
        <w:rPr>
          <w:color w:val="auto"/>
        </w:rPr>
        <w:fldChar w:fldCharType="end"/>
      </w:r>
      <w:r w:rsidRPr="00781360">
        <w:rPr>
          <w:color w:val="auto"/>
        </w:rPr>
        <w:t xml:space="preserve">.  </w:t>
      </w:r>
      <w:r w:rsidR="00C36261" w:rsidRPr="00781360">
        <w:rPr>
          <w:bCs/>
          <w:color w:val="auto"/>
        </w:rPr>
        <w:t>Ingresos percibidos por concepto de regalías, derivado de la producción nacional petrolera periodo 2016 a junio 2023</w:t>
      </w:r>
      <w:bookmarkEnd w:id="792"/>
    </w:p>
    <w:p w14:paraId="1AD93F2D" w14:textId="77777777" w:rsidR="00C36261" w:rsidRPr="00781360" w:rsidRDefault="00C36261" w:rsidP="00C36261">
      <w:pPr>
        <w:widowControl w:val="0"/>
        <w:jc w:val="center"/>
        <w:rPr>
          <w:rFonts w:eastAsiaTheme="minorHAnsi"/>
          <w:sz w:val="22"/>
          <w:szCs w:val="22"/>
          <w:lang w:eastAsia="en-US"/>
        </w:rPr>
      </w:pPr>
      <w:r w:rsidRPr="00781360">
        <w:rPr>
          <w:rFonts w:eastAsiaTheme="minorHAnsi"/>
          <w:sz w:val="22"/>
          <w:szCs w:val="22"/>
          <w:lang w:eastAsia="en-US"/>
        </w:rPr>
        <w:t xml:space="preserve">Cifras en US </w:t>
      </w:r>
      <w:proofErr w:type="gramStart"/>
      <w:r w:rsidRPr="00781360">
        <w:rPr>
          <w:rFonts w:eastAsiaTheme="minorHAnsi"/>
          <w:sz w:val="22"/>
          <w:szCs w:val="22"/>
          <w:lang w:eastAsia="en-US"/>
        </w:rPr>
        <w:t>Dólares</w:t>
      </w:r>
      <w:proofErr w:type="gramEnd"/>
    </w:p>
    <w:tbl>
      <w:tblPr>
        <w:tblStyle w:val="Tabladecuadrcula4-nfasis11"/>
        <w:tblW w:w="0" w:type="auto"/>
        <w:jc w:val="center"/>
        <w:tblLook w:val="04A0" w:firstRow="1" w:lastRow="0" w:firstColumn="1" w:lastColumn="0" w:noHBand="0" w:noVBand="1"/>
      </w:tblPr>
      <w:tblGrid>
        <w:gridCol w:w="1555"/>
        <w:gridCol w:w="2551"/>
      </w:tblGrid>
      <w:tr w:rsidR="00C36261" w:rsidRPr="002D40BF" w14:paraId="5DCC7140" w14:textId="77777777" w:rsidTr="00F759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500ED22E" w14:textId="77777777" w:rsidR="00C36261" w:rsidRPr="002D40BF" w:rsidRDefault="00C36261" w:rsidP="006A7377">
            <w:pPr>
              <w:widowControl w:val="0"/>
              <w:jc w:val="center"/>
              <w:rPr>
                <w:rFonts w:eastAsia="Malgun Gothic"/>
                <w:b w:val="0"/>
                <w:bCs w:val="0"/>
                <w:sz w:val="20"/>
                <w:szCs w:val="20"/>
              </w:rPr>
            </w:pPr>
            <w:r w:rsidRPr="002D40BF">
              <w:rPr>
                <w:rFonts w:eastAsia="Malgun Gothic"/>
                <w:b w:val="0"/>
                <w:bCs w:val="0"/>
                <w:sz w:val="20"/>
                <w:szCs w:val="20"/>
              </w:rPr>
              <w:t>Año</w:t>
            </w:r>
          </w:p>
        </w:tc>
        <w:tc>
          <w:tcPr>
            <w:tcW w:w="2551" w:type="dxa"/>
          </w:tcPr>
          <w:p w14:paraId="63A220AD" w14:textId="77777777" w:rsidR="00C36261" w:rsidRPr="002D40BF"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b w:val="0"/>
                <w:bCs w:val="0"/>
                <w:sz w:val="20"/>
                <w:szCs w:val="20"/>
              </w:rPr>
            </w:pPr>
            <w:r w:rsidRPr="002D40BF">
              <w:rPr>
                <w:rFonts w:eastAsia="Malgun Gothic"/>
                <w:b w:val="0"/>
                <w:bCs w:val="0"/>
                <w:sz w:val="20"/>
                <w:szCs w:val="20"/>
              </w:rPr>
              <w:t>Ingreso (USD)</w:t>
            </w:r>
          </w:p>
        </w:tc>
      </w:tr>
      <w:tr w:rsidR="00C36261" w:rsidRPr="002D40BF" w14:paraId="0F7CE9A2" w14:textId="77777777" w:rsidTr="002D40BF">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1555" w:type="dxa"/>
          </w:tcPr>
          <w:p w14:paraId="07218D61" w14:textId="77777777" w:rsidR="00C36261" w:rsidRPr="002D40BF" w:rsidRDefault="00C36261" w:rsidP="006A7377">
            <w:pPr>
              <w:widowControl w:val="0"/>
              <w:jc w:val="center"/>
              <w:rPr>
                <w:rFonts w:eastAsia="Malgun Gothic"/>
                <w:b w:val="0"/>
                <w:bCs w:val="0"/>
                <w:sz w:val="20"/>
                <w:szCs w:val="20"/>
              </w:rPr>
            </w:pPr>
            <w:r w:rsidRPr="002D40BF">
              <w:rPr>
                <w:rFonts w:eastAsia="Malgun Gothic"/>
                <w:b w:val="0"/>
                <w:bCs w:val="0"/>
                <w:sz w:val="20"/>
                <w:szCs w:val="20"/>
              </w:rPr>
              <w:t>2016</w:t>
            </w:r>
          </w:p>
        </w:tc>
        <w:tc>
          <w:tcPr>
            <w:tcW w:w="2551" w:type="dxa"/>
          </w:tcPr>
          <w:p w14:paraId="2D396FA5" w14:textId="77777777" w:rsidR="00C36261" w:rsidRPr="002D40BF"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2D40BF">
              <w:rPr>
                <w:rFonts w:eastAsia="Malgun Gothic"/>
                <w:sz w:val="20"/>
                <w:szCs w:val="20"/>
              </w:rPr>
              <w:t>4,272,912.77</w:t>
            </w:r>
          </w:p>
        </w:tc>
      </w:tr>
      <w:tr w:rsidR="00C36261" w:rsidRPr="002D40BF" w14:paraId="4C15E536" w14:textId="77777777" w:rsidTr="00F75946">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461B936A" w14:textId="77777777" w:rsidR="00C36261" w:rsidRPr="002D40BF" w:rsidRDefault="00C36261" w:rsidP="006A7377">
            <w:pPr>
              <w:widowControl w:val="0"/>
              <w:jc w:val="center"/>
              <w:rPr>
                <w:rFonts w:eastAsia="Malgun Gothic"/>
                <w:b w:val="0"/>
                <w:bCs w:val="0"/>
                <w:sz w:val="20"/>
                <w:szCs w:val="20"/>
              </w:rPr>
            </w:pPr>
            <w:r w:rsidRPr="002D40BF">
              <w:rPr>
                <w:rFonts w:eastAsia="Malgun Gothic"/>
                <w:b w:val="0"/>
                <w:bCs w:val="0"/>
                <w:sz w:val="20"/>
                <w:szCs w:val="20"/>
              </w:rPr>
              <w:t>2017</w:t>
            </w:r>
          </w:p>
        </w:tc>
        <w:tc>
          <w:tcPr>
            <w:tcW w:w="2551" w:type="dxa"/>
          </w:tcPr>
          <w:p w14:paraId="2AF31FC0" w14:textId="77777777" w:rsidR="00C36261" w:rsidRPr="002D40BF"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2D40BF">
              <w:rPr>
                <w:rFonts w:eastAsia="Malgun Gothic"/>
                <w:sz w:val="20"/>
                <w:szCs w:val="20"/>
              </w:rPr>
              <w:t>6,400,806.11</w:t>
            </w:r>
          </w:p>
        </w:tc>
      </w:tr>
      <w:tr w:rsidR="00C36261" w:rsidRPr="002D40BF" w14:paraId="358497A6" w14:textId="77777777" w:rsidTr="00F75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7F0727FF" w14:textId="77777777" w:rsidR="00C36261" w:rsidRPr="002D40BF" w:rsidRDefault="00C36261" w:rsidP="006A7377">
            <w:pPr>
              <w:widowControl w:val="0"/>
              <w:jc w:val="center"/>
              <w:rPr>
                <w:rFonts w:eastAsia="Malgun Gothic"/>
                <w:b w:val="0"/>
                <w:bCs w:val="0"/>
                <w:sz w:val="20"/>
                <w:szCs w:val="20"/>
              </w:rPr>
            </w:pPr>
            <w:r w:rsidRPr="002D40BF">
              <w:rPr>
                <w:rFonts w:eastAsia="Malgun Gothic"/>
                <w:b w:val="0"/>
                <w:bCs w:val="0"/>
                <w:sz w:val="20"/>
                <w:szCs w:val="20"/>
              </w:rPr>
              <w:t>2018</w:t>
            </w:r>
          </w:p>
        </w:tc>
        <w:tc>
          <w:tcPr>
            <w:tcW w:w="2551" w:type="dxa"/>
          </w:tcPr>
          <w:p w14:paraId="50966A9B" w14:textId="77777777" w:rsidR="00C36261" w:rsidRPr="002D40BF"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2D40BF">
              <w:rPr>
                <w:rFonts w:eastAsia="Malgun Gothic"/>
                <w:sz w:val="20"/>
                <w:szCs w:val="20"/>
              </w:rPr>
              <w:t>9,296,349.06</w:t>
            </w:r>
          </w:p>
        </w:tc>
      </w:tr>
      <w:tr w:rsidR="00C36261" w:rsidRPr="002D40BF" w14:paraId="425A1E66" w14:textId="77777777" w:rsidTr="00F75946">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3ABA7EE4" w14:textId="77777777" w:rsidR="00C36261" w:rsidRPr="002D40BF" w:rsidRDefault="00C36261" w:rsidP="006A7377">
            <w:pPr>
              <w:widowControl w:val="0"/>
              <w:jc w:val="center"/>
              <w:rPr>
                <w:rFonts w:eastAsia="Malgun Gothic"/>
                <w:b w:val="0"/>
                <w:bCs w:val="0"/>
                <w:sz w:val="20"/>
                <w:szCs w:val="20"/>
              </w:rPr>
            </w:pPr>
            <w:r w:rsidRPr="002D40BF">
              <w:rPr>
                <w:rFonts w:eastAsia="Malgun Gothic"/>
                <w:b w:val="0"/>
                <w:bCs w:val="0"/>
                <w:sz w:val="20"/>
                <w:szCs w:val="20"/>
              </w:rPr>
              <w:t>2019</w:t>
            </w:r>
          </w:p>
        </w:tc>
        <w:tc>
          <w:tcPr>
            <w:tcW w:w="2551" w:type="dxa"/>
          </w:tcPr>
          <w:p w14:paraId="1FA2C486" w14:textId="77777777" w:rsidR="00C36261" w:rsidRPr="002D40BF"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2D40BF">
              <w:rPr>
                <w:rFonts w:eastAsia="Malgun Gothic"/>
                <w:sz w:val="20"/>
                <w:szCs w:val="20"/>
              </w:rPr>
              <w:t>9,346,942.74</w:t>
            </w:r>
          </w:p>
        </w:tc>
      </w:tr>
      <w:tr w:rsidR="00C36261" w:rsidRPr="002D40BF" w14:paraId="0721950D" w14:textId="77777777" w:rsidTr="00F75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64D011B" w14:textId="77777777" w:rsidR="00C36261" w:rsidRPr="002D40BF" w:rsidRDefault="00C36261" w:rsidP="006A7377">
            <w:pPr>
              <w:widowControl w:val="0"/>
              <w:jc w:val="center"/>
              <w:rPr>
                <w:rFonts w:eastAsia="Malgun Gothic"/>
                <w:b w:val="0"/>
                <w:bCs w:val="0"/>
                <w:sz w:val="20"/>
                <w:szCs w:val="20"/>
              </w:rPr>
            </w:pPr>
            <w:r w:rsidRPr="002D40BF">
              <w:rPr>
                <w:rFonts w:eastAsia="Malgun Gothic"/>
                <w:b w:val="0"/>
                <w:bCs w:val="0"/>
                <w:sz w:val="20"/>
                <w:szCs w:val="20"/>
              </w:rPr>
              <w:t>2020</w:t>
            </w:r>
          </w:p>
        </w:tc>
        <w:tc>
          <w:tcPr>
            <w:tcW w:w="2551" w:type="dxa"/>
          </w:tcPr>
          <w:p w14:paraId="23301851" w14:textId="77777777" w:rsidR="00C36261" w:rsidRPr="002D40BF"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2D40BF">
              <w:rPr>
                <w:rFonts w:eastAsia="Malgun Gothic"/>
                <w:sz w:val="20"/>
                <w:szCs w:val="20"/>
              </w:rPr>
              <w:t>3,951,959.29</w:t>
            </w:r>
          </w:p>
        </w:tc>
      </w:tr>
      <w:tr w:rsidR="00C36261" w:rsidRPr="002D40BF" w14:paraId="5C502EBD" w14:textId="77777777" w:rsidTr="00F75946">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2E5FBAFD" w14:textId="77777777" w:rsidR="00C36261" w:rsidRPr="002D40BF" w:rsidRDefault="00C36261" w:rsidP="006A7377">
            <w:pPr>
              <w:widowControl w:val="0"/>
              <w:jc w:val="center"/>
              <w:rPr>
                <w:rFonts w:eastAsia="Malgun Gothic"/>
                <w:b w:val="0"/>
                <w:bCs w:val="0"/>
                <w:sz w:val="20"/>
                <w:szCs w:val="20"/>
              </w:rPr>
            </w:pPr>
            <w:r w:rsidRPr="002D40BF">
              <w:rPr>
                <w:rFonts w:eastAsia="Malgun Gothic"/>
                <w:b w:val="0"/>
                <w:bCs w:val="0"/>
                <w:sz w:val="20"/>
                <w:szCs w:val="20"/>
              </w:rPr>
              <w:t>2021</w:t>
            </w:r>
          </w:p>
        </w:tc>
        <w:tc>
          <w:tcPr>
            <w:tcW w:w="2551" w:type="dxa"/>
          </w:tcPr>
          <w:p w14:paraId="29953648" w14:textId="77777777" w:rsidR="00C36261" w:rsidRPr="002D40BF"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2D40BF">
              <w:rPr>
                <w:rFonts w:eastAsia="Malgun Gothic"/>
                <w:sz w:val="20"/>
                <w:szCs w:val="20"/>
              </w:rPr>
              <w:t>6,199,188.51</w:t>
            </w:r>
          </w:p>
        </w:tc>
      </w:tr>
      <w:tr w:rsidR="00C36261" w:rsidRPr="002D40BF" w14:paraId="60DE3978" w14:textId="77777777" w:rsidTr="00F75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0B1DE68D" w14:textId="77777777" w:rsidR="00C36261" w:rsidRPr="002D40BF" w:rsidRDefault="00C36261" w:rsidP="006A7377">
            <w:pPr>
              <w:widowControl w:val="0"/>
              <w:jc w:val="center"/>
              <w:rPr>
                <w:rFonts w:eastAsia="Malgun Gothic"/>
                <w:b w:val="0"/>
                <w:bCs w:val="0"/>
                <w:sz w:val="20"/>
                <w:szCs w:val="20"/>
              </w:rPr>
            </w:pPr>
            <w:r w:rsidRPr="002D40BF">
              <w:rPr>
                <w:rFonts w:eastAsia="Malgun Gothic"/>
                <w:b w:val="0"/>
                <w:bCs w:val="0"/>
                <w:sz w:val="20"/>
                <w:szCs w:val="20"/>
              </w:rPr>
              <w:t>2022</w:t>
            </w:r>
          </w:p>
        </w:tc>
        <w:tc>
          <w:tcPr>
            <w:tcW w:w="2551" w:type="dxa"/>
          </w:tcPr>
          <w:p w14:paraId="15225331" w14:textId="77777777" w:rsidR="00C36261" w:rsidRPr="002D40BF"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2D40BF">
              <w:rPr>
                <w:rFonts w:eastAsia="Malgun Gothic"/>
                <w:sz w:val="20"/>
                <w:szCs w:val="20"/>
              </w:rPr>
              <w:t>12,122,017.97</w:t>
            </w:r>
          </w:p>
        </w:tc>
      </w:tr>
      <w:tr w:rsidR="00C36261" w:rsidRPr="002D40BF" w14:paraId="52EEC274" w14:textId="77777777" w:rsidTr="00F75946">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484F930D" w14:textId="77777777" w:rsidR="00C36261" w:rsidRPr="002D40BF" w:rsidRDefault="00C36261" w:rsidP="006A7377">
            <w:pPr>
              <w:widowControl w:val="0"/>
              <w:jc w:val="center"/>
              <w:rPr>
                <w:rFonts w:eastAsia="Malgun Gothic"/>
                <w:b w:val="0"/>
                <w:bCs w:val="0"/>
                <w:sz w:val="20"/>
                <w:szCs w:val="20"/>
              </w:rPr>
            </w:pPr>
            <w:r w:rsidRPr="002D40BF">
              <w:rPr>
                <w:rFonts w:eastAsia="Malgun Gothic"/>
                <w:b w:val="0"/>
                <w:bCs w:val="0"/>
                <w:sz w:val="20"/>
                <w:szCs w:val="20"/>
              </w:rPr>
              <w:t>2023</w:t>
            </w:r>
          </w:p>
        </w:tc>
        <w:tc>
          <w:tcPr>
            <w:tcW w:w="2551" w:type="dxa"/>
          </w:tcPr>
          <w:p w14:paraId="2FC92720" w14:textId="77777777" w:rsidR="00C36261" w:rsidRPr="002D40BF"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2D40BF">
              <w:rPr>
                <w:rFonts w:eastAsia="Malgun Gothic"/>
                <w:sz w:val="20"/>
                <w:szCs w:val="20"/>
              </w:rPr>
              <w:t>3,792,623.28</w:t>
            </w:r>
          </w:p>
        </w:tc>
      </w:tr>
      <w:tr w:rsidR="00C36261" w:rsidRPr="002D40BF" w14:paraId="050AB003" w14:textId="77777777" w:rsidTr="00F75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2CA6AF16" w14:textId="77777777" w:rsidR="00C36261" w:rsidRPr="002D40BF" w:rsidRDefault="00C36261" w:rsidP="006A7377">
            <w:pPr>
              <w:widowControl w:val="0"/>
              <w:jc w:val="center"/>
              <w:rPr>
                <w:rFonts w:eastAsia="Malgun Gothic"/>
                <w:sz w:val="20"/>
                <w:szCs w:val="20"/>
              </w:rPr>
            </w:pPr>
            <w:r w:rsidRPr="002D40BF">
              <w:rPr>
                <w:rFonts w:eastAsia="Malgun Gothic"/>
                <w:sz w:val="20"/>
                <w:szCs w:val="20"/>
              </w:rPr>
              <w:t>Total</w:t>
            </w:r>
          </w:p>
        </w:tc>
        <w:tc>
          <w:tcPr>
            <w:tcW w:w="2551" w:type="dxa"/>
          </w:tcPr>
          <w:p w14:paraId="1197BBC2" w14:textId="77777777" w:rsidR="00C36261" w:rsidRPr="002D40BF"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b/>
                <w:bCs/>
                <w:sz w:val="20"/>
                <w:szCs w:val="20"/>
              </w:rPr>
            </w:pPr>
            <w:r w:rsidRPr="002D40BF">
              <w:rPr>
                <w:rFonts w:eastAsia="Malgun Gothic"/>
                <w:b/>
                <w:bCs/>
                <w:sz w:val="20"/>
                <w:szCs w:val="20"/>
              </w:rPr>
              <w:t>55,382,799.73</w:t>
            </w:r>
          </w:p>
        </w:tc>
      </w:tr>
    </w:tbl>
    <w:p w14:paraId="060F0EDA" w14:textId="188A509D" w:rsidR="00C36261" w:rsidRPr="00781360" w:rsidRDefault="00F75946" w:rsidP="00C36261">
      <w:pPr>
        <w:widowControl w:val="0"/>
        <w:jc w:val="both"/>
        <w:rPr>
          <w:sz w:val="16"/>
          <w:szCs w:val="16"/>
          <w:lang w:val="es-ES" w:eastAsia="en-US"/>
        </w:rPr>
      </w:pPr>
      <w:r>
        <w:rPr>
          <w:sz w:val="16"/>
          <w:szCs w:val="16"/>
          <w:lang w:val="es-ES" w:eastAsia="en-US"/>
        </w:rPr>
        <w:t xml:space="preserve">                                                </w:t>
      </w:r>
      <w:r w:rsidR="00C36261" w:rsidRPr="00781360">
        <w:rPr>
          <w:sz w:val="16"/>
          <w:szCs w:val="16"/>
          <w:lang w:val="es-ES" w:eastAsia="en-US"/>
        </w:rPr>
        <w:t xml:space="preserve">Fuente: </w:t>
      </w:r>
      <w:r w:rsidR="003170B7" w:rsidRPr="00781360">
        <w:rPr>
          <w:sz w:val="16"/>
          <w:szCs w:val="16"/>
          <w:lang w:val="es-ES" w:eastAsia="en-US"/>
        </w:rPr>
        <w:t>Dirección</w:t>
      </w:r>
      <w:r w:rsidR="00C36261" w:rsidRPr="00781360">
        <w:rPr>
          <w:sz w:val="16"/>
          <w:szCs w:val="16"/>
          <w:lang w:val="es-ES" w:eastAsia="en-US"/>
        </w:rPr>
        <w:t xml:space="preserve"> General de Hidrocarburos, Ministerio de Energía y Minas 2023</w:t>
      </w:r>
    </w:p>
    <w:p w14:paraId="4F50AC57" w14:textId="77777777" w:rsidR="00781360" w:rsidRDefault="00781360" w:rsidP="00C36261">
      <w:pPr>
        <w:widowControl w:val="0"/>
        <w:jc w:val="both"/>
        <w:rPr>
          <w:lang w:val="es-ES" w:eastAsia="en-US"/>
        </w:rPr>
      </w:pPr>
    </w:p>
    <w:p w14:paraId="0830B6FD" w14:textId="2A45B580" w:rsidR="00C36261" w:rsidRPr="00A57ABC" w:rsidRDefault="00C36261" w:rsidP="00C36261">
      <w:pPr>
        <w:widowControl w:val="0"/>
        <w:jc w:val="both"/>
        <w:rPr>
          <w:lang w:val="es-ES" w:eastAsia="en-US"/>
        </w:rPr>
      </w:pPr>
      <w:r w:rsidRPr="00A57ABC">
        <w:rPr>
          <w:lang w:val="es-ES" w:eastAsia="en-US"/>
        </w:rPr>
        <w:t xml:space="preserve">Durante el periodo analizado en el cuadro anterior el total de ingresos recibidos por conceptos de regalías derivado de la producción nacional de petróleo hasta junio 2023, fue de USD 55,382,799.73, esto apegado a lo establecido dentro de la Ley de Hidrocarburos Decreto Número 109-83, donde se establece que los contratistas de operaciones petroleras de exploración y explotación, pagarán al Estado, con prioridad a la recuperación de cualquier </w:t>
      </w:r>
      <w:r w:rsidRPr="00A57ABC">
        <w:rPr>
          <w:lang w:val="es-ES" w:eastAsia="en-US"/>
        </w:rPr>
        <w:lastRenderedPageBreak/>
        <w:t>costo, una regalía aplicada al volumen de la producción neta o al valor monetario de la misma.</w:t>
      </w:r>
    </w:p>
    <w:p w14:paraId="4FE8AF8C" w14:textId="77777777" w:rsidR="00C36261" w:rsidRPr="00A57ABC" w:rsidRDefault="00C36261" w:rsidP="00C36261">
      <w:pPr>
        <w:widowControl w:val="0"/>
        <w:jc w:val="both"/>
        <w:rPr>
          <w:lang w:val="es-ES" w:eastAsia="en-US"/>
        </w:rPr>
      </w:pPr>
      <w:r w:rsidRPr="00A57ABC">
        <w:rPr>
          <w:lang w:val="es-ES" w:eastAsia="en-US"/>
        </w:rPr>
        <w:t>El conocer las reservas de hidrocarburos y determinar su valor es de suma importancia para el futuro del sector petrolero, ya que afecta positiva o negativamente la explotación, producción, pago de impuestos y regalías. De acuerdo a información del Ministerio de Energía y Minas las reservas remanentes estimadas en el mes de junio 2023 son de 77,294,952.99 unidades de barril.</w:t>
      </w:r>
    </w:p>
    <w:p w14:paraId="2CA36B12" w14:textId="77777777" w:rsidR="00C36261" w:rsidRPr="00A57ABC" w:rsidRDefault="00C36261" w:rsidP="00C36261">
      <w:pPr>
        <w:widowControl w:val="0"/>
        <w:jc w:val="both"/>
        <w:rPr>
          <w:lang w:val="es-ES" w:eastAsia="en-US"/>
        </w:rPr>
      </w:pPr>
    </w:p>
    <w:p w14:paraId="144F69E2" w14:textId="553F8D56" w:rsidR="00C36261" w:rsidRPr="00781360" w:rsidRDefault="00781360" w:rsidP="00781360">
      <w:pPr>
        <w:pStyle w:val="Descripcin"/>
        <w:keepNext/>
        <w:rPr>
          <w:color w:val="auto"/>
        </w:rPr>
      </w:pPr>
      <w:bookmarkStart w:id="793" w:name="_Toc143593549"/>
      <w:r w:rsidRPr="00781360">
        <w:rPr>
          <w:color w:val="auto"/>
        </w:rPr>
        <w:t xml:space="preserve">Tabla </w:t>
      </w:r>
      <w:r w:rsidRPr="00781360">
        <w:rPr>
          <w:color w:val="auto"/>
        </w:rPr>
        <w:fldChar w:fldCharType="begin"/>
      </w:r>
      <w:r w:rsidRPr="00781360">
        <w:rPr>
          <w:color w:val="auto"/>
        </w:rPr>
        <w:instrText xml:space="preserve"> SEQ Tabla \* ARABIC </w:instrText>
      </w:r>
      <w:r w:rsidRPr="00781360">
        <w:rPr>
          <w:color w:val="auto"/>
        </w:rPr>
        <w:fldChar w:fldCharType="separate"/>
      </w:r>
      <w:r w:rsidR="00A62AFA">
        <w:rPr>
          <w:noProof/>
          <w:color w:val="auto"/>
        </w:rPr>
        <w:t>47</w:t>
      </w:r>
      <w:r w:rsidRPr="00781360">
        <w:rPr>
          <w:color w:val="auto"/>
        </w:rPr>
        <w:fldChar w:fldCharType="end"/>
      </w:r>
      <w:r w:rsidRPr="00781360">
        <w:rPr>
          <w:color w:val="auto"/>
        </w:rPr>
        <w:t xml:space="preserve">.  </w:t>
      </w:r>
      <w:r w:rsidR="00C36261" w:rsidRPr="00781360">
        <w:rPr>
          <w:bCs/>
          <w:color w:val="auto"/>
        </w:rPr>
        <w:t>Reservas de petróleo crudo estimadas al mes de junio 2023</w:t>
      </w:r>
      <w:bookmarkEnd w:id="793"/>
    </w:p>
    <w:p w14:paraId="459DBC7F" w14:textId="77777777" w:rsidR="00C36261" w:rsidRPr="00D20A44" w:rsidRDefault="00C36261" w:rsidP="00C36261">
      <w:pPr>
        <w:widowControl w:val="0"/>
        <w:jc w:val="center"/>
        <w:rPr>
          <w:rFonts w:eastAsiaTheme="minorHAnsi"/>
          <w:lang w:eastAsia="en-US"/>
        </w:rPr>
      </w:pPr>
      <w:r w:rsidRPr="00D20A44">
        <w:rPr>
          <w:rFonts w:eastAsiaTheme="minorHAnsi"/>
          <w:lang w:eastAsia="en-US"/>
        </w:rPr>
        <w:t>Barriles</w:t>
      </w:r>
    </w:p>
    <w:tbl>
      <w:tblPr>
        <w:tblStyle w:val="Tabladecuadrcula4-nfasis11"/>
        <w:tblW w:w="8900" w:type="dxa"/>
        <w:tblLook w:val="04A0" w:firstRow="1" w:lastRow="0" w:firstColumn="1" w:lastColumn="0" w:noHBand="0" w:noVBand="1"/>
      </w:tblPr>
      <w:tblGrid>
        <w:gridCol w:w="2084"/>
        <w:gridCol w:w="1466"/>
        <w:gridCol w:w="906"/>
        <w:gridCol w:w="1482"/>
        <w:gridCol w:w="1483"/>
        <w:gridCol w:w="1479"/>
      </w:tblGrid>
      <w:tr w:rsidR="00C36261" w:rsidRPr="00A57ABC" w14:paraId="63111057" w14:textId="77777777" w:rsidTr="002D40BF">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122" w:type="dxa"/>
          </w:tcPr>
          <w:p w14:paraId="4F553338" w14:textId="77777777" w:rsidR="00C36261" w:rsidRPr="00A57ABC" w:rsidRDefault="00C36261" w:rsidP="006A7377">
            <w:pPr>
              <w:widowControl w:val="0"/>
              <w:jc w:val="center"/>
              <w:rPr>
                <w:rFonts w:eastAsia="Malgun Gothic"/>
                <w:sz w:val="18"/>
                <w:szCs w:val="18"/>
              </w:rPr>
            </w:pPr>
            <w:r w:rsidRPr="00A57ABC">
              <w:rPr>
                <w:rFonts w:eastAsia="Malgun Gothic"/>
                <w:sz w:val="18"/>
                <w:szCs w:val="18"/>
              </w:rPr>
              <w:t>Campo</w:t>
            </w:r>
          </w:p>
        </w:tc>
        <w:tc>
          <w:tcPr>
            <w:tcW w:w="1417" w:type="dxa"/>
          </w:tcPr>
          <w:p w14:paraId="129AD871"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Reserva original en el sitio</w:t>
            </w:r>
          </w:p>
        </w:tc>
        <w:tc>
          <w:tcPr>
            <w:tcW w:w="910" w:type="dxa"/>
          </w:tcPr>
          <w:p w14:paraId="596E2C82"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Factor de recobro</w:t>
            </w:r>
          </w:p>
        </w:tc>
        <w:tc>
          <w:tcPr>
            <w:tcW w:w="1483" w:type="dxa"/>
          </w:tcPr>
          <w:p w14:paraId="72AE5FAD"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Reservas iniciales</w:t>
            </w:r>
          </w:p>
        </w:tc>
        <w:tc>
          <w:tcPr>
            <w:tcW w:w="1484" w:type="dxa"/>
          </w:tcPr>
          <w:p w14:paraId="269951A2"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Total, producción a la fecha</w:t>
            </w:r>
          </w:p>
        </w:tc>
        <w:tc>
          <w:tcPr>
            <w:tcW w:w="1484" w:type="dxa"/>
          </w:tcPr>
          <w:p w14:paraId="62DD68F9"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Reservas remanentes</w:t>
            </w:r>
          </w:p>
        </w:tc>
      </w:tr>
      <w:tr w:rsidR="00C36261" w:rsidRPr="00A57ABC" w14:paraId="1AA75FCF" w14:textId="77777777" w:rsidTr="002D40BF">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0ACCB6C" w14:textId="77777777" w:rsidR="00C36261" w:rsidRPr="00F75946" w:rsidRDefault="00C36261" w:rsidP="006A7377">
            <w:pPr>
              <w:widowControl w:val="0"/>
              <w:jc w:val="center"/>
              <w:rPr>
                <w:rFonts w:eastAsia="Malgun Gothic"/>
                <w:b w:val="0"/>
                <w:bCs w:val="0"/>
                <w:sz w:val="20"/>
                <w:szCs w:val="20"/>
              </w:rPr>
            </w:pPr>
            <w:r w:rsidRPr="00F75946">
              <w:rPr>
                <w:rFonts w:eastAsia="Malgun Gothic"/>
                <w:b w:val="0"/>
                <w:bCs w:val="0"/>
                <w:sz w:val="20"/>
                <w:szCs w:val="20"/>
              </w:rPr>
              <w:t>Xan</w:t>
            </w:r>
          </w:p>
        </w:tc>
        <w:tc>
          <w:tcPr>
            <w:tcW w:w="1417" w:type="dxa"/>
            <w:vAlign w:val="center"/>
          </w:tcPr>
          <w:p w14:paraId="2004C4B4"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372,600,000.00</w:t>
            </w:r>
          </w:p>
        </w:tc>
        <w:tc>
          <w:tcPr>
            <w:tcW w:w="910" w:type="dxa"/>
            <w:vAlign w:val="center"/>
          </w:tcPr>
          <w:p w14:paraId="71FAF864"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40%</w:t>
            </w:r>
          </w:p>
        </w:tc>
        <w:tc>
          <w:tcPr>
            <w:tcW w:w="1483" w:type="dxa"/>
            <w:vAlign w:val="center"/>
          </w:tcPr>
          <w:p w14:paraId="44180DB6"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149,040,000.00</w:t>
            </w:r>
          </w:p>
        </w:tc>
        <w:tc>
          <w:tcPr>
            <w:tcW w:w="1484" w:type="dxa"/>
            <w:vAlign w:val="center"/>
          </w:tcPr>
          <w:p w14:paraId="69D2E2D8"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142,430,867.05</w:t>
            </w:r>
          </w:p>
        </w:tc>
        <w:tc>
          <w:tcPr>
            <w:tcW w:w="1484" w:type="dxa"/>
            <w:vAlign w:val="center"/>
          </w:tcPr>
          <w:p w14:paraId="5A556F9A"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6,609,132.95</w:t>
            </w:r>
          </w:p>
        </w:tc>
      </w:tr>
      <w:tr w:rsidR="00C36261" w:rsidRPr="00A57ABC" w14:paraId="1F802B10" w14:textId="77777777" w:rsidTr="002D40BF">
        <w:trPr>
          <w:trHeight w:val="145"/>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2133B27" w14:textId="77777777" w:rsidR="00C36261" w:rsidRPr="00F75946" w:rsidRDefault="00C36261" w:rsidP="006A7377">
            <w:pPr>
              <w:widowControl w:val="0"/>
              <w:jc w:val="center"/>
              <w:rPr>
                <w:rFonts w:eastAsia="Malgun Gothic"/>
                <w:b w:val="0"/>
                <w:bCs w:val="0"/>
                <w:sz w:val="20"/>
                <w:szCs w:val="20"/>
              </w:rPr>
            </w:pPr>
            <w:proofErr w:type="spellStart"/>
            <w:r w:rsidRPr="00F75946">
              <w:rPr>
                <w:rFonts w:eastAsia="Malgun Gothic"/>
                <w:b w:val="0"/>
                <w:bCs w:val="0"/>
                <w:sz w:val="20"/>
                <w:szCs w:val="20"/>
              </w:rPr>
              <w:t>Rubelsanto</w:t>
            </w:r>
            <w:proofErr w:type="spellEnd"/>
          </w:p>
        </w:tc>
        <w:tc>
          <w:tcPr>
            <w:tcW w:w="1417" w:type="dxa"/>
            <w:vAlign w:val="center"/>
          </w:tcPr>
          <w:p w14:paraId="56D10E6C"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153,672,700.00</w:t>
            </w:r>
          </w:p>
        </w:tc>
        <w:tc>
          <w:tcPr>
            <w:tcW w:w="910" w:type="dxa"/>
            <w:vAlign w:val="center"/>
          </w:tcPr>
          <w:p w14:paraId="2D233B79"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24%</w:t>
            </w:r>
          </w:p>
        </w:tc>
        <w:tc>
          <w:tcPr>
            <w:tcW w:w="1483" w:type="dxa"/>
            <w:vAlign w:val="center"/>
          </w:tcPr>
          <w:p w14:paraId="3BAD5C8F"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36,881,448.00</w:t>
            </w:r>
          </w:p>
        </w:tc>
        <w:tc>
          <w:tcPr>
            <w:tcW w:w="1484" w:type="dxa"/>
            <w:vAlign w:val="center"/>
          </w:tcPr>
          <w:p w14:paraId="04C4BE5B"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10,646,667.10</w:t>
            </w:r>
          </w:p>
        </w:tc>
        <w:tc>
          <w:tcPr>
            <w:tcW w:w="1484" w:type="dxa"/>
            <w:vAlign w:val="center"/>
          </w:tcPr>
          <w:p w14:paraId="0AC76BD3"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26,234,780.90</w:t>
            </w:r>
          </w:p>
        </w:tc>
      </w:tr>
      <w:tr w:rsidR="00C36261" w:rsidRPr="00A57ABC" w14:paraId="1827AD58" w14:textId="77777777" w:rsidTr="002D40BF">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300BB23" w14:textId="77777777" w:rsidR="00C36261" w:rsidRPr="00F75946" w:rsidRDefault="00C36261" w:rsidP="006A7377">
            <w:pPr>
              <w:widowControl w:val="0"/>
              <w:jc w:val="center"/>
              <w:rPr>
                <w:rFonts w:eastAsia="Malgun Gothic"/>
                <w:b w:val="0"/>
                <w:bCs w:val="0"/>
                <w:sz w:val="20"/>
                <w:szCs w:val="20"/>
              </w:rPr>
            </w:pPr>
            <w:proofErr w:type="spellStart"/>
            <w:r w:rsidRPr="00F75946">
              <w:rPr>
                <w:rFonts w:eastAsia="Malgun Gothic"/>
                <w:b w:val="0"/>
                <w:bCs w:val="0"/>
                <w:sz w:val="20"/>
                <w:szCs w:val="20"/>
              </w:rPr>
              <w:t>Chinaja</w:t>
            </w:r>
            <w:proofErr w:type="spellEnd"/>
            <w:r w:rsidRPr="00F75946">
              <w:rPr>
                <w:rFonts w:eastAsia="Malgun Gothic"/>
                <w:b w:val="0"/>
                <w:bCs w:val="0"/>
                <w:sz w:val="20"/>
                <w:szCs w:val="20"/>
              </w:rPr>
              <w:t xml:space="preserve"> Oeste</w:t>
            </w:r>
          </w:p>
        </w:tc>
        <w:tc>
          <w:tcPr>
            <w:tcW w:w="1417" w:type="dxa"/>
            <w:vAlign w:val="center"/>
          </w:tcPr>
          <w:p w14:paraId="1E17FBA5"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75,770,180.00</w:t>
            </w:r>
          </w:p>
        </w:tc>
        <w:tc>
          <w:tcPr>
            <w:tcW w:w="910" w:type="dxa"/>
            <w:vAlign w:val="center"/>
          </w:tcPr>
          <w:p w14:paraId="191D98D3"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25%</w:t>
            </w:r>
          </w:p>
        </w:tc>
        <w:tc>
          <w:tcPr>
            <w:tcW w:w="1483" w:type="dxa"/>
            <w:vAlign w:val="center"/>
          </w:tcPr>
          <w:p w14:paraId="1F7C8CC1"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18,942,545.00</w:t>
            </w:r>
          </w:p>
        </w:tc>
        <w:tc>
          <w:tcPr>
            <w:tcW w:w="1484" w:type="dxa"/>
            <w:vAlign w:val="center"/>
          </w:tcPr>
          <w:p w14:paraId="08308123"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7,925,506.41</w:t>
            </w:r>
          </w:p>
        </w:tc>
        <w:tc>
          <w:tcPr>
            <w:tcW w:w="1484" w:type="dxa"/>
            <w:vAlign w:val="center"/>
          </w:tcPr>
          <w:p w14:paraId="47D6D7F5"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11,017,038.59</w:t>
            </w:r>
          </w:p>
        </w:tc>
      </w:tr>
      <w:tr w:rsidR="00C36261" w:rsidRPr="00A57ABC" w14:paraId="74783053" w14:textId="77777777" w:rsidTr="002D40BF">
        <w:trPr>
          <w:trHeight w:val="23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531CC8E" w14:textId="77777777" w:rsidR="00C36261" w:rsidRPr="00F75946" w:rsidRDefault="00C36261" w:rsidP="006A7377">
            <w:pPr>
              <w:widowControl w:val="0"/>
              <w:jc w:val="center"/>
              <w:rPr>
                <w:rFonts w:eastAsia="Malgun Gothic"/>
                <w:b w:val="0"/>
                <w:bCs w:val="0"/>
                <w:sz w:val="20"/>
                <w:szCs w:val="20"/>
              </w:rPr>
            </w:pPr>
            <w:r w:rsidRPr="00F75946">
              <w:rPr>
                <w:rFonts w:eastAsia="Malgun Gothic"/>
                <w:b w:val="0"/>
                <w:bCs w:val="0"/>
                <w:sz w:val="20"/>
                <w:szCs w:val="20"/>
              </w:rPr>
              <w:t>Caribe y Tierra Blanca</w:t>
            </w:r>
          </w:p>
        </w:tc>
        <w:tc>
          <w:tcPr>
            <w:tcW w:w="1417" w:type="dxa"/>
            <w:vAlign w:val="center"/>
          </w:tcPr>
          <w:p w14:paraId="22813748"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134,643,700.00</w:t>
            </w:r>
          </w:p>
        </w:tc>
        <w:tc>
          <w:tcPr>
            <w:tcW w:w="910" w:type="dxa"/>
            <w:vAlign w:val="center"/>
          </w:tcPr>
          <w:p w14:paraId="52329AE0"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24%</w:t>
            </w:r>
          </w:p>
        </w:tc>
        <w:tc>
          <w:tcPr>
            <w:tcW w:w="1483" w:type="dxa"/>
            <w:vAlign w:val="center"/>
          </w:tcPr>
          <w:p w14:paraId="7A6C556B"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32,314,488.00</w:t>
            </w:r>
          </w:p>
        </w:tc>
        <w:tc>
          <w:tcPr>
            <w:tcW w:w="1484" w:type="dxa"/>
            <w:vAlign w:val="center"/>
          </w:tcPr>
          <w:p w14:paraId="2915E61B"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10,108,832.31</w:t>
            </w:r>
          </w:p>
        </w:tc>
        <w:tc>
          <w:tcPr>
            <w:tcW w:w="1484" w:type="dxa"/>
            <w:vAlign w:val="center"/>
          </w:tcPr>
          <w:p w14:paraId="48295394"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22,205,655.69</w:t>
            </w:r>
          </w:p>
        </w:tc>
      </w:tr>
      <w:tr w:rsidR="00C36261" w:rsidRPr="00A57ABC" w14:paraId="13C30B4D" w14:textId="77777777" w:rsidTr="002D40B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1E2DF02" w14:textId="77777777" w:rsidR="00C36261" w:rsidRPr="00F75946" w:rsidRDefault="00C36261" w:rsidP="006A7377">
            <w:pPr>
              <w:widowControl w:val="0"/>
              <w:jc w:val="center"/>
              <w:rPr>
                <w:rFonts w:eastAsia="Malgun Gothic"/>
                <w:b w:val="0"/>
                <w:bCs w:val="0"/>
                <w:sz w:val="20"/>
                <w:szCs w:val="20"/>
              </w:rPr>
            </w:pPr>
            <w:proofErr w:type="spellStart"/>
            <w:r w:rsidRPr="00F75946">
              <w:rPr>
                <w:rFonts w:eastAsia="Malgun Gothic"/>
                <w:b w:val="0"/>
                <w:bCs w:val="0"/>
                <w:sz w:val="20"/>
                <w:szCs w:val="20"/>
              </w:rPr>
              <w:t>Chocop</w:t>
            </w:r>
            <w:proofErr w:type="spellEnd"/>
          </w:p>
        </w:tc>
        <w:tc>
          <w:tcPr>
            <w:tcW w:w="1417" w:type="dxa"/>
            <w:vAlign w:val="center"/>
          </w:tcPr>
          <w:p w14:paraId="37921722"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80,380,000.00</w:t>
            </w:r>
          </w:p>
        </w:tc>
        <w:tc>
          <w:tcPr>
            <w:tcW w:w="910" w:type="dxa"/>
            <w:vAlign w:val="center"/>
          </w:tcPr>
          <w:p w14:paraId="7A8E5129"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15%</w:t>
            </w:r>
          </w:p>
        </w:tc>
        <w:tc>
          <w:tcPr>
            <w:tcW w:w="1483" w:type="dxa"/>
            <w:vAlign w:val="center"/>
          </w:tcPr>
          <w:p w14:paraId="40CC7B9E"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12,057,000.00</w:t>
            </w:r>
          </w:p>
        </w:tc>
        <w:tc>
          <w:tcPr>
            <w:tcW w:w="1484" w:type="dxa"/>
            <w:vAlign w:val="center"/>
          </w:tcPr>
          <w:p w14:paraId="7FAF419F"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1,042,609.11</w:t>
            </w:r>
          </w:p>
        </w:tc>
        <w:tc>
          <w:tcPr>
            <w:tcW w:w="1484" w:type="dxa"/>
            <w:vAlign w:val="center"/>
          </w:tcPr>
          <w:p w14:paraId="0175802E"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11,014,390.89</w:t>
            </w:r>
          </w:p>
        </w:tc>
      </w:tr>
      <w:tr w:rsidR="00C36261" w:rsidRPr="00A57ABC" w14:paraId="73815464" w14:textId="77777777" w:rsidTr="002D40BF">
        <w:trPr>
          <w:trHeight w:val="6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95515B" w14:textId="77777777" w:rsidR="00C36261" w:rsidRPr="00F75946" w:rsidRDefault="00C36261" w:rsidP="006A7377">
            <w:pPr>
              <w:widowControl w:val="0"/>
              <w:jc w:val="center"/>
              <w:rPr>
                <w:rFonts w:eastAsia="Malgun Gothic"/>
                <w:b w:val="0"/>
                <w:bCs w:val="0"/>
                <w:sz w:val="20"/>
                <w:szCs w:val="20"/>
              </w:rPr>
            </w:pPr>
            <w:proofErr w:type="spellStart"/>
            <w:r w:rsidRPr="00F75946">
              <w:rPr>
                <w:rFonts w:eastAsia="Malgun Gothic"/>
                <w:b w:val="0"/>
                <w:bCs w:val="0"/>
                <w:sz w:val="20"/>
                <w:szCs w:val="20"/>
              </w:rPr>
              <w:t>Yalpemech</w:t>
            </w:r>
            <w:proofErr w:type="spellEnd"/>
          </w:p>
        </w:tc>
        <w:tc>
          <w:tcPr>
            <w:tcW w:w="1417" w:type="dxa"/>
            <w:vAlign w:val="center"/>
          </w:tcPr>
          <w:p w14:paraId="475EE0DE"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2,634,000.00</w:t>
            </w:r>
          </w:p>
        </w:tc>
        <w:tc>
          <w:tcPr>
            <w:tcW w:w="910" w:type="dxa"/>
            <w:vAlign w:val="center"/>
          </w:tcPr>
          <w:p w14:paraId="1DE58DDA"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17%</w:t>
            </w:r>
          </w:p>
        </w:tc>
        <w:tc>
          <w:tcPr>
            <w:tcW w:w="1483" w:type="dxa"/>
            <w:vAlign w:val="center"/>
          </w:tcPr>
          <w:p w14:paraId="0A7F9893"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447,451.00</w:t>
            </w:r>
          </w:p>
        </w:tc>
        <w:tc>
          <w:tcPr>
            <w:tcW w:w="1484" w:type="dxa"/>
            <w:vAlign w:val="center"/>
          </w:tcPr>
          <w:p w14:paraId="5C0CF19A"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321,804.68</w:t>
            </w:r>
          </w:p>
        </w:tc>
        <w:tc>
          <w:tcPr>
            <w:tcW w:w="1484" w:type="dxa"/>
            <w:vAlign w:val="center"/>
          </w:tcPr>
          <w:p w14:paraId="779D959B"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0"/>
                <w:szCs w:val="20"/>
              </w:rPr>
            </w:pPr>
            <w:r w:rsidRPr="00F75946">
              <w:rPr>
                <w:rFonts w:eastAsia="Malgun Gothic"/>
                <w:sz w:val="20"/>
                <w:szCs w:val="20"/>
              </w:rPr>
              <w:t>125,975.32</w:t>
            </w:r>
          </w:p>
        </w:tc>
      </w:tr>
      <w:tr w:rsidR="00C36261" w:rsidRPr="00A57ABC" w14:paraId="5DC11D87" w14:textId="77777777" w:rsidTr="002D40B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38F6E8C" w14:textId="77777777" w:rsidR="00C36261" w:rsidRPr="00F75946" w:rsidRDefault="00C36261" w:rsidP="006A7377">
            <w:pPr>
              <w:widowControl w:val="0"/>
              <w:jc w:val="center"/>
              <w:rPr>
                <w:rFonts w:eastAsia="Malgun Gothic"/>
                <w:b w:val="0"/>
                <w:bCs w:val="0"/>
                <w:sz w:val="20"/>
                <w:szCs w:val="20"/>
              </w:rPr>
            </w:pPr>
            <w:proofErr w:type="spellStart"/>
            <w:r w:rsidRPr="00F75946">
              <w:rPr>
                <w:rFonts w:eastAsia="Malgun Gothic"/>
                <w:b w:val="0"/>
                <w:bCs w:val="0"/>
                <w:sz w:val="20"/>
                <w:szCs w:val="20"/>
              </w:rPr>
              <w:t>Atzam</w:t>
            </w:r>
            <w:proofErr w:type="spellEnd"/>
          </w:p>
        </w:tc>
        <w:tc>
          <w:tcPr>
            <w:tcW w:w="1417" w:type="dxa"/>
            <w:vAlign w:val="center"/>
          </w:tcPr>
          <w:p w14:paraId="7090D230"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4,357,259.00</w:t>
            </w:r>
          </w:p>
        </w:tc>
        <w:tc>
          <w:tcPr>
            <w:tcW w:w="910" w:type="dxa"/>
            <w:vAlign w:val="center"/>
          </w:tcPr>
          <w:p w14:paraId="7EDC79C3"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20%</w:t>
            </w:r>
          </w:p>
        </w:tc>
        <w:tc>
          <w:tcPr>
            <w:tcW w:w="1483" w:type="dxa"/>
            <w:vAlign w:val="center"/>
          </w:tcPr>
          <w:p w14:paraId="6B3837A1"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871,451.80</w:t>
            </w:r>
          </w:p>
        </w:tc>
        <w:tc>
          <w:tcPr>
            <w:tcW w:w="1484" w:type="dxa"/>
            <w:vAlign w:val="center"/>
          </w:tcPr>
          <w:p w14:paraId="66BB1D30"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783,473.15</w:t>
            </w:r>
          </w:p>
        </w:tc>
        <w:tc>
          <w:tcPr>
            <w:tcW w:w="1484" w:type="dxa"/>
            <w:vAlign w:val="center"/>
          </w:tcPr>
          <w:p w14:paraId="335BA476" w14:textId="77777777" w:rsidR="00C36261" w:rsidRPr="00F75946"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0"/>
                <w:szCs w:val="20"/>
              </w:rPr>
            </w:pPr>
            <w:r w:rsidRPr="00F75946">
              <w:rPr>
                <w:rFonts w:eastAsia="Malgun Gothic"/>
                <w:sz w:val="20"/>
                <w:szCs w:val="20"/>
              </w:rPr>
              <w:t>87,978.65</w:t>
            </w:r>
          </w:p>
        </w:tc>
      </w:tr>
      <w:tr w:rsidR="00C36261" w:rsidRPr="00A57ABC" w14:paraId="33CFD169" w14:textId="77777777" w:rsidTr="002D40BF">
        <w:trPr>
          <w:trHeight w:val="12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496BC01" w14:textId="77777777" w:rsidR="00C36261" w:rsidRPr="00F75946" w:rsidRDefault="00C36261" w:rsidP="006A7377">
            <w:pPr>
              <w:widowControl w:val="0"/>
              <w:jc w:val="both"/>
              <w:rPr>
                <w:rFonts w:eastAsia="Malgun Gothic"/>
                <w:sz w:val="20"/>
                <w:szCs w:val="20"/>
              </w:rPr>
            </w:pPr>
            <w:r w:rsidRPr="00F75946">
              <w:rPr>
                <w:rFonts w:eastAsia="Malgun Gothic"/>
                <w:sz w:val="20"/>
                <w:szCs w:val="20"/>
              </w:rPr>
              <w:t xml:space="preserve">Totales </w:t>
            </w:r>
          </w:p>
        </w:tc>
        <w:tc>
          <w:tcPr>
            <w:tcW w:w="1417" w:type="dxa"/>
            <w:vAlign w:val="center"/>
          </w:tcPr>
          <w:p w14:paraId="35B744C9"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0"/>
                <w:szCs w:val="20"/>
              </w:rPr>
            </w:pPr>
            <w:r w:rsidRPr="00F75946">
              <w:rPr>
                <w:rFonts w:eastAsia="Malgun Gothic"/>
                <w:b/>
                <w:bCs/>
                <w:sz w:val="20"/>
                <w:szCs w:val="20"/>
              </w:rPr>
              <w:t>824,057,839.00</w:t>
            </w:r>
          </w:p>
        </w:tc>
        <w:tc>
          <w:tcPr>
            <w:tcW w:w="910" w:type="dxa"/>
            <w:vAlign w:val="center"/>
          </w:tcPr>
          <w:p w14:paraId="52D6A55D"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0"/>
                <w:szCs w:val="20"/>
              </w:rPr>
            </w:pPr>
            <w:r w:rsidRPr="00F75946">
              <w:rPr>
                <w:rFonts w:eastAsia="Malgun Gothic"/>
                <w:b/>
                <w:bCs/>
                <w:sz w:val="20"/>
                <w:szCs w:val="20"/>
              </w:rPr>
              <w:t>--</w:t>
            </w:r>
          </w:p>
        </w:tc>
        <w:tc>
          <w:tcPr>
            <w:tcW w:w="1483" w:type="dxa"/>
            <w:vAlign w:val="center"/>
          </w:tcPr>
          <w:p w14:paraId="0F92D288"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0"/>
                <w:szCs w:val="20"/>
              </w:rPr>
            </w:pPr>
            <w:r w:rsidRPr="00F75946">
              <w:rPr>
                <w:rFonts w:eastAsia="Malgun Gothic"/>
                <w:b/>
                <w:bCs/>
                <w:sz w:val="20"/>
                <w:szCs w:val="20"/>
              </w:rPr>
              <w:t>250,554,712.80</w:t>
            </w:r>
          </w:p>
        </w:tc>
        <w:tc>
          <w:tcPr>
            <w:tcW w:w="1484" w:type="dxa"/>
            <w:vAlign w:val="center"/>
          </w:tcPr>
          <w:p w14:paraId="0EA3548C"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0"/>
                <w:szCs w:val="20"/>
              </w:rPr>
            </w:pPr>
            <w:r w:rsidRPr="00F75946">
              <w:rPr>
                <w:rFonts w:eastAsia="Malgun Gothic"/>
                <w:b/>
                <w:bCs/>
                <w:sz w:val="20"/>
                <w:szCs w:val="20"/>
              </w:rPr>
              <w:t>173,259,712.80</w:t>
            </w:r>
          </w:p>
        </w:tc>
        <w:tc>
          <w:tcPr>
            <w:tcW w:w="1484" w:type="dxa"/>
            <w:vAlign w:val="center"/>
          </w:tcPr>
          <w:p w14:paraId="2AEF279F" w14:textId="77777777" w:rsidR="00C36261" w:rsidRPr="00F75946"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0"/>
                <w:szCs w:val="20"/>
              </w:rPr>
            </w:pPr>
            <w:r w:rsidRPr="00F75946">
              <w:rPr>
                <w:rFonts w:eastAsia="Malgun Gothic"/>
                <w:b/>
                <w:bCs/>
                <w:sz w:val="20"/>
                <w:szCs w:val="20"/>
              </w:rPr>
              <w:t>77,294,952.99</w:t>
            </w:r>
          </w:p>
        </w:tc>
      </w:tr>
    </w:tbl>
    <w:p w14:paraId="46A16A08" w14:textId="77777777" w:rsidR="00C36261" w:rsidRPr="00A57ABC" w:rsidRDefault="00C36261" w:rsidP="00C36261">
      <w:pPr>
        <w:widowControl w:val="0"/>
        <w:jc w:val="both"/>
        <w:rPr>
          <w:rFonts w:eastAsiaTheme="minorHAnsi"/>
          <w:b/>
          <w:bCs/>
          <w:lang w:eastAsia="en-US"/>
        </w:rPr>
      </w:pPr>
      <w:r w:rsidRPr="00781360">
        <w:rPr>
          <w:sz w:val="16"/>
          <w:szCs w:val="16"/>
          <w:lang w:val="es-ES" w:eastAsia="en-US"/>
        </w:rPr>
        <w:t>Fuente: Sección de producción/ Departamento de Explotación, Ministerio de Energía y Minas 2023</w:t>
      </w:r>
      <w:r w:rsidRPr="00A57ABC">
        <w:rPr>
          <w:rFonts w:eastAsiaTheme="minorHAnsi"/>
          <w:b/>
          <w:bCs/>
          <w:lang w:eastAsia="en-US"/>
        </w:rPr>
        <w:t xml:space="preserve"> </w:t>
      </w:r>
    </w:p>
    <w:p w14:paraId="396D9A49" w14:textId="77777777" w:rsidR="00C36261" w:rsidRPr="00A57ABC" w:rsidRDefault="00C36261" w:rsidP="00C36261">
      <w:pPr>
        <w:widowControl w:val="0"/>
        <w:jc w:val="both"/>
        <w:rPr>
          <w:lang w:val="es-ES" w:eastAsia="en-US"/>
        </w:rPr>
      </w:pPr>
    </w:p>
    <w:p w14:paraId="3CC4B325" w14:textId="4A0E8F4E" w:rsidR="00C36261" w:rsidRPr="00D20A44" w:rsidRDefault="00D20A44" w:rsidP="00D20A44">
      <w:pPr>
        <w:pStyle w:val="Descripcin"/>
        <w:keepNext/>
        <w:rPr>
          <w:color w:val="auto"/>
        </w:rPr>
      </w:pPr>
      <w:bookmarkStart w:id="794" w:name="_Toc143593550"/>
      <w:r w:rsidRPr="00D20A44">
        <w:rPr>
          <w:color w:val="auto"/>
        </w:rPr>
        <w:t xml:space="preserve">Tabla </w:t>
      </w:r>
      <w:r w:rsidRPr="00D20A44">
        <w:rPr>
          <w:color w:val="auto"/>
        </w:rPr>
        <w:fldChar w:fldCharType="begin"/>
      </w:r>
      <w:r w:rsidRPr="00D20A44">
        <w:rPr>
          <w:color w:val="auto"/>
        </w:rPr>
        <w:instrText xml:space="preserve"> SEQ Tabla \* ARABIC </w:instrText>
      </w:r>
      <w:r w:rsidRPr="00D20A44">
        <w:rPr>
          <w:color w:val="auto"/>
        </w:rPr>
        <w:fldChar w:fldCharType="separate"/>
      </w:r>
      <w:r w:rsidR="00A62AFA">
        <w:rPr>
          <w:noProof/>
          <w:color w:val="auto"/>
        </w:rPr>
        <w:t>48</w:t>
      </w:r>
      <w:r w:rsidRPr="00D20A44">
        <w:rPr>
          <w:color w:val="auto"/>
        </w:rPr>
        <w:fldChar w:fldCharType="end"/>
      </w:r>
      <w:r w:rsidRPr="00D20A44">
        <w:rPr>
          <w:color w:val="auto"/>
        </w:rPr>
        <w:t xml:space="preserve">.  </w:t>
      </w:r>
      <w:r w:rsidR="00C36261" w:rsidRPr="00D20A44">
        <w:rPr>
          <w:bCs/>
          <w:color w:val="auto"/>
        </w:rPr>
        <w:t>Reservas de Condensando estimadas al mes de junio 2023</w:t>
      </w:r>
      <w:bookmarkEnd w:id="794"/>
    </w:p>
    <w:p w14:paraId="61195700" w14:textId="77777777" w:rsidR="00C36261" w:rsidRPr="00D20A44" w:rsidRDefault="00C36261" w:rsidP="00C36261">
      <w:pPr>
        <w:widowControl w:val="0"/>
        <w:jc w:val="center"/>
        <w:rPr>
          <w:rFonts w:eastAsiaTheme="minorHAnsi"/>
          <w:lang w:eastAsia="en-US"/>
        </w:rPr>
      </w:pPr>
      <w:r w:rsidRPr="00D20A44">
        <w:rPr>
          <w:rFonts w:eastAsiaTheme="minorHAnsi"/>
          <w:lang w:eastAsia="en-US"/>
        </w:rPr>
        <w:t>Barriles</w:t>
      </w:r>
    </w:p>
    <w:tbl>
      <w:tblPr>
        <w:tblStyle w:val="Tabladecuadrcula4-nfasis11"/>
        <w:tblW w:w="8889" w:type="dxa"/>
        <w:tblLook w:val="04A0" w:firstRow="1" w:lastRow="0" w:firstColumn="1" w:lastColumn="0" w:noHBand="0" w:noVBand="1"/>
      </w:tblPr>
      <w:tblGrid>
        <w:gridCol w:w="1365"/>
        <w:gridCol w:w="1569"/>
        <w:gridCol w:w="1362"/>
        <w:gridCol w:w="1569"/>
        <w:gridCol w:w="1569"/>
        <w:gridCol w:w="1455"/>
      </w:tblGrid>
      <w:tr w:rsidR="00C36261" w:rsidRPr="00A57ABC" w14:paraId="100C713B" w14:textId="77777777" w:rsidTr="002D40BF">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365" w:type="dxa"/>
          </w:tcPr>
          <w:p w14:paraId="242B7C8F" w14:textId="77777777" w:rsidR="00C36261" w:rsidRPr="00A57ABC" w:rsidRDefault="00C36261" w:rsidP="006A7377">
            <w:pPr>
              <w:widowControl w:val="0"/>
              <w:jc w:val="center"/>
              <w:rPr>
                <w:rFonts w:eastAsia="Malgun Gothic"/>
                <w:sz w:val="18"/>
                <w:szCs w:val="18"/>
              </w:rPr>
            </w:pPr>
            <w:r w:rsidRPr="00A57ABC">
              <w:rPr>
                <w:rFonts w:eastAsia="Malgun Gothic"/>
                <w:sz w:val="18"/>
                <w:szCs w:val="18"/>
              </w:rPr>
              <w:t>Campo</w:t>
            </w:r>
          </w:p>
        </w:tc>
        <w:tc>
          <w:tcPr>
            <w:tcW w:w="1569" w:type="dxa"/>
          </w:tcPr>
          <w:p w14:paraId="33564075"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Reserva original en el sitio</w:t>
            </w:r>
          </w:p>
        </w:tc>
        <w:tc>
          <w:tcPr>
            <w:tcW w:w="1362" w:type="dxa"/>
          </w:tcPr>
          <w:p w14:paraId="0EF39F6D"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Factor de recobro</w:t>
            </w:r>
          </w:p>
        </w:tc>
        <w:tc>
          <w:tcPr>
            <w:tcW w:w="1569" w:type="dxa"/>
          </w:tcPr>
          <w:p w14:paraId="3337C0AF"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Reservas iniciales</w:t>
            </w:r>
          </w:p>
        </w:tc>
        <w:tc>
          <w:tcPr>
            <w:tcW w:w="1569" w:type="dxa"/>
          </w:tcPr>
          <w:p w14:paraId="7CE7DA3A"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Total, producción a la fecha</w:t>
            </w:r>
          </w:p>
        </w:tc>
        <w:tc>
          <w:tcPr>
            <w:tcW w:w="1455" w:type="dxa"/>
          </w:tcPr>
          <w:p w14:paraId="65ABEF69" w14:textId="77777777" w:rsidR="00C36261" w:rsidRPr="00A57ABC"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18"/>
                <w:szCs w:val="18"/>
              </w:rPr>
            </w:pPr>
            <w:r w:rsidRPr="00A57ABC">
              <w:rPr>
                <w:rFonts w:eastAsia="Malgun Gothic"/>
                <w:sz w:val="18"/>
                <w:szCs w:val="18"/>
              </w:rPr>
              <w:t>Reservas remanentes</w:t>
            </w:r>
          </w:p>
        </w:tc>
      </w:tr>
      <w:tr w:rsidR="00C36261" w:rsidRPr="00A57ABC" w14:paraId="1A16DB9F" w14:textId="77777777" w:rsidTr="002D40B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365" w:type="dxa"/>
          </w:tcPr>
          <w:p w14:paraId="48608EFE" w14:textId="77777777" w:rsidR="00C36261" w:rsidRPr="00D20A44" w:rsidRDefault="00C36261" w:rsidP="006A7377">
            <w:pPr>
              <w:widowControl w:val="0"/>
              <w:jc w:val="center"/>
              <w:rPr>
                <w:rFonts w:eastAsia="Malgun Gothic"/>
                <w:b w:val="0"/>
                <w:bCs w:val="0"/>
                <w:sz w:val="22"/>
                <w:szCs w:val="22"/>
              </w:rPr>
            </w:pPr>
            <w:bookmarkStart w:id="795" w:name="_Hlk140569652"/>
            <w:proofErr w:type="spellStart"/>
            <w:r w:rsidRPr="00D20A44">
              <w:rPr>
                <w:rFonts w:eastAsia="Malgun Gothic"/>
                <w:b w:val="0"/>
                <w:bCs w:val="0"/>
                <w:sz w:val="22"/>
                <w:szCs w:val="22"/>
              </w:rPr>
              <w:t>Ocultún</w:t>
            </w:r>
            <w:proofErr w:type="spellEnd"/>
          </w:p>
        </w:tc>
        <w:tc>
          <w:tcPr>
            <w:tcW w:w="1569" w:type="dxa"/>
          </w:tcPr>
          <w:p w14:paraId="3B5A86B5" w14:textId="77777777" w:rsidR="00C36261" w:rsidRPr="00D20A44" w:rsidRDefault="00C36261" w:rsidP="006A7377">
            <w:pPr>
              <w:widowControl w:val="0"/>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D20A44">
              <w:rPr>
                <w:rFonts w:eastAsia="Malgun Gothic"/>
                <w:sz w:val="22"/>
                <w:szCs w:val="22"/>
              </w:rPr>
              <w:t>26,250,000.00</w:t>
            </w:r>
          </w:p>
        </w:tc>
        <w:tc>
          <w:tcPr>
            <w:tcW w:w="1362" w:type="dxa"/>
          </w:tcPr>
          <w:p w14:paraId="1AEE9ED4" w14:textId="77777777" w:rsidR="00C36261" w:rsidRPr="00D20A44"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D20A44">
              <w:rPr>
                <w:rFonts w:eastAsia="Malgun Gothic"/>
                <w:sz w:val="22"/>
                <w:szCs w:val="22"/>
              </w:rPr>
              <w:t>33%</w:t>
            </w:r>
          </w:p>
        </w:tc>
        <w:tc>
          <w:tcPr>
            <w:tcW w:w="1569" w:type="dxa"/>
          </w:tcPr>
          <w:p w14:paraId="4F4FF305" w14:textId="77777777" w:rsidR="00C36261" w:rsidRPr="00D20A44"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D20A44">
              <w:rPr>
                <w:rFonts w:eastAsia="Malgun Gothic"/>
                <w:sz w:val="22"/>
                <w:szCs w:val="22"/>
              </w:rPr>
              <w:t>6,662,500.00</w:t>
            </w:r>
          </w:p>
        </w:tc>
        <w:tc>
          <w:tcPr>
            <w:tcW w:w="1569" w:type="dxa"/>
          </w:tcPr>
          <w:p w14:paraId="492AF602" w14:textId="77777777" w:rsidR="00C36261" w:rsidRPr="00D20A44"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D20A44">
              <w:rPr>
                <w:rFonts w:eastAsia="Malgun Gothic"/>
                <w:sz w:val="22"/>
                <w:szCs w:val="22"/>
              </w:rPr>
              <w:t>2,678,426.88</w:t>
            </w:r>
          </w:p>
        </w:tc>
        <w:tc>
          <w:tcPr>
            <w:tcW w:w="1455" w:type="dxa"/>
          </w:tcPr>
          <w:p w14:paraId="102C99D9" w14:textId="77777777" w:rsidR="00C36261" w:rsidRPr="00D20A44"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D20A44">
              <w:rPr>
                <w:rFonts w:eastAsia="Malgun Gothic"/>
                <w:sz w:val="22"/>
                <w:szCs w:val="22"/>
              </w:rPr>
              <w:t>5,984,073.12</w:t>
            </w:r>
          </w:p>
        </w:tc>
      </w:tr>
      <w:bookmarkEnd w:id="795"/>
      <w:tr w:rsidR="00C36261" w:rsidRPr="00A57ABC" w14:paraId="565C6A33" w14:textId="77777777" w:rsidTr="002D40BF">
        <w:trPr>
          <w:trHeight w:val="197"/>
        </w:trPr>
        <w:tc>
          <w:tcPr>
            <w:cnfStyle w:val="001000000000" w:firstRow="0" w:lastRow="0" w:firstColumn="1" w:lastColumn="0" w:oddVBand="0" w:evenVBand="0" w:oddHBand="0" w:evenHBand="0" w:firstRowFirstColumn="0" w:firstRowLastColumn="0" w:lastRowFirstColumn="0" w:lastRowLastColumn="0"/>
            <w:tcW w:w="1365" w:type="dxa"/>
          </w:tcPr>
          <w:p w14:paraId="79F428AB" w14:textId="77777777" w:rsidR="00C36261" w:rsidRPr="00D20A44" w:rsidRDefault="00C36261" w:rsidP="006A7377">
            <w:pPr>
              <w:widowControl w:val="0"/>
              <w:jc w:val="center"/>
              <w:rPr>
                <w:rFonts w:eastAsia="Malgun Gothic"/>
                <w:sz w:val="22"/>
                <w:szCs w:val="22"/>
              </w:rPr>
            </w:pPr>
            <w:r w:rsidRPr="00D20A44">
              <w:rPr>
                <w:rFonts w:eastAsia="Malgun Gothic"/>
                <w:sz w:val="22"/>
                <w:szCs w:val="22"/>
              </w:rPr>
              <w:t>total</w:t>
            </w:r>
          </w:p>
        </w:tc>
        <w:tc>
          <w:tcPr>
            <w:tcW w:w="1569" w:type="dxa"/>
          </w:tcPr>
          <w:p w14:paraId="26C91405" w14:textId="77777777" w:rsidR="00C36261" w:rsidRPr="00D20A44"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2"/>
                <w:szCs w:val="22"/>
              </w:rPr>
            </w:pPr>
            <w:r w:rsidRPr="00D20A44">
              <w:rPr>
                <w:rFonts w:eastAsia="Malgun Gothic"/>
                <w:b/>
                <w:bCs/>
                <w:sz w:val="22"/>
                <w:szCs w:val="22"/>
              </w:rPr>
              <w:t>26,250,000.00</w:t>
            </w:r>
          </w:p>
        </w:tc>
        <w:tc>
          <w:tcPr>
            <w:tcW w:w="1362" w:type="dxa"/>
          </w:tcPr>
          <w:p w14:paraId="0B11CCE0" w14:textId="77777777" w:rsidR="00C36261" w:rsidRPr="00D20A44"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2"/>
                <w:szCs w:val="22"/>
              </w:rPr>
            </w:pPr>
            <w:r w:rsidRPr="00D20A44">
              <w:rPr>
                <w:rFonts w:eastAsia="Malgun Gothic"/>
                <w:b/>
                <w:bCs/>
                <w:sz w:val="22"/>
                <w:szCs w:val="22"/>
              </w:rPr>
              <w:t>--</w:t>
            </w:r>
          </w:p>
        </w:tc>
        <w:tc>
          <w:tcPr>
            <w:tcW w:w="1569" w:type="dxa"/>
          </w:tcPr>
          <w:p w14:paraId="44ED64AC" w14:textId="77777777" w:rsidR="00C36261" w:rsidRPr="00D20A44"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2"/>
                <w:szCs w:val="22"/>
              </w:rPr>
            </w:pPr>
            <w:r w:rsidRPr="00D20A44">
              <w:rPr>
                <w:rFonts w:eastAsia="Malgun Gothic"/>
                <w:b/>
                <w:bCs/>
                <w:sz w:val="22"/>
                <w:szCs w:val="22"/>
              </w:rPr>
              <w:t>6,662,500.00</w:t>
            </w:r>
          </w:p>
        </w:tc>
        <w:tc>
          <w:tcPr>
            <w:tcW w:w="1569" w:type="dxa"/>
          </w:tcPr>
          <w:p w14:paraId="623BF645" w14:textId="77777777" w:rsidR="00C36261" w:rsidRPr="00D20A44"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2"/>
                <w:szCs w:val="22"/>
              </w:rPr>
            </w:pPr>
            <w:r w:rsidRPr="00D20A44">
              <w:rPr>
                <w:rFonts w:eastAsia="Malgun Gothic"/>
                <w:b/>
                <w:bCs/>
                <w:sz w:val="22"/>
                <w:szCs w:val="22"/>
              </w:rPr>
              <w:t>2,678,426.88</w:t>
            </w:r>
          </w:p>
        </w:tc>
        <w:tc>
          <w:tcPr>
            <w:tcW w:w="1455" w:type="dxa"/>
          </w:tcPr>
          <w:p w14:paraId="3163A277" w14:textId="77777777" w:rsidR="00C36261" w:rsidRPr="00D20A44"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b/>
                <w:bCs/>
                <w:sz w:val="22"/>
                <w:szCs w:val="22"/>
              </w:rPr>
            </w:pPr>
            <w:r w:rsidRPr="00D20A44">
              <w:rPr>
                <w:rFonts w:eastAsia="Malgun Gothic"/>
                <w:b/>
                <w:bCs/>
                <w:sz w:val="22"/>
                <w:szCs w:val="22"/>
              </w:rPr>
              <w:t>5,984,073.12</w:t>
            </w:r>
          </w:p>
        </w:tc>
      </w:tr>
    </w:tbl>
    <w:p w14:paraId="3262FE7F" w14:textId="77777777" w:rsidR="00C36261" w:rsidRPr="00D20A44" w:rsidRDefault="00C36261" w:rsidP="00C36261">
      <w:pPr>
        <w:widowControl w:val="0"/>
        <w:jc w:val="both"/>
        <w:rPr>
          <w:rFonts w:eastAsiaTheme="minorHAnsi"/>
          <w:b/>
          <w:bCs/>
          <w:sz w:val="22"/>
          <w:szCs w:val="22"/>
          <w:lang w:eastAsia="en-US"/>
        </w:rPr>
      </w:pPr>
      <w:r w:rsidRPr="00D20A44">
        <w:rPr>
          <w:sz w:val="16"/>
          <w:szCs w:val="16"/>
          <w:lang w:val="es-ES" w:eastAsia="en-US"/>
        </w:rPr>
        <w:t>Fuente: Sección de producción/ Departamento de Explotación, Ministerio de Energía y Minas 2023</w:t>
      </w:r>
      <w:r w:rsidRPr="00D20A44">
        <w:rPr>
          <w:rFonts w:eastAsiaTheme="minorHAnsi"/>
          <w:b/>
          <w:bCs/>
          <w:sz w:val="22"/>
          <w:szCs w:val="22"/>
          <w:lang w:eastAsia="en-US"/>
        </w:rPr>
        <w:t xml:space="preserve"> </w:t>
      </w:r>
    </w:p>
    <w:p w14:paraId="5416E569" w14:textId="77777777" w:rsidR="00C36261" w:rsidRPr="002D40BF" w:rsidRDefault="00C36261" w:rsidP="00C36261">
      <w:pPr>
        <w:widowControl w:val="0"/>
        <w:jc w:val="both"/>
        <w:rPr>
          <w:lang w:val="es-ES" w:eastAsia="en-US"/>
        </w:rPr>
      </w:pPr>
    </w:p>
    <w:p w14:paraId="0D6BD85F" w14:textId="77777777" w:rsidR="00C36261" w:rsidRPr="00A57ABC" w:rsidRDefault="00C36261" w:rsidP="00C36261">
      <w:pPr>
        <w:widowControl w:val="0"/>
        <w:jc w:val="both"/>
        <w:rPr>
          <w:lang w:val="es-ES" w:eastAsia="en-US"/>
        </w:rPr>
      </w:pPr>
      <w:r w:rsidRPr="00A57ABC">
        <w:rPr>
          <w:lang w:val="es-ES" w:eastAsia="en-US"/>
        </w:rPr>
        <w:t xml:space="preserve">Según información del Ministerio de Energía y Minas los precios del mercado de petróleo crudo se vieron afectados desde inicios de marzo del 2020, cuando Arabia Saudita y Rusia no llegaron a tener un acuerdo para frenar la producción lo que coincidió con la pandemia y provocó la caída de la demanda durante abril 2020 y el crudo estadunidense WTI bajo a un mínimo histórico -con un precio negativo por primera vez en toda la historia-. En el 2022, fue uno de los años más difíciles para el mercado del petróleo sobre todo por los eventos y conflictos que empujaron en varias ocasiones el alza de los precios, lo que causó un repunte en el precio del barril en los mercados internacionales, además fue el inicio de la guerra de Ucrania lo que llevó a sanciones contra Rusia, uno de los mayores productores de hidrocarburos del mundo, que inicialmente disparó los precios, los cuales llegaron a sobrepasar los US$ 130 por barril a principios de marzo 2022. </w:t>
      </w:r>
    </w:p>
    <w:p w14:paraId="7D586536" w14:textId="5DEA0E52" w:rsidR="00C36261" w:rsidRPr="002D40BF" w:rsidRDefault="00C36261" w:rsidP="00C36261">
      <w:pPr>
        <w:widowControl w:val="0"/>
        <w:jc w:val="both"/>
        <w:rPr>
          <w:lang w:val="es-ES" w:eastAsia="en-US"/>
        </w:rPr>
      </w:pPr>
    </w:p>
    <w:p w14:paraId="432FCB5E" w14:textId="77777777" w:rsidR="00C36261" w:rsidRPr="00A57ABC" w:rsidRDefault="00C36261" w:rsidP="00C36261">
      <w:pPr>
        <w:widowControl w:val="0"/>
        <w:jc w:val="both"/>
        <w:rPr>
          <w:lang w:val="es-ES" w:eastAsia="en-US"/>
        </w:rPr>
      </w:pPr>
      <w:r w:rsidRPr="00A57ABC">
        <w:rPr>
          <w:lang w:val="es-ES" w:eastAsia="en-US"/>
        </w:rPr>
        <w:t xml:space="preserve">El pasado 03 de abril de 2023 la Organización de Países Exportadores de Petróleo -OPEP- anunció que recortaría la producción en 1.16 millones de barriles diarios, lo que causó preocupación y alarma pues los precios del petróleo son un aspecto crucial en la economía mundial y afectan a todos los países, como en este caso en particular a Guatemala.  </w:t>
      </w:r>
    </w:p>
    <w:p w14:paraId="1B99ADA4" w14:textId="77777777" w:rsidR="00C36261" w:rsidRPr="00A57ABC" w:rsidRDefault="00C36261" w:rsidP="00C36261">
      <w:pPr>
        <w:widowControl w:val="0"/>
        <w:jc w:val="both"/>
        <w:rPr>
          <w:highlight w:val="yellow"/>
          <w:lang w:val="es-ES" w:eastAsia="en-US"/>
        </w:rPr>
      </w:pPr>
    </w:p>
    <w:p w14:paraId="71A733E8" w14:textId="77777777" w:rsidR="00C36261" w:rsidRPr="00A57ABC" w:rsidRDefault="00C36261" w:rsidP="00C36261">
      <w:pPr>
        <w:widowControl w:val="0"/>
        <w:jc w:val="both"/>
        <w:rPr>
          <w:lang w:val="es-ES" w:eastAsia="en-US"/>
        </w:rPr>
      </w:pPr>
      <w:r w:rsidRPr="00A57ABC">
        <w:rPr>
          <w:lang w:val="es-ES" w:eastAsia="en-US"/>
        </w:rPr>
        <w:t xml:space="preserve">Por los distintos factores mencionados anteriormente los ingresos fiscales provenientes del sector petrolero del país suelen ser volátiles y cambiantes de un día a otro. El Ministerio de </w:t>
      </w:r>
      <w:r w:rsidRPr="00A57ABC">
        <w:rPr>
          <w:lang w:val="es-ES" w:eastAsia="en-US"/>
        </w:rPr>
        <w:lastRenderedPageBreak/>
        <w:t xml:space="preserve">Energía y Minas realizó el ejercicio de estimar la recaudación durante el periodo 2024-2028 de las regalías e hidrocarburos compartibles, es importante recalcar que, por todas las externalidades mencionadas anteriormente existe variabilidad en los precios internacionales, por lo que los escenarios se realizaron tomando como base la cotización del precio internacional del Crudo ICE Brent, utilizando los precios futuros de la plataforma </w:t>
      </w:r>
      <w:proofErr w:type="spellStart"/>
      <w:r w:rsidRPr="00A57ABC">
        <w:rPr>
          <w:lang w:val="es-ES" w:eastAsia="en-US"/>
        </w:rPr>
        <w:t>Platt’s</w:t>
      </w:r>
      <w:proofErr w:type="spellEnd"/>
      <w:r w:rsidRPr="00A57ABC">
        <w:rPr>
          <w:lang w:val="es-ES" w:eastAsia="en-US"/>
        </w:rPr>
        <w:t xml:space="preserve"> para los próximos años.</w:t>
      </w:r>
    </w:p>
    <w:p w14:paraId="367F487D" w14:textId="77777777" w:rsidR="00C36261" w:rsidRPr="002D40BF" w:rsidRDefault="00C36261" w:rsidP="00C36261">
      <w:pPr>
        <w:widowControl w:val="0"/>
        <w:jc w:val="both"/>
        <w:rPr>
          <w:rFonts w:eastAsiaTheme="minorHAnsi"/>
          <w:sz w:val="16"/>
          <w:szCs w:val="16"/>
          <w:lang w:val="es-ES" w:eastAsia="en-US"/>
        </w:rPr>
      </w:pPr>
    </w:p>
    <w:p w14:paraId="4C0CAAF7" w14:textId="77777777" w:rsidR="00C36261" w:rsidRPr="00A57ABC" w:rsidRDefault="00C36261" w:rsidP="00F75946">
      <w:pPr>
        <w:widowControl w:val="0"/>
        <w:numPr>
          <w:ilvl w:val="0"/>
          <w:numId w:val="46"/>
        </w:numPr>
        <w:contextualSpacing/>
        <w:jc w:val="both"/>
        <w:rPr>
          <w:rFonts w:eastAsiaTheme="minorHAnsi"/>
          <w:lang w:val="es-ES" w:eastAsia="en-US"/>
        </w:rPr>
      </w:pPr>
      <w:r w:rsidRPr="00A57ABC">
        <w:rPr>
          <w:rFonts w:eastAsiaTheme="minorHAnsi"/>
          <w:b/>
          <w:bCs/>
          <w:lang w:val="es-ES" w:eastAsia="en-US"/>
        </w:rPr>
        <w:t>Escenario 1:</w:t>
      </w:r>
      <w:r w:rsidRPr="00A57ABC">
        <w:rPr>
          <w:rFonts w:eastAsiaTheme="minorHAnsi"/>
          <w:lang w:val="es-ES" w:eastAsia="en-US"/>
        </w:rPr>
        <w:t xml:space="preserve"> 65 USD$/ Barril con base al precio mínimo</w:t>
      </w:r>
    </w:p>
    <w:p w14:paraId="1D07B17B" w14:textId="77777777" w:rsidR="00C36261" w:rsidRPr="00A57ABC" w:rsidRDefault="00C36261" w:rsidP="00F75946">
      <w:pPr>
        <w:widowControl w:val="0"/>
        <w:numPr>
          <w:ilvl w:val="0"/>
          <w:numId w:val="46"/>
        </w:numPr>
        <w:contextualSpacing/>
        <w:jc w:val="both"/>
        <w:rPr>
          <w:rFonts w:eastAsiaTheme="minorHAnsi"/>
          <w:lang w:val="es-ES" w:eastAsia="en-US"/>
        </w:rPr>
      </w:pPr>
      <w:r w:rsidRPr="00A57ABC">
        <w:rPr>
          <w:rFonts w:eastAsiaTheme="minorHAnsi"/>
          <w:b/>
          <w:bCs/>
          <w:lang w:val="es-ES" w:eastAsia="en-US"/>
        </w:rPr>
        <w:t>Escenario 2:</w:t>
      </w:r>
      <w:r w:rsidRPr="00A57ABC">
        <w:rPr>
          <w:rFonts w:eastAsiaTheme="minorHAnsi"/>
          <w:lang w:val="es-ES" w:eastAsia="en-US"/>
        </w:rPr>
        <w:t xml:space="preserve"> 70USD$/ Barril con base a precio promedio </w:t>
      </w:r>
    </w:p>
    <w:p w14:paraId="4B3076CD" w14:textId="77777777" w:rsidR="00C36261" w:rsidRPr="00A57ABC" w:rsidRDefault="00C36261" w:rsidP="00F75946">
      <w:pPr>
        <w:widowControl w:val="0"/>
        <w:numPr>
          <w:ilvl w:val="0"/>
          <w:numId w:val="46"/>
        </w:numPr>
        <w:contextualSpacing/>
        <w:jc w:val="both"/>
        <w:rPr>
          <w:rFonts w:eastAsiaTheme="minorHAnsi"/>
          <w:lang w:val="es-ES" w:eastAsia="en-US"/>
        </w:rPr>
      </w:pPr>
      <w:r w:rsidRPr="00A57ABC">
        <w:rPr>
          <w:rFonts w:eastAsiaTheme="minorHAnsi"/>
          <w:b/>
          <w:bCs/>
          <w:lang w:val="es-ES" w:eastAsia="en-US"/>
        </w:rPr>
        <w:t>Escenario 3:</w:t>
      </w:r>
      <w:r w:rsidRPr="00A57ABC">
        <w:rPr>
          <w:rFonts w:eastAsiaTheme="minorHAnsi"/>
          <w:lang w:val="es-ES" w:eastAsia="en-US"/>
        </w:rPr>
        <w:t xml:space="preserve"> 85 USD$/ Barril con base al precio máximo. </w:t>
      </w:r>
    </w:p>
    <w:p w14:paraId="1D4A7C61" w14:textId="77777777" w:rsidR="00C36261" w:rsidRPr="002D40BF" w:rsidRDefault="00C36261" w:rsidP="00C36261">
      <w:pPr>
        <w:widowControl w:val="0"/>
        <w:jc w:val="both"/>
        <w:rPr>
          <w:rFonts w:eastAsiaTheme="minorHAnsi"/>
          <w:sz w:val="20"/>
          <w:szCs w:val="20"/>
          <w:lang w:val="es-ES" w:eastAsia="en-US"/>
        </w:rPr>
      </w:pPr>
    </w:p>
    <w:p w14:paraId="4D9249EA" w14:textId="77777777" w:rsidR="00C36261" w:rsidRPr="00A57ABC" w:rsidRDefault="00C36261" w:rsidP="00C36261">
      <w:pPr>
        <w:widowControl w:val="0"/>
        <w:jc w:val="both"/>
        <w:rPr>
          <w:rFonts w:eastAsiaTheme="minorHAnsi"/>
          <w:lang w:val="es-ES" w:eastAsia="en-US"/>
        </w:rPr>
      </w:pPr>
      <w:r w:rsidRPr="00A57ABC">
        <w:rPr>
          <w:rFonts w:eastAsiaTheme="minorHAnsi"/>
          <w:lang w:val="es-ES" w:eastAsia="en-US"/>
        </w:rPr>
        <w:t>El MEM realizó los escenarios tomando en cuenta los precios internacionales, proyecciones de producción y las siguientes premisas del mercado nacional:</w:t>
      </w:r>
    </w:p>
    <w:p w14:paraId="002A6416" w14:textId="77777777" w:rsidR="00C36261" w:rsidRPr="002D40BF" w:rsidRDefault="00C36261" w:rsidP="00C36261">
      <w:pPr>
        <w:widowControl w:val="0"/>
        <w:jc w:val="both"/>
        <w:rPr>
          <w:rFonts w:eastAsiaTheme="minorHAnsi"/>
          <w:sz w:val="20"/>
          <w:szCs w:val="20"/>
          <w:lang w:val="es-ES" w:eastAsia="en-US"/>
        </w:rPr>
      </w:pPr>
    </w:p>
    <w:p w14:paraId="754E5DCE" w14:textId="77777777" w:rsidR="00C36261" w:rsidRPr="007F19DF" w:rsidRDefault="00C36261" w:rsidP="00F75946">
      <w:pPr>
        <w:pStyle w:val="Prrafodelista"/>
        <w:widowControl w:val="0"/>
        <w:numPr>
          <w:ilvl w:val="0"/>
          <w:numId w:val="47"/>
        </w:numPr>
        <w:ind w:left="709"/>
        <w:jc w:val="both"/>
        <w:rPr>
          <w:rFonts w:eastAsiaTheme="minorHAnsi"/>
          <w:lang w:val="es-ES" w:eastAsia="en-US"/>
        </w:rPr>
      </w:pPr>
      <w:r w:rsidRPr="007F19DF">
        <w:rPr>
          <w:rFonts w:eastAsiaTheme="minorHAnsi"/>
          <w:lang w:val="es-ES" w:eastAsia="en-US"/>
        </w:rPr>
        <w:t xml:space="preserve">Las proyecciones de ingresos por concepto de Regalías e Hidrocarburos Compartibles se realizaron con base a la proyección de la producción de hidrocarburos y gas natural presentada por el Departamento de Explotación de la Dirección General de Hidrocarburos. </w:t>
      </w:r>
    </w:p>
    <w:p w14:paraId="5A71A26B" w14:textId="77777777" w:rsidR="00C36261" w:rsidRPr="007F19DF" w:rsidRDefault="00C36261" w:rsidP="00F75946">
      <w:pPr>
        <w:pStyle w:val="Prrafodelista"/>
        <w:widowControl w:val="0"/>
        <w:numPr>
          <w:ilvl w:val="0"/>
          <w:numId w:val="47"/>
        </w:numPr>
        <w:ind w:left="709"/>
        <w:jc w:val="both"/>
        <w:rPr>
          <w:rFonts w:eastAsiaTheme="minorHAnsi"/>
          <w:lang w:val="es-ES" w:eastAsia="en-US"/>
        </w:rPr>
      </w:pPr>
      <w:r w:rsidRPr="007F19DF">
        <w:rPr>
          <w:rFonts w:eastAsiaTheme="minorHAnsi"/>
          <w:lang w:val="es-ES" w:eastAsia="en-US"/>
        </w:rPr>
        <w:t xml:space="preserve">Derivado de las proyecciones de producción se observa que las proyecciones de ingresos por Regalías e Hidrocarburos Compartibles presenta una reducción a partir del 2025. </w:t>
      </w:r>
    </w:p>
    <w:p w14:paraId="5470D164" w14:textId="77777777" w:rsidR="00C36261" w:rsidRPr="007F19DF" w:rsidRDefault="00C36261" w:rsidP="00F75946">
      <w:pPr>
        <w:pStyle w:val="Prrafodelista"/>
        <w:widowControl w:val="0"/>
        <w:numPr>
          <w:ilvl w:val="0"/>
          <w:numId w:val="47"/>
        </w:numPr>
        <w:ind w:left="709"/>
        <w:jc w:val="both"/>
        <w:rPr>
          <w:rFonts w:eastAsiaTheme="minorHAnsi"/>
          <w:lang w:val="es-ES" w:eastAsia="en-US"/>
        </w:rPr>
      </w:pPr>
      <w:r w:rsidRPr="007F19DF">
        <w:rPr>
          <w:rFonts w:eastAsiaTheme="minorHAnsi"/>
          <w:lang w:val="es-ES" w:eastAsia="en-US"/>
        </w:rPr>
        <w:t xml:space="preserve">Los ingresos estimados son líquidos, es decir no serían generados directamente por la producción de hidrocarburos. </w:t>
      </w:r>
    </w:p>
    <w:p w14:paraId="071DC019" w14:textId="77777777" w:rsidR="00C36261" w:rsidRPr="007F19DF" w:rsidRDefault="00C36261" w:rsidP="00F75946">
      <w:pPr>
        <w:pStyle w:val="Prrafodelista"/>
        <w:widowControl w:val="0"/>
        <w:numPr>
          <w:ilvl w:val="0"/>
          <w:numId w:val="47"/>
        </w:numPr>
        <w:ind w:left="709"/>
        <w:jc w:val="both"/>
        <w:rPr>
          <w:rFonts w:eastAsiaTheme="minorHAnsi"/>
          <w:lang w:val="es-ES" w:eastAsia="en-US"/>
        </w:rPr>
      </w:pPr>
      <w:r w:rsidRPr="007F19DF">
        <w:rPr>
          <w:rFonts w:eastAsiaTheme="minorHAnsi"/>
          <w:lang w:val="es-ES" w:eastAsia="en-US"/>
        </w:rPr>
        <w:t>Tipo de cambio en la determinación de los ingresos por producción petrolera.</w:t>
      </w:r>
    </w:p>
    <w:p w14:paraId="6ED23A2A" w14:textId="77777777" w:rsidR="0048273D" w:rsidRPr="002D40BF" w:rsidRDefault="0048273D" w:rsidP="00D20A44">
      <w:pPr>
        <w:widowControl w:val="0"/>
        <w:rPr>
          <w:rFonts w:eastAsiaTheme="minorHAnsi"/>
          <w:b/>
          <w:bCs/>
          <w:sz w:val="20"/>
          <w:szCs w:val="20"/>
          <w:lang w:eastAsia="en-US"/>
        </w:rPr>
      </w:pPr>
    </w:p>
    <w:p w14:paraId="3017931F" w14:textId="5DFBD466" w:rsidR="00C36261" w:rsidRPr="00D20A44" w:rsidRDefault="00D20A44" w:rsidP="00D20A44">
      <w:pPr>
        <w:pStyle w:val="Descripcin"/>
        <w:keepNext/>
        <w:rPr>
          <w:color w:val="auto"/>
        </w:rPr>
      </w:pPr>
      <w:bookmarkStart w:id="796" w:name="_Toc143593551"/>
      <w:r w:rsidRPr="00D20A44">
        <w:rPr>
          <w:color w:val="auto"/>
        </w:rPr>
        <w:t xml:space="preserve">Tabla </w:t>
      </w:r>
      <w:r w:rsidRPr="00D20A44">
        <w:rPr>
          <w:color w:val="auto"/>
        </w:rPr>
        <w:fldChar w:fldCharType="begin"/>
      </w:r>
      <w:r w:rsidRPr="00D20A44">
        <w:rPr>
          <w:color w:val="auto"/>
        </w:rPr>
        <w:instrText xml:space="preserve"> SEQ Tabla \* ARABIC </w:instrText>
      </w:r>
      <w:r w:rsidRPr="00D20A44">
        <w:rPr>
          <w:color w:val="auto"/>
        </w:rPr>
        <w:fldChar w:fldCharType="separate"/>
      </w:r>
      <w:r w:rsidR="00A62AFA">
        <w:rPr>
          <w:noProof/>
          <w:color w:val="auto"/>
        </w:rPr>
        <w:t>49</w:t>
      </w:r>
      <w:r w:rsidRPr="00D20A44">
        <w:rPr>
          <w:color w:val="auto"/>
        </w:rPr>
        <w:fldChar w:fldCharType="end"/>
      </w:r>
      <w:r w:rsidRPr="00D20A44">
        <w:rPr>
          <w:color w:val="auto"/>
        </w:rPr>
        <w:t xml:space="preserve">.  </w:t>
      </w:r>
      <w:r w:rsidR="00C36261" w:rsidRPr="00D20A44">
        <w:rPr>
          <w:bCs/>
          <w:color w:val="auto"/>
        </w:rPr>
        <w:t>Proyecciones de ingresos según escenario por la producción nacional petrolera</w:t>
      </w:r>
      <w:bookmarkEnd w:id="796"/>
      <w:r w:rsidR="00C36261" w:rsidRPr="00D20A44">
        <w:rPr>
          <w:bCs/>
          <w:color w:val="auto"/>
        </w:rPr>
        <w:t xml:space="preserve"> </w:t>
      </w:r>
    </w:p>
    <w:p w14:paraId="1373CB21" w14:textId="1A0A2960" w:rsidR="00C36261" w:rsidRPr="00F75946" w:rsidRDefault="00C36261" w:rsidP="00C36261">
      <w:pPr>
        <w:widowControl w:val="0"/>
        <w:jc w:val="center"/>
        <w:rPr>
          <w:rFonts w:eastAsiaTheme="minorHAnsi"/>
          <w:sz w:val="22"/>
          <w:szCs w:val="22"/>
          <w:lang w:eastAsia="en-US"/>
        </w:rPr>
      </w:pPr>
      <w:r w:rsidRPr="00F75946">
        <w:rPr>
          <w:rFonts w:eastAsiaTheme="minorHAnsi"/>
          <w:sz w:val="22"/>
          <w:szCs w:val="22"/>
          <w:lang w:eastAsia="en-US"/>
        </w:rPr>
        <w:t>Cifras en US</w:t>
      </w:r>
      <w:r w:rsidR="003170B7" w:rsidRPr="00F75946">
        <w:rPr>
          <w:rFonts w:eastAsiaTheme="minorHAnsi"/>
          <w:sz w:val="22"/>
          <w:szCs w:val="22"/>
          <w:lang w:eastAsia="en-US"/>
        </w:rPr>
        <w:t xml:space="preserve"> </w:t>
      </w:r>
      <w:r w:rsidR="00F75946" w:rsidRPr="00F75946">
        <w:rPr>
          <w:rFonts w:eastAsiaTheme="minorHAnsi"/>
          <w:sz w:val="22"/>
          <w:szCs w:val="22"/>
          <w:lang w:eastAsia="en-US"/>
        </w:rPr>
        <w:t>dólares</w:t>
      </w:r>
    </w:p>
    <w:p w14:paraId="5C4473AC" w14:textId="77777777" w:rsidR="00C36261" w:rsidRPr="00F75946" w:rsidRDefault="00C36261" w:rsidP="00C36261">
      <w:pPr>
        <w:widowControl w:val="0"/>
        <w:jc w:val="center"/>
        <w:rPr>
          <w:rFonts w:eastAsiaTheme="minorHAnsi"/>
          <w:sz w:val="22"/>
          <w:szCs w:val="22"/>
          <w:lang w:eastAsia="en-US"/>
        </w:rPr>
      </w:pPr>
      <w:r w:rsidRPr="00F75946">
        <w:rPr>
          <w:rFonts w:eastAsiaTheme="minorHAnsi"/>
          <w:sz w:val="22"/>
          <w:szCs w:val="22"/>
          <w:lang w:eastAsia="en-US"/>
        </w:rPr>
        <w:t xml:space="preserve">periodo 2024-2028 </w:t>
      </w:r>
    </w:p>
    <w:tbl>
      <w:tblPr>
        <w:tblW w:w="6971" w:type="dxa"/>
        <w:jc w:val="center"/>
        <w:tblLayout w:type="fixed"/>
        <w:tblCellMar>
          <w:left w:w="70" w:type="dxa"/>
          <w:right w:w="70" w:type="dxa"/>
        </w:tblCellMar>
        <w:tblLook w:val="0000" w:firstRow="0" w:lastRow="0" w:firstColumn="0" w:lastColumn="0" w:noHBand="0" w:noVBand="0"/>
      </w:tblPr>
      <w:tblGrid>
        <w:gridCol w:w="690"/>
        <w:gridCol w:w="2076"/>
        <w:gridCol w:w="2030"/>
        <w:gridCol w:w="2175"/>
      </w:tblGrid>
      <w:tr w:rsidR="00C36261" w:rsidRPr="00A57ABC" w14:paraId="4DAF511D" w14:textId="77777777" w:rsidTr="002D40BF">
        <w:trPr>
          <w:trHeight w:val="292"/>
          <w:jc w:val="center"/>
        </w:trPr>
        <w:tc>
          <w:tcPr>
            <w:tcW w:w="690" w:type="dxa"/>
            <w:tcBorders>
              <w:top w:val="single" w:sz="6" w:space="0" w:color="auto"/>
              <w:left w:val="single" w:sz="6" w:space="0" w:color="auto"/>
              <w:bottom w:val="nil"/>
              <w:right w:val="single" w:sz="6" w:space="0" w:color="auto"/>
            </w:tcBorders>
            <w:shd w:val="clear" w:color="auto" w:fill="4472C4" w:themeFill="accent1"/>
            <w:vAlign w:val="center"/>
          </w:tcPr>
          <w:p w14:paraId="7F52411C" w14:textId="77777777" w:rsidR="00C36261" w:rsidRPr="002D40BF" w:rsidRDefault="00C36261" w:rsidP="006A7377">
            <w:pPr>
              <w:autoSpaceDE w:val="0"/>
              <w:autoSpaceDN w:val="0"/>
              <w:adjustRightInd w:val="0"/>
              <w:jc w:val="center"/>
              <w:rPr>
                <w:rFonts w:eastAsiaTheme="minorHAnsi"/>
                <w:b/>
                <w:bCs/>
                <w:color w:val="FFFFFF" w:themeColor="background1"/>
                <w:sz w:val="18"/>
                <w:szCs w:val="18"/>
                <w:lang w:eastAsia="en-US"/>
              </w:rPr>
            </w:pPr>
            <w:r w:rsidRPr="002D40BF">
              <w:rPr>
                <w:rFonts w:eastAsiaTheme="minorHAnsi"/>
                <w:b/>
                <w:bCs/>
                <w:color w:val="FFFFFF" w:themeColor="background1"/>
                <w:sz w:val="18"/>
                <w:szCs w:val="18"/>
                <w:lang w:eastAsia="en-US"/>
              </w:rPr>
              <w:t>AÑO</w:t>
            </w:r>
          </w:p>
        </w:tc>
        <w:tc>
          <w:tcPr>
            <w:tcW w:w="2076" w:type="dxa"/>
            <w:tcBorders>
              <w:top w:val="single" w:sz="6" w:space="0" w:color="auto"/>
              <w:left w:val="single" w:sz="6" w:space="0" w:color="auto"/>
              <w:bottom w:val="nil"/>
              <w:right w:val="single" w:sz="6" w:space="0" w:color="auto"/>
            </w:tcBorders>
            <w:shd w:val="clear" w:color="auto" w:fill="4472C4" w:themeFill="accent1"/>
            <w:vAlign w:val="center"/>
          </w:tcPr>
          <w:p w14:paraId="1198C317" w14:textId="77777777" w:rsidR="00C36261" w:rsidRPr="002D40BF" w:rsidRDefault="00C36261" w:rsidP="006A7377">
            <w:pPr>
              <w:autoSpaceDE w:val="0"/>
              <w:autoSpaceDN w:val="0"/>
              <w:adjustRightInd w:val="0"/>
              <w:jc w:val="center"/>
              <w:rPr>
                <w:rFonts w:eastAsiaTheme="minorHAnsi"/>
                <w:b/>
                <w:bCs/>
                <w:color w:val="FFFFFF" w:themeColor="background1"/>
                <w:sz w:val="18"/>
                <w:szCs w:val="18"/>
                <w:lang w:eastAsia="en-US"/>
              </w:rPr>
            </w:pPr>
            <w:r w:rsidRPr="002D40BF">
              <w:rPr>
                <w:rFonts w:eastAsiaTheme="minorHAnsi"/>
                <w:b/>
                <w:bCs/>
                <w:color w:val="FFFFFF" w:themeColor="background1"/>
                <w:sz w:val="18"/>
                <w:szCs w:val="18"/>
                <w:lang w:eastAsia="en-US"/>
              </w:rPr>
              <w:t>ESCENARIO 1</w:t>
            </w:r>
          </w:p>
        </w:tc>
        <w:tc>
          <w:tcPr>
            <w:tcW w:w="2030" w:type="dxa"/>
            <w:tcBorders>
              <w:top w:val="single" w:sz="6" w:space="0" w:color="auto"/>
              <w:left w:val="single" w:sz="6" w:space="0" w:color="auto"/>
              <w:bottom w:val="nil"/>
              <w:right w:val="single" w:sz="6" w:space="0" w:color="auto"/>
            </w:tcBorders>
            <w:shd w:val="clear" w:color="auto" w:fill="4472C4" w:themeFill="accent1"/>
            <w:vAlign w:val="center"/>
          </w:tcPr>
          <w:p w14:paraId="2C80FCD5" w14:textId="77777777" w:rsidR="00C36261" w:rsidRPr="002D40BF" w:rsidRDefault="00C36261" w:rsidP="006A7377">
            <w:pPr>
              <w:autoSpaceDE w:val="0"/>
              <w:autoSpaceDN w:val="0"/>
              <w:adjustRightInd w:val="0"/>
              <w:jc w:val="center"/>
              <w:rPr>
                <w:rFonts w:eastAsiaTheme="minorHAnsi"/>
                <w:b/>
                <w:bCs/>
                <w:color w:val="FFFFFF" w:themeColor="background1"/>
                <w:sz w:val="18"/>
                <w:szCs w:val="18"/>
                <w:lang w:eastAsia="en-US"/>
              </w:rPr>
            </w:pPr>
            <w:r w:rsidRPr="002D40BF">
              <w:rPr>
                <w:rFonts w:eastAsiaTheme="minorHAnsi"/>
                <w:b/>
                <w:bCs/>
                <w:color w:val="FFFFFF" w:themeColor="background1"/>
                <w:sz w:val="18"/>
                <w:szCs w:val="18"/>
                <w:lang w:eastAsia="en-US"/>
              </w:rPr>
              <w:t>ESCENARIO 2</w:t>
            </w:r>
          </w:p>
        </w:tc>
        <w:tc>
          <w:tcPr>
            <w:tcW w:w="2175" w:type="dxa"/>
            <w:tcBorders>
              <w:top w:val="single" w:sz="6" w:space="0" w:color="auto"/>
              <w:left w:val="single" w:sz="6" w:space="0" w:color="auto"/>
              <w:bottom w:val="nil"/>
              <w:right w:val="single" w:sz="6" w:space="0" w:color="auto"/>
            </w:tcBorders>
            <w:shd w:val="clear" w:color="auto" w:fill="4472C4" w:themeFill="accent1"/>
            <w:vAlign w:val="center"/>
          </w:tcPr>
          <w:p w14:paraId="6B70490C" w14:textId="77777777" w:rsidR="00C36261" w:rsidRPr="002D40BF" w:rsidRDefault="00C36261" w:rsidP="006A7377">
            <w:pPr>
              <w:autoSpaceDE w:val="0"/>
              <w:autoSpaceDN w:val="0"/>
              <w:adjustRightInd w:val="0"/>
              <w:jc w:val="center"/>
              <w:rPr>
                <w:rFonts w:eastAsiaTheme="minorHAnsi"/>
                <w:b/>
                <w:bCs/>
                <w:color w:val="FFFFFF" w:themeColor="background1"/>
                <w:sz w:val="18"/>
                <w:szCs w:val="18"/>
                <w:lang w:eastAsia="en-US"/>
              </w:rPr>
            </w:pPr>
            <w:r w:rsidRPr="002D40BF">
              <w:rPr>
                <w:rFonts w:eastAsiaTheme="minorHAnsi"/>
                <w:b/>
                <w:bCs/>
                <w:color w:val="FFFFFF" w:themeColor="background1"/>
                <w:sz w:val="18"/>
                <w:szCs w:val="18"/>
                <w:lang w:eastAsia="en-US"/>
              </w:rPr>
              <w:t>ESCENARIO 3</w:t>
            </w:r>
          </w:p>
        </w:tc>
      </w:tr>
      <w:tr w:rsidR="00C36261" w:rsidRPr="00A57ABC" w14:paraId="5CAB7D3F" w14:textId="77777777" w:rsidTr="002D40BF">
        <w:trPr>
          <w:trHeight w:val="70"/>
          <w:jc w:val="center"/>
        </w:trPr>
        <w:tc>
          <w:tcPr>
            <w:tcW w:w="690" w:type="dxa"/>
            <w:tcBorders>
              <w:top w:val="nil"/>
              <w:left w:val="single" w:sz="6" w:space="0" w:color="auto"/>
              <w:bottom w:val="nil"/>
              <w:right w:val="single" w:sz="6" w:space="0" w:color="auto"/>
            </w:tcBorders>
            <w:shd w:val="clear" w:color="auto" w:fill="4472C4" w:themeFill="accent1"/>
          </w:tcPr>
          <w:p w14:paraId="59C793D5" w14:textId="77777777" w:rsidR="00C36261" w:rsidRPr="002D40BF" w:rsidRDefault="00C36261" w:rsidP="006A7377">
            <w:pPr>
              <w:autoSpaceDE w:val="0"/>
              <w:autoSpaceDN w:val="0"/>
              <w:adjustRightInd w:val="0"/>
              <w:jc w:val="center"/>
              <w:rPr>
                <w:rFonts w:eastAsiaTheme="minorHAnsi"/>
                <w:b/>
                <w:bCs/>
                <w:color w:val="FFFFFF" w:themeColor="background1"/>
                <w:sz w:val="18"/>
                <w:szCs w:val="18"/>
                <w:lang w:eastAsia="en-US"/>
              </w:rPr>
            </w:pPr>
          </w:p>
        </w:tc>
        <w:tc>
          <w:tcPr>
            <w:tcW w:w="2076" w:type="dxa"/>
            <w:tcBorders>
              <w:top w:val="nil"/>
              <w:left w:val="single" w:sz="6" w:space="0" w:color="auto"/>
              <w:bottom w:val="single" w:sz="6" w:space="0" w:color="auto"/>
              <w:right w:val="single" w:sz="6" w:space="0" w:color="auto"/>
            </w:tcBorders>
            <w:shd w:val="clear" w:color="auto" w:fill="4472C4" w:themeFill="accent1"/>
            <w:vAlign w:val="center"/>
          </w:tcPr>
          <w:p w14:paraId="587F4B76" w14:textId="77777777" w:rsidR="00C36261" w:rsidRPr="002D40BF" w:rsidRDefault="00C36261" w:rsidP="006A7377">
            <w:pPr>
              <w:autoSpaceDE w:val="0"/>
              <w:autoSpaceDN w:val="0"/>
              <w:adjustRightInd w:val="0"/>
              <w:jc w:val="center"/>
              <w:rPr>
                <w:rFonts w:eastAsiaTheme="minorHAnsi"/>
                <w:b/>
                <w:bCs/>
                <w:color w:val="FFFFFF" w:themeColor="background1"/>
                <w:sz w:val="18"/>
                <w:szCs w:val="18"/>
                <w:lang w:eastAsia="en-US"/>
              </w:rPr>
            </w:pPr>
            <w:r w:rsidRPr="002D40BF">
              <w:rPr>
                <w:rFonts w:eastAsiaTheme="minorHAnsi"/>
                <w:b/>
                <w:bCs/>
                <w:color w:val="FFFFFF" w:themeColor="background1"/>
                <w:sz w:val="18"/>
                <w:szCs w:val="18"/>
                <w:lang w:eastAsia="en-US"/>
              </w:rPr>
              <w:t>US$65</w:t>
            </w:r>
          </w:p>
        </w:tc>
        <w:tc>
          <w:tcPr>
            <w:tcW w:w="2030" w:type="dxa"/>
            <w:tcBorders>
              <w:top w:val="nil"/>
              <w:left w:val="single" w:sz="6" w:space="0" w:color="auto"/>
              <w:bottom w:val="single" w:sz="6" w:space="0" w:color="auto"/>
              <w:right w:val="single" w:sz="6" w:space="0" w:color="auto"/>
            </w:tcBorders>
            <w:shd w:val="clear" w:color="auto" w:fill="4472C4" w:themeFill="accent1"/>
            <w:vAlign w:val="center"/>
          </w:tcPr>
          <w:p w14:paraId="267EDC17" w14:textId="77777777" w:rsidR="00C36261" w:rsidRPr="002D40BF" w:rsidRDefault="00C36261" w:rsidP="006A7377">
            <w:pPr>
              <w:autoSpaceDE w:val="0"/>
              <w:autoSpaceDN w:val="0"/>
              <w:adjustRightInd w:val="0"/>
              <w:jc w:val="center"/>
              <w:rPr>
                <w:rFonts w:eastAsiaTheme="minorHAnsi"/>
                <w:b/>
                <w:bCs/>
                <w:color w:val="FFFFFF" w:themeColor="background1"/>
                <w:sz w:val="18"/>
                <w:szCs w:val="18"/>
                <w:lang w:eastAsia="en-US"/>
              </w:rPr>
            </w:pPr>
            <w:r w:rsidRPr="002D40BF">
              <w:rPr>
                <w:rFonts w:eastAsiaTheme="minorHAnsi"/>
                <w:b/>
                <w:bCs/>
                <w:color w:val="FFFFFF" w:themeColor="background1"/>
                <w:sz w:val="18"/>
                <w:szCs w:val="18"/>
                <w:lang w:eastAsia="en-US"/>
              </w:rPr>
              <w:t>US$70</w:t>
            </w:r>
          </w:p>
        </w:tc>
        <w:tc>
          <w:tcPr>
            <w:tcW w:w="2175" w:type="dxa"/>
            <w:tcBorders>
              <w:top w:val="nil"/>
              <w:left w:val="single" w:sz="6" w:space="0" w:color="auto"/>
              <w:bottom w:val="single" w:sz="6" w:space="0" w:color="auto"/>
              <w:right w:val="single" w:sz="6" w:space="0" w:color="auto"/>
            </w:tcBorders>
            <w:shd w:val="clear" w:color="auto" w:fill="4472C4" w:themeFill="accent1"/>
            <w:vAlign w:val="center"/>
          </w:tcPr>
          <w:p w14:paraId="6BCE193F" w14:textId="77777777" w:rsidR="00C36261" w:rsidRPr="002D40BF" w:rsidRDefault="00C36261" w:rsidP="006A7377">
            <w:pPr>
              <w:autoSpaceDE w:val="0"/>
              <w:autoSpaceDN w:val="0"/>
              <w:adjustRightInd w:val="0"/>
              <w:jc w:val="center"/>
              <w:rPr>
                <w:rFonts w:eastAsiaTheme="minorHAnsi"/>
                <w:b/>
                <w:bCs/>
                <w:color w:val="FFFFFF" w:themeColor="background1"/>
                <w:sz w:val="18"/>
                <w:szCs w:val="18"/>
                <w:lang w:eastAsia="en-US"/>
              </w:rPr>
            </w:pPr>
            <w:r w:rsidRPr="002D40BF">
              <w:rPr>
                <w:rFonts w:eastAsiaTheme="minorHAnsi"/>
                <w:b/>
                <w:bCs/>
                <w:color w:val="FFFFFF" w:themeColor="background1"/>
                <w:sz w:val="18"/>
                <w:szCs w:val="18"/>
                <w:lang w:eastAsia="en-US"/>
              </w:rPr>
              <w:t>US$85</w:t>
            </w:r>
          </w:p>
        </w:tc>
      </w:tr>
      <w:tr w:rsidR="00C36261" w:rsidRPr="00A57ABC" w14:paraId="40BFFCB5" w14:textId="77777777" w:rsidTr="002D40BF">
        <w:trPr>
          <w:trHeight w:val="187"/>
          <w:jc w:val="center"/>
        </w:trPr>
        <w:tc>
          <w:tcPr>
            <w:tcW w:w="690" w:type="dxa"/>
            <w:tcBorders>
              <w:top w:val="single" w:sz="6" w:space="0" w:color="auto"/>
              <w:left w:val="single" w:sz="6" w:space="0" w:color="auto"/>
              <w:bottom w:val="single" w:sz="6" w:space="0" w:color="auto"/>
              <w:right w:val="single" w:sz="6" w:space="0" w:color="auto"/>
            </w:tcBorders>
            <w:shd w:val="clear" w:color="auto" w:fill="4472C4" w:themeFill="accent1"/>
          </w:tcPr>
          <w:p w14:paraId="39F0C15D" w14:textId="77777777" w:rsidR="00C36261" w:rsidRPr="002D40BF" w:rsidRDefault="00C36261" w:rsidP="006A7377">
            <w:pPr>
              <w:autoSpaceDE w:val="0"/>
              <w:autoSpaceDN w:val="0"/>
              <w:adjustRightInd w:val="0"/>
              <w:jc w:val="center"/>
              <w:rPr>
                <w:rFonts w:eastAsiaTheme="minorHAnsi"/>
                <w:b/>
                <w:bCs/>
                <w:color w:val="FFFFFF" w:themeColor="background1"/>
                <w:sz w:val="20"/>
                <w:szCs w:val="20"/>
                <w:lang w:eastAsia="en-US"/>
              </w:rPr>
            </w:pPr>
            <w:r w:rsidRPr="002D40BF">
              <w:rPr>
                <w:rFonts w:eastAsiaTheme="minorHAnsi"/>
                <w:b/>
                <w:bCs/>
                <w:color w:val="FFFFFF" w:themeColor="background1"/>
                <w:sz w:val="20"/>
                <w:szCs w:val="20"/>
                <w:lang w:eastAsia="en-US"/>
              </w:rPr>
              <w:t>2024</w:t>
            </w:r>
          </w:p>
        </w:tc>
        <w:tc>
          <w:tcPr>
            <w:tcW w:w="2076" w:type="dxa"/>
            <w:tcBorders>
              <w:top w:val="single" w:sz="6" w:space="0" w:color="auto"/>
              <w:left w:val="single" w:sz="6" w:space="0" w:color="auto"/>
              <w:bottom w:val="single" w:sz="6" w:space="0" w:color="auto"/>
              <w:right w:val="single" w:sz="6" w:space="0" w:color="auto"/>
            </w:tcBorders>
          </w:tcPr>
          <w:p w14:paraId="6436E0B4"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$5,621,155.23</w:t>
            </w:r>
          </w:p>
        </w:tc>
        <w:tc>
          <w:tcPr>
            <w:tcW w:w="2030" w:type="dxa"/>
            <w:tcBorders>
              <w:top w:val="single" w:sz="6" w:space="0" w:color="auto"/>
              <w:left w:val="single" w:sz="6" w:space="0" w:color="auto"/>
              <w:bottom w:val="single" w:sz="6" w:space="0" w:color="auto"/>
              <w:right w:val="single" w:sz="6" w:space="0" w:color="auto"/>
            </w:tcBorders>
          </w:tcPr>
          <w:p w14:paraId="28574404"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$6,556,509.68</w:t>
            </w:r>
          </w:p>
        </w:tc>
        <w:tc>
          <w:tcPr>
            <w:tcW w:w="2175" w:type="dxa"/>
            <w:tcBorders>
              <w:top w:val="single" w:sz="6" w:space="0" w:color="auto"/>
              <w:left w:val="single" w:sz="6" w:space="0" w:color="auto"/>
              <w:bottom w:val="single" w:sz="6" w:space="0" w:color="auto"/>
              <w:right w:val="single" w:sz="6" w:space="0" w:color="auto"/>
            </w:tcBorders>
          </w:tcPr>
          <w:p w14:paraId="36D91323"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$13,828,632.57</w:t>
            </w:r>
          </w:p>
        </w:tc>
      </w:tr>
      <w:tr w:rsidR="00C36261" w:rsidRPr="00A57ABC" w14:paraId="5023A4C3" w14:textId="77777777" w:rsidTr="002D40BF">
        <w:trPr>
          <w:trHeight w:val="176"/>
          <w:jc w:val="center"/>
        </w:trPr>
        <w:tc>
          <w:tcPr>
            <w:tcW w:w="690" w:type="dxa"/>
            <w:tcBorders>
              <w:top w:val="single" w:sz="6" w:space="0" w:color="auto"/>
              <w:left w:val="single" w:sz="6" w:space="0" w:color="auto"/>
              <w:bottom w:val="single" w:sz="6" w:space="0" w:color="auto"/>
              <w:right w:val="single" w:sz="6" w:space="0" w:color="auto"/>
            </w:tcBorders>
            <w:shd w:val="clear" w:color="auto" w:fill="4472C4" w:themeFill="accent1"/>
          </w:tcPr>
          <w:p w14:paraId="204E812D" w14:textId="77777777" w:rsidR="00C36261" w:rsidRPr="002D40BF" w:rsidRDefault="00C36261" w:rsidP="006A7377">
            <w:pPr>
              <w:autoSpaceDE w:val="0"/>
              <w:autoSpaceDN w:val="0"/>
              <w:adjustRightInd w:val="0"/>
              <w:jc w:val="center"/>
              <w:rPr>
                <w:rFonts w:eastAsiaTheme="minorHAnsi"/>
                <w:b/>
                <w:bCs/>
                <w:color w:val="FFFFFF" w:themeColor="background1"/>
                <w:sz w:val="20"/>
                <w:szCs w:val="20"/>
                <w:lang w:eastAsia="en-US"/>
              </w:rPr>
            </w:pPr>
            <w:r w:rsidRPr="002D40BF">
              <w:rPr>
                <w:rFonts w:eastAsiaTheme="minorHAnsi"/>
                <w:b/>
                <w:bCs/>
                <w:color w:val="FFFFFF" w:themeColor="background1"/>
                <w:sz w:val="20"/>
                <w:szCs w:val="20"/>
                <w:lang w:eastAsia="en-US"/>
              </w:rPr>
              <w:t>2025</w:t>
            </w:r>
          </w:p>
        </w:tc>
        <w:tc>
          <w:tcPr>
            <w:tcW w:w="2076" w:type="dxa"/>
            <w:tcBorders>
              <w:top w:val="single" w:sz="6" w:space="0" w:color="auto"/>
              <w:left w:val="single" w:sz="6" w:space="0" w:color="auto"/>
              <w:bottom w:val="single" w:sz="6" w:space="0" w:color="auto"/>
              <w:right w:val="single" w:sz="6" w:space="0" w:color="auto"/>
            </w:tcBorders>
          </w:tcPr>
          <w:p w14:paraId="7EBE5184"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$4,939,678.30</w:t>
            </w:r>
          </w:p>
        </w:tc>
        <w:tc>
          <w:tcPr>
            <w:tcW w:w="2030" w:type="dxa"/>
            <w:tcBorders>
              <w:top w:val="single" w:sz="6" w:space="0" w:color="auto"/>
              <w:left w:val="single" w:sz="6" w:space="0" w:color="auto"/>
              <w:bottom w:val="single" w:sz="6" w:space="0" w:color="auto"/>
              <w:right w:val="single" w:sz="6" w:space="0" w:color="auto"/>
            </w:tcBorders>
          </w:tcPr>
          <w:p w14:paraId="664A41AB"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$5,950,508.71</w:t>
            </w:r>
          </w:p>
        </w:tc>
        <w:tc>
          <w:tcPr>
            <w:tcW w:w="2175" w:type="dxa"/>
            <w:tcBorders>
              <w:top w:val="single" w:sz="6" w:space="0" w:color="auto"/>
              <w:left w:val="single" w:sz="6" w:space="0" w:color="auto"/>
              <w:bottom w:val="single" w:sz="6" w:space="0" w:color="auto"/>
              <w:right w:val="single" w:sz="6" w:space="0" w:color="auto"/>
            </w:tcBorders>
          </w:tcPr>
          <w:p w14:paraId="49C61BC1"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$10,776,796.27</w:t>
            </w:r>
          </w:p>
        </w:tc>
      </w:tr>
      <w:tr w:rsidR="00C36261" w:rsidRPr="00A57ABC" w14:paraId="1143A874" w14:textId="77777777" w:rsidTr="002D40BF">
        <w:trPr>
          <w:trHeight w:val="167"/>
          <w:jc w:val="center"/>
        </w:trPr>
        <w:tc>
          <w:tcPr>
            <w:tcW w:w="690" w:type="dxa"/>
            <w:tcBorders>
              <w:top w:val="single" w:sz="6" w:space="0" w:color="auto"/>
              <w:left w:val="single" w:sz="6" w:space="0" w:color="auto"/>
              <w:bottom w:val="single" w:sz="6" w:space="0" w:color="auto"/>
              <w:right w:val="single" w:sz="6" w:space="0" w:color="auto"/>
            </w:tcBorders>
            <w:shd w:val="clear" w:color="auto" w:fill="4472C4" w:themeFill="accent1"/>
          </w:tcPr>
          <w:p w14:paraId="0274AB07" w14:textId="77777777" w:rsidR="00C36261" w:rsidRPr="002D40BF" w:rsidRDefault="00C36261" w:rsidP="006A7377">
            <w:pPr>
              <w:autoSpaceDE w:val="0"/>
              <w:autoSpaceDN w:val="0"/>
              <w:adjustRightInd w:val="0"/>
              <w:jc w:val="center"/>
              <w:rPr>
                <w:rFonts w:eastAsiaTheme="minorHAnsi"/>
                <w:b/>
                <w:bCs/>
                <w:color w:val="FFFFFF" w:themeColor="background1"/>
                <w:sz w:val="20"/>
                <w:szCs w:val="20"/>
                <w:lang w:eastAsia="en-US"/>
              </w:rPr>
            </w:pPr>
            <w:r w:rsidRPr="002D40BF">
              <w:rPr>
                <w:rFonts w:eastAsiaTheme="minorHAnsi"/>
                <w:b/>
                <w:bCs/>
                <w:color w:val="FFFFFF" w:themeColor="background1"/>
                <w:sz w:val="20"/>
                <w:szCs w:val="20"/>
                <w:lang w:eastAsia="en-US"/>
              </w:rPr>
              <w:t>2026</w:t>
            </w:r>
          </w:p>
        </w:tc>
        <w:tc>
          <w:tcPr>
            <w:tcW w:w="2076" w:type="dxa"/>
            <w:tcBorders>
              <w:top w:val="single" w:sz="6" w:space="0" w:color="auto"/>
              <w:left w:val="single" w:sz="6" w:space="0" w:color="auto"/>
              <w:bottom w:val="single" w:sz="6" w:space="0" w:color="auto"/>
              <w:right w:val="single" w:sz="6" w:space="0" w:color="auto"/>
            </w:tcBorders>
          </w:tcPr>
          <w:p w14:paraId="50D1EB62"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$2,226,000.30</w:t>
            </w:r>
          </w:p>
        </w:tc>
        <w:tc>
          <w:tcPr>
            <w:tcW w:w="2030" w:type="dxa"/>
            <w:tcBorders>
              <w:top w:val="single" w:sz="6" w:space="0" w:color="auto"/>
              <w:left w:val="single" w:sz="6" w:space="0" w:color="auto"/>
              <w:bottom w:val="single" w:sz="6" w:space="0" w:color="auto"/>
              <w:right w:val="single" w:sz="6" w:space="0" w:color="auto"/>
            </w:tcBorders>
          </w:tcPr>
          <w:p w14:paraId="203FDF27"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$2,942,995.93</w:t>
            </w:r>
          </w:p>
        </w:tc>
        <w:tc>
          <w:tcPr>
            <w:tcW w:w="2175" w:type="dxa"/>
            <w:tcBorders>
              <w:top w:val="single" w:sz="6" w:space="0" w:color="auto"/>
              <w:left w:val="single" w:sz="6" w:space="0" w:color="auto"/>
              <w:bottom w:val="single" w:sz="6" w:space="0" w:color="auto"/>
              <w:right w:val="single" w:sz="6" w:space="0" w:color="auto"/>
            </w:tcBorders>
          </w:tcPr>
          <w:p w14:paraId="4D60AFC3"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$4,081,194.19</w:t>
            </w:r>
          </w:p>
        </w:tc>
      </w:tr>
      <w:tr w:rsidR="00C36261" w:rsidRPr="00A57ABC" w14:paraId="24409E6A" w14:textId="77777777" w:rsidTr="002D40BF">
        <w:trPr>
          <w:trHeight w:val="55"/>
          <w:jc w:val="center"/>
        </w:trPr>
        <w:tc>
          <w:tcPr>
            <w:tcW w:w="690" w:type="dxa"/>
            <w:tcBorders>
              <w:top w:val="single" w:sz="6" w:space="0" w:color="auto"/>
              <w:left w:val="single" w:sz="6" w:space="0" w:color="auto"/>
              <w:bottom w:val="single" w:sz="6" w:space="0" w:color="auto"/>
              <w:right w:val="single" w:sz="6" w:space="0" w:color="auto"/>
            </w:tcBorders>
            <w:shd w:val="clear" w:color="auto" w:fill="4472C4" w:themeFill="accent1"/>
          </w:tcPr>
          <w:p w14:paraId="6BA23118" w14:textId="77777777" w:rsidR="00C36261" w:rsidRPr="002D40BF" w:rsidRDefault="00C36261" w:rsidP="006A7377">
            <w:pPr>
              <w:autoSpaceDE w:val="0"/>
              <w:autoSpaceDN w:val="0"/>
              <w:adjustRightInd w:val="0"/>
              <w:jc w:val="center"/>
              <w:rPr>
                <w:rFonts w:eastAsiaTheme="minorHAnsi"/>
                <w:b/>
                <w:bCs/>
                <w:color w:val="FFFFFF" w:themeColor="background1"/>
                <w:sz w:val="20"/>
                <w:szCs w:val="20"/>
                <w:lang w:eastAsia="en-US"/>
              </w:rPr>
            </w:pPr>
            <w:r w:rsidRPr="002D40BF">
              <w:rPr>
                <w:rFonts w:eastAsiaTheme="minorHAnsi"/>
                <w:b/>
                <w:bCs/>
                <w:color w:val="FFFFFF" w:themeColor="background1"/>
                <w:sz w:val="20"/>
                <w:szCs w:val="20"/>
                <w:lang w:eastAsia="en-US"/>
              </w:rPr>
              <w:t>2027</w:t>
            </w:r>
          </w:p>
        </w:tc>
        <w:tc>
          <w:tcPr>
            <w:tcW w:w="2076" w:type="dxa"/>
            <w:tcBorders>
              <w:top w:val="single" w:sz="6" w:space="0" w:color="auto"/>
              <w:left w:val="single" w:sz="6" w:space="0" w:color="auto"/>
              <w:bottom w:val="single" w:sz="6" w:space="0" w:color="auto"/>
              <w:right w:val="single" w:sz="6" w:space="0" w:color="auto"/>
            </w:tcBorders>
          </w:tcPr>
          <w:p w14:paraId="48426672"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$2,226,000.30</w:t>
            </w:r>
          </w:p>
        </w:tc>
        <w:tc>
          <w:tcPr>
            <w:tcW w:w="2030" w:type="dxa"/>
            <w:tcBorders>
              <w:top w:val="single" w:sz="6" w:space="0" w:color="auto"/>
              <w:left w:val="single" w:sz="6" w:space="0" w:color="auto"/>
              <w:bottom w:val="single" w:sz="6" w:space="0" w:color="auto"/>
              <w:right w:val="single" w:sz="6" w:space="0" w:color="auto"/>
            </w:tcBorders>
          </w:tcPr>
          <w:p w14:paraId="3660FFA7"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$2,942,995.93</w:t>
            </w:r>
          </w:p>
        </w:tc>
        <w:tc>
          <w:tcPr>
            <w:tcW w:w="2175" w:type="dxa"/>
            <w:tcBorders>
              <w:top w:val="single" w:sz="6" w:space="0" w:color="auto"/>
              <w:left w:val="single" w:sz="6" w:space="0" w:color="auto"/>
              <w:bottom w:val="single" w:sz="6" w:space="0" w:color="auto"/>
              <w:right w:val="single" w:sz="6" w:space="0" w:color="auto"/>
            </w:tcBorders>
          </w:tcPr>
          <w:p w14:paraId="423C7426"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$4,081,194.19</w:t>
            </w:r>
          </w:p>
        </w:tc>
      </w:tr>
      <w:tr w:rsidR="00C36261" w:rsidRPr="00A57ABC" w14:paraId="2981A047" w14:textId="77777777" w:rsidTr="002D40BF">
        <w:trPr>
          <w:trHeight w:val="113"/>
          <w:jc w:val="center"/>
        </w:trPr>
        <w:tc>
          <w:tcPr>
            <w:tcW w:w="690" w:type="dxa"/>
            <w:tcBorders>
              <w:top w:val="single" w:sz="6" w:space="0" w:color="auto"/>
              <w:left w:val="single" w:sz="6" w:space="0" w:color="auto"/>
              <w:bottom w:val="single" w:sz="6" w:space="0" w:color="auto"/>
              <w:right w:val="single" w:sz="6" w:space="0" w:color="auto"/>
            </w:tcBorders>
            <w:shd w:val="clear" w:color="auto" w:fill="4472C4" w:themeFill="accent1"/>
          </w:tcPr>
          <w:p w14:paraId="5E09FC5B" w14:textId="77777777" w:rsidR="00C36261" w:rsidRPr="002D40BF" w:rsidRDefault="00C36261" w:rsidP="006A7377">
            <w:pPr>
              <w:autoSpaceDE w:val="0"/>
              <w:autoSpaceDN w:val="0"/>
              <w:adjustRightInd w:val="0"/>
              <w:jc w:val="center"/>
              <w:rPr>
                <w:rFonts w:eastAsiaTheme="minorHAnsi"/>
                <w:b/>
                <w:bCs/>
                <w:color w:val="FFFFFF" w:themeColor="background1"/>
                <w:sz w:val="20"/>
                <w:szCs w:val="20"/>
                <w:lang w:eastAsia="en-US"/>
              </w:rPr>
            </w:pPr>
            <w:r w:rsidRPr="002D40BF">
              <w:rPr>
                <w:rFonts w:eastAsiaTheme="minorHAnsi"/>
                <w:b/>
                <w:bCs/>
                <w:color w:val="FFFFFF" w:themeColor="background1"/>
                <w:sz w:val="20"/>
                <w:szCs w:val="20"/>
                <w:lang w:eastAsia="en-US"/>
              </w:rPr>
              <w:t>2028</w:t>
            </w:r>
          </w:p>
        </w:tc>
        <w:tc>
          <w:tcPr>
            <w:tcW w:w="2076" w:type="dxa"/>
            <w:tcBorders>
              <w:top w:val="single" w:sz="6" w:space="0" w:color="auto"/>
              <w:left w:val="single" w:sz="6" w:space="0" w:color="auto"/>
              <w:bottom w:val="single" w:sz="6" w:space="0" w:color="auto"/>
              <w:right w:val="single" w:sz="6" w:space="0" w:color="auto"/>
            </w:tcBorders>
          </w:tcPr>
          <w:p w14:paraId="40232393"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$2,231,124.90</w:t>
            </w:r>
          </w:p>
        </w:tc>
        <w:tc>
          <w:tcPr>
            <w:tcW w:w="2030" w:type="dxa"/>
            <w:tcBorders>
              <w:top w:val="single" w:sz="6" w:space="0" w:color="auto"/>
              <w:left w:val="single" w:sz="6" w:space="0" w:color="auto"/>
              <w:bottom w:val="single" w:sz="6" w:space="0" w:color="auto"/>
              <w:right w:val="single" w:sz="6" w:space="0" w:color="auto"/>
            </w:tcBorders>
          </w:tcPr>
          <w:p w14:paraId="1F188330"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$2,948,898.25</w:t>
            </w:r>
          </w:p>
        </w:tc>
        <w:tc>
          <w:tcPr>
            <w:tcW w:w="2175" w:type="dxa"/>
            <w:tcBorders>
              <w:top w:val="single" w:sz="6" w:space="0" w:color="auto"/>
              <w:left w:val="single" w:sz="6" w:space="0" w:color="auto"/>
              <w:bottom w:val="single" w:sz="6" w:space="0" w:color="auto"/>
              <w:right w:val="single" w:sz="6" w:space="0" w:color="auto"/>
            </w:tcBorders>
          </w:tcPr>
          <w:p w14:paraId="0A6D988A" w14:textId="77777777" w:rsidR="00C36261" w:rsidRPr="002D40BF" w:rsidRDefault="00C36261" w:rsidP="006A7377">
            <w:pPr>
              <w:autoSpaceDE w:val="0"/>
              <w:autoSpaceDN w:val="0"/>
              <w:adjustRightInd w:val="0"/>
              <w:jc w:val="center"/>
              <w:rPr>
                <w:sz w:val="20"/>
                <w:szCs w:val="20"/>
                <w:lang w:val="es-ES" w:eastAsia="en-US"/>
              </w:rPr>
            </w:pPr>
            <w:r w:rsidRPr="002D40BF">
              <w:rPr>
                <w:sz w:val="20"/>
                <w:szCs w:val="20"/>
                <w:lang w:val="es-ES" w:eastAsia="en-US"/>
              </w:rPr>
              <w:t>$4,089,082.37</w:t>
            </w:r>
          </w:p>
        </w:tc>
      </w:tr>
    </w:tbl>
    <w:p w14:paraId="6CEE9BD5" w14:textId="0CC852D0" w:rsidR="00C36261" w:rsidRPr="00D20A44" w:rsidRDefault="00F75946" w:rsidP="00C36261">
      <w:pPr>
        <w:widowControl w:val="0"/>
        <w:rPr>
          <w:sz w:val="16"/>
          <w:szCs w:val="16"/>
          <w:lang w:val="es-ES" w:eastAsia="en-US"/>
        </w:rPr>
      </w:pPr>
      <w:r>
        <w:rPr>
          <w:sz w:val="16"/>
          <w:szCs w:val="16"/>
          <w:lang w:val="es-ES" w:eastAsia="en-US"/>
        </w:rPr>
        <w:t xml:space="preserve">                            </w:t>
      </w:r>
      <w:r w:rsidR="00C36261" w:rsidRPr="00D20A44">
        <w:rPr>
          <w:sz w:val="16"/>
          <w:szCs w:val="16"/>
          <w:lang w:val="es-ES" w:eastAsia="en-US"/>
        </w:rPr>
        <w:t>Fuente: Ministerio de Energía y Minas, Departamento de Hidrocarburos 2023</w:t>
      </w:r>
    </w:p>
    <w:p w14:paraId="18DD24A1" w14:textId="77777777" w:rsidR="00C36261" w:rsidRPr="002D40BF" w:rsidRDefault="00C36261" w:rsidP="00C36261">
      <w:pPr>
        <w:widowControl w:val="0"/>
        <w:rPr>
          <w:rFonts w:eastAsiaTheme="minorHAnsi"/>
          <w:sz w:val="18"/>
          <w:szCs w:val="18"/>
          <w:lang w:val="es-ES" w:eastAsia="en-US"/>
        </w:rPr>
      </w:pPr>
    </w:p>
    <w:p w14:paraId="17611AA4" w14:textId="77777777" w:rsidR="00C36261" w:rsidRPr="00A57ABC" w:rsidRDefault="00C36261" w:rsidP="00C36261">
      <w:pPr>
        <w:widowControl w:val="0"/>
        <w:jc w:val="both"/>
        <w:rPr>
          <w:lang w:val="es-ES" w:eastAsia="en-US"/>
        </w:rPr>
      </w:pPr>
      <w:r w:rsidRPr="00A57ABC">
        <w:rPr>
          <w:lang w:val="es-ES" w:eastAsia="en-US"/>
        </w:rPr>
        <w:t>Evidentemente, en el escenario 3 que considera un precio de US$85 por barril, tomando en consideración el precio máximo, hacia 2028 se obtendrían los mayores ingresos siendo de US$13.8 millones en 2024, disminuyendo paulatinamente hasta los US$4.1 millones de ingresos que se obtendrían en 2028.</w:t>
      </w:r>
    </w:p>
    <w:p w14:paraId="0347D109" w14:textId="77777777" w:rsidR="00C36261" w:rsidRPr="00A57ABC" w:rsidRDefault="00C36261" w:rsidP="00C36261">
      <w:pPr>
        <w:widowControl w:val="0"/>
        <w:jc w:val="both"/>
        <w:rPr>
          <w:lang w:val="es-ES" w:eastAsia="en-US"/>
        </w:rPr>
      </w:pPr>
    </w:p>
    <w:p w14:paraId="752AF65F" w14:textId="77777777" w:rsidR="00C36261" w:rsidRPr="00A57ABC" w:rsidRDefault="00C36261" w:rsidP="00C36261">
      <w:pPr>
        <w:widowControl w:val="0"/>
        <w:jc w:val="both"/>
        <w:rPr>
          <w:lang w:val="es-ES" w:eastAsia="en-US"/>
        </w:rPr>
      </w:pPr>
      <w:r w:rsidRPr="00A57ABC">
        <w:rPr>
          <w:lang w:val="es-ES" w:eastAsia="en-US"/>
        </w:rPr>
        <w:t>En el escenario 1 que considera un precio de US$65 por barril, tomando en consideración el precio mínimo, hacia 2028 se obtendrían los menores ingresos siendo de US$5.6 millones en 2024, disminuyendo paulatinamente hasta los US$2.2 millones de ingresos que se obtendrían en 2028.</w:t>
      </w:r>
    </w:p>
    <w:p w14:paraId="0C3A8BE2" w14:textId="77777777" w:rsidR="00C36261" w:rsidRPr="00A57ABC" w:rsidRDefault="00C36261" w:rsidP="00C36261">
      <w:pPr>
        <w:widowControl w:val="0"/>
        <w:jc w:val="both"/>
        <w:rPr>
          <w:lang w:val="es-ES" w:eastAsia="en-US"/>
        </w:rPr>
      </w:pPr>
    </w:p>
    <w:p w14:paraId="3D1520C3" w14:textId="77777777" w:rsidR="00C36261" w:rsidRPr="00A57ABC" w:rsidRDefault="00C36261" w:rsidP="00C36261">
      <w:pPr>
        <w:widowControl w:val="0"/>
        <w:jc w:val="both"/>
        <w:rPr>
          <w:lang w:val="es-ES" w:eastAsia="en-US"/>
        </w:rPr>
      </w:pPr>
      <w:r w:rsidRPr="00A57ABC">
        <w:rPr>
          <w:lang w:val="es-ES" w:eastAsia="en-US"/>
        </w:rPr>
        <w:lastRenderedPageBreak/>
        <w:t xml:space="preserve">Un escenario más realista podría ser el escenario 2 que plantea un precio de US$70 por barril, con lo cual se obtendrían ingresos de US$6.6 millones en 2024 para disminuir paulatinamente a US$2.9 millones en 2028.  Es importante notar que, en los 3 escenarios planteados, los ingresos irían disminuyendo con el pasar de los años porque los yacimientos de petróleo explotados bajarían sus rendimientos. </w:t>
      </w:r>
    </w:p>
    <w:p w14:paraId="6E96B380" w14:textId="77777777" w:rsidR="00C36261" w:rsidRPr="00A57ABC" w:rsidRDefault="00C36261" w:rsidP="00C36261">
      <w:pPr>
        <w:widowControl w:val="0"/>
        <w:jc w:val="both"/>
        <w:rPr>
          <w:highlight w:val="yellow"/>
          <w:lang w:val="es-ES" w:eastAsia="en-US"/>
        </w:rPr>
      </w:pPr>
    </w:p>
    <w:p w14:paraId="26712D76" w14:textId="3A2E6125" w:rsidR="00C36261" w:rsidRPr="005C69D1" w:rsidRDefault="00C36261" w:rsidP="005C69D1">
      <w:pPr>
        <w:pStyle w:val="Ttulo2"/>
        <w:numPr>
          <w:ilvl w:val="1"/>
          <w:numId w:val="35"/>
        </w:numPr>
        <w:rPr>
          <w:bCs/>
        </w:rPr>
      </w:pPr>
      <w:bookmarkStart w:id="797" w:name="_Toc144114461"/>
      <w:r w:rsidRPr="005C69D1">
        <w:rPr>
          <w:bCs/>
        </w:rPr>
        <w:t xml:space="preserve">Industria </w:t>
      </w:r>
      <w:r w:rsidR="002E7071">
        <w:rPr>
          <w:bCs/>
        </w:rPr>
        <w:t>m</w:t>
      </w:r>
      <w:r w:rsidRPr="005C69D1">
        <w:rPr>
          <w:bCs/>
        </w:rPr>
        <w:t>inera</w:t>
      </w:r>
      <w:bookmarkEnd w:id="797"/>
      <w:r w:rsidRPr="005C69D1">
        <w:rPr>
          <w:bCs/>
        </w:rPr>
        <w:t xml:space="preserve"> </w:t>
      </w:r>
    </w:p>
    <w:p w14:paraId="67819634" w14:textId="77777777" w:rsidR="00BB0A30" w:rsidRPr="0048273D" w:rsidRDefault="00BB0A30" w:rsidP="00C36261">
      <w:pPr>
        <w:widowControl w:val="0"/>
        <w:jc w:val="both"/>
        <w:rPr>
          <w:b/>
          <w:bCs/>
          <w:lang w:val="es-ES" w:eastAsia="en-US"/>
        </w:rPr>
      </w:pPr>
    </w:p>
    <w:p w14:paraId="4C6AFB19" w14:textId="77777777" w:rsidR="00C36261" w:rsidRPr="00A57ABC" w:rsidRDefault="00C36261" w:rsidP="00C36261">
      <w:pPr>
        <w:widowControl w:val="0"/>
        <w:jc w:val="both"/>
        <w:rPr>
          <w:rFonts w:eastAsiaTheme="minorHAnsi"/>
          <w:lang w:eastAsia="en-US"/>
        </w:rPr>
      </w:pPr>
      <w:r w:rsidRPr="00A57ABC">
        <w:rPr>
          <w:lang w:val="es-ES" w:eastAsia="en-US"/>
        </w:rPr>
        <w:t xml:space="preserve">De acuerdo a información del Ministerio de Energía y Minas, </w:t>
      </w:r>
      <w:r w:rsidRPr="00A57ABC">
        <w:rPr>
          <w:rFonts w:eastAsiaTheme="minorHAnsi"/>
          <w:lang w:eastAsia="en-US"/>
        </w:rPr>
        <w:t xml:space="preserve">la producción minera en el país está constituida en un 96% en la explotación de minerales no metálicos (arenas, basalto, calizas, mármol, yeso, cantos rodados, serpentinas, feldespato, cuarzo, mica, jade, anfibolitas, esquistos, filitas y </w:t>
      </w:r>
      <w:proofErr w:type="spellStart"/>
      <w:r w:rsidRPr="00A57ABC">
        <w:rPr>
          <w:rFonts w:eastAsiaTheme="minorHAnsi"/>
          <w:lang w:eastAsia="en-US"/>
        </w:rPr>
        <w:t>saprolitas</w:t>
      </w:r>
      <w:proofErr w:type="spellEnd"/>
      <w:r w:rsidRPr="00A57ABC">
        <w:rPr>
          <w:rFonts w:eastAsiaTheme="minorHAnsi"/>
          <w:lang w:eastAsia="en-US"/>
        </w:rPr>
        <w:t xml:space="preserve"> y otros) y un 4% de explotación de minerales metálicos (oro, plata, cobre, plomo, zinc, níquel, antimonio y óxido de hierro), a pesar que su porcentaje en explotación es mucho menor, los minerales no metálicos representan el 90% del total de la producción nacional minera. En el país los departamentos que se destacan por tener una alta representación en sus económicas del sector minero son: San Marcos, Huehuetenango, Santa Rosa, Izabal y Cobán. </w:t>
      </w:r>
    </w:p>
    <w:p w14:paraId="3F2FDBB4" w14:textId="77777777" w:rsidR="00C36261" w:rsidRPr="00A57ABC" w:rsidRDefault="00C36261" w:rsidP="00C36261">
      <w:pPr>
        <w:widowControl w:val="0"/>
        <w:jc w:val="both"/>
        <w:rPr>
          <w:rFonts w:eastAsiaTheme="minorHAnsi"/>
          <w:lang w:eastAsia="en-US"/>
        </w:rPr>
      </w:pPr>
    </w:p>
    <w:p w14:paraId="2A0C5844" w14:textId="77777777" w:rsidR="00C36261" w:rsidRPr="00A57ABC" w:rsidRDefault="00C36261" w:rsidP="00C36261">
      <w:pPr>
        <w:widowControl w:val="0"/>
        <w:jc w:val="both"/>
        <w:rPr>
          <w:rFonts w:eastAsiaTheme="minorHAnsi"/>
          <w:lang w:eastAsia="en-US"/>
        </w:rPr>
      </w:pPr>
      <w:r w:rsidRPr="00A57ABC">
        <w:rPr>
          <w:rFonts w:eastAsiaTheme="minorHAnsi"/>
          <w:lang w:eastAsia="en-US"/>
        </w:rPr>
        <w:t>Dentro de lo establecido en la Ley de Minería, Decreto número 48-97 del Congreso de la República de Guatemala existen tres tipos de licencias mineras, las cuales son:</w:t>
      </w:r>
    </w:p>
    <w:p w14:paraId="36A2F44F" w14:textId="77777777" w:rsidR="00C36261" w:rsidRPr="00A57ABC" w:rsidRDefault="00C36261" w:rsidP="00C36261">
      <w:pPr>
        <w:widowControl w:val="0"/>
        <w:jc w:val="both"/>
        <w:rPr>
          <w:rFonts w:eastAsiaTheme="minorHAnsi"/>
          <w:lang w:eastAsia="en-US"/>
        </w:rPr>
      </w:pPr>
    </w:p>
    <w:p w14:paraId="248338BE" w14:textId="77777777" w:rsidR="00C36261" w:rsidRPr="00A57ABC" w:rsidRDefault="00C36261" w:rsidP="002D40BF">
      <w:pPr>
        <w:widowControl w:val="0"/>
        <w:numPr>
          <w:ilvl w:val="0"/>
          <w:numId w:val="26"/>
        </w:numPr>
        <w:ind w:left="426"/>
        <w:contextualSpacing/>
        <w:jc w:val="both"/>
        <w:rPr>
          <w:rFonts w:eastAsiaTheme="minorHAnsi"/>
          <w:lang w:eastAsia="en-US"/>
        </w:rPr>
      </w:pPr>
      <w:r w:rsidRPr="00F75946">
        <w:rPr>
          <w:rFonts w:eastAsiaTheme="minorHAnsi"/>
          <w:b/>
          <w:bCs/>
          <w:i/>
          <w:iCs/>
          <w:lang w:eastAsia="en-US"/>
        </w:rPr>
        <w:t>Reconocimiento:</w:t>
      </w:r>
      <w:r w:rsidRPr="00A57ABC">
        <w:rPr>
          <w:rFonts w:eastAsiaTheme="minorHAnsi"/>
          <w:lang w:eastAsia="en-US"/>
        </w:rPr>
        <w:t xml:space="preserve"> con el objetivo de realizar trabajos de búsqueda en forma superficial y manual, ya sea en cerros, laderas, quebradas o ríos, para obtener muestras de los suelos o rocas y determinar, por medios físicos o químicos, el contenido de los mismos. </w:t>
      </w:r>
    </w:p>
    <w:p w14:paraId="592493C9" w14:textId="77777777" w:rsidR="00C36261" w:rsidRPr="00A57ABC" w:rsidRDefault="00C36261" w:rsidP="002D40BF">
      <w:pPr>
        <w:widowControl w:val="0"/>
        <w:numPr>
          <w:ilvl w:val="0"/>
          <w:numId w:val="26"/>
        </w:numPr>
        <w:ind w:left="426"/>
        <w:contextualSpacing/>
        <w:jc w:val="both"/>
        <w:rPr>
          <w:rFonts w:eastAsiaTheme="minorHAnsi"/>
          <w:lang w:eastAsia="en-US"/>
        </w:rPr>
      </w:pPr>
      <w:r w:rsidRPr="00F75946">
        <w:rPr>
          <w:rFonts w:eastAsiaTheme="minorHAnsi"/>
          <w:b/>
          <w:bCs/>
          <w:i/>
          <w:iCs/>
          <w:lang w:eastAsia="en-US"/>
        </w:rPr>
        <w:t>Exploración:</w:t>
      </w:r>
      <w:r w:rsidRPr="00A57ABC">
        <w:rPr>
          <w:rFonts w:eastAsiaTheme="minorHAnsi"/>
          <w:lang w:eastAsia="en-US"/>
        </w:rPr>
        <w:t xml:space="preserve"> Se autoriza una licencia para realizar trabajos de investigación de suelos y rocas por medios mecánicos empleando maquinaria o equipo especial. El resultado positivo de la obtención de minerales en cuanto a la exploración es lo que lleva posteriormente a una licencia de explotación.</w:t>
      </w:r>
    </w:p>
    <w:p w14:paraId="6B4659C9" w14:textId="77777777" w:rsidR="00C36261" w:rsidRPr="00A57ABC" w:rsidRDefault="00C36261" w:rsidP="002D40BF">
      <w:pPr>
        <w:widowControl w:val="0"/>
        <w:numPr>
          <w:ilvl w:val="0"/>
          <w:numId w:val="26"/>
        </w:numPr>
        <w:ind w:left="426"/>
        <w:contextualSpacing/>
        <w:jc w:val="both"/>
        <w:rPr>
          <w:rFonts w:eastAsiaTheme="minorHAnsi"/>
          <w:lang w:eastAsia="en-US"/>
        </w:rPr>
      </w:pPr>
      <w:r w:rsidRPr="00A57ABC">
        <w:rPr>
          <w:rFonts w:eastAsiaTheme="minorHAnsi"/>
          <w:i/>
          <w:iCs/>
          <w:lang w:eastAsia="en-US"/>
        </w:rPr>
        <w:t xml:space="preserve"> </w:t>
      </w:r>
      <w:r w:rsidRPr="00F75946">
        <w:rPr>
          <w:rFonts w:eastAsiaTheme="minorHAnsi"/>
          <w:b/>
          <w:bCs/>
          <w:i/>
          <w:iCs/>
          <w:lang w:eastAsia="en-US"/>
        </w:rPr>
        <w:t>Explotación:</w:t>
      </w:r>
      <w:r w:rsidRPr="00A57ABC">
        <w:rPr>
          <w:rFonts w:eastAsiaTheme="minorHAnsi"/>
          <w:lang w:eastAsia="en-US"/>
        </w:rPr>
        <w:t xml:space="preserve"> Comprende trabajos de extracción, manual o mecanizada, ya sea en forma superficial o subterránea, de los minerales que se hayan determinado como de importancia económicamente rentable. Se emplea maquinaria, equipo y herramienta adecuadas al tipo de producto minero a extraer. </w:t>
      </w:r>
    </w:p>
    <w:p w14:paraId="0E650077" w14:textId="77777777" w:rsidR="00D20A44" w:rsidRPr="00A57ABC" w:rsidRDefault="00D20A44" w:rsidP="00C36261">
      <w:pPr>
        <w:widowControl w:val="0"/>
        <w:jc w:val="both"/>
        <w:rPr>
          <w:rFonts w:eastAsiaTheme="minorHAnsi"/>
          <w:lang w:eastAsia="en-US"/>
        </w:rPr>
      </w:pPr>
    </w:p>
    <w:p w14:paraId="71B7BB89" w14:textId="77777777" w:rsidR="00C36261" w:rsidRPr="00A57ABC" w:rsidRDefault="00C36261" w:rsidP="00C36261">
      <w:pPr>
        <w:widowControl w:val="0"/>
        <w:jc w:val="both"/>
        <w:rPr>
          <w:rFonts w:eastAsiaTheme="minorHAnsi"/>
          <w:lang w:eastAsia="en-US"/>
        </w:rPr>
      </w:pPr>
      <w:r w:rsidRPr="00A57ABC">
        <w:rPr>
          <w:rFonts w:eastAsiaTheme="minorHAnsi"/>
          <w:lang w:eastAsia="en-US"/>
        </w:rPr>
        <w:t xml:space="preserve">El Ministerio de Energía y Minas clasifica la minería dependiendo de su utilización y se divide de la siguiente manera: </w:t>
      </w:r>
    </w:p>
    <w:p w14:paraId="30A27A58" w14:textId="77777777" w:rsidR="00C36261" w:rsidRPr="00A57ABC" w:rsidRDefault="00C36261" w:rsidP="00C36261">
      <w:pPr>
        <w:widowControl w:val="0"/>
        <w:jc w:val="both"/>
        <w:rPr>
          <w:rFonts w:eastAsiaTheme="minorHAnsi"/>
          <w:lang w:eastAsia="en-US"/>
        </w:rPr>
      </w:pPr>
    </w:p>
    <w:p w14:paraId="643C5A4F" w14:textId="77777777" w:rsidR="00C36261" w:rsidRPr="00A57ABC" w:rsidRDefault="00C36261" w:rsidP="002D40BF">
      <w:pPr>
        <w:widowControl w:val="0"/>
        <w:numPr>
          <w:ilvl w:val="0"/>
          <w:numId w:val="50"/>
        </w:numPr>
        <w:ind w:left="426"/>
        <w:contextualSpacing/>
        <w:jc w:val="both"/>
        <w:rPr>
          <w:rFonts w:eastAsiaTheme="minorHAnsi"/>
          <w:lang w:eastAsia="en-US"/>
        </w:rPr>
      </w:pPr>
      <w:r w:rsidRPr="00A57ABC">
        <w:rPr>
          <w:rFonts w:eastAsiaTheme="minorHAnsi"/>
          <w:i/>
          <w:iCs/>
          <w:lang w:eastAsia="en-US"/>
        </w:rPr>
        <w:t>Minería artesanal:</w:t>
      </w:r>
      <w:r w:rsidRPr="00A57ABC">
        <w:rPr>
          <w:rFonts w:eastAsiaTheme="minorHAnsi"/>
          <w:lang w:eastAsia="en-US"/>
        </w:rPr>
        <w:t xml:space="preserve"> Se trabaja con herramientas y equipamiento simples, por lo general en el sector informal. La gran mayoría son personas de escasos recursos que explotan depósitos en condiciones antitécnicas y a menudo, peligrosas y que provocan un considerable impacto ambiental.</w:t>
      </w:r>
    </w:p>
    <w:p w14:paraId="7A616874" w14:textId="77777777" w:rsidR="00C36261" w:rsidRPr="00A57ABC" w:rsidRDefault="00C36261" w:rsidP="002D40BF">
      <w:pPr>
        <w:widowControl w:val="0"/>
        <w:numPr>
          <w:ilvl w:val="0"/>
          <w:numId w:val="50"/>
        </w:numPr>
        <w:ind w:left="426"/>
        <w:contextualSpacing/>
        <w:jc w:val="both"/>
        <w:rPr>
          <w:rFonts w:eastAsiaTheme="minorHAnsi"/>
          <w:lang w:eastAsia="en-US"/>
        </w:rPr>
      </w:pPr>
      <w:r w:rsidRPr="00A57ABC">
        <w:rPr>
          <w:rFonts w:eastAsiaTheme="minorHAnsi"/>
          <w:i/>
          <w:iCs/>
          <w:lang w:eastAsia="en-US"/>
        </w:rPr>
        <w:t>Pequeña Minería:</w:t>
      </w:r>
      <w:r w:rsidRPr="00A57ABC">
        <w:rPr>
          <w:rFonts w:eastAsiaTheme="minorHAnsi"/>
          <w:lang w:eastAsia="en-US"/>
        </w:rPr>
        <w:t xml:space="preserve"> Esta es realizada por personas y pequeños equipos mecanizados, cuentan ya con estudios geológicos y estimaciones básicas de recursos, estudios ambientales aprobados, licencias y credenciales mineras autorizadas por el Ministerio de Energía y Minas.</w:t>
      </w:r>
    </w:p>
    <w:p w14:paraId="05F12F97" w14:textId="77777777" w:rsidR="00C36261" w:rsidRPr="00A57ABC" w:rsidRDefault="00C36261" w:rsidP="002D40BF">
      <w:pPr>
        <w:widowControl w:val="0"/>
        <w:numPr>
          <w:ilvl w:val="0"/>
          <w:numId w:val="50"/>
        </w:numPr>
        <w:ind w:left="426"/>
        <w:contextualSpacing/>
        <w:jc w:val="both"/>
        <w:rPr>
          <w:rFonts w:eastAsiaTheme="minorHAnsi"/>
          <w:lang w:eastAsia="en-US"/>
        </w:rPr>
      </w:pPr>
      <w:r w:rsidRPr="00A57ABC">
        <w:rPr>
          <w:rFonts w:eastAsiaTheme="minorHAnsi"/>
          <w:i/>
          <w:iCs/>
          <w:lang w:eastAsia="en-US"/>
        </w:rPr>
        <w:t>Mediana Minería:</w:t>
      </w:r>
      <w:r w:rsidRPr="00A57ABC">
        <w:rPr>
          <w:rFonts w:eastAsiaTheme="minorHAnsi"/>
          <w:lang w:eastAsia="en-US"/>
        </w:rPr>
        <w:t xml:space="preserve"> Pertenecen las empresas que explotan entre 100,000 y 3,000,000 de toneladas de mineral al año, es decir, entre 300 y 8,000 toneladas al día. Este segmento </w:t>
      </w:r>
      <w:r w:rsidRPr="00A57ABC">
        <w:rPr>
          <w:rFonts w:eastAsiaTheme="minorHAnsi"/>
          <w:lang w:eastAsia="en-US"/>
        </w:rPr>
        <w:lastRenderedPageBreak/>
        <w:t xml:space="preserve">se caracteriza por contar con una estructura empresarial moderna y una gestión técnica y administrativa claramente profesionalizada. </w:t>
      </w:r>
    </w:p>
    <w:p w14:paraId="10BB7AAA" w14:textId="77777777" w:rsidR="00C36261" w:rsidRPr="00A57ABC" w:rsidRDefault="00C36261" w:rsidP="002D40BF">
      <w:pPr>
        <w:widowControl w:val="0"/>
        <w:numPr>
          <w:ilvl w:val="0"/>
          <w:numId w:val="50"/>
        </w:numPr>
        <w:ind w:left="426"/>
        <w:contextualSpacing/>
        <w:jc w:val="both"/>
        <w:rPr>
          <w:rFonts w:eastAsiaTheme="minorHAnsi"/>
          <w:lang w:eastAsia="en-US"/>
        </w:rPr>
      </w:pPr>
      <w:r w:rsidRPr="00A57ABC">
        <w:rPr>
          <w:rFonts w:eastAsiaTheme="minorHAnsi"/>
          <w:i/>
          <w:iCs/>
          <w:lang w:eastAsia="en-US"/>
        </w:rPr>
        <w:t>Gran Minería:</w:t>
      </w:r>
      <w:r w:rsidRPr="00A57ABC">
        <w:rPr>
          <w:rFonts w:eastAsiaTheme="minorHAnsi"/>
          <w:lang w:eastAsia="en-US"/>
        </w:rPr>
        <w:t xml:space="preserve"> Empresas que explotan más de 3,000,000 de toneladas de mineral al año, o sea, sobre 8,000 toneladas al día. Su gestión técnica, empresarial y financiera es muy sólida y se hace a un nivel supranacional. Su estrategia de desarrollo y operación dependen, normalmente, de la planificación global de las respectivas casas matrices internacionales.</w:t>
      </w:r>
    </w:p>
    <w:p w14:paraId="035D9830" w14:textId="77777777" w:rsidR="00C36261" w:rsidRPr="00A57ABC" w:rsidRDefault="00C36261" w:rsidP="00C36261">
      <w:pPr>
        <w:widowControl w:val="0"/>
        <w:jc w:val="both"/>
        <w:rPr>
          <w:rFonts w:eastAsiaTheme="minorHAnsi"/>
          <w:lang w:eastAsia="en-US"/>
        </w:rPr>
      </w:pPr>
    </w:p>
    <w:p w14:paraId="38A42767" w14:textId="77777777" w:rsidR="00C36261" w:rsidRPr="00A57ABC" w:rsidRDefault="00C36261" w:rsidP="00C36261">
      <w:pPr>
        <w:widowControl w:val="0"/>
        <w:jc w:val="both"/>
        <w:rPr>
          <w:rFonts w:eastAsiaTheme="minorHAnsi"/>
          <w:lang w:eastAsia="en-US"/>
        </w:rPr>
      </w:pPr>
      <w:r w:rsidRPr="00A57ABC">
        <w:rPr>
          <w:rFonts w:eastAsiaTheme="minorHAnsi"/>
          <w:lang w:eastAsia="en-US"/>
        </w:rPr>
        <w:t>En Guatemala existen más de 200 licencias mineras de explotación vigentes en los Departamentos de Alta Verapaz, Baja Verapaz, Izabal, Quiche, Chimaltenango, Chiquimula, Jalapa, Zacapa, el Progreso, Retalhuleu, Suchitepéquez, Totonicapán, San Marcos, Santa Rosa, Escuintla, Quetzaltenango, Huehuetenango, Guatemala y Peten, siendo estas las siguientes:</w:t>
      </w:r>
    </w:p>
    <w:p w14:paraId="6B1FEB4A" w14:textId="3373E0CF" w:rsidR="00C36261" w:rsidRPr="00D20A44" w:rsidRDefault="00C36261" w:rsidP="00C36261">
      <w:pPr>
        <w:widowControl w:val="0"/>
        <w:jc w:val="both"/>
        <w:rPr>
          <w:rFonts w:eastAsiaTheme="minorHAnsi"/>
          <w:lang w:eastAsia="en-US"/>
        </w:rPr>
      </w:pPr>
      <w:r w:rsidRPr="00A57ABC">
        <w:rPr>
          <w:rFonts w:eastAsiaTheme="minorHAnsi"/>
          <w:lang w:eastAsia="en-US"/>
        </w:rPr>
        <w:t xml:space="preserve"> </w:t>
      </w:r>
    </w:p>
    <w:p w14:paraId="4292788F" w14:textId="77777777" w:rsidR="00C36261" w:rsidRPr="00A57ABC" w:rsidRDefault="00C36261" w:rsidP="00C36261">
      <w:pPr>
        <w:widowControl w:val="0"/>
        <w:jc w:val="both"/>
        <w:rPr>
          <w:lang w:val="es-ES" w:eastAsia="en-US"/>
        </w:rPr>
      </w:pPr>
      <w:r w:rsidRPr="00A57ABC">
        <w:rPr>
          <w:lang w:val="es-ES" w:eastAsia="en-US"/>
        </w:rPr>
        <w:t xml:space="preserve">Como se muestra en las gráficas siguientes, la  minería favorece a las finanzas públicas con regalías y otras contribuciones como: regalías voluntarias al Estado, regalías municipales, canon de otorgamiento, canon de explotación, regalías obligatorias al Estado, Impuesto Sobre la Renta (ISR), Impuesto Único sobre Inmuebles (IUSI), licencias, Impuesto al Valor Agregado (IVA), aportes al Ministerio de Ambiente y Recursos Naturales por licencias ambientales, aportes al Instituto Nacional de Bosques, Impuesto de Solidaridad, timbres, multas e intereses. </w:t>
      </w:r>
    </w:p>
    <w:p w14:paraId="0827D766" w14:textId="77777777" w:rsidR="00C36261" w:rsidRPr="00A57ABC" w:rsidRDefault="00C36261" w:rsidP="00C36261">
      <w:pPr>
        <w:widowControl w:val="0"/>
        <w:jc w:val="both"/>
        <w:rPr>
          <w:lang w:val="es-ES" w:eastAsia="en-US"/>
        </w:rPr>
      </w:pPr>
    </w:p>
    <w:p w14:paraId="7B7F2889" w14:textId="040C7F5A" w:rsidR="00C36261" w:rsidRPr="005C69D1" w:rsidRDefault="002A00D1" w:rsidP="000E01EC">
      <w:pPr>
        <w:pStyle w:val="Ttulo2"/>
        <w:numPr>
          <w:ilvl w:val="2"/>
          <w:numId w:val="35"/>
        </w:numPr>
        <w:tabs>
          <w:tab w:val="left" w:pos="993"/>
        </w:tabs>
        <w:ind w:left="567" w:hanging="283"/>
        <w:rPr>
          <w:bCs/>
        </w:rPr>
      </w:pPr>
      <w:bookmarkStart w:id="798" w:name="_Toc144114462"/>
      <w:r w:rsidRPr="00F17B0D">
        <w:rPr>
          <w:bCs/>
        </w:rPr>
        <w:t>Ingresos</w:t>
      </w:r>
      <w:r w:rsidR="00C36261" w:rsidRPr="00F17B0D">
        <w:rPr>
          <w:bCs/>
        </w:rPr>
        <w:t xml:space="preserve"> </w:t>
      </w:r>
      <w:r w:rsidRPr="00F17B0D">
        <w:rPr>
          <w:bCs/>
        </w:rPr>
        <w:t>de</w:t>
      </w:r>
      <w:r w:rsidR="00C36261" w:rsidRPr="00F17B0D">
        <w:rPr>
          <w:bCs/>
        </w:rPr>
        <w:t xml:space="preserve"> la </w:t>
      </w:r>
      <w:r w:rsidR="002E7071">
        <w:rPr>
          <w:bCs/>
        </w:rPr>
        <w:t>a</w:t>
      </w:r>
      <w:r w:rsidR="00C36261" w:rsidRPr="00F17B0D">
        <w:rPr>
          <w:bCs/>
        </w:rPr>
        <w:t xml:space="preserve">dministración </w:t>
      </w:r>
      <w:r w:rsidR="002E7071">
        <w:rPr>
          <w:bCs/>
        </w:rPr>
        <w:t>c</w:t>
      </w:r>
      <w:r w:rsidR="00C36261" w:rsidRPr="00F17B0D">
        <w:rPr>
          <w:bCs/>
        </w:rPr>
        <w:t>entral</w:t>
      </w:r>
      <w:r w:rsidRPr="00F17B0D">
        <w:rPr>
          <w:bCs/>
        </w:rPr>
        <w:t xml:space="preserve"> por </w:t>
      </w:r>
      <w:r w:rsidR="002E7071">
        <w:rPr>
          <w:bCs/>
        </w:rPr>
        <w:t>a</w:t>
      </w:r>
      <w:r w:rsidRPr="00F17B0D">
        <w:rPr>
          <w:bCs/>
        </w:rPr>
        <w:t xml:space="preserve">ctividad </w:t>
      </w:r>
      <w:r w:rsidR="002E7071">
        <w:rPr>
          <w:bCs/>
        </w:rPr>
        <w:t>m</w:t>
      </w:r>
      <w:r w:rsidRPr="00F17B0D">
        <w:rPr>
          <w:bCs/>
        </w:rPr>
        <w:t>inera</w:t>
      </w:r>
      <w:bookmarkEnd w:id="798"/>
    </w:p>
    <w:p w14:paraId="584310B8" w14:textId="77777777" w:rsidR="00C36261" w:rsidRPr="00A57ABC" w:rsidRDefault="00C36261" w:rsidP="00C36261">
      <w:pPr>
        <w:widowControl w:val="0"/>
        <w:jc w:val="both"/>
        <w:rPr>
          <w:rFonts w:eastAsiaTheme="minorHAnsi"/>
          <w:u w:val="single"/>
          <w:lang w:eastAsia="en-US"/>
        </w:rPr>
      </w:pPr>
    </w:p>
    <w:p w14:paraId="1FE553EA" w14:textId="77777777" w:rsidR="00C36261" w:rsidRDefault="00C36261" w:rsidP="00C36261">
      <w:pPr>
        <w:widowControl w:val="0"/>
        <w:jc w:val="both"/>
        <w:rPr>
          <w:rFonts w:eastAsiaTheme="minorHAnsi"/>
          <w:lang w:eastAsia="en-US"/>
        </w:rPr>
      </w:pPr>
      <w:r w:rsidRPr="00A57ABC">
        <w:rPr>
          <w:rFonts w:eastAsiaTheme="minorHAnsi"/>
          <w:lang w:eastAsia="en-US"/>
        </w:rPr>
        <w:t>Las empresas dedicadas a la extracción minera en Guatemala son contribuyentes que están afectos a los impuestos administrados por la SAT que les son aplicables y, entre los más importantes podemos mencionar el IVA y el ISR.</w:t>
      </w:r>
    </w:p>
    <w:p w14:paraId="31EDB1F9" w14:textId="77777777" w:rsidR="00D20A44" w:rsidRDefault="00D20A44" w:rsidP="00C36261">
      <w:pPr>
        <w:widowControl w:val="0"/>
        <w:jc w:val="both"/>
        <w:rPr>
          <w:rFonts w:eastAsiaTheme="minorHAnsi"/>
          <w:lang w:eastAsia="en-US"/>
        </w:rPr>
      </w:pPr>
    </w:p>
    <w:p w14:paraId="5F037993" w14:textId="4EB3D660" w:rsidR="00C36261" w:rsidRPr="00D20A44" w:rsidRDefault="00D20A44" w:rsidP="00D20A44">
      <w:pPr>
        <w:pStyle w:val="Descripcin"/>
        <w:rPr>
          <w:b w:val="0"/>
          <w:bCs/>
          <w:color w:val="auto"/>
        </w:rPr>
      </w:pPr>
      <w:bookmarkStart w:id="799" w:name="_Toc143593649"/>
      <w:r w:rsidRPr="00D20A44">
        <w:rPr>
          <w:color w:val="auto"/>
        </w:rPr>
        <w:t xml:space="preserve">Gráfico </w:t>
      </w:r>
      <w:r w:rsidRPr="00D20A44">
        <w:rPr>
          <w:color w:val="auto"/>
        </w:rPr>
        <w:fldChar w:fldCharType="begin"/>
      </w:r>
      <w:r w:rsidRPr="00D20A44">
        <w:rPr>
          <w:color w:val="auto"/>
        </w:rPr>
        <w:instrText xml:space="preserve"> SEQ Gráfico \* ARABIC </w:instrText>
      </w:r>
      <w:r w:rsidRPr="00D20A44">
        <w:rPr>
          <w:color w:val="auto"/>
        </w:rPr>
        <w:fldChar w:fldCharType="separate"/>
      </w:r>
      <w:r w:rsidR="00A62AFA">
        <w:rPr>
          <w:noProof/>
          <w:color w:val="auto"/>
        </w:rPr>
        <w:t>91</w:t>
      </w:r>
      <w:r w:rsidRPr="00D20A44">
        <w:rPr>
          <w:color w:val="auto"/>
        </w:rPr>
        <w:fldChar w:fldCharType="end"/>
      </w:r>
      <w:r w:rsidRPr="00D20A44">
        <w:rPr>
          <w:color w:val="auto"/>
        </w:rPr>
        <w:t>.  Variación Interanual de</w:t>
      </w:r>
      <w:r w:rsidR="003170B7">
        <w:rPr>
          <w:color w:val="auto"/>
        </w:rPr>
        <w:t>l</w:t>
      </w:r>
      <w:r w:rsidRPr="00D20A44">
        <w:rPr>
          <w:color w:val="auto"/>
        </w:rPr>
        <w:t xml:space="preserve"> IVA doméstico aportado por la actividad de minas y canteras</w:t>
      </w:r>
      <w:bookmarkEnd w:id="799"/>
    </w:p>
    <w:p w14:paraId="235BF364" w14:textId="77777777" w:rsidR="00C36261" w:rsidRPr="00D20A44" w:rsidRDefault="00C36261" w:rsidP="00C36261">
      <w:pPr>
        <w:widowControl w:val="0"/>
        <w:jc w:val="center"/>
        <w:rPr>
          <w:rFonts w:eastAsiaTheme="minorHAnsi"/>
          <w:lang w:eastAsia="en-US"/>
        </w:rPr>
      </w:pPr>
      <w:r w:rsidRPr="00D20A44">
        <w:rPr>
          <w:rFonts w:eastAsiaTheme="minorHAnsi"/>
          <w:lang w:eastAsia="en-US"/>
        </w:rPr>
        <w:t>Porcentajes</w:t>
      </w:r>
    </w:p>
    <w:p w14:paraId="199507E4" w14:textId="77777777" w:rsidR="00C36261" w:rsidRPr="00A57ABC" w:rsidRDefault="00C36261" w:rsidP="00C36261">
      <w:pPr>
        <w:widowControl w:val="0"/>
        <w:jc w:val="both"/>
        <w:rPr>
          <w:lang w:val="es-ES" w:eastAsia="en-US"/>
        </w:rPr>
      </w:pPr>
      <w:r w:rsidRPr="00A57ABC">
        <w:rPr>
          <w:lang w:val="es-ES" w:eastAsia="en-US"/>
        </w:rPr>
        <w:t xml:space="preserve"> </w:t>
      </w:r>
      <w:r w:rsidRPr="00A57ABC">
        <w:rPr>
          <w:rFonts w:eastAsiaTheme="minorHAnsi"/>
          <w:noProof/>
          <w:lang w:eastAsia="en-US"/>
        </w:rPr>
        <w:drawing>
          <wp:inline distT="0" distB="0" distL="0" distR="0" wp14:anchorId="6CE25A62" wp14:editId="2E036CFD">
            <wp:extent cx="5244465" cy="2003729"/>
            <wp:effectExtent l="0" t="0" r="0" b="0"/>
            <wp:docPr id="111" name="Gráfico 111">
              <a:extLst xmlns:a="http://schemas.openxmlformats.org/drawingml/2006/main">
                <a:ext uri="{FF2B5EF4-FFF2-40B4-BE49-F238E27FC236}">
                  <a16:creationId xmlns:a16="http://schemas.microsoft.com/office/drawing/2014/main" id="{6C93725B-91E4-44B4-B911-D9A074D83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055C7106" w14:textId="2D102088" w:rsidR="00C36261" w:rsidRDefault="00CA2251" w:rsidP="00C36261">
      <w:pPr>
        <w:widowControl w:val="0"/>
        <w:rPr>
          <w:sz w:val="16"/>
          <w:szCs w:val="16"/>
          <w:lang w:val="es-ES" w:eastAsia="en-US"/>
        </w:rPr>
      </w:pPr>
      <w:r w:rsidRPr="00CA2251">
        <w:rPr>
          <w:sz w:val="16"/>
          <w:szCs w:val="16"/>
          <w:lang w:val="es-ES" w:eastAsia="en-US"/>
        </w:rPr>
        <w:t>Fuente: Elaboración Dirección de Análisis y Política Fiscal</w:t>
      </w:r>
    </w:p>
    <w:p w14:paraId="5EBCCEF5" w14:textId="49A00B38" w:rsidR="00CA2251" w:rsidRDefault="00CA2251" w:rsidP="00C36261">
      <w:pPr>
        <w:widowControl w:val="0"/>
        <w:rPr>
          <w:rFonts w:eastAsiaTheme="minorHAnsi"/>
          <w:b/>
          <w:bCs/>
          <w:lang w:eastAsia="en-US"/>
        </w:rPr>
      </w:pPr>
    </w:p>
    <w:p w14:paraId="1BDB4AE6" w14:textId="46D50E14" w:rsidR="002D40BF" w:rsidRDefault="002D40BF" w:rsidP="00C36261">
      <w:pPr>
        <w:widowControl w:val="0"/>
        <w:rPr>
          <w:rFonts w:eastAsiaTheme="minorHAnsi"/>
          <w:b/>
          <w:bCs/>
          <w:lang w:eastAsia="en-US"/>
        </w:rPr>
      </w:pPr>
    </w:p>
    <w:p w14:paraId="7689FBC4" w14:textId="6E50D143" w:rsidR="002D40BF" w:rsidRDefault="002D40BF" w:rsidP="00C36261">
      <w:pPr>
        <w:widowControl w:val="0"/>
        <w:rPr>
          <w:rFonts w:eastAsiaTheme="minorHAnsi"/>
          <w:b/>
          <w:bCs/>
          <w:lang w:eastAsia="en-US"/>
        </w:rPr>
      </w:pPr>
    </w:p>
    <w:p w14:paraId="4668B9B0" w14:textId="6433F0F9" w:rsidR="00C36261" w:rsidRPr="00CA2251" w:rsidRDefault="00CA2251" w:rsidP="00CA2251">
      <w:pPr>
        <w:pStyle w:val="Descripcin"/>
        <w:rPr>
          <w:b w:val="0"/>
          <w:bCs/>
          <w:color w:val="auto"/>
        </w:rPr>
      </w:pPr>
      <w:bookmarkStart w:id="800" w:name="_Toc143593650"/>
      <w:r w:rsidRPr="00CA2251">
        <w:rPr>
          <w:color w:val="auto"/>
        </w:rPr>
        <w:lastRenderedPageBreak/>
        <w:t xml:space="preserve">Gráfico </w:t>
      </w:r>
      <w:r w:rsidRPr="00CA2251">
        <w:rPr>
          <w:color w:val="auto"/>
        </w:rPr>
        <w:fldChar w:fldCharType="begin"/>
      </w:r>
      <w:r w:rsidRPr="00CA2251">
        <w:rPr>
          <w:color w:val="auto"/>
        </w:rPr>
        <w:instrText xml:space="preserve"> SEQ Gráfico \* ARABIC </w:instrText>
      </w:r>
      <w:r w:rsidRPr="00CA2251">
        <w:rPr>
          <w:color w:val="auto"/>
        </w:rPr>
        <w:fldChar w:fldCharType="separate"/>
      </w:r>
      <w:r w:rsidR="00A62AFA">
        <w:rPr>
          <w:noProof/>
          <w:color w:val="auto"/>
        </w:rPr>
        <w:t>92</w:t>
      </w:r>
      <w:r w:rsidRPr="00CA2251">
        <w:rPr>
          <w:color w:val="auto"/>
        </w:rPr>
        <w:fldChar w:fldCharType="end"/>
      </w:r>
      <w:r w:rsidRPr="00CA2251">
        <w:rPr>
          <w:color w:val="auto"/>
        </w:rPr>
        <w:t>.  Variación Interanual de</w:t>
      </w:r>
      <w:r w:rsidR="003170B7">
        <w:rPr>
          <w:color w:val="auto"/>
        </w:rPr>
        <w:t>l</w:t>
      </w:r>
      <w:r w:rsidRPr="00CA2251">
        <w:rPr>
          <w:color w:val="auto"/>
        </w:rPr>
        <w:t xml:space="preserve"> ISR aportado por la actividad de minas y canteras</w:t>
      </w:r>
      <w:bookmarkEnd w:id="800"/>
    </w:p>
    <w:p w14:paraId="3AA86BDB" w14:textId="77777777" w:rsidR="00C36261" w:rsidRPr="00CA2251" w:rsidRDefault="00C36261" w:rsidP="00C36261">
      <w:pPr>
        <w:widowControl w:val="0"/>
        <w:jc w:val="center"/>
        <w:rPr>
          <w:rFonts w:eastAsiaTheme="minorHAnsi"/>
          <w:lang w:eastAsia="en-US"/>
        </w:rPr>
      </w:pPr>
      <w:r w:rsidRPr="00CA2251">
        <w:rPr>
          <w:rFonts w:eastAsiaTheme="minorHAnsi"/>
          <w:lang w:eastAsia="en-US"/>
        </w:rPr>
        <w:t>Porcentajes</w:t>
      </w:r>
    </w:p>
    <w:p w14:paraId="7A9B5061" w14:textId="77777777" w:rsidR="00C36261" w:rsidRPr="00A57ABC" w:rsidRDefault="00C36261" w:rsidP="00C36261">
      <w:pPr>
        <w:widowControl w:val="0"/>
        <w:jc w:val="both"/>
        <w:rPr>
          <w:lang w:val="es-ES" w:eastAsia="en-US"/>
        </w:rPr>
      </w:pPr>
      <w:r w:rsidRPr="00A57ABC">
        <w:rPr>
          <w:rFonts w:eastAsiaTheme="minorHAnsi"/>
          <w:noProof/>
          <w:shd w:val="clear" w:color="auto" w:fill="C00000"/>
          <w:lang w:eastAsia="en-US"/>
        </w:rPr>
        <w:drawing>
          <wp:inline distT="0" distB="0" distL="0" distR="0" wp14:anchorId="50D7A826" wp14:editId="23A0A395">
            <wp:extent cx="5285408" cy="1623695"/>
            <wp:effectExtent l="0" t="0" r="0" b="0"/>
            <wp:docPr id="112" name="Gráfico 112">
              <a:extLst xmlns:a="http://schemas.openxmlformats.org/drawingml/2006/main">
                <a:ext uri="{FF2B5EF4-FFF2-40B4-BE49-F238E27FC236}">
                  <a16:creationId xmlns:a16="http://schemas.microsoft.com/office/drawing/2014/main" id="{4427408B-CC91-4D03-AB2F-06A6F1099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3367A594" w14:textId="77777777" w:rsidR="00C36261" w:rsidRPr="00CA2251" w:rsidRDefault="00C36261" w:rsidP="00C36261">
      <w:pPr>
        <w:widowControl w:val="0"/>
        <w:jc w:val="both"/>
        <w:rPr>
          <w:sz w:val="16"/>
          <w:szCs w:val="16"/>
          <w:lang w:val="es-ES" w:eastAsia="en-US"/>
        </w:rPr>
      </w:pPr>
      <w:r w:rsidRPr="00CA2251">
        <w:rPr>
          <w:sz w:val="16"/>
          <w:szCs w:val="16"/>
          <w:lang w:val="es-ES" w:eastAsia="en-US"/>
        </w:rPr>
        <w:t>Fuente: Elaboración Dirección de Análisis y Política Fiscal</w:t>
      </w:r>
    </w:p>
    <w:p w14:paraId="126117AB" w14:textId="77777777" w:rsidR="008E0613" w:rsidRDefault="008E0613" w:rsidP="00C36261">
      <w:pPr>
        <w:widowControl w:val="0"/>
        <w:jc w:val="center"/>
        <w:rPr>
          <w:rFonts w:eastAsiaTheme="minorHAnsi"/>
          <w:b/>
          <w:bCs/>
          <w:lang w:eastAsia="en-US"/>
        </w:rPr>
      </w:pPr>
    </w:p>
    <w:p w14:paraId="0FC7AD8D" w14:textId="37B060F7" w:rsidR="00C36261" w:rsidRPr="00CA2251" w:rsidRDefault="00CA2251" w:rsidP="00CA2251">
      <w:pPr>
        <w:pStyle w:val="Descripcin"/>
        <w:rPr>
          <w:b w:val="0"/>
          <w:bCs/>
          <w:color w:val="auto"/>
        </w:rPr>
      </w:pPr>
      <w:bookmarkStart w:id="801" w:name="_Toc143593651"/>
      <w:r w:rsidRPr="00CA2251">
        <w:rPr>
          <w:color w:val="auto"/>
        </w:rPr>
        <w:t xml:space="preserve">Gráfico </w:t>
      </w:r>
      <w:r w:rsidRPr="00CA2251">
        <w:rPr>
          <w:color w:val="auto"/>
        </w:rPr>
        <w:fldChar w:fldCharType="begin"/>
      </w:r>
      <w:r w:rsidRPr="00CA2251">
        <w:rPr>
          <w:color w:val="auto"/>
        </w:rPr>
        <w:instrText xml:space="preserve"> SEQ Gráfico \* ARABIC </w:instrText>
      </w:r>
      <w:r w:rsidRPr="00CA2251">
        <w:rPr>
          <w:color w:val="auto"/>
        </w:rPr>
        <w:fldChar w:fldCharType="separate"/>
      </w:r>
      <w:r w:rsidR="00A62AFA">
        <w:rPr>
          <w:noProof/>
          <w:color w:val="auto"/>
        </w:rPr>
        <w:t>93</w:t>
      </w:r>
      <w:r w:rsidRPr="00CA2251">
        <w:rPr>
          <w:color w:val="auto"/>
        </w:rPr>
        <w:fldChar w:fldCharType="end"/>
      </w:r>
      <w:r w:rsidRPr="00CA2251">
        <w:rPr>
          <w:color w:val="auto"/>
        </w:rPr>
        <w:t>.  Variación Interanual de otros impuestos aportado</w:t>
      </w:r>
      <w:r w:rsidR="003170B7">
        <w:rPr>
          <w:color w:val="auto"/>
        </w:rPr>
        <w:t>s</w:t>
      </w:r>
      <w:r w:rsidRPr="00CA2251">
        <w:rPr>
          <w:color w:val="auto"/>
        </w:rPr>
        <w:t xml:space="preserve"> por la actividad de minas y canteras</w:t>
      </w:r>
      <w:bookmarkEnd w:id="801"/>
    </w:p>
    <w:p w14:paraId="7A59A4EE" w14:textId="77777777" w:rsidR="00C36261" w:rsidRPr="00CA2251" w:rsidRDefault="00C36261" w:rsidP="00C36261">
      <w:pPr>
        <w:widowControl w:val="0"/>
        <w:jc w:val="center"/>
        <w:rPr>
          <w:rFonts w:eastAsiaTheme="minorHAnsi"/>
          <w:lang w:eastAsia="en-US"/>
        </w:rPr>
      </w:pPr>
      <w:r w:rsidRPr="00CA2251">
        <w:rPr>
          <w:rFonts w:eastAsiaTheme="minorHAnsi"/>
          <w:lang w:eastAsia="en-US"/>
        </w:rPr>
        <w:t>Porcentajes</w:t>
      </w:r>
    </w:p>
    <w:p w14:paraId="4CD9B049" w14:textId="77777777" w:rsidR="00C36261" w:rsidRPr="00A57ABC" w:rsidRDefault="00C36261" w:rsidP="00C36261">
      <w:pPr>
        <w:widowControl w:val="0"/>
        <w:jc w:val="both"/>
        <w:rPr>
          <w:lang w:val="es-ES" w:eastAsia="en-US"/>
        </w:rPr>
      </w:pPr>
      <w:r w:rsidRPr="00A57ABC">
        <w:rPr>
          <w:rFonts w:eastAsiaTheme="minorHAnsi"/>
          <w:noProof/>
          <w:lang w:eastAsia="en-US"/>
        </w:rPr>
        <w:drawing>
          <wp:inline distT="0" distB="0" distL="0" distR="0" wp14:anchorId="3DA7A708" wp14:editId="351C585F">
            <wp:extent cx="5318125" cy="1781092"/>
            <wp:effectExtent l="0" t="0" r="0" b="0"/>
            <wp:docPr id="113" name="Gráfico 113">
              <a:extLst xmlns:a="http://schemas.openxmlformats.org/drawingml/2006/main">
                <a:ext uri="{FF2B5EF4-FFF2-40B4-BE49-F238E27FC236}">
                  <a16:creationId xmlns:a16="http://schemas.microsoft.com/office/drawing/2014/main" id="{E12456E9-AB98-4076-8880-CD45B0F70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64CB03E" w14:textId="77777777" w:rsidR="00C36261" w:rsidRPr="00CA2251" w:rsidRDefault="00C36261" w:rsidP="00C36261">
      <w:pPr>
        <w:widowControl w:val="0"/>
        <w:jc w:val="both"/>
        <w:rPr>
          <w:sz w:val="16"/>
          <w:szCs w:val="16"/>
          <w:lang w:val="es-ES" w:eastAsia="en-US"/>
        </w:rPr>
      </w:pPr>
      <w:r w:rsidRPr="00CA2251">
        <w:rPr>
          <w:sz w:val="16"/>
          <w:szCs w:val="16"/>
          <w:lang w:val="es-ES" w:eastAsia="en-US"/>
        </w:rPr>
        <w:t xml:space="preserve">Fuente: Elaboración Dirección de Análisis y Política Fiscal </w:t>
      </w:r>
    </w:p>
    <w:p w14:paraId="57121E8D" w14:textId="77777777" w:rsidR="00C36261" w:rsidRPr="00A57ABC" w:rsidRDefault="00C36261" w:rsidP="00C36261">
      <w:pPr>
        <w:widowControl w:val="0"/>
        <w:jc w:val="both"/>
        <w:rPr>
          <w:lang w:val="es-ES" w:eastAsia="en-US"/>
        </w:rPr>
      </w:pPr>
    </w:p>
    <w:p w14:paraId="6D2AF3DE" w14:textId="77777777" w:rsidR="00C36261" w:rsidRPr="00A57ABC" w:rsidRDefault="00C36261" w:rsidP="00C36261">
      <w:pPr>
        <w:widowControl w:val="0"/>
        <w:jc w:val="both"/>
        <w:rPr>
          <w:lang w:val="es-ES" w:eastAsia="en-US"/>
        </w:rPr>
      </w:pPr>
      <w:r w:rsidRPr="00A57ABC">
        <w:rPr>
          <w:lang w:val="es-ES" w:eastAsia="en-US"/>
        </w:rPr>
        <w:t xml:space="preserve">El sector minero aporta a la recaudación de la administración central por medio de diversos impuestos siendo los más importantes, IVA, ISR y los demás en menor porcentaje, representado en “otros”. Como se puede observar en las gráficas la dinámica de su aportación ha sido variante a lo largo de los años esto debido a su mayoría por el impacto que los conflictos sociales y ambientales tienen sobre dicha actividad. Derivado de los conflictos socioambientales a partir del 2016 la producción minera ha disminuido especialmente por el cierre técnico y agotamiento del yacimiento de la Mina Marlín que durante el 2017 ya no produjo. Así mismo en el 2017 la suspensión temporal de la licencia de explotación del </w:t>
      </w:r>
      <w:proofErr w:type="spellStart"/>
      <w:r w:rsidRPr="00A57ABC">
        <w:rPr>
          <w:lang w:val="es-ES" w:eastAsia="en-US"/>
        </w:rPr>
        <w:t>Escobal</w:t>
      </w:r>
      <w:proofErr w:type="spellEnd"/>
      <w:r w:rsidRPr="00A57ABC">
        <w:rPr>
          <w:lang w:val="es-ES" w:eastAsia="en-US"/>
        </w:rPr>
        <w:t xml:space="preserve"> afectó en términos de recaudación al sector, posteriormente para el 2018 por conflictos socioambientales la extracción y exportación de níquel reportó una contracción derivada de los conflictos que las empresas mineras debían de resolver.   </w:t>
      </w:r>
    </w:p>
    <w:p w14:paraId="23DA7407" w14:textId="77777777" w:rsidR="00C36261" w:rsidRPr="00A57ABC" w:rsidRDefault="00C36261" w:rsidP="00C36261">
      <w:pPr>
        <w:widowControl w:val="0"/>
        <w:jc w:val="both"/>
        <w:rPr>
          <w:lang w:val="es-ES" w:eastAsia="en-US"/>
        </w:rPr>
      </w:pPr>
    </w:p>
    <w:p w14:paraId="0EA1E512" w14:textId="77777777" w:rsidR="00C36261" w:rsidRPr="00A57ABC" w:rsidRDefault="00C36261" w:rsidP="00C36261">
      <w:pPr>
        <w:widowControl w:val="0"/>
        <w:jc w:val="both"/>
        <w:rPr>
          <w:lang w:val="es-ES" w:eastAsia="en-US"/>
        </w:rPr>
      </w:pPr>
      <w:r w:rsidRPr="00A57ABC">
        <w:rPr>
          <w:lang w:val="es-ES" w:eastAsia="en-US"/>
        </w:rPr>
        <w:t xml:space="preserve">Se puede observar para el 2021 un incremento en la variación interanual del IVA y el ISR, sin embargo, esto se debe al impacto negativo que produjo la Pandemia del CCOVID 19, el cual marcó una reducción grande en el pago de dichos impuestos en 2020 y para el 2021 con el inició de la reactivación económica se recuperó la recaudación en este sector. De igual forma para el 2021 la licencia del proyecto Minero Fénix fue suspendida lo que provocó un impacto en las contribuciones del sector.  </w:t>
      </w:r>
    </w:p>
    <w:p w14:paraId="18DD1046" w14:textId="77777777" w:rsidR="00C36261" w:rsidRDefault="00C36261" w:rsidP="00C36261">
      <w:pPr>
        <w:widowControl w:val="0"/>
        <w:jc w:val="both"/>
        <w:rPr>
          <w:lang w:val="es-ES" w:eastAsia="en-US"/>
        </w:rPr>
      </w:pPr>
      <w:r w:rsidRPr="00A57ABC">
        <w:rPr>
          <w:lang w:val="es-ES" w:eastAsia="en-US"/>
        </w:rPr>
        <w:lastRenderedPageBreak/>
        <w:t xml:space="preserve">Asimismo, como se refleja en las gráficas anteriores el riesgo que el sector minero tiene para continuar sus actividades de explotación e importación de minerales es alto, especialmente asociado a conflictos socioambientales y al agotamiento de los recursos naturales de los cuales depende el sector para subsistir, por ello la contribución que el sector realiza hacia la Administración Central es variante y bajo, asociados a los sucesos que han acontecido desde 2015 a la fecha, lo cual ha mermado los ingresos que se obtienen del sector. </w:t>
      </w:r>
    </w:p>
    <w:p w14:paraId="0A9462EA" w14:textId="77777777" w:rsidR="002A00D1" w:rsidRDefault="002A00D1" w:rsidP="00C36261">
      <w:pPr>
        <w:widowControl w:val="0"/>
        <w:jc w:val="both"/>
        <w:rPr>
          <w:lang w:val="es-ES" w:eastAsia="en-US"/>
        </w:rPr>
      </w:pPr>
    </w:p>
    <w:p w14:paraId="0D2C20D2" w14:textId="6E3391B1" w:rsidR="00C36261" w:rsidRPr="00CA2251" w:rsidRDefault="00CA2251" w:rsidP="00CA2251">
      <w:pPr>
        <w:pStyle w:val="Descripcin"/>
        <w:rPr>
          <w:b w:val="0"/>
          <w:bCs/>
          <w:color w:val="auto"/>
        </w:rPr>
      </w:pPr>
      <w:bookmarkStart w:id="802" w:name="_Toc143593652"/>
      <w:r w:rsidRPr="00CA2251">
        <w:rPr>
          <w:color w:val="auto"/>
        </w:rPr>
        <w:t xml:space="preserve">Gráfico </w:t>
      </w:r>
      <w:r w:rsidRPr="00CA2251">
        <w:rPr>
          <w:color w:val="auto"/>
        </w:rPr>
        <w:fldChar w:fldCharType="begin"/>
      </w:r>
      <w:r w:rsidRPr="00CA2251">
        <w:rPr>
          <w:color w:val="auto"/>
        </w:rPr>
        <w:instrText xml:space="preserve"> SEQ Gráfico \* ARABIC </w:instrText>
      </w:r>
      <w:r w:rsidRPr="00CA2251">
        <w:rPr>
          <w:color w:val="auto"/>
        </w:rPr>
        <w:fldChar w:fldCharType="separate"/>
      </w:r>
      <w:r w:rsidR="00A62AFA">
        <w:rPr>
          <w:noProof/>
          <w:color w:val="auto"/>
        </w:rPr>
        <w:t>94</w:t>
      </w:r>
      <w:r w:rsidRPr="00CA2251">
        <w:rPr>
          <w:color w:val="auto"/>
        </w:rPr>
        <w:fldChar w:fldCharType="end"/>
      </w:r>
      <w:r w:rsidRPr="00CA2251">
        <w:rPr>
          <w:color w:val="auto"/>
        </w:rPr>
        <w:t>.  Aporte de la actividad de minas y canteras al total de la recaudación por actividad</w:t>
      </w:r>
      <w:bookmarkEnd w:id="802"/>
    </w:p>
    <w:p w14:paraId="70F3CC5D" w14:textId="77777777" w:rsidR="00C36261" w:rsidRPr="00CA2251" w:rsidRDefault="00C36261" w:rsidP="00C36261">
      <w:pPr>
        <w:widowControl w:val="0"/>
        <w:jc w:val="center"/>
        <w:rPr>
          <w:rFonts w:eastAsiaTheme="minorHAnsi"/>
          <w:lang w:eastAsia="en-US"/>
        </w:rPr>
      </w:pPr>
      <w:r w:rsidRPr="00CA2251">
        <w:rPr>
          <w:rFonts w:eastAsiaTheme="minorHAnsi"/>
          <w:lang w:eastAsia="en-US"/>
        </w:rPr>
        <w:t>Porcentajes</w:t>
      </w:r>
    </w:p>
    <w:p w14:paraId="53F3EED7" w14:textId="77777777" w:rsidR="00C36261" w:rsidRPr="00A57ABC" w:rsidRDefault="00C36261" w:rsidP="00C36261">
      <w:pPr>
        <w:widowControl w:val="0"/>
        <w:jc w:val="both"/>
        <w:rPr>
          <w:lang w:val="es-ES" w:eastAsia="en-US"/>
        </w:rPr>
      </w:pPr>
      <w:r w:rsidRPr="00A57ABC">
        <w:rPr>
          <w:rFonts w:eastAsiaTheme="minorHAnsi"/>
          <w:noProof/>
          <w:lang w:eastAsia="en-US"/>
        </w:rPr>
        <w:drawing>
          <wp:inline distT="0" distB="0" distL="0" distR="0" wp14:anchorId="4BC27A06" wp14:editId="45924B72">
            <wp:extent cx="5581650" cy="1860605"/>
            <wp:effectExtent l="0" t="0" r="0" b="6350"/>
            <wp:docPr id="114" name="Gráfico 114">
              <a:extLst xmlns:a="http://schemas.openxmlformats.org/drawingml/2006/main">
                <a:ext uri="{FF2B5EF4-FFF2-40B4-BE49-F238E27FC236}">
                  <a16:creationId xmlns:a16="http://schemas.microsoft.com/office/drawing/2014/main" id="{515B668C-7407-4069-A653-0BD73B348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501E8D0A" w14:textId="77777777" w:rsidR="00C36261" w:rsidRPr="00CA2251" w:rsidRDefault="00C36261" w:rsidP="00C36261">
      <w:pPr>
        <w:widowControl w:val="0"/>
        <w:jc w:val="both"/>
        <w:rPr>
          <w:sz w:val="16"/>
          <w:szCs w:val="16"/>
          <w:lang w:val="es-ES" w:eastAsia="en-US"/>
        </w:rPr>
      </w:pPr>
      <w:r w:rsidRPr="00CA2251">
        <w:rPr>
          <w:sz w:val="16"/>
          <w:szCs w:val="16"/>
          <w:lang w:val="es-ES" w:eastAsia="en-US"/>
        </w:rPr>
        <w:t xml:space="preserve">Fuente: Elaboración Dirección de Análisis y Política Fiscal </w:t>
      </w:r>
    </w:p>
    <w:p w14:paraId="3F1597CB" w14:textId="77777777" w:rsidR="00C36261" w:rsidRPr="00A57ABC" w:rsidRDefault="00C36261" w:rsidP="00C36261">
      <w:pPr>
        <w:widowControl w:val="0"/>
        <w:jc w:val="both"/>
        <w:rPr>
          <w:lang w:val="es-ES" w:eastAsia="en-US"/>
        </w:rPr>
      </w:pPr>
    </w:p>
    <w:p w14:paraId="3A6D1473" w14:textId="77777777" w:rsidR="00C36261" w:rsidRPr="00A57ABC" w:rsidRDefault="00C36261" w:rsidP="00C36261">
      <w:pPr>
        <w:widowControl w:val="0"/>
        <w:jc w:val="both"/>
        <w:rPr>
          <w:lang w:val="es-ES" w:eastAsia="en-US"/>
        </w:rPr>
      </w:pPr>
      <w:r w:rsidRPr="00A57ABC">
        <w:rPr>
          <w:lang w:val="es-ES" w:eastAsia="en-US"/>
        </w:rPr>
        <w:t xml:space="preserve">Como lo evidencia la gráfica anterior el aporte del sector minero a la recaudación tributaria ha venido decayendo hasta llegar a un 0.2% para el año 2022, lo que significa que si las circunstancias mencionadas anteriormente continúan bajo la misma línea o se acentúan los conflictos socioambientales el aporte seguirá cayendo y afectando principalmente a los ingresos de las Municipalidades, es importante resaltar que algunas Municipalidades dependen en su mayoría de dichos ingresos para financiar proyectos de desarrollo. </w:t>
      </w:r>
    </w:p>
    <w:p w14:paraId="05B6411E" w14:textId="0473B997" w:rsidR="00C36261" w:rsidRDefault="00C36261" w:rsidP="00C36261">
      <w:pPr>
        <w:widowControl w:val="0"/>
        <w:jc w:val="both"/>
        <w:rPr>
          <w:lang w:val="es-ES" w:eastAsia="en-US"/>
        </w:rPr>
      </w:pPr>
    </w:p>
    <w:p w14:paraId="3BECDE5C" w14:textId="770203AF" w:rsidR="00C36261" w:rsidRPr="00CA2251" w:rsidRDefault="00CA2251" w:rsidP="00CA2251">
      <w:pPr>
        <w:pStyle w:val="Descripcin"/>
        <w:rPr>
          <w:b w:val="0"/>
          <w:bCs/>
          <w:color w:val="auto"/>
        </w:rPr>
      </w:pPr>
      <w:bookmarkStart w:id="803" w:name="_Toc143593653"/>
      <w:r w:rsidRPr="00CA2251">
        <w:rPr>
          <w:color w:val="auto"/>
        </w:rPr>
        <w:t xml:space="preserve">Gráfico </w:t>
      </w:r>
      <w:r w:rsidRPr="00CA2251">
        <w:rPr>
          <w:color w:val="auto"/>
        </w:rPr>
        <w:fldChar w:fldCharType="begin"/>
      </w:r>
      <w:r w:rsidRPr="00CA2251">
        <w:rPr>
          <w:color w:val="auto"/>
        </w:rPr>
        <w:instrText xml:space="preserve"> SEQ Gráfico \* ARABIC </w:instrText>
      </w:r>
      <w:r w:rsidRPr="00CA2251">
        <w:rPr>
          <w:color w:val="auto"/>
        </w:rPr>
        <w:fldChar w:fldCharType="separate"/>
      </w:r>
      <w:r w:rsidR="00A62AFA">
        <w:rPr>
          <w:noProof/>
          <w:color w:val="auto"/>
        </w:rPr>
        <w:t>95</w:t>
      </w:r>
      <w:r w:rsidRPr="00CA2251">
        <w:rPr>
          <w:color w:val="auto"/>
        </w:rPr>
        <w:fldChar w:fldCharType="end"/>
      </w:r>
      <w:r w:rsidRPr="00CA2251">
        <w:rPr>
          <w:color w:val="auto"/>
        </w:rPr>
        <w:t>.  Peso por actividad económica respecto a la recaudación total</w:t>
      </w:r>
      <w:bookmarkEnd w:id="803"/>
    </w:p>
    <w:p w14:paraId="091B4DAF" w14:textId="77777777" w:rsidR="00C36261" w:rsidRPr="00CA2251" w:rsidRDefault="00C36261" w:rsidP="00C36261">
      <w:pPr>
        <w:widowControl w:val="0"/>
        <w:jc w:val="center"/>
        <w:rPr>
          <w:rFonts w:eastAsiaTheme="minorHAnsi"/>
          <w:lang w:eastAsia="en-US"/>
        </w:rPr>
      </w:pPr>
      <w:r w:rsidRPr="00CA2251">
        <w:rPr>
          <w:rFonts w:eastAsiaTheme="minorHAnsi"/>
          <w:lang w:eastAsia="en-US"/>
        </w:rPr>
        <w:t>Porcentajes</w:t>
      </w:r>
    </w:p>
    <w:p w14:paraId="777FF961" w14:textId="77777777" w:rsidR="00C36261" w:rsidRPr="00CA2251" w:rsidRDefault="00C36261" w:rsidP="00C36261">
      <w:pPr>
        <w:widowControl w:val="0"/>
        <w:jc w:val="center"/>
        <w:rPr>
          <w:rFonts w:eastAsiaTheme="minorHAnsi"/>
          <w:lang w:eastAsia="en-US"/>
        </w:rPr>
      </w:pPr>
      <w:r w:rsidRPr="00CA2251">
        <w:rPr>
          <w:rFonts w:eastAsiaTheme="minorHAnsi"/>
          <w:noProof/>
          <w:lang w:eastAsia="en-US"/>
        </w:rPr>
        <w:drawing>
          <wp:anchor distT="0" distB="0" distL="114300" distR="114300" simplePos="0" relativeHeight="251667456" behindDoc="1" locked="0" layoutInCell="1" allowOverlap="1" wp14:anchorId="12B4346F" wp14:editId="5DB1E898">
            <wp:simplePos x="0" y="0"/>
            <wp:positionH relativeFrom="margin">
              <wp:posOffset>-22860</wp:posOffset>
            </wp:positionH>
            <wp:positionV relativeFrom="paragraph">
              <wp:posOffset>233680</wp:posOffset>
            </wp:positionV>
            <wp:extent cx="5547360" cy="2374265"/>
            <wp:effectExtent l="0" t="0" r="0" b="6985"/>
            <wp:wrapTight wrapText="bothSides">
              <wp:wrapPolygon edited="0">
                <wp:start x="74" y="0"/>
                <wp:lineTo x="0" y="520"/>
                <wp:lineTo x="0" y="21144"/>
                <wp:lineTo x="74" y="21490"/>
                <wp:lineTo x="21437" y="21490"/>
                <wp:lineTo x="21511" y="21144"/>
                <wp:lineTo x="21511" y="520"/>
                <wp:lineTo x="21437" y="0"/>
                <wp:lineTo x="74" y="0"/>
              </wp:wrapPolygon>
            </wp:wrapTight>
            <wp:docPr id="115" name="Gráfico 115">
              <a:extLst xmlns:a="http://schemas.openxmlformats.org/drawingml/2006/main">
                <a:ext uri="{FF2B5EF4-FFF2-40B4-BE49-F238E27FC236}">
                  <a16:creationId xmlns:a16="http://schemas.microsoft.com/office/drawing/2014/main" id="{BE8FBCC5-345F-4689-9DC7-1E9576B0E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14:sizeRelH relativeFrom="margin">
              <wp14:pctWidth>0</wp14:pctWidth>
            </wp14:sizeRelH>
            <wp14:sizeRelV relativeFrom="margin">
              <wp14:pctHeight>0</wp14:pctHeight>
            </wp14:sizeRelV>
          </wp:anchor>
        </w:drawing>
      </w:r>
      <w:r w:rsidRPr="00CA2251">
        <w:rPr>
          <w:rFonts w:eastAsiaTheme="minorHAnsi"/>
          <w:lang w:eastAsia="en-US"/>
        </w:rPr>
        <w:t>Ejercicio fiscal 2022</w:t>
      </w:r>
    </w:p>
    <w:p w14:paraId="038EF108" w14:textId="77777777" w:rsidR="00C36261" w:rsidRPr="00CA2251" w:rsidRDefault="00C36261" w:rsidP="00C36261">
      <w:pPr>
        <w:widowControl w:val="0"/>
        <w:jc w:val="both"/>
        <w:rPr>
          <w:sz w:val="16"/>
          <w:szCs w:val="16"/>
          <w:lang w:val="es-ES" w:eastAsia="en-US"/>
        </w:rPr>
      </w:pPr>
      <w:r w:rsidRPr="00CA2251">
        <w:rPr>
          <w:sz w:val="16"/>
          <w:szCs w:val="16"/>
          <w:lang w:val="es-ES" w:eastAsia="en-US"/>
        </w:rPr>
        <w:t>Fuente: Elaboración Dirección de Análisis y Política Fiscal</w:t>
      </w:r>
    </w:p>
    <w:p w14:paraId="2306B62B" w14:textId="77777777" w:rsidR="00C36261" w:rsidRPr="00A57ABC" w:rsidRDefault="00C36261" w:rsidP="00C36261">
      <w:pPr>
        <w:widowControl w:val="0"/>
        <w:jc w:val="both"/>
        <w:rPr>
          <w:lang w:val="es-ES" w:eastAsia="en-US"/>
        </w:rPr>
      </w:pPr>
      <w:r w:rsidRPr="00A57ABC">
        <w:rPr>
          <w:lang w:val="es-ES" w:eastAsia="en-US"/>
        </w:rPr>
        <w:lastRenderedPageBreak/>
        <w:t xml:space="preserve">Desde un espectro más general y, comparado con las demás actividades económicas en temas de recaudación el sector minero no es representativo, ya que para el 2022 únicamente representa un 0.5% comparado con el sector comercio al por mayor y al por menor que representa un 41.2% y el sector industrias manufactureres que representa un 20.2%.  Lo anterior se debe al dinamismo que el sector de por si tiene de acuerdo a la complejidad social y ambiental a pesar que, la actividad minera es una actividad que envuelve la producción de artículos no tradicionales y dichos artículos poseen gran demanda debido a que, en su mayoría, sirven como materia prima para la elaboración de otros bienes, también importantes para la economía del país. </w:t>
      </w:r>
    </w:p>
    <w:p w14:paraId="53876783" w14:textId="77777777" w:rsidR="00C36261" w:rsidRPr="00A57ABC" w:rsidRDefault="00C36261" w:rsidP="00C36261">
      <w:pPr>
        <w:widowControl w:val="0"/>
        <w:jc w:val="both"/>
        <w:rPr>
          <w:lang w:val="es-ES" w:eastAsia="en-US"/>
        </w:rPr>
      </w:pPr>
    </w:p>
    <w:p w14:paraId="0C9AE8E8" w14:textId="77777777" w:rsidR="00C36261" w:rsidRPr="00A57ABC" w:rsidRDefault="00C36261" w:rsidP="00C36261">
      <w:pPr>
        <w:widowControl w:val="0"/>
        <w:jc w:val="both"/>
        <w:rPr>
          <w:lang w:val="es-ES" w:eastAsia="en-US"/>
        </w:rPr>
      </w:pPr>
      <w:r w:rsidRPr="00A57ABC">
        <w:rPr>
          <w:lang w:val="es-ES" w:eastAsia="en-US"/>
        </w:rPr>
        <w:t>De acuerdo con la Ley de Minería los porcentajes de las regalías a pagarse por la explotación de minerales serán 0.5 por ciento al Estado y del 0.5 por ciento a las municipalidades; En el caso de que la extracción se localice en más de una jurisdicción municipal, la regalía se repartirá entre las municipalidades correspondientes en proporción a los productos mineros extraídos en cada jurisdicción.</w:t>
      </w:r>
    </w:p>
    <w:p w14:paraId="2DE5B75E" w14:textId="77777777" w:rsidR="00C36261" w:rsidRPr="00A57ABC" w:rsidRDefault="00C36261" w:rsidP="00C36261">
      <w:pPr>
        <w:widowControl w:val="0"/>
        <w:jc w:val="both"/>
        <w:rPr>
          <w:lang w:val="es-ES" w:eastAsia="en-US"/>
        </w:rPr>
      </w:pPr>
    </w:p>
    <w:p w14:paraId="60B855A2" w14:textId="6B14AA1B" w:rsidR="00C36261" w:rsidRPr="00CA2251" w:rsidRDefault="00CA2251" w:rsidP="00CA2251">
      <w:pPr>
        <w:pStyle w:val="Descripcin"/>
        <w:keepNext/>
        <w:rPr>
          <w:color w:val="auto"/>
        </w:rPr>
      </w:pPr>
      <w:bookmarkStart w:id="804" w:name="_Toc143593552"/>
      <w:r w:rsidRPr="00CA2251">
        <w:rPr>
          <w:color w:val="auto"/>
        </w:rPr>
        <w:t xml:space="preserve">Tabla </w:t>
      </w:r>
      <w:r w:rsidRPr="00CA2251">
        <w:rPr>
          <w:color w:val="auto"/>
        </w:rPr>
        <w:fldChar w:fldCharType="begin"/>
      </w:r>
      <w:r w:rsidRPr="00CA2251">
        <w:rPr>
          <w:color w:val="auto"/>
        </w:rPr>
        <w:instrText xml:space="preserve"> SEQ Tabla \* ARABIC </w:instrText>
      </w:r>
      <w:r w:rsidRPr="00CA2251">
        <w:rPr>
          <w:color w:val="auto"/>
        </w:rPr>
        <w:fldChar w:fldCharType="separate"/>
      </w:r>
      <w:r w:rsidR="00A62AFA">
        <w:rPr>
          <w:noProof/>
          <w:color w:val="auto"/>
        </w:rPr>
        <w:t>50</w:t>
      </w:r>
      <w:r w:rsidRPr="00CA2251">
        <w:rPr>
          <w:color w:val="auto"/>
        </w:rPr>
        <w:fldChar w:fldCharType="end"/>
      </w:r>
      <w:r w:rsidRPr="00CA2251">
        <w:rPr>
          <w:color w:val="auto"/>
        </w:rPr>
        <w:t xml:space="preserve">.  </w:t>
      </w:r>
      <w:r w:rsidR="00C36261" w:rsidRPr="00CA2251">
        <w:rPr>
          <w:bCs/>
          <w:color w:val="auto"/>
        </w:rPr>
        <w:t>Regalías pagadas por el sector de minas y canteras 2016-2023</w:t>
      </w:r>
      <w:bookmarkEnd w:id="804"/>
    </w:p>
    <w:p w14:paraId="1ABA0271" w14:textId="77777777" w:rsidR="00C36261" w:rsidRPr="00CA2251" w:rsidRDefault="00C36261" w:rsidP="00C36261">
      <w:pPr>
        <w:widowControl w:val="0"/>
        <w:jc w:val="center"/>
        <w:rPr>
          <w:rFonts w:eastAsiaTheme="minorHAnsi"/>
          <w:sz w:val="22"/>
          <w:szCs w:val="22"/>
          <w:lang w:eastAsia="en-US"/>
        </w:rPr>
      </w:pPr>
      <w:r w:rsidRPr="00CA2251">
        <w:rPr>
          <w:rFonts w:eastAsiaTheme="minorHAnsi"/>
          <w:sz w:val="22"/>
          <w:szCs w:val="22"/>
          <w:lang w:eastAsia="en-US"/>
        </w:rPr>
        <w:t>Cifras en quetzales</w:t>
      </w:r>
    </w:p>
    <w:tbl>
      <w:tblPr>
        <w:tblStyle w:val="Tabladecuadrcula4-nfasis11"/>
        <w:tblW w:w="0" w:type="auto"/>
        <w:jc w:val="center"/>
        <w:tblLook w:val="04A0" w:firstRow="1" w:lastRow="0" w:firstColumn="1" w:lastColumn="0" w:noHBand="0" w:noVBand="1"/>
      </w:tblPr>
      <w:tblGrid>
        <w:gridCol w:w="851"/>
        <w:gridCol w:w="2126"/>
        <w:gridCol w:w="2268"/>
      </w:tblGrid>
      <w:tr w:rsidR="00C36261" w:rsidRPr="00A57ABC" w14:paraId="31C930C3" w14:textId="77777777" w:rsidTr="002D40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CFC73AD" w14:textId="77777777" w:rsidR="00C36261" w:rsidRPr="00CA2251" w:rsidRDefault="00C36261" w:rsidP="006A7377">
            <w:pPr>
              <w:widowControl w:val="0"/>
              <w:jc w:val="center"/>
              <w:rPr>
                <w:rFonts w:eastAsia="Malgun Gothic"/>
                <w:sz w:val="22"/>
                <w:szCs w:val="22"/>
              </w:rPr>
            </w:pPr>
            <w:r w:rsidRPr="00CA2251">
              <w:rPr>
                <w:rFonts w:eastAsia="Malgun Gothic"/>
                <w:sz w:val="22"/>
                <w:szCs w:val="22"/>
              </w:rPr>
              <w:t>Año</w:t>
            </w:r>
          </w:p>
        </w:tc>
        <w:tc>
          <w:tcPr>
            <w:tcW w:w="2126" w:type="dxa"/>
          </w:tcPr>
          <w:p w14:paraId="2BEEB0C1" w14:textId="77777777" w:rsidR="00C36261" w:rsidRPr="00CA2251"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Regalías al Estado</w:t>
            </w:r>
          </w:p>
        </w:tc>
        <w:tc>
          <w:tcPr>
            <w:tcW w:w="2268" w:type="dxa"/>
          </w:tcPr>
          <w:p w14:paraId="7EFFAE28" w14:textId="77777777" w:rsidR="00C36261" w:rsidRPr="00CA2251" w:rsidRDefault="00C36261" w:rsidP="006A7377">
            <w:pPr>
              <w:widowControl w:val="0"/>
              <w:jc w:val="center"/>
              <w:cnfStyle w:val="100000000000" w:firstRow="1"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Regalías Voluntarias</w:t>
            </w:r>
          </w:p>
        </w:tc>
      </w:tr>
      <w:tr w:rsidR="00C36261" w:rsidRPr="00A57ABC" w14:paraId="769C0A07" w14:textId="77777777" w:rsidTr="002D4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E6088FA" w14:textId="77777777" w:rsidR="00C36261" w:rsidRPr="00CA2251" w:rsidRDefault="00C36261" w:rsidP="006A7377">
            <w:pPr>
              <w:widowControl w:val="0"/>
              <w:jc w:val="center"/>
              <w:rPr>
                <w:rFonts w:eastAsia="Malgun Gothic"/>
                <w:b w:val="0"/>
                <w:bCs w:val="0"/>
                <w:sz w:val="22"/>
                <w:szCs w:val="22"/>
              </w:rPr>
            </w:pPr>
            <w:r w:rsidRPr="00CA2251">
              <w:rPr>
                <w:rFonts w:eastAsia="Malgun Gothic"/>
                <w:b w:val="0"/>
                <w:bCs w:val="0"/>
                <w:sz w:val="22"/>
                <w:szCs w:val="22"/>
              </w:rPr>
              <w:t>2016</w:t>
            </w:r>
          </w:p>
        </w:tc>
        <w:tc>
          <w:tcPr>
            <w:tcW w:w="2126" w:type="dxa"/>
          </w:tcPr>
          <w:p w14:paraId="28739405"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CA2251">
              <w:rPr>
                <w:rFonts w:eastAsia="Malgun Gothic"/>
                <w:sz w:val="22"/>
                <w:szCs w:val="22"/>
              </w:rPr>
              <w:t>46,414,709.77</w:t>
            </w:r>
          </w:p>
        </w:tc>
        <w:tc>
          <w:tcPr>
            <w:tcW w:w="2268" w:type="dxa"/>
          </w:tcPr>
          <w:p w14:paraId="75025C4E"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CA2251">
              <w:rPr>
                <w:rFonts w:eastAsia="Malgun Gothic"/>
                <w:sz w:val="22"/>
                <w:szCs w:val="22"/>
              </w:rPr>
              <w:t>Q. 33,392,503.47</w:t>
            </w:r>
          </w:p>
        </w:tc>
      </w:tr>
      <w:tr w:rsidR="00C36261" w:rsidRPr="00A57ABC" w14:paraId="1499BF1D" w14:textId="77777777" w:rsidTr="002D40BF">
        <w:trPr>
          <w:jc w:val="center"/>
        </w:trPr>
        <w:tc>
          <w:tcPr>
            <w:cnfStyle w:val="001000000000" w:firstRow="0" w:lastRow="0" w:firstColumn="1" w:lastColumn="0" w:oddVBand="0" w:evenVBand="0" w:oddHBand="0" w:evenHBand="0" w:firstRowFirstColumn="0" w:firstRowLastColumn="0" w:lastRowFirstColumn="0" w:lastRowLastColumn="0"/>
            <w:tcW w:w="851" w:type="dxa"/>
          </w:tcPr>
          <w:p w14:paraId="5B39ABBF" w14:textId="77777777" w:rsidR="00C36261" w:rsidRPr="00CA2251" w:rsidRDefault="00C36261" w:rsidP="006A7377">
            <w:pPr>
              <w:widowControl w:val="0"/>
              <w:jc w:val="center"/>
              <w:rPr>
                <w:rFonts w:eastAsia="Malgun Gothic"/>
                <w:b w:val="0"/>
                <w:bCs w:val="0"/>
                <w:sz w:val="22"/>
                <w:szCs w:val="22"/>
              </w:rPr>
            </w:pPr>
            <w:r w:rsidRPr="00CA2251">
              <w:rPr>
                <w:rFonts w:eastAsia="Malgun Gothic"/>
                <w:b w:val="0"/>
                <w:bCs w:val="0"/>
                <w:sz w:val="22"/>
                <w:szCs w:val="22"/>
              </w:rPr>
              <w:t>2017</w:t>
            </w:r>
          </w:p>
        </w:tc>
        <w:tc>
          <w:tcPr>
            <w:tcW w:w="2126" w:type="dxa"/>
          </w:tcPr>
          <w:p w14:paraId="4E7EAC4E" w14:textId="77777777" w:rsidR="00C36261" w:rsidRPr="00CA2251"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14,848,420.11</w:t>
            </w:r>
          </w:p>
        </w:tc>
        <w:tc>
          <w:tcPr>
            <w:tcW w:w="2268" w:type="dxa"/>
          </w:tcPr>
          <w:p w14:paraId="6CA51815" w14:textId="77777777" w:rsidR="00C36261" w:rsidRPr="00CA2251"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Q.12,166,110.13</w:t>
            </w:r>
          </w:p>
        </w:tc>
      </w:tr>
      <w:tr w:rsidR="00C36261" w:rsidRPr="00A57ABC" w14:paraId="5D067F81" w14:textId="77777777" w:rsidTr="002D4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9457B26" w14:textId="77777777" w:rsidR="00C36261" w:rsidRPr="00CA2251" w:rsidRDefault="00C36261" w:rsidP="006A7377">
            <w:pPr>
              <w:widowControl w:val="0"/>
              <w:jc w:val="center"/>
              <w:rPr>
                <w:rFonts w:eastAsia="Malgun Gothic"/>
                <w:b w:val="0"/>
                <w:bCs w:val="0"/>
                <w:sz w:val="22"/>
                <w:szCs w:val="22"/>
              </w:rPr>
            </w:pPr>
            <w:r w:rsidRPr="00CA2251">
              <w:rPr>
                <w:rFonts w:eastAsia="Malgun Gothic"/>
                <w:b w:val="0"/>
                <w:bCs w:val="0"/>
                <w:sz w:val="22"/>
                <w:szCs w:val="22"/>
              </w:rPr>
              <w:t>2018</w:t>
            </w:r>
          </w:p>
        </w:tc>
        <w:tc>
          <w:tcPr>
            <w:tcW w:w="2126" w:type="dxa"/>
          </w:tcPr>
          <w:p w14:paraId="299242D0"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CA2251">
              <w:rPr>
                <w:rFonts w:eastAsia="Malgun Gothic"/>
                <w:sz w:val="22"/>
                <w:szCs w:val="22"/>
              </w:rPr>
              <w:t>10,204,080.93</w:t>
            </w:r>
          </w:p>
        </w:tc>
        <w:tc>
          <w:tcPr>
            <w:tcW w:w="2268" w:type="dxa"/>
          </w:tcPr>
          <w:p w14:paraId="6B19EF84"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CA2251">
              <w:rPr>
                <w:rFonts w:eastAsia="Malgun Gothic"/>
                <w:sz w:val="22"/>
                <w:szCs w:val="22"/>
              </w:rPr>
              <w:t>-</w:t>
            </w:r>
          </w:p>
        </w:tc>
      </w:tr>
      <w:tr w:rsidR="00C36261" w:rsidRPr="00A57ABC" w14:paraId="6CE84399" w14:textId="77777777" w:rsidTr="002D40BF">
        <w:trPr>
          <w:jc w:val="center"/>
        </w:trPr>
        <w:tc>
          <w:tcPr>
            <w:cnfStyle w:val="001000000000" w:firstRow="0" w:lastRow="0" w:firstColumn="1" w:lastColumn="0" w:oddVBand="0" w:evenVBand="0" w:oddHBand="0" w:evenHBand="0" w:firstRowFirstColumn="0" w:firstRowLastColumn="0" w:lastRowFirstColumn="0" w:lastRowLastColumn="0"/>
            <w:tcW w:w="851" w:type="dxa"/>
          </w:tcPr>
          <w:p w14:paraId="5D566F13" w14:textId="77777777" w:rsidR="00C36261" w:rsidRPr="00CA2251" w:rsidRDefault="00C36261" w:rsidP="006A7377">
            <w:pPr>
              <w:widowControl w:val="0"/>
              <w:jc w:val="center"/>
              <w:rPr>
                <w:rFonts w:eastAsia="Malgun Gothic"/>
                <w:b w:val="0"/>
                <w:bCs w:val="0"/>
                <w:sz w:val="22"/>
                <w:szCs w:val="22"/>
              </w:rPr>
            </w:pPr>
            <w:r w:rsidRPr="00CA2251">
              <w:rPr>
                <w:rFonts w:eastAsia="Malgun Gothic"/>
                <w:b w:val="0"/>
                <w:bCs w:val="0"/>
                <w:sz w:val="22"/>
                <w:szCs w:val="22"/>
              </w:rPr>
              <w:t>2019</w:t>
            </w:r>
          </w:p>
        </w:tc>
        <w:tc>
          <w:tcPr>
            <w:tcW w:w="2126" w:type="dxa"/>
          </w:tcPr>
          <w:p w14:paraId="57F0055E" w14:textId="77777777" w:rsidR="00C36261" w:rsidRPr="00CA2251"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 xml:space="preserve"> 3,737,229.46</w:t>
            </w:r>
          </w:p>
        </w:tc>
        <w:tc>
          <w:tcPr>
            <w:tcW w:w="2268" w:type="dxa"/>
          </w:tcPr>
          <w:p w14:paraId="2E0ABC58" w14:textId="77777777" w:rsidR="00C36261" w:rsidRPr="00CA2251"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w:t>
            </w:r>
          </w:p>
        </w:tc>
      </w:tr>
      <w:tr w:rsidR="00C36261" w:rsidRPr="00A57ABC" w14:paraId="3182A0EB" w14:textId="77777777" w:rsidTr="002D4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2576374D" w14:textId="77777777" w:rsidR="00C36261" w:rsidRPr="00CA2251" w:rsidRDefault="00C36261" w:rsidP="006A7377">
            <w:pPr>
              <w:widowControl w:val="0"/>
              <w:jc w:val="center"/>
              <w:rPr>
                <w:rFonts w:eastAsia="Malgun Gothic"/>
                <w:b w:val="0"/>
                <w:bCs w:val="0"/>
                <w:sz w:val="22"/>
                <w:szCs w:val="22"/>
              </w:rPr>
            </w:pPr>
            <w:r w:rsidRPr="00CA2251">
              <w:rPr>
                <w:rFonts w:eastAsia="Malgun Gothic"/>
                <w:b w:val="0"/>
                <w:bCs w:val="0"/>
                <w:sz w:val="22"/>
                <w:szCs w:val="22"/>
              </w:rPr>
              <w:t>2020</w:t>
            </w:r>
          </w:p>
        </w:tc>
        <w:tc>
          <w:tcPr>
            <w:tcW w:w="2126" w:type="dxa"/>
          </w:tcPr>
          <w:p w14:paraId="43343C0C"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CA2251">
              <w:rPr>
                <w:rFonts w:eastAsia="Malgun Gothic"/>
                <w:sz w:val="22"/>
                <w:szCs w:val="22"/>
              </w:rPr>
              <w:t>3,821,751.14</w:t>
            </w:r>
          </w:p>
        </w:tc>
        <w:tc>
          <w:tcPr>
            <w:tcW w:w="2268" w:type="dxa"/>
          </w:tcPr>
          <w:p w14:paraId="45F05F3E"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CA2251">
              <w:rPr>
                <w:rFonts w:eastAsia="Malgun Gothic"/>
                <w:sz w:val="22"/>
                <w:szCs w:val="22"/>
              </w:rPr>
              <w:t>-</w:t>
            </w:r>
          </w:p>
        </w:tc>
      </w:tr>
      <w:tr w:rsidR="00C36261" w:rsidRPr="00A57ABC" w14:paraId="356FE2C3" w14:textId="77777777" w:rsidTr="002D40BF">
        <w:trPr>
          <w:jc w:val="center"/>
        </w:trPr>
        <w:tc>
          <w:tcPr>
            <w:cnfStyle w:val="001000000000" w:firstRow="0" w:lastRow="0" w:firstColumn="1" w:lastColumn="0" w:oddVBand="0" w:evenVBand="0" w:oddHBand="0" w:evenHBand="0" w:firstRowFirstColumn="0" w:firstRowLastColumn="0" w:lastRowFirstColumn="0" w:lastRowLastColumn="0"/>
            <w:tcW w:w="851" w:type="dxa"/>
          </w:tcPr>
          <w:p w14:paraId="7B643793" w14:textId="77777777" w:rsidR="00C36261" w:rsidRPr="00CA2251" w:rsidRDefault="00C36261" w:rsidP="006A7377">
            <w:pPr>
              <w:widowControl w:val="0"/>
              <w:jc w:val="center"/>
              <w:rPr>
                <w:rFonts w:eastAsia="Malgun Gothic"/>
                <w:b w:val="0"/>
                <w:bCs w:val="0"/>
                <w:sz w:val="22"/>
                <w:szCs w:val="22"/>
              </w:rPr>
            </w:pPr>
            <w:r w:rsidRPr="00CA2251">
              <w:rPr>
                <w:rFonts w:eastAsia="Malgun Gothic"/>
                <w:b w:val="0"/>
                <w:bCs w:val="0"/>
                <w:sz w:val="22"/>
                <w:szCs w:val="22"/>
              </w:rPr>
              <w:t>2021</w:t>
            </w:r>
          </w:p>
        </w:tc>
        <w:tc>
          <w:tcPr>
            <w:tcW w:w="2126" w:type="dxa"/>
          </w:tcPr>
          <w:p w14:paraId="4EB50B4C" w14:textId="77777777" w:rsidR="00C36261" w:rsidRPr="00CA2251"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5,777,801.43</w:t>
            </w:r>
          </w:p>
        </w:tc>
        <w:tc>
          <w:tcPr>
            <w:tcW w:w="2268" w:type="dxa"/>
          </w:tcPr>
          <w:p w14:paraId="127F370F" w14:textId="77777777" w:rsidR="00C36261" w:rsidRPr="00CA2251"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w:t>
            </w:r>
          </w:p>
        </w:tc>
      </w:tr>
      <w:tr w:rsidR="00C36261" w:rsidRPr="00A57ABC" w14:paraId="59F28E34" w14:textId="77777777" w:rsidTr="002D4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205B220B" w14:textId="77777777" w:rsidR="00C36261" w:rsidRPr="00CA2251" w:rsidRDefault="00C36261" w:rsidP="006A7377">
            <w:pPr>
              <w:widowControl w:val="0"/>
              <w:jc w:val="center"/>
              <w:rPr>
                <w:rFonts w:eastAsia="Malgun Gothic"/>
                <w:b w:val="0"/>
                <w:bCs w:val="0"/>
                <w:sz w:val="22"/>
                <w:szCs w:val="22"/>
              </w:rPr>
            </w:pPr>
            <w:r w:rsidRPr="00CA2251">
              <w:rPr>
                <w:rFonts w:eastAsia="Malgun Gothic"/>
                <w:b w:val="0"/>
                <w:bCs w:val="0"/>
                <w:sz w:val="22"/>
                <w:szCs w:val="22"/>
              </w:rPr>
              <w:t>2022</w:t>
            </w:r>
          </w:p>
        </w:tc>
        <w:tc>
          <w:tcPr>
            <w:tcW w:w="2126" w:type="dxa"/>
          </w:tcPr>
          <w:p w14:paraId="6335B33F"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CA2251">
              <w:rPr>
                <w:rFonts w:eastAsia="Malgun Gothic"/>
                <w:sz w:val="22"/>
                <w:szCs w:val="22"/>
              </w:rPr>
              <w:t>8,912,484.19</w:t>
            </w:r>
          </w:p>
        </w:tc>
        <w:tc>
          <w:tcPr>
            <w:tcW w:w="2268" w:type="dxa"/>
          </w:tcPr>
          <w:p w14:paraId="1E2A5B05"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sz w:val="22"/>
                <w:szCs w:val="22"/>
              </w:rPr>
            </w:pPr>
            <w:r w:rsidRPr="00CA2251">
              <w:rPr>
                <w:rFonts w:eastAsia="Malgun Gothic"/>
                <w:sz w:val="22"/>
                <w:szCs w:val="22"/>
              </w:rPr>
              <w:t>-</w:t>
            </w:r>
          </w:p>
        </w:tc>
      </w:tr>
      <w:tr w:rsidR="00C36261" w:rsidRPr="00A57ABC" w14:paraId="36829E99" w14:textId="77777777" w:rsidTr="002D40BF">
        <w:trPr>
          <w:jc w:val="center"/>
        </w:trPr>
        <w:tc>
          <w:tcPr>
            <w:cnfStyle w:val="001000000000" w:firstRow="0" w:lastRow="0" w:firstColumn="1" w:lastColumn="0" w:oddVBand="0" w:evenVBand="0" w:oddHBand="0" w:evenHBand="0" w:firstRowFirstColumn="0" w:firstRowLastColumn="0" w:lastRowFirstColumn="0" w:lastRowLastColumn="0"/>
            <w:tcW w:w="851" w:type="dxa"/>
          </w:tcPr>
          <w:p w14:paraId="4946545B" w14:textId="77777777" w:rsidR="00C36261" w:rsidRPr="00CA2251" w:rsidRDefault="00C36261" w:rsidP="006A7377">
            <w:pPr>
              <w:widowControl w:val="0"/>
              <w:jc w:val="center"/>
              <w:rPr>
                <w:rFonts w:eastAsia="Malgun Gothic"/>
                <w:b w:val="0"/>
                <w:bCs w:val="0"/>
                <w:sz w:val="22"/>
                <w:szCs w:val="22"/>
              </w:rPr>
            </w:pPr>
            <w:r w:rsidRPr="00CA2251">
              <w:rPr>
                <w:rFonts w:eastAsia="Malgun Gothic"/>
                <w:b w:val="0"/>
                <w:bCs w:val="0"/>
                <w:sz w:val="22"/>
                <w:szCs w:val="22"/>
              </w:rPr>
              <w:t>2023</w:t>
            </w:r>
          </w:p>
        </w:tc>
        <w:tc>
          <w:tcPr>
            <w:tcW w:w="2126" w:type="dxa"/>
          </w:tcPr>
          <w:p w14:paraId="2A1EFD61" w14:textId="77777777" w:rsidR="00C36261" w:rsidRPr="00CA2251"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 xml:space="preserve"> 6,975,584.96</w:t>
            </w:r>
          </w:p>
        </w:tc>
        <w:tc>
          <w:tcPr>
            <w:tcW w:w="2268" w:type="dxa"/>
          </w:tcPr>
          <w:p w14:paraId="01EB2F4F" w14:textId="77777777" w:rsidR="00C36261" w:rsidRPr="00CA2251" w:rsidRDefault="00C36261" w:rsidP="006A7377">
            <w:pPr>
              <w:widowControl w:val="0"/>
              <w:jc w:val="center"/>
              <w:cnfStyle w:val="000000000000" w:firstRow="0" w:lastRow="0" w:firstColumn="0" w:lastColumn="0" w:oddVBand="0" w:evenVBand="0" w:oddHBand="0" w:evenHBand="0" w:firstRowFirstColumn="0" w:firstRowLastColumn="0" w:lastRowFirstColumn="0" w:lastRowLastColumn="0"/>
              <w:rPr>
                <w:rFonts w:eastAsia="Malgun Gothic"/>
                <w:sz w:val="22"/>
                <w:szCs w:val="22"/>
              </w:rPr>
            </w:pPr>
            <w:r w:rsidRPr="00CA2251">
              <w:rPr>
                <w:rFonts w:eastAsia="Malgun Gothic"/>
                <w:sz w:val="22"/>
                <w:szCs w:val="22"/>
              </w:rPr>
              <w:t>-</w:t>
            </w:r>
          </w:p>
        </w:tc>
      </w:tr>
      <w:tr w:rsidR="00C36261" w:rsidRPr="00A57ABC" w14:paraId="5EB4B3E1" w14:textId="77777777" w:rsidTr="002D4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C0B3690" w14:textId="77777777" w:rsidR="00C36261" w:rsidRPr="00CA2251" w:rsidRDefault="00C36261" w:rsidP="006A7377">
            <w:pPr>
              <w:widowControl w:val="0"/>
              <w:jc w:val="center"/>
              <w:rPr>
                <w:rFonts w:eastAsia="Malgun Gothic"/>
                <w:sz w:val="22"/>
                <w:szCs w:val="22"/>
              </w:rPr>
            </w:pPr>
            <w:r w:rsidRPr="00CA2251">
              <w:rPr>
                <w:rFonts w:eastAsia="Malgun Gothic"/>
                <w:sz w:val="22"/>
                <w:szCs w:val="22"/>
              </w:rPr>
              <w:t>Total</w:t>
            </w:r>
          </w:p>
        </w:tc>
        <w:tc>
          <w:tcPr>
            <w:tcW w:w="2126" w:type="dxa"/>
          </w:tcPr>
          <w:p w14:paraId="65392121"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b/>
                <w:bCs/>
                <w:sz w:val="22"/>
                <w:szCs w:val="22"/>
              </w:rPr>
            </w:pPr>
            <w:r w:rsidRPr="00CA2251">
              <w:rPr>
                <w:rFonts w:eastAsia="Malgun Gothic"/>
                <w:b/>
                <w:bCs/>
                <w:sz w:val="22"/>
                <w:szCs w:val="22"/>
              </w:rPr>
              <w:t>Q. 100,692,061.99</w:t>
            </w:r>
          </w:p>
        </w:tc>
        <w:tc>
          <w:tcPr>
            <w:tcW w:w="2268" w:type="dxa"/>
          </w:tcPr>
          <w:p w14:paraId="5BB8E1A1" w14:textId="77777777" w:rsidR="00C36261" w:rsidRPr="00CA2251" w:rsidRDefault="00C36261" w:rsidP="006A7377">
            <w:pPr>
              <w:widowControl w:val="0"/>
              <w:jc w:val="center"/>
              <w:cnfStyle w:val="000000100000" w:firstRow="0" w:lastRow="0" w:firstColumn="0" w:lastColumn="0" w:oddVBand="0" w:evenVBand="0" w:oddHBand="1" w:evenHBand="0" w:firstRowFirstColumn="0" w:firstRowLastColumn="0" w:lastRowFirstColumn="0" w:lastRowLastColumn="0"/>
              <w:rPr>
                <w:rFonts w:eastAsia="Malgun Gothic"/>
                <w:b/>
                <w:bCs/>
                <w:sz w:val="22"/>
                <w:szCs w:val="22"/>
              </w:rPr>
            </w:pPr>
            <w:r w:rsidRPr="00CA2251">
              <w:rPr>
                <w:rFonts w:eastAsia="Malgun Gothic"/>
                <w:b/>
                <w:bCs/>
                <w:sz w:val="22"/>
                <w:szCs w:val="22"/>
              </w:rPr>
              <w:t>Q. 45,558,613.60</w:t>
            </w:r>
          </w:p>
        </w:tc>
      </w:tr>
    </w:tbl>
    <w:p w14:paraId="5565A923" w14:textId="08489890" w:rsidR="00C36261" w:rsidRPr="00CA2251" w:rsidRDefault="002D40BF" w:rsidP="00C36261">
      <w:pPr>
        <w:widowControl w:val="0"/>
        <w:jc w:val="both"/>
        <w:rPr>
          <w:sz w:val="16"/>
          <w:szCs w:val="16"/>
          <w:lang w:val="es-ES" w:eastAsia="en-US"/>
        </w:rPr>
      </w:pPr>
      <w:r>
        <w:rPr>
          <w:sz w:val="16"/>
          <w:szCs w:val="16"/>
          <w:lang w:val="es-ES" w:eastAsia="en-US"/>
        </w:rPr>
        <w:t xml:space="preserve">                                             </w:t>
      </w:r>
      <w:r w:rsidR="00C36261" w:rsidRPr="00CA2251">
        <w:rPr>
          <w:sz w:val="16"/>
          <w:szCs w:val="16"/>
          <w:lang w:val="es-ES" w:eastAsia="en-US"/>
        </w:rPr>
        <w:t xml:space="preserve">Fuente: Ministerio de Energía y Minas 2023 </w:t>
      </w:r>
    </w:p>
    <w:p w14:paraId="73245ED0" w14:textId="77777777" w:rsidR="003170B7" w:rsidRDefault="003170B7" w:rsidP="00C36261">
      <w:pPr>
        <w:widowControl w:val="0"/>
        <w:jc w:val="both"/>
        <w:rPr>
          <w:lang w:val="es-ES" w:eastAsia="en-US"/>
        </w:rPr>
      </w:pPr>
    </w:p>
    <w:p w14:paraId="517406EA" w14:textId="0484BBC6" w:rsidR="00C36261" w:rsidRPr="00A57ABC" w:rsidRDefault="00C36261" w:rsidP="00C36261">
      <w:pPr>
        <w:widowControl w:val="0"/>
        <w:jc w:val="both"/>
        <w:rPr>
          <w:lang w:val="es-ES" w:eastAsia="en-US"/>
        </w:rPr>
      </w:pPr>
      <w:r w:rsidRPr="00A57ABC">
        <w:rPr>
          <w:lang w:val="es-ES" w:eastAsia="en-US"/>
        </w:rPr>
        <w:t xml:space="preserve">Es necesario destacar la importancia que los ingresos provenientes por regalías tienen sobre las finanzas municipales y la dependencia que los gobiernos locales han desarrollado en función del flujo de ingresos derivados de las actividades extractivas mineras. Se ha identificado que en la mayoría de localidades en donde se desarrollan actividades mineras por lo regular son comunidades pobres que están desprovistas de bienes públicos sobre todo infraestructura, por lo que si los ingresos extraordinarios por regalías se utilizan de forma conveniente en inversiones públicas alienadas a estrategias nacionales o planes de desarrollo municipal estas aumentaran el bienestar de las poblaciones en un mediano y largo plazo, sin embargo muchos de estos ingresos extraordinarios son utilizados para financiar gastos de funcionamiento o bien para financiar actividades que se podrían hacer con recursos ordinarios de las municipalidades por lo que el impacto de las regalías y el buen uso de las mismas por parte de las municipalidades se ve reflejado en su crecimiento económico ya sea en la diversificación o no diversificación de sus actividades productivas y en el incremento o no incremento del stock de su capital fijo.  </w:t>
      </w:r>
    </w:p>
    <w:p w14:paraId="20E638AC" w14:textId="641176B8" w:rsidR="002A00D1" w:rsidRDefault="002A00D1" w:rsidP="00C36261">
      <w:pPr>
        <w:widowControl w:val="0"/>
        <w:jc w:val="both"/>
        <w:rPr>
          <w:lang w:val="es-ES" w:eastAsia="en-US"/>
        </w:rPr>
      </w:pPr>
    </w:p>
    <w:p w14:paraId="0D0469B5" w14:textId="7D57F7B4" w:rsidR="002D40BF" w:rsidRDefault="002D40BF" w:rsidP="00C36261">
      <w:pPr>
        <w:widowControl w:val="0"/>
        <w:jc w:val="both"/>
        <w:rPr>
          <w:lang w:val="es-ES" w:eastAsia="en-US"/>
        </w:rPr>
      </w:pPr>
    </w:p>
    <w:p w14:paraId="32C6A203" w14:textId="77777777" w:rsidR="002D40BF" w:rsidRDefault="002D40BF" w:rsidP="00C36261">
      <w:pPr>
        <w:widowControl w:val="0"/>
        <w:jc w:val="both"/>
        <w:rPr>
          <w:lang w:val="es-ES" w:eastAsia="en-US"/>
        </w:rPr>
      </w:pPr>
    </w:p>
    <w:p w14:paraId="32DEF706" w14:textId="605E444F" w:rsidR="00CA2251" w:rsidRPr="00CA2251" w:rsidRDefault="00CA2251" w:rsidP="00CA2251">
      <w:pPr>
        <w:pStyle w:val="Descripcin"/>
        <w:rPr>
          <w:color w:val="auto"/>
        </w:rPr>
      </w:pPr>
      <w:bookmarkStart w:id="805" w:name="_Toc143593654"/>
      <w:r w:rsidRPr="00CA2251">
        <w:rPr>
          <w:color w:val="auto"/>
        </w:rPr>
        <w:lastRenderedPageBreak/>
        <w:t xml:space="preserve">Gráfico </w:t>
      </w:r>
      <w:r w:rsidRPr="00CA2251">
        <w:rPr>
          <w:color w:val="auto"/>
        </w:rPr>
        <w:fldChar w:fldCharType="begin"/>
      </w:r>
      <w:r w:rsidRPr="00CA2251">
        <w:rPr>
          <w:color w:val="auto"/>
        </w:rPr>
        <w:instrText xml:space="preserve"> SEQ Gráfico \* ARABIC </w:instrText>
      </w:r>
      <w:r w:rsidRPr="00CA2251">
        <w:rPr>
          <w:color w:val="auto"/>
        </w:rPr>
        <w:fldChar w:fldCharType="separate"/>
      </w:r>
      <w:r w:rsidR="00A62AFA">
        <w:rPr>
          <w:noProof/>
          <w:color w:val="auto"/>
        </w:rPr>
        <w:t>96</w:t>
      </w:r>
      <w:r w:rsidRPr="00CA2251">
        <w:rPr>
          <w:color w:val="auto"/>
        </w:rPr>
        <w:fldChar w:fldCharType="end"/>
      </w:r>
      <w:r w:rsidRPr="00CA2251">
        <w:rPr>
          <w:color w:val="auto"/>
        </w:rPr>
        <w:t>.  Regalías Municipales a nivel Nacional 2016-2023</w:t>
      </w:r>
      <w:bookmarkEnd w:id="805"/>
    </w:p>
    <w:p w14:paraId="5156A858" w14:textId="2155B1CF" w:rsidR="00C36261" w:rsidRPr="00CA2251" w:rsidRDefault="00C36261" w:rsidP="00CA2251">
      <w:pPr>
        <w:widowControl w:val="0"/>
        <w:jc w:val="center"/>
        <w:rPr>
          <w:rFonts w:eastAsiaTheme="minorHAnsi"/>
          <w:lang w:eastAsia="en-US"/>
        </w:rPr>
      </w:pPr>
      <w:r w:rsidRPr="00CA2251">
        <w:rPr>
          <w:rFonts w:eastAsiaTheme="minorHAnsi"/>
          <w:lang w:eastAsia="en-US"/>
        </w:rPr>
        <w:t>Cifras en quetzales</w:t>
      </w:r>
    </w:p>
    <w:p w14:paraId="048510D6" w14:textId="77777777" w:rsidR="00C36261" w:rsidRPr="00A57ABC" w:rsidRDefault="00C36261" w:rsidP="00C36261">
      <w:pPr>
        <w:widowControl w:val="0"/>
        <w:jc w:val="both"/>
        <w:rPr>
          <w:rFonts w:eastAsiaTheme="minorHAnsi"/>
          <w:u w:val="single"/>
          <w:lang w:eastAsia="en-US"/>
        </w:rPr>
      </w:pPr>
      <w:r w:rsidRPr="00A57ABC">
        <w:rPr>
          <w:rFonts w:eastAsiaTheme="minorHAnsi"/>
          <w:noProof/>
          <w:lang w:eastAsia="en-US"/>
        </w:rPr>
        <w:drawing>
          <wp:inline distT="0" distB="0" distL="0" distR="0" wp14:anchorId="58771AEF" wp14:editId="4295B379">
            <wp:extent cx="5612130" cy="1995778"/>
            <wp:effectExtent l="0" t="0" r="7620" b="5080"/>
            <wp:docPr id="116" name="Gráfico 116">
              <a:extLst xmlns:a="http://schemas.openxmlformats.org/drawingml/2006/main">
                <a:ext uri="{FF2B5EF4-FFF2-40B4-BE49-F238E27FC236}">
                  <a16:creationId xmlns:a16="http://schemas.microsoft.com/office/drawing/2014/main" id="{8CE05010-56CA-4E43-86C7-9867478B6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7FE3A58C" w14:textId="77777777" w:rsidR="00C36261" w:rsidRPr="00CA2251" w:rsidRDefault="00C36261" w:rsidP="00C36261">
      <w:pPr>
        <w:widowControl w:val="0"/>
        <w:jc w:val="both"/>
        <w:rPr>
          <w:sz w:val="16"/>
          <w:szCs w:val="16"/>
          <w:lang w:val="es-ES" w:eastAsia="en-US"/>
        </w:rPr>
      </w:pPr>
      <w:r w:rsidRPr="00CA2251">
        <w:rPr>
          <w:sz w:val="16"/>
          <w:szCs w:val="16"/>
          <w:lang w:val="es-ES" w:eastAsia="en-US"/>
        </w:rPr>
        <w:t xml:space="preserve">Fuente: Dirección de Análisis y Política Fiscal </w:t>
      </w:r>
    </w:p>
    <w:p w14:paraId="5B52FAD2" w14:textId="77777777" w:rsidR="00C36261" w:rsidRPr="00A57ABC" w:rsidRDefault="00C36261" w:rsidP="00C36261">
      <w:pPr>
        <w:widowControl w:val="0"/>
        <w:jc w:val="both"/>
        <w:rPr>
          <w:lang w:val="es-ES" w:eastAsia="en-US"/>
        </w:rPr>
      </w:pPr>
    </w:p>
    <w:p w14:paraId="196D3A03" w14:textId="77777777" w:rsidR="00C36261" w:rsidRPr="00A57ABC" w:rsidRDefault="00C36261" w:rsidP="00C36261">
      <w:pPr>
        <w:widowControl w:val="0"/>
        <w:jc w:val="both"/>
        <w:rPr>
          <w:sz w:val="22"/>
          <w:szCs w:val="22"/>
          <w:lang w:val="es-ES" w:eastAsia="en-US"/>
        </w:rPr>
      </w:pPr>
      <w:r w:rsidRPr="00A57ABC">
        <w:rPr>
          <w:lang w:val="es-ES" w:eastAsia="en-US"/>
        </w:rPr>
        <w:t xml:space="preserve">La importancia fiscal del sector minero y de hidrocarburos está relacionada con los ingresos provenientes del pago de regalías, la participación del Estado en la producción petrolera y los demás ingresos que provienen de contratos de operaciones petroleras y mineras que se ven reflejados en la Ley de Hidrocarburos y su reglamento y la Ley del Fondo para el Desarrollo Económico de la Nación (FONPETROL) y su reglamento. Tanto la actividad petrolera como minera en el país, impacta de forma directa a la economía nacional, por un lado, a la inversión que contribuye al dinamismo del crecimiento económico y favorece al desarrollo de las diferentes regiones del interior del país. Por otro lado, el uso de recursos naturales no renovables sufre de agotamiento, tomando en cuenta que los recursos no renovables son escasos, si no se tienen planes y estrategias sostenibles causará un incremento en la presión sobre dichos recursos impactando en los sectores que se benefician de ellos. </w:t>
      </w:r>
      <w:r w:rsidRPr="00A57ABC">
        <w:rPr>
          <w:sz w:val="22"/>
          <w:szCs w:val="22"/>
          <w:lang w:val="es-ES" w:eastAsia="en-US"/>
        </w:rPr>
        <w:t xml:space="preserve"> </w:t>
      </w:r>
    </w:p>
    <w:p w14:paraId="0E5731E6" w14:textId="77777777" w:rsidR="00C36261" w:rsidRPr="00A57ABC" w:rsidRDefault="00C36261" w:rsidP="00C36261">
      <w:pPr>
        <w:widowControl w:val="0"/>
        <w:jc w:val="both"/>
        <w:rPr>
          <w:sz w:val="22"/>
          <w:szCs w:val="22"/>
          <w:lang w:val="es-ES" w:eastAsia="en-US"/>
        </w:rPr>
      </w:pPr>
    </w:p>
    <w:p w14:paraId="42220FDC" w14:textId="77777777" w:rsidR="00C36261" w:rsidRPr="00A57ABC" w:rsidRDefault="00C36261" w:rsidP="00C36261">
      <w:pPr>
        <w:widowControl w:val="0"/>
        <w:jc w:val="both"/>
        <w:rPr>
          <w:rFonts w:eastAsiaTheme="minorHAnsi"/>
          <w:lang w:val="es-ES" w:eastAsia="en-US"/>
        </w:rPr>
      </w:pPr>
      <w:r w:rsidRPr="00A57ABC">
        <w:rPr>
          <w:rFonts w:eastAsiaTheme="minorHAnsi"/>
          <w:lang w:val="es-ES" w:eastAsia="en-US"/>
        </w:rPr>
        <w:t xml:space="preserve">Además, la degradación medioambiental, está intensificando la competencia por utilizar recursos cada vez más escasos. Ya sea por separado o en conjunto, con los factores políticos, económicos y sociales, el agotamiento de los recursos renovables puede desequilibrar los medios de subsistencia de la población y afectar de manera negativa a los ecosistemas. </w:t>
      </w:r>
    </w:p>
    <w:p w14:paraId="2FC73374" w14:textId="77777777" w:rsidR="00C36261" w:rsidRPr="00A57ABC" w:rsidRDefault="00C36261" w:rsidP="00C36261">
      <w:pPr>
        <w:widowControl w:val="0"/>
        <w:jc w:val="both"/>
        <w:rPr>
          <w:rFonts w:eastAsiaTheme="minorHAnsi"/>
          <w:lang w:val="es-ES" w:eastAsia="en-US"/>
        </w:rPr>
      </w:pPr>
    </w:p>
    <w:p w14:paraId="3450D315" w14:textId="77777777" w:rsidR="00C36261" w:rsidRPr="00447AA7" w:rsidRDefault="00C36261" w:rsidP="000E01EC">
      <w:pPr>
        <w:pStyle w:val="Prrafodelista"/>
        <w:numPr>
          <w:ilvl w:val="0"/>
          <w:numId w:val="44"/>
        </w:numPr>
        <w:tabs>
          <w:tab w:val="left" w:pos="426"/>
        </w:tabs>
        <w:spacing w:line="259" w:lineRule="auto"/>
        <w:ind w:left="284" w:hanging="284"/>
        <w:jc w:val="both"/>
        <w:outlineLvl w:val="0"/>
        <w:rPr>
          <w:b/>
          <w:bCs/>
        </w:rPr>
      </w:pPr>
      <w:bookmarkStart w:id="806" w:name="_Toc110522971"/>
      <w:bookmarkStart w:id="807" w:name="_Toc144114463"/>
      <w:r w:rsidRPr="000E12CF">
        <w:rPr>
          <w:b/>
          <w:bCs/>
        </w:rPr>
        <w:t>Riesgos de desastres provocados por fenómenos naturales</w:t>
      </w:r>
      <w:bookmarkEnd w:id="806"/>
      <w:bookmarkEnd w:id="807"/>
    </w:p>
    <w:p w14:paraId="1BBEA6C5" w14:textId="77777777" w:rsidR="00C36261" w:rsidRPr="00C60EC6" w:rsidRDefault="00C36261" w:rsidP="00C36261">
      <w:pPr>
        <w:rPr>
          <w:sz w:val="18"/>
          <w:szCs w:val="22"/>
        </w:rPr>
      </w:pPr>
    </w:p>
    <w:p w14:paraId="7C109ABF" w14:textId="77777777" w:rsidR="00C36261" w:rsidRPr="00C60EC6" w:rsidRDefault="00C36261" w:rsidP="00C36261">
      <w:pPr>
        <w:jc w:val="both"/>
      </w:pPr>
      <w:r w:rsidRPr="00C60EC6">
        <w:t xml:space="preserve">El riesgo a desastres según la Coordinadora Nacional para la Reducción de Desastres                   -CONRED-, es la relación entre las amenazas, vulnerabilidades y capacidades que se extienden sobre un determinado territorio y, por ende, sobre la sociedad o población. El riesgo a desastres deriva de la relación entre sociedad y territorio, en la cual se generan condiciones de vulnerabilidad frente a los fenómenos naturales. Los factores que componen el riesgo a desastres son: </w:t>
      </w:r>
    </w:p>
    <w:p w14:paraId="240D80A8" w14:textId="77777777" w:rsidR="00C36261" w:rsidRPr="00C60EC6" w:rsidRDefault="00C36261" w:rsidP="00C36261">
      <w:pPr>
        <w:jc w:val="both"/>
      </w:pPr>
    </w:p>
    <w:p w14:paraId="350D7CD5" w14:textId="77777777" w:rsidR="00C36261" w:rsidRPr="00C60EC6" w:rsidRDefault="00C36261" w:rsidP="000E12CF">
      <w:pPr>
        <w:pStyle w:val="Prrafodelista"/>
        <w:widowControl w:val="0"/>
        <w:numPr>
          <w:ilvl w:val="0"/>
          <w:numId w:val="33"/>
        </w:numPr>
        <w:jc w:val="both"/>
      </w:pPr>
      <w:r w:rsidRPr="00C60EC6">
        <w:rPr>
          <w:i/>
          <w:iCs/>
        </w:rPr>
        <w:t>La amenaza</w:t>
      </w:r>
      <w:r w:rsidRPr="00C60EC6">
        <w:t>, que se refiere a la probabilidad de ocurrencia de un evento físico, fenómeno natural, socio natural o humano y que puede ocasionar daños y pérdidas en un territorio.</w:t>
      </w:r>
    </w:p>
    <w:p w14:paraId="617ABC03" w14:textId="77777777" w:rsidR="00C36261" w:rsidRPr="00C60EC6" w:rsidRDefault="00C36261" w:rsidP="000E12CF">
      <w:pPr>
        <w:pStyle w:val="Prrafodelista"/>
        <w:widowControl w:val="0"/>
        <w:numPr>
          <w:ilvl w:val="0"/>
          <w:numId w:val="33"/>
        </w:numPr>
        <w:jc w:val="both"/>
      </w:pPr>
      <w:r w:rsidRPr="00C60EC6">
        <w:rPr>
          <w:i/>
          <w:iCs/>
        </w:rPr>
        <w:t>La vulnerabilidad</w:t>
      </w:r>
      <w:r w:rsidRPr="00C60EC6">
        <w:t xml:space="preserve">, que se refiere a las condiciones económicas, sociales, políticas, culturales, ambientales e infraestructurales en el territorio que favorecen o propician que las personas, la infraestructura, los bienes, medios de vida y producción estén </w:t>
      </w:r>
      <w:r w:rsidRPr="00C60EC6">
        <w:lastRenderedPageBreak/>
        <w:t xml:space="preserve">expuestos al impacto a futuro de ciertas amenazas y que por ende significarían daños y pérdidas en el territorio. </w:t>
      </w:r>
    </w:p>
    <w:p w14:paraId="3C8BA79E" w14:textId="77777777" w:rsidR="00C36261" w:rsidRPr="00C60EC6" w:rsidRDefault="00C36261" w:rsidP="00C36261">
      <w:pPr>
        <w:jc w:val="both"/>
      </w:pPr>
    </w:p>
    <w:p w14:paraId="54AA1AC9" w14:textId="77777777" w:rsidR="00C36261" w:rsidRDefault="00C36261" w:rsidP="00C36261">
      <w:pPr>
        <w:jc w:val="both"/>
      </w:pPr>
      <w:r w:rsidRPr="00C60EC6">
        <w:t xml:space="preserve">Dentro del Atlas de Vulnerabilidad al Cambio Climático de Guatemala 2022 del Ministerio de Ambiente y Recursos Naturales (MARN), define la vulnerabilidad al cambio climático como la medida en que un sistema es capaz o incapaz de afrontar los efectos negativos del cambio climático, incluso la variabilidad climática y los episodios extremos. La vulnerabilidad está en función del carácter, la magnitud y el índice de variación climática a </w:t>
      </w:r>
      <w:r>
        <w:t>q</w:t>
      </w:r>
      <w:r w:rsidRPr="00C60EC6">
        <w:t xml:space="preserve">ue está expuesto un sistema, su sensibilidad y su capacidad de adaptación. </w:t>
      </w:r>
      <w:r>
        <w:t xml:space="preserve">                                                                                                                                                      </w:t>
      </w:r>
    </w:p>
    <w:p w14:paraId="1CD26850" w14:textId="77777777" w:rsidR="00C36261" w:rsidRDefault="00C36261" w:rsidP="00C36261">
      <w:pPr>
        <w:jc w:val="both"/>
        <w:rPr>
          <w:noProof/>
        </w:rPr>
      </w:pPr>
    </w:p>
    <w:p w14:paraId="4EF88FFD" w14:textId="77777777" w:rsidR="00C36261" w:rsidRDefault="00C36261" w:rsidP="00C36261">
      <w:pPr>
        <w:jc w:val="both"/>
      </w:pPr>
      <w:r w:rsidRPr="00C60EC6">
        <w:t xml:space="preserve">El índice de exposición climática nacional toma en cuenta la exposición, magnitud y velocidad de cambio y variación del clima que afecta al país, así mismo se toma en cuenta la sensibilidad que se refiere al grado en que un sistema es afectado por el cambio climático debido a sus características y la capacidad adaptativa que son las capacidades institucionales con las que se cuentan para reducir los potenciales impactos de las amenazas relacionadas al clima. </w:t>
      </w:r>
    </w:p>
    <w:p w14:paraId="30B8CF54" w14:textId="77777777" w:rsidR="00C36261" w:rsidRDefault="00C36261" w:rsidP="00C36261">
      <w:pPr>
        <w:jc w:val="both"/>
      </w:pPr>
    </w:p>
    <w:p w14:paraId="3CF68B01" w14:textId="6A8C66D8" w:rsidR="00C36261" w:rsidRPr="00C60EC6" w:rsidRDefault="00C36261" w:rsidP="00C36261">
      <w:pPr>
        <w:jc w:val="both"/>
      </w:pPr>
      <w:r w:rsidRPr="00C60EC6">
        <w:t>En el mapa de índice de exposición climática nacional son cuatro departamentos (Alta Verapaz, Quetzaltenango, Guatemala y Escuintla) los que tienen un índice de exposición muy alto</w:t>
      </w:r>
      <w:r>
        <w:t>,</w:t>
      </w:r>
      <w:r w:rsidRPr="00C60EC6">
        <w:t xml:space="preserve"> lo que representa </w:t>
      </w:r>
      <w:r>
        <w:t xml:space="preserve">el </w:t>
      </w:r>
      <w:r w:rsidRPr="00C60EC6">
        <w:t>18.18% del territorio nacional y un 36.36% del territorio con índice de exposición climática alto, representado por ocho departamentos (Quiche, San Marcos, Sololá, Sacate</w:t>
      </w:r>
      <w:r w:rsidR="003170B7">
        <w:t>pé</w:t>
      </w:r>
      <w:r w:rsidRPr="00C60EC6">
        <w:t xml:space="preserve">quez, Suchitepéquez, El Progreso, Santa Rosa e Izabal). </w:t>
      </w:r>
    </w:p>
    <w:p w14:paraId="2FB97E04" w14:textId="77777777" w:rsidR="00CA2251" w:rsidRDefault="00CA2251" w:rsidP="00C36261">
      <w:pPr>
        <w:jc w:val="center"/>
        <w:rPr>
          <w:b/>
          <w:bCs/>
          <w:sz w:val="22"/>
          <w:szCs w:val="22"/>
        </w:rPr>
      </w:pPr>
    </w:p>
    <w:p w14:paraId="28BF90F8" w14:textId="4B238A0F" w:rsidR="00CA2251" w:rsidRPr="00CA2251" w:rsidRDefault="00CA2251" w:rsidP="00CA2251">
      <w:pPr>
        <w:pStyle w:val="Descripcin"/>
        <w:rPr>
          <w:color w:val="auto"/>
        </w:rPr>
      </w:pPr>
      <w:bookmarkStart w:id="808" w:name="_Toc143593655"/>
      <w:r w:rsidRPr="00CA2251">
        <w:rPr>
          <w:color w:val="auto"/>
        </w:rPr>
        <w:t xml:space="preserve">Gráfico </w:t>
      </w:r>
      <w:r w:rsidRPr="00CA2251">
        <w:rPr>
          <w:color w:val="auto"/>
        </w:rPr>
        <w:fldChar w:fldCharType="begin"/>
      </w:r>
      <w:r w:rsidRPr="00CA2251">
        <w:rPr>
          <w:color w:val="auto"/>
        </w:rPr>
        <w:instrText xml:space="preserve"> SEQ Gráfico \* ARABIC </w:instrText>
      </w:r>
      <w:r w:rsidRPr="00CA2251">
        <w:rPr>
          <w:color w:val="auto"/>
        </w:rPr>
        <w:fldChar w:fldCharType="separate"/>
      </w:r>
      <w:r w:rsidR="00A62AFA">
        <w:rPr>
          <w:noProof/>
          <w:color w:val="auto"/>
        </w:rPr>
        <w:t>97</w:t>
      </w:r>
      <w:r w:rsidRPr="00CA2251">
        <w:rPr>
          <w:color w:val="auto"/>
        </w:rPr>
        <w:fldChar w:fldCharType="end"/>
      </w:r>
      <w:r w:rsidRPr="00CA2251">
        <w:rPr>
          <w:color w:val="auto"/>
        </w:rPr>
        <w:t>.  Índice de Exposición Climática a Nivel Nacional</w:t>
      </w:r>
      <w:bookmarkEnd w:id="808"/>
    </w:p>
    <w:p w14:paraId="6B71C885" w14:textId="376354E7" w:rsidR="00C36261" w:rsidRPr="00E51CBF" w:rsidRDefault="00C36261" w:rsidP="00CA2251">
      <w:pPr>
        <w:jc w:val="center"/>
      </w:pPr>
      <w:r>
        <w:rPr>
          <w:b/>
          <w:bCs/>
          <w:sz w:val="22"/>
          <w:szCs w:val="22"/>
        </w:rPr>
        <w:t xml:space="preserve"> </w:t>
      </w:r>
      <w:r w:rsidRPr="00E51CBF">
        <w:rPr>
          <w:noProof/>
        </w:rPr>
        <w:drawing>
          <wp:inline distT="0" distB="0" distL="0" distR="0" wp14:anchorId="3D207378" wp14:editId="3D10A715">
            <wp:extent cx="3705308" cy="3903634"/>
            <wp:effectExtent l="0" t="0" r="0" b="190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0">
                      <a:extLst>
                        <a:ext uri="{28A0092B-C50C-407E-A947-70E740481C1C}">
                          <a14:useLocalDpi xmlns:a14="http://schemas.microsoft.com/office/drawing/2010/main" val="0"/>
                        </a:ext>
                      </a:extLst>
                    </a:blip>
                    <a:srcRect l="1984" t="2060" r="1086" b="6744"/>
                    <a:stretch/>
                  </pic:blipFill>
                  <pic:spPr bwMode="auto">
                    <a:xfrm>
                      <a:off x="0" y="0"/>
                      <a:ext cx="3737175" cy="3937206"/>
                    </a:xfrm>
                    <a:prstGeom prst="rect">
                      <a:avLst/>
                    </a:prstGeom>
                    <a:noFill/>
                    <a:ln>
                      <a:noFill/>
                    </a:ln>
                    <a:extLst>
                      <a:ext uri="{53640926-AAD7-44D8-BBD7-CCE9431645EC}">
                        <a14:shadowObscured xmlns:a14="http://schemas.microsoft.com/office/drawing/2010/main"/>
                      </a:ext>
                    </a:extLst>
                  </pic:spPr>
                </pic:pic>
              </a:graphicData>
            </a:graphic>
          </wp:inline>
        </w:drawing>
      </w:r>
    </w:p>
    <w:p w14:paraId="072690D4" w14:textId="3A265F08" w:rsidR="00C36261" w:rsidRPr="00A03359" w:rsidRDefault="002D40BF" w:rsidP="00C36261">
      <w:pPr>
        <w:jc w:val="both"/>
        <w:rPr>
          <w:sz w:val="16"/>
          <w:szCs w:val="16"/>
        </w:rPr>
      </w:pPr>
      <w:r>
        <w:rPr>
          <w:sz w:val="16"/>
          <w:szCs w:val="16"/>
        </w:rPr>
        <w:t xml:space="preserve">                </w:t>
      </w:r>
      <w:r w:rsidR="00C36261" w:rsidRPr="00E51CBF">
        <w:rPr>
          <w:sz w:val="16"/>
          <w:szCs w:val="16"/>
        </w:rPr>
        <w:t>Fuente: Atlas de Vulnerabilidad al Cambio Climático de Guatemala, Ministerio de Ambiente y Recursos Naturales, 2022</w:t>
      </w:r>
    </w:p>
    <w:p w14:paraId="19975C7C" w14:textId="77777777" w:rsidR="00C36261" w:rsidRPr="00E814FE" w:rsidRDefault="00C36261" w:rsidP="00C36261">
      <w:pPr>
        <w:jc w:val="both"/>
      </w:pPr>
      <w:r w:rsidRPr="00E814FE">
        <w:lastRenderedPageBreak/>
        <w:t xml:space="preserve">Según el escenario climático 2040-2069 de índice de exposición climática nacional, los departamentos con índice muy alto estarán representado el 13.63% del territorio y los departamentos con índice alto representarán un 22.72% del territorio. Dicho índice proyectado evalúa el riesgo de recibir impactos de fenómenos extremos relacionados con el clima, así como riesgos que plantean lo cambios en los parámetros climáticos como lo son la temperatura, precipitación atmosférica y humedad especifica. </w:t>
      </w:r>
    </w:p>
    <w:p w14:paraId="5EC3AED4" w14:textId="77777777" w:rsidR="00C36261" w:rsidRPr="00E40BC4" w:rsidRDefault="00C36261" w:rsidP="00C36261">
      <w:pPr>
        <w:jc w:val="both"/>
        <w:rPr>
          <w:highlight w:val="yellow"/>
        </w:rPr>
      </w:pPr>
    </w:p>
    <w:p w14:paraId="1416D42F" w14:textId="77777777" w:rsidR="00C36261" w:rsidRDefault="00C36261" w:rsidP="00C36261">
      <w:pPr>
        <w:jc w:val="both"/>
      </w:pPr>
      <w:r w:rsidRPr="00E814FE">
        <w:t xml:space="preserve">En cuanto a la exposición a amenazas climáticas en el país, el Ministerio de Ambiente y Recursos Naturales en el Atlas de Vulnerabilidad 2022, menciona que, Guatemala está expuesto a las siguientes amenazas: </w:t>
      </w:r>
    </w:p>
    <w:p w14:paraId="27BCAA0E" w14:textId="77777777" w:rsidR="00C36261" w:rsidRDefault="00C36261" w:rsidP="00C36261">
      <w:pPr>
        <w:jc w:val="both"/>
      </w:pPr>
    </w:p>
    <w:p w14:paraId="0BD4A02C" w14:textId="6158E081" w:rsidR="00C36261" w:rsidRPr="00CA2251" w:rsidRDefault="00CA2251" w:rsidP="00CA2251">
      <w:pPr>
        <w:pStyle w:val="Descripcin"/>
        <w:rPr>
          <w:b w:val="0"/>
          <w:bCs/>
          <w:color w:val="auto"/>
          <w:sz w:val="22"/>
          <w:szCs w:val="22"/>
        </w:rPr>
      </w:pPr>
      <w:bookmarkStart w:id="809" w:name="_Toc143593656"/>
      <w:r w:rsidRPr="00CA2251">
        <w:rPr>
          <w:color w:val="auto"/>
        </w:rPr>
        <w:t xml:space="preserve">Gráfico </w:t>
      </w:r>
      <w:r w:rsidRPr="00CA2251">
        <w:rPr>
          <w:color w:val="auto"/>
        </w:rPr>
        <w:fldChar w:fldCharType="begin"/>
      </w:r>
      <w:r w:rsidRPr="00CA2251">
        <w:rPr>
          <w:color w:val="auto"/>
        </w:rPr>
        <w:instrText xml:space="preserve"> SEQ Gráfico \* ARABIC </w:instrText>
      </w:r>
      <w:r w:rsidRPr="00CA2251">
        <w:rPr>
          <w:color w:val="auto"/>
        </w:rPr>
        <w:fldChar w:fldCharType="separate"/>
      </w:r>
      <w:r w:rsidR="00A62AFA">
        <w:rPr>
          <w:noProof/>
          <w:color w:val="auto"/>
        </w:rPr>
        <w:t>98</w:t>
      </w:r>
      <w:r w:rsidRPr="00CA2251">
        <w:rPr>
          <w:color w:val="auto"/>
        </w:rPr>
        <w:fldChar w:fldCharType="end"/>
      </w:r>
      <w:r w:rsidRPr="00CA2251">
        <w:rPr>
          <w:color w:val="auto"/>
        </w:rPr>
        <w:t>.  Amenazas a las que se expone Guatemala</w:t>
      </w:r>
      <w:bookmarkEnd w:id="809"/>
    </w:p>
    <w:p w14:paraId="2D34E506" w14:textId="1CCC7767" w:rsidR="00C44997" w:rsidRPr="002D40BF" w:rsidRDefault="00C36261" w:rsidP="00C36261">
      <w:pPr>
        <w:jc w:val="both"/>
        <w:rPr>
          <w:sz w:val="16"/>
          <w:szCs w:val="16"/>
        </w:rPr>
      </w:pPr>
      <w:r>
        <w:rPr>
          <w:noProof/>
        </w:rPr>
        <w:drawing>
          <wp:inline distT="0" distB="0" distL="0" distR="0" wp14:anchorId="4B192B6F" wp14:editId="30AB2F44">
            <wp:extent cx="5476958" cy="5922231"/>
            <wp:effectExtent l="57150" t="57150" r="47625" b="40640"/>
            <wp:docPr id="123" name="Diagrama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r w:rsidRPr="008D1794">
        <w:rPr>
          <w:sz w:val="16"/>
          <w:szCs w:val="16"/>
        </w:rPr>
        <w:t>Fuente: Atlas de Vulnerabilidad al Cambio Climático de Guatemala, Ministerio de Ambiente y Recursos Naturales, 2022</w:t>
      </w:r>
    </w:p>
    <w:p w14:paraId="7DDE560C" w14:textId="1F6628B8" w:rsidR="00C36261" w:rsidRPr="00E51CBF" w:rsidRDefault="00C36261" w:rsidP="00C36261">
      <w:pPr>
        <w:jc w:val="both"/>
      </w:pPr>
      <w:r w:rsidRPr="00E51CBF">
        <w:lastRenderedPageBreak/>
        <w:t xml:space="preserve">A nivel departamental y municipal, existe el Índice para la Gestión del Riesgo </w:t>
      </w:r>
      <w:r>
        <w:t>(</w:t>
      </w:r>
      <w:r w:rsidRPr="00E51CBF">
        <w:t>INFORM</w:t>
      </w:r>
      <w:r>
        <w:t>)</w:t>
      </w:r>
      <w:r w:rsidRPr="00E51CBF">
        <w:t xml:space="preserve"> </w:t>
      </w:r>
      <w:r>
        <w:t>siendo</w:t>
      </w:r>
      <w:r w:rsidRPr="00E51CBF">
        <w:t xml:space="preserve"> una herramienta nacional para comprender el nivel de riesgo de desastres en los 340 municipios del país. El INFORM toma en cuenta tres dimensiones (peligro y exposición, vulnerabilidad y falta de capacidad de respuesta), seis categorías (natural, humano, socio económica, grupos vulnerables, institucionalidad</w:t>
      </w:r>
      <w:r>
        <w:t xml:space="preserve"> e infraestructura</w:t>
      </w:r>
      <w:r w:rsidRPr="00E51CBF">
        <w:t xml:space="preserve">) y además está estructurada </w:t>
      </w:r>
      <w:r>
        <w:t>en</w:t>
      </w:r>
      <w:r w:rsidRPr="00E51CBF">
        <w:t xml:space="preserve"> 14 componentes como se describe en la imagen siguiente:</w:t>
      </w:r>
    </w:p>
    <w:p w14:paraId="5597FB33" w14:textId="77777777" w:rsidR="00C36261" w:rsidRPr="00E51CBF" w:rsidRDefault="00C36261" w:rsidP="00C36261">
      <w:pPr>
        <w:jc w:val="both"/>
      </w:pPr>
    </w:p>
    <w:p w14:paraId="428CC2A5" w14:textId="00770769" w:rsidR="00C36261" w:rsidRPr="00CA2251" w:rsidRDefault="00CA2251" w:rsidP="00CA2251">
      <w:pPr>
        <w:pStyle w:val="Descripcin"/>
        <w:keepNext/>
        <w:rPr>
          <w:color w:val="auto"/>
        </w:rPr>
      </w:pPr>
      <w:bookmarkStart w:id="810" w:name="_Toc143593553"/>
      <w:r w:rsidRPr="00CA2251">
        <w:rPr>
          <w:color w:val="auto"/>
        </w:rPr>
        <w:t xml:space="preserve">Tabla </w:t>
      </w:r>
      <w:r w:rsidRPr="00CA2251">
        <w:rPr>
          <w:color w:val="auto"/>
        </w:rPr>
        <w:fldChar w:fldCharType="begin"/>
      </w:r>
      <w:r w:rsidRPr="00CA2251">
        <w:rPr>
          <w:color w:val="auto"/>
        </w:rPr>
        <w:instrText xml:space="preserve"> SEQ Tabla \* ARABIC </w:instrText>
      </w:r>
      <w:r w:rsidRPr="00CA2251">
        <w:rPr>
          <w:color w:val="auto"/>
        </w:rPr>
        <w:fldChar w:fldCharType="separate"/>
      </w:r>
      <w:r w:rsidR="00A62AFA">
        <w:rPr>
          <w:noProof/>
          <w:color w:val="auto"/>
        </w:rPr>
        <w:t>51</w:t>
      </w:r>
      <w:r w:rsidRPr="00CA2251">
        <w:rPr>
          <w:color w:val="auto"/>
        </w:rPr>
        <w:fldChar w:fldCharType="end"/>
      </w:r>
      <w:r w:rsidRPr="00CA2251">
        <w:rPr>
          <w:color w:val="auto"/>
        </w:rPr>
        <w:t xml:space="preserve">.  </w:t>
      </w:r>
      <w:r w:rsidR="00C36261" w:rsidRPr="00CA2251">
        <w:rPr>
          <w:bCs/>
          <w:color w:val="auto"/>
          <w:sz w:val="22"/>
          <w:szCs w:val="22"/>
          <w:lang w:val="es-ES"/>
        </w:rPr>
        <w:t>Estructura INFORM Guatemala</w:t>
      </w:r>
      <w:bookmarkEnd w:id="810"/>
    </w:p>
    <w:tbl>
      <w:tblPr>
        <w:tblW w:w="9571" w:type="dxa"/>
        <w:jc w:val="center"/>
        <w:tblCellMar>
          <w:left w:w="70" w:type="dxa"/>
          <w:right w:w="70" w:type="dxa"/>
        </w:tblCellMar>
        <w:tblLook w:val="04A0" w:firstRow="1" w:lastRow="0" w:firstColumn="1" w:lastColumn="0" w:noHBand="0" w:noVBand="1"/>
      </w:tblPr>
      <w:tblGrid>
        <w:gridCol w:w="1708"/>
        <w:gridCol w:w="406"/>
        <w:gridCol w:w="563"/>
        <w:gridCol w:w="960"/>
        <w:gridCol w:w="453"/>
        <w:gridCol w:w="422"/>
        <w:gridCol w:w="423"/>
        <w:gridCol w:w="423"/>
        <w:gridCol w:w="547"/>
        <w:gridCol w:w="730"/>
        <w:gridCol w:w="543"/>
        <w:gridCol w:w="783"/>
        <w:gridCol w:w="511"/>
        <w:gridCol w:w="563"/>
        <w:gridCol w:w="563"/>
      </w:tblGrid>
      <w:tr w:rsidR="00C36261" w14:paraId="4E3FB688" w14:textId="77777777" w:rsidTr="00CA2251">
        <w:trPr>
          <w:trHeight w:val="267"/>
          <w:jc w:val="center"/>
        </w:trPr>
        <w:tc>
          <w:tcPr>
            <w:tcW w:w="1708" w:type="dxa"/>
            <w:tcBorders>
              <w:top w:val="nil"/>
              <w:left w:val="nil"/>
              <w:bottom w:val="nil"/>
              <w:right w:val="nil"/>
            </w:tcBorders>
            <w:shd w:val="clear" w:color="auto" w:fill="auto"/>
            <w:noWrap/>
            <w:vAlign w:val="center"/>
            <w:hideMark/>
          </w:tcPr>
          <w:p w14:paraId="2D141C18" w14:textId="77777777" w:rsidR="00C36261" w:rsidRDefault="00C36261" w:rsidP="006A7377">
            <w:pPr>
              <w:jc w:val="center"/>
              <w:rPr>
                <w:b/>
                <w:bCs/>
                <w:color w:val="000000"/>
                <w:sz w:val="22"/>
                <w:szCs w:val="22"/>
              </w:rPr>
            </w:pPr>
            <w:r>
              <w:rPr>
                <w:b/>
                <w:bCs/>
                <w:color w:val="000000"/>
                <w:sz w:val="22"/>
                <w:szCs w:val="22"/>
              </w:rPr>
              <w:t>Dimensiones</w:t>
            </w:r>
          </w:p>
        </w:tc>
        <w:tc>
          <w:tcPr>
            <w:tcW w:w="1920" w:type="dxa"/>
            <w:gridSpan w:val="3"/>
            <w:tcBorders>
              <w:top w:val="single" w:sz="4" w:space="0" w:color="auto"/>
              <w:left w:val="single" w:sz="4" w:space="0" w:color="auto"/>
              <w:bottom w:val="single" w:sz="4" w:space="0" w:color="auto"/>
              <w:right w:val="single" w:sz="4" w:space="0" w:color="auto"/>
            </w:tcBorders>
            <w:shd w:val="clear" w:color="000000" w:fill="C65911"/>
            <w:noWrap/>
            <w:vAlign w:val="bottom"/>
            <w:hideMark/>
          </w:tcPr>
          <w:p w14:paraId="77868AA0" w14:textId="77777777" w:rsidR="00C36261" w:rsidRDefault="00C36261" w:rsidP="006A7377">
            <w:pPr>
              <w:jc w:val="center"/>
              <w:rPr>
                <w:b/>
                <w:bCs/>
                <w:color w:val="FFFFFF"/>
                <w:sz w:val="22"/>
                <w:szCs w:val="22"/>
              </w:rPr>
            </w:pPr>
            <w:r>
              <w:rPr>
                <w:b/>
                <w:bCs/>
                <w:color w:val="FFFFFF"/>
                <w:sz w:val="22"/>
                <w:szCs w:val="22"/>
              </w:rPr>
              <w:t>Peligro y Exposición</w:t>
            </w:r>
          </w:p>
        </w:tc>
        <w:tc>
          <w:tcPr>
            <w:tcW w:w="2989" w:type="dxa"/>
            <w:gridSpan w:val="6"/>
            <w:tcBorders>
              <w:top w:val="single" w:sz="4" w:space="0" w:color="auto"/>
              <w:left w:val="nil"/>
              <w:bottom w:val="single" w:sz="4" w:space="0" w:color="auto"/>
              <w:right w:val="single" w:sz="4" w:space="0" w:color="auto"/>
            </w:tcBorders>
            <w:shd w:val="clear" w:color="000000" w:fill="1F4E78"/>
            <w:noWrap/>
            <w:vAlign w:val="bottom"/>
            <w:hideMark/>
          </w:tcPr>
          <w:p w14:paraId="7F810805" w14:textId="77777777" w:rsidR="00C36261" w:rsidRDefault="00C36261" w:rsidP="006A7377">
            <w:pPr>
              <w:jc w:val="center"/>
              <w:rPr>
                <w:b/>
                <w:bCs/>
                <w:color w:val="FFFFFF"/>
                <w:sz w:val="22"/>
                <w:szCs w:val="22"/>
              </w:rPr>
            </w:pPr>
            <w:r>
              <w:rPr>
                <w:b/>
                <w:bCs/>
                <w:color w:val="FFFFFF"/>
                <w:sz w:val="22"/>
                <w:szCs w:val="22"/>
              </w:rPr>
              <w:t>Vulnerabilidad</w:t>
            </w:r>
          </w:p>
        </w:tc>
        <w:tc>
          <w:tcPr>
            <w:tcW w:w="2954" w:type="dxa"/>
            <w:gridSpan w:val="5"/>
            <w:tcBorders>
              <w:top w:val="single" w:sz="4" w:space="0" w:color="auto"/>
              <w:left w:val="nil"/>
              <w:bottom w:val="single" w:sz="4" w:space="0" w:color="auto"/>
              <w:right w:val="single" w:sz="4" w:space="0" w:color="auto"/>
            </w:tcBorders>
            <w:shd w:val="clear" w:color="000000" w:fill="548235"/>
            <w:noWrap/>
            <w:vAlign w:val="bottom"/>
            <w:hideMark/>
          </w:tcPr>
          <w:p w14:paraId="141D973D" w14:textId="77777777" w:rsidR="00C36261" w:rsidRDefault="00C36261" w:rsidP="006A7377">
            <w:pPr>
              <w:jc w:val="center"/>
              <w:rPr>
                <w:b/>
                <w:bCs/>
                <w:color w:val="FFFFFF"/>
                <w:sz w:val="22"/>
                <w:szCs w:val="22"/>
              </w:rPr>
            </w:pPr>
            <w:r>
              <w:rPr>
                <w:b/>
                <w:bCs/>
                <w:color w:val="FFFFFF"/>
                <w:sz w:val="22"/>
                <w:szCs w:val="22"/>
              </w:rPr>
              <w:t>Falta de capacidad de respuesta</w:t>
            </w:r>
          </w:p>
        </w:tc>
      </w:tr>
      <w:tr w:rsidR="00C36261" w14:paraId="75C39554" w14:textId="77777777" w:rsidTr="00CA2251">
        <w:trPr>
          <w:trHeight w:val="267"/>
          <w:jc w:val="center"/>
        </w:trPr>
        <w:tc>
          <w:tcPr>
            <w:tcW w:w="1708" w:type="dxa"/>
            <w:tcBorders>
              <w:top w:val="nil"/>
              <w:left w:val="nil"/>
              <w:bottom w:val="nil"/>
              <w:right w:val="nil"/>
            </w:tcBorders>
            <w:shd w:val="clear" w:color="auto" w:fill="auto"/>
            <w:noWrap/>
            <w:vAlign w:val="center"/>
            <w:hideMark/>
          </w:tcPr>
          <w:p w14:paraId="7D4A6229" w14:textId="77777777" w:rsidR="00C36261" w:rsidRDefault="00C36261" w:rsidP="006A7377">
            <w:pPr>
              <w:jc w:val="center"/>
              <w:rPr>
                <w:b/>
                <w:bCs/>
                <w:color w:val="000000"/>
                <w:sz w:val="22"/>
                <w:szCs w:val="22"/>
              </w:rPr>
            </w:pPr>
            <w:r>
              <w:rPr>
                <w:b/>
                <w:bCs/>
                <w:color w:val="000000"/>
                <w:sz w:val="22"/>
                <w:szCs w:val="22"/>
              </w:rPr>
              <w:t>Categorías</w:t>
            </w:r>
          </w:p>
        </w:tc>
        <w:tc>
          <w:tcPr>
            <w:tcW w:w="96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9A4A82C" w14:textId="77777777" w:rsidR="00C36261" w:rsidRDefault="00C36261" w:rsidP="006A7377">
            <w:pPr>
              <w:jc w:val="center"/>
              <w:rPr>
                <w:b/>
                <w:bCs/>
                <w:color w:val="000000"/>
                <w:sz w:val="22"/>
                <w:szCs w:val="22"/>
              </w:rPr>
            </w:pPr>
            <w:r>
              <w:rPr>
                <w:b/>
                <w:bCs/>
                <w:color w:val="000000"/>
                <w:sz w:val="22"/>
                <w:szCs w:val="22"/>
              </w:rPr>
              <w:t>Natural</w:t>
            </w:r>
          </w:p>
        </w:tc>
        <w:tc>
          <w:tcPr>
            <w:tcW w:w="953" w:type="dxa"/>
            <w:tcBorders>
              <w:top w:val="nil"/>
              <w:left w:val="nil"/>
              <w:bottom w:val="single" w:sz="4" w:space="0" w:color="auto"/>
              <w:right w:val="single" w:sz="4" w:space="0" w:color="auto"/>
            </w:tcBorders>
            <w:shd w:val="clear" w:color="000000" w:fill="FFC000"/>
            <w:noWrap/>
            <w:vAlign w:val="bottom"/>
            <w:hideMark/>
          </w:tcPr>
          <w:p w14:paraId="2CD45B67" w14:textId="77777777" w:rsidR="00C36261" w:rsidRDefault="00C36261" w:rsidP="006A7377">
            <w:pPr>
              <w:jc w:val="center"/>
              <w:rPr>
                <w:b/>
                <w:bCs/>
                <w:color w:val="000000"/>
                <w:sz w:val="22"/>
                <w:szCs w:val="22"/>
              </w:rPr>
            </w:pPr>
            <w:r>
              <w:rPr>
                <w:b/>
                <w:bCs/>
                <w:color w:val="000000"/>
                <w:sz w:val="22"/>
                <w:szCs w:val="22"/>
              </w:rPr>
              <w:t>Humano</w:t>
            </w:r>
          </w:p>
        </w:tc>
        <w:tc>
          <w:tcPr>
            <w:tcW w:w="1721" w:type="dxa"/>
            <w:gridSpan w:val="4"/>
            <w:tcBorders>
              <w:top w:val="single" w:sz="4" w:space="0" w:color="auto"/>
              <w:left w:val="nil"/>
              <w:bottom w:val="single" w:sz="4" w:space="0" w:color="auto"/>
              <w:right w:val="single" w:sz="4" w:space="0" w:color="auto"/>
            </w:tcBorders>
            <w:shd w:val="clear" w:color="000000" w:fill="9BC2E6"/>
            <w:noWrap/>
            <w:vAlign w:val="bottom"/>
            <w:hideMark/>
          </w:tcPr>
          <w:p w14:paraId="69C359D4" w14:textId="77777777" w:rsidR="00C36261" w:rsidRDefault="00C36261" w:rsidP="006A7377">
            <w:pPr>
              <w:jc w:val="center"/>
              <w:rPr>
                <w:b/>
                <w:bCs/>
                <w:color w:val="000000"/>
                <w:sz w:val="22"/>
                <w:szCs w:val="22"/>
              </w:rPr>
            </w:pPr>
            <w:r>
              <w:rPr>
                <w:b/>
                <w:bCs/>
                <w:color w:val="000000"/>
                <w:sz w:val="22"/>
                <w:szCs w:val="22"/>
              </w:rPr>
              <w:t>Socio económica</w:t>
            </w:r>
          </w:p>
        </w:tc>
        <w:tc>
          <w:tcPr>
            <w:tcW w:w="1268" w:type="dxa"/>
            <w:gridSpan w:val="2"/>
            <w:tcBorders>
              <w:top w:val="single" w:sz="4" w:space="0" w:color="auto"/>
              <w:left w:val="nil"/>
              <w:bottom w:val="single" w:sz="4" w:space="0" w:color="auto"/>
              <w:right w:val="single" w:sz="4" w:space="0" w:color="000000"/>
            </w:tcBorders>
            <w:shd w:val="clear" w:color="000000" w:fill="9BC2E6"/>
            <w:vAlign w:val="bottom"/>
            <w:hideMark/>
          </w:tcPr>
          <w:p w14:paraId="065A0AF0" w14:textId="77777777" w:rsidR="00C36261" w:rsidRDefault="00C36261" w:rsidP="006A7377">
            <w:pPr>
              <w:jc w:val="center"/>
              <w:rPr>
                <w:b/>
                <w:bCs/>
                <w:color w:val="000000"/>
                <w:sz w:val="22"/>
                <w:szCs w:val="22"/>
              </w:rPr>
            </w:pPr>
            <w:r>
              <w:rPr>
                <w:b/>
                <w:bCs/>
                <w:color w:val="000000"/>
                <w:sz w:val="22"/>
                <w:szCs w:val="22"/>
              </w:rPr>
              <w:t>Grupos Vulnerables</w:t>
            </w:r>
          </w:p>
        </w:tc>
        <w:tc>
          <w:tcPr>
            <w:tcW w:w="1317" w:type="dxa"/>
            <w:gridSpan w:val="2"/>
            <w:tcBorders>
              <w:top w:val="single" w:sz="4" w:space="0" w:color="auto"/>
              <w:left w:val="nil"/>
              <w:bottom w:val="single" w:sz="4" w:space="0" w:color="auto"/>
              <w:right w:val="single" w:sz="4" w:space="0" w:color="auto"/>
            </w:tcBorders>
            <w:shd w:val="clear" w:color="000000" w:fill="A9D08E"/>
            <w:noWrap/>
            <w:vAlign w:val="bottom"/>
            <w:hideMark/>
          </w:tcPr>
          <w:p w14:paraId="47624266" w14:textId="77777777" w:rsidR="00C36261" w:rsidRDefault="00C36261" w:rsidP="006A7377">
            <w:pPr>
              <w:jc w:val="center"/>
              <w:rPr>
                <w:b/>
                <w:bCs/>
                <w:color w:val="000000"/>
                <w:sz w:val="22"/>
                <w:szCs w:val="22"/>
              </w:rPr>
            </w:pPr>
            <w:r>
              <w:rPr>
                <w:b/>
                <w:bCs/>
                <w:color w:val="000000"/>
                <w:sz w:val="22"/>
                <w:szCs w:val="22"/>
              </w:rPr>
              <w:t>Institucional</w:t>
            </w:r>
          </w:p>
        </w:tc>
        <w:tc>
          <w:tcPr>
            <w:tcW w:w="1637" w:type="dxa"/>
            <w:gridSpan w:val="3"/>
            <w:tcBorders>
              <w:top w:val="single" w:sz="4" w:space="0" w:color="auto"/>
              <w:left w:val="nil"/>
              <w:bottom w:val="single" w:sz="4" w:space="0" w:color="auto"/>
              <w:right w:val="single" w:sz="4" w:space="0" w:color="auto"/>
            </w:tcBorders>
            <w:shd w:val="clear" w:color="000000" w:fill="A9D08E"/>
            <w:noWrap/>
            <w:vAlign w:val="bottom"/>
            <w:hideMark/>
          </w:tcPr>
          <w:p w14:paraId="1F9A1926" w14:textId="77777777" w:rsidR="00C36261" w:rsidRDefault="00C36261" w:rsidP="006A7377">
            <w:pPr>
              <w:jc w:val="center"/>
              <w:rPr>
                <w:b/>
                <w:bCs/>
                <w:color w:val="000000"/>
                <w:sz w:val="22"/>
                <w:szCs w:val="22"/>
              </w:rPr>
            </w:pPr>
            <w:r>
              <w:rPr>
                <w:b/>
                <w:bCs/>
                <w:color w:val="000000"/>
                <w:sz w:val="22"/>
                <w:szCs w:val="22"/>
              </w:rPr>
              <w:t>Infraestructura</w:t>
            </w:r>
          </w:p>
        </w:tc>
      </w:tr>
      <w:tr w:rsidR="00C36261" w14:paraId="78A3CD74" w14:textId="77777777" w:rsidTr="00CA2251">
        <w:trPr>
          <w:trHeight w:val="2282"/>
          <w:jc w:val="center"/>
        </w:trPr>
        <w:tc>
          <w:tcPr>
            <w:tcW w:w="1708" w:type="dxa"/>
            <w:tcBorders>
              <w:top w:val="nil"/>
              <w:left w:val="nil"/>
              <w:bottom w:val="nil"/>
              <w:right w:val="nil"/>
            </w:tcBorders>
            <w:shd w:val="clear" w:color="auto" w:fill="auto"/>
            <w:noWrap/>
            <w:textDirection w:val="btLr"/>
            <w:vAlign w:val="center"/>
            <w:hideMark/>
          </w:tcPr>
          <w:p w14:paraId="6B449F24" w14:textId="77777777" w:rsidR="00C36261" w:rsidRDefault="00C36261" w:rsidP="006A7377">
            <w:pPr>
              <w:jc w:val="center"/>
              <w:rPr>
                <w:b/>
                <w:bCs/>
                <w:color w:val="000000"/>
                <w:sz w:val="22"/>
                <w:szCs w:val="22"/>
              </w:rPr>
            </w:pPr>
            <w:r>
              <w:rPr>
                <w:b/>
                <w:bCs/>
                <w:color w:val="000000"/>
                <w:sz w:val="22"/>
                <w:szCs w:val="22"/>
              </w:rPr>
              <w:t>Componentes</w:t>
            </w:r>
          </w:p>
        </w:tc>
        <w:tc>
          <w:tcPr>
            <w:tcW w:w="404" w:type="dxa"/>
            <w:tcBorders>
              <w:top w:val="nil"/>
              <w:left w:val="single" w:sz="4" w:space="0" w:color="auto"/>
              <w:bottom w:val="single" w:sz="4" w:space="0" w:color="auto"/>
              <w:right w:val="single" w:sz="4" w:space="0" w:color="auto"/>
            </w:tcBorders>
            <w:shd w:val="clear" w:color="000000" w:fill="FCE4D6"/>
            <w:noWrap/>
            <w:textDirection w:val="btLr"/>
            <w:vAlign w:val="center"/>
            <w:hideMark/>
          </w:tcPr>
          <w:p w14:paraId="429A0A02" w14:textId="77777777" w:rsidR="00C36261" w:rsidRDefault="00C36261" w:rsidP="006A7377">
            <w:pPr>
              <w:jc w:val="center"/>
              <w:rPr>
                <w:color w:val="000000"/>
                <w:sz w:val="22"/>
                <w:szCs w:val="22"/>
              </w:rPr>
            </w:pPr>
            <w:r>
              <w:rPr>
                <w:color w:val="000000"/>
                <w:sz w:val="22"/>
                <w:szCs w:val="22"/>
              </w:rPr>
              <w:t>Eventos Naturales</w:t>
            </w:r>
          </w:p>
        </w:tc>
        <w:tc>
          <w:tcPr>
            <w:tcW w:w="563" w:type="dxa"/>
            <w:tcBorders>
              <w:top w:val="nil"/>
              <w:left w:val="nil"/>
              <w:bottom w:val="single" w:sz="4" w:space="0" w:color="auto"/>
              <w:right w:val="single" w:sz="4" w:space="0" w:color="auto"/>
            </w:tcBorders>
            <w:shd w:val="clear" w:color="000000" w:fill="FCE4D6"/>
            <w:noWrap/>
            <w:textDirection w:val="btLr"/>
            <w:vAlign w:val="center"/>
            <w:hideMark/>
          </w:tcPr>
          <w:p w14:paraId="2A7ED827" w14:textId="77777777" w:rsidR="00C36261" w:rsidRDefault="00C36261" w:rsidP="006A7377">
            <w:pPr>
              <w:jc w:val="center"/>
              <w:rPr>
                <w:color w:val="000000"/>
                <w:sz w:val="22"/>
                <w:szCs w:val="22"/>
              </w:rPr>
            </w:pPr>
            <w:r>
              <w:rPr>
                <w:color w:val="000000"/>
                <w:sz w:val="22"/>
                <w:szCs w:val="22"/>
              </w:rPr>
              <w:t>Degradación Ambiental</w:t>
            </w:r>
          </w:p>
        </w:tc>
        <w:tc>
          <w:tcPr>
            <w:tcW w:w="953" w:type="dxa"/>
            <w:tcBorders>
              <w:top w:val="nil"/>
              <w:left w:val="nil"/>
              <w:bottom w:val="single" w:sz="4" w:space="0" w:color="auto"/>
              <w:right w:val="single" w:sz="4" w:space="0" w:color="auto"/>
            </w:tcBorders>
            <w:shd w:val="clear" w:color="000000" w:fill="FCE4D6"/>
            <w:noWrap/>
            <w:textDirection w:val="btLr"/>
            <w:vAlign w:val="center"/>
            <w:hideMark/>
          </w:tcPr>
          <w:p w14:paraId="5F371972" w14:textId="77777777" w:rsidR="00C36261" w:rsidRDefault="00C36261" w:rsidP="006A7377">
            <w:pPr>
              <w:jc w:val="center"/>
              <w:rPr>
                <w:color w:val="000000"/>
                <w:sz w:val="22"/>
                <w:szCs w:val="22"/>
              </w:rPr>
            </w:pPr>
            <w:r>
              <w:rPr>
                <w:color w:val="000000"/>
                <w:sz w:val="22"/>
                <w:szCs w:val="22"/>
              </w:rPr>
              <w:t>Violencia</w:t>
            </w:r>
          </w:p>
        </w:tc>
        <w:tc>
          <w:tcPr>
            <w:tcW w:w="453" w:type="dxa"/>
            <w:tcBorders>
              <w:top w:val="nil"/>
              <w:left w:val="nil"/>
              <w:bottom w:val="single" w:sz="4" w:space="0" w:color="auto"/>
              <w:right w:val="single" w:sz="4" w:space="0" w:color="auto"/>
            </w:tcBorders>
            <w:shd w:val="clear" w:color="000000" w:fill="D9E1F2"/>
            <w:noWrap/>
            <w:textDirection w:val="btLr"/>
            <w:vAlign w:val="center"/>
            <w:hideMark/>
          </w:tcPr>
          <w:p w14:paraId="5FD81CFA" w14:textId="77777777" w:rsidR="00C36261" w:rsidRDefault="00C36261" w:rsidP="006A7377">
            <w:pPr>
              <w:jc w:val="center"/>
              <w:rPr>
                <w:color w:val="000000"/>
                <w:sz w:val="22"/>
                <w:szCs w:val="22"/>
              </w:rPr>
            </w:pPr>
            <w:r>
              <w:rPr>
                <w:color w:val="000000"/>
                <w:sz w:val="22"/>
                <w:szCs w:val="22"/>
              </w:rPr>
              <w:t>Desarrollo y pobreza</w:t>
            </w:r>
          </w:p>
        </w:tc>
        <w:tc>
          <w:tcPr>
            <w:tcW w:w="422" w:type="dxa"/>
            <w:tcBorders>
              <w:top w:val="nil"/>
              <w:left w:val="nil"/>
              <w:bottom w:val="single" w:sz="4" w:space="0" w:color="auto"/>
              <w:right w:val="single" w:sz="4" w:space="0" w:color="auto"/>
            </w:tcBorders>
            <w:shd w:val="clear" w:color="000000" w:fill="D9E1F2"/>
            <w:noWrap/>
            <w:textDirection w:val="btLr"/>
            <w:vAlign w:val="center"/>
            <w:hideMark/>
          </w:tcPr>
          <w:p w14:paraId="00DC989D" w14:textId="77777777" w:rsidR="00C36261" w:rsidRDefault="00C36261" w:rsidP="006A7377">
            <w:pPr>
              <w:jc w:val="center"/>
              <w:rPr>
                <w:color w:val="000000"/>
                <w:sz w:val="22"/>
                <w:szCs w:val="22"/>
              </w:rPr>
            </w:pPr>
            <w:r>
              <w:rPr>
                <w:color w:val="000000"/>
                <w:sz w:val="22"/>
                <w:szCs w:val="22"/>
              </w:rPr>
              <w:t>Población en dependencia</w:t>
            </w:r>
          </w:p>
        </w:tc>
        <w:tc>
          <w:tcPr>
            <w:tcW w:w="423" w:type="dxa"/>
            <w:tcBorders>
              <w:top w:val="nil"/>
              <w:left w:val="nil"/>
              <w:bottom w:val="single" w:sz="4" w:space="0" w:color="auto"/>
              <w:right w:val="single" w:sz="4" w:space="0" w:color="auto"/>
            </w:tcBorders>
            <w:shd w:val="clear" w:color="000000" w:fill="D9E1F2"/>
            <w:noWrap/>
            <w:textDirection w:val="btLr"/>
            <w:vAlign w:val="center"/>
            <w:hideMark/>
          </w:tcPr>
          <w:p w14:paraId="29D760D4" w14:textId="77777777" w:rsidR="00C36261" w:rsidRDefault="00C36261" w:rsidP="006A7377">
            <w:pPr>
              <w:jc w:val="center"/>
              <w:rPr>
                <w:color w:val="000000"/>
                <w:sz w:val="22"/>
                <w:szCs w:val="22"/>
              </w:rPr>
            </w:pPr>
            <w:r>
              <w:rPr>
                <w:color w:val="000000"/>
                <w:sz w:val="22"/>
                <w:szCs w:val="22"/>
              </w:rPr>
              <w:t>Desigualdad</w:t>
            </w:r>
          </w:p>
        </w:tc>
        <w:tc>
          <w:tcPr>
            <w:tcW w:w="422" w:type="dxa"/>
            <w:tcBorders>
              <w:top w:val="nil"/>
              <w:left w:val="nil"/>
              <w:bottom w:val="single" w:sz="4" w:space="0" w:color="auto"/>
              <w:right w:val="single" w:sz="4" w:space="0" w:color="auto"/>
            </w:tcBorders>
            <w:shd w:val="clear" w:color="000000" w:fill="D9E1F2"/>
            <w:noWrap/>
            <w:textDirection w:val="btLr"/>
            <w:vAlign w:val="center"/>
            <w:hideMark/>
          </w:tcPr>
          <w:p w14:paraId="46AA7BC9" w14:textId="77777777" w:rsidR="00C36261" w:rsidRDefault="00C36261" w:rsidP="006A7377">
            <w:pPr>
              <w:jc w:val="center"/>
              <w:rPr>
                <w:color w:val="000000"/>
                <w:sz w:val="22"/>
                <w:szCs w:val="22"/>
              </w:rPr>
            </w:pPr>
            <w:r>
              <w:rPr>
                <w:color w:val="000000"/>
                <w:sz w:val="22"/>
                <w:szCs w:val="22"/>
              </w:rPr>
              <w:t>Desarrollo Económico</w:t>
            </w:r>
          </w:p>
        </w:tc>
        <w:tc>
          <w:tcPr>
            <w:tcW w:w="543" w:type="dxa"/>
            <w:tcBorders>
              <w:top w:val="nil"/>
              <w:left w:val="nil"/>
              <w:bottom w:val="single" w:sz="4" w:space="0" w:color="auto"/>
              <w:right w:val="single" w:sz="4" w:space="0" w:color="auto"/>
            </w:tcBorders>
            <w:shd w:val="clear" w:color="000000" w:fill="D9E1F2"/>
            <w:noWrap/>
            <w:textDirection w:val="btLr"/>
            <w:vAlign w:val="center"/>
            <w:hideMark/>
          </w:tcPr>
          <w:p w14:paraId="155B9A0A" w14:textId="77777777" w:rsidR="00C36261" w:rsidRDefault="00C36261" w:rsidP="006A7377">
            <w:pPr>
              <w:jc w:val="center"/>
              <w:rPr>
                <w:color w:val="000000"/>
                <w:sz w:val="22"/>
                <w:szCs w:val="22"/>
              </w:rPr>
            </w:pPr>
            <w:r>
              <w:rPr>
                <w:color w:val="000000"/>
                <w:sz w:val="22"/>
                <w:szCs w:val="22"/>
              </w:rPr>
              <w:t>Población desprotegida</w:t>
            </w:r>
          </w:p>
        </w:tc>
        <w:tc>
          <w:tcPr>
            <w:tcW w:w="725" w:type="dxa"/>
            <w:tcBorders>
              <w:top w:val="nil"/>
              <w:left w:val="nil"/>
              <w:bottom w:val="single" w:sz="4" w:space="0" w:color="auto"/>
              <w:right w:val="single" w:sz="4" w:space="0" w:color="auto"/>
            </w:tcBorders>
            <w:shd w:val="clear" w:color="000000" w:fill="D9E1F2"/>
            <w:noWrap/>
            <w:textDirection w:val="btLr"/>
            <w:vAlign w:val="center"/>
            <w:hideMark/>
          </w:tcPr>
          <w:p w14:paraId="76311C7D" w14:textId="77777777" w:rsidR="00C36261" w:rsidRDefault="00C36261" w:rsidP="006A7377">
            <w:pPr>
              <w:jc w:val="center"/>
              <w:rPr>
                <w:color w:val="000000"/>
                <w:sz w:val="22"/>
                <w:szCs w:val="22"/>
              </w:rPr>
            </w:pPr>
            <w:r>
              <w:rPr>
                <w:color w:val="000000"/>
                <w:sz w:val="22"/>
                <w:szCs w:val="22"/>
              </w:rPr>
              <w:t>Otros grupos vulnerables</w:t>
            </w:r>
          </w:p>
        </w:tc>
        <w:tc>
          <w:tcPr>
            <w:tcW w:w="539" w:type="dxa"/>
            <w:tcBorders>
              <w:top w:val="nil"/>
              <w:left w:val="nil"/>
              <w:bottom w:val="single" w:sz="4" w:space="0" w:color="auto"/>
              <w:right w:val="single" w:sz="4" w:space="0" w:color="auto"/>
            </w:tcBorders>
            <w:shd w:val="clear" w:color="000000" w:fill="C6E0B4"/>
            <w:noWrap/>
            <w:textDirection w:val="btLr"/>
            <w:vAlign w:val="center"/>
            <w:hideMark/>
          </w:tcPr>
          <w:p w14:paraId="551EE3B7" w14:textId="77777777" w:rsidR="00C36261" w:rsidRDefault="00C36261" w:rsidP="006A7377">
            <w:pPr>
              <w:jc w:val="center"/>
              <w:rPr>
                <w:color w:val="000000"/>
                <w:sz w:val="22"/>
                <w:szCs w:val="22"/>
              </w:rPr>
            </w:pPr>
            <w:r>
              <w:rPr>
                <w:color w:val="000000"/>
                <w:sz w:val="22"/>
                <w:szCs w:val="22"/>
              </w:rPr>
              <w:t>RRD</w:t>
            </w:r>
          </w:p>
        </w:tc>
        <w:tc>
          <w:tcPr>
            <w:tcW w:w="777" w:type="dxa"/>
            <w:tcBorders>
              <w:top w:val="nil"/>
              <w:left w:val="nil"/>
              <w:bottom w:val="single" w:sz="4" w:space="0" w:color="auto"/>
              <w:right w:val="single" w:sz="4" w:space="0" w:color="auto"/>
            </w:tcBorders>
            <w:shd w:val="clear" w:color="000000" w:fill="C6E0B4"/>
            <w:noWrap/>
            <w:textDirection w:val="btLr"/>
            <w:vAlign w:val="center"/>
            <w:hideMark/>
          </w:tcPr>
          <w:p w14:paraId="1D12CA82" w14:textId="77777777" w:rsidR="00C36261" w:rsidRDefault="00C36261" w:rsidP="006A7377">
            <w:pPr>
              <w:jc w:val="center"/>
              <w:rPr>
                <w:color w:val="000000"/>
                <w:sz w:val="22"/>
                <w:szCs w:val="22"/>
              </w:rPr>
            </w:pPr>
            <w:r>
              <w:rPr>
                <w:color w:val="000000"/>
                <w:sz w:val="22"/>
                <w:szCs w:val="22"/>
              </w:rPr>
              <w:t>Gestión Municipal</w:t>
            </w:r>
          </w:p>
        </w:tc>
        <w:tc>
          <w:tcPr>
            <w:tcW w:w="511" w:type="dxa"/>
            <w:tcBorders>
              <w:top w:val="nil"/>
              <w:left w:val="nil"/>
              <w:bottom w:val="single" w:sz="4" w:space="0" w:color="auto"/>
              <w:right w:val="single" w:sz="4" w:space="0" w:color="auto"/>
            </w:tcBorders>
            <w:shd w:val="clear" w:color="000000" w:fill="C6E0B4"/>
            <w:noWrap/>
            <w:textDirection w:val="btLr"/>
            <w:vAlign w:val="center"/>
            <w:hideMark/>
          </w:tcPr>
          <w:p w14:paraId="74EFADB2" w14:textId="77777777" w:rsidR="00C36261" w:rsidRDefault="00C36261" w:rsidP="006A7377">
            <w:pPr>
              <w:jc w:val="center"/>
              <w:rPr>
                <w:color w:val="000000"/>
                <w:sz w:val="22"/>
                <w:szCs w:val="22"/>
              </w:rPr>
            </w:pPr>
            <w:r>
              <w:rPr>
                <w:color w:val="000000"/>
                <w:sz w:val="22"/>
                <w:szCs w:val="22"/>
              </w:rPr>
              <w:t>Comunicación</w:t>
            </w:r>
          </w:p>
        </w:tc>
        <w:tc>
          <w:tcPr>
            <w:tcW w:w="563" w:type="dxa"/>
            <w:tcBorders>
              <w:top w:val="nil"/>
              <w:left w:val="nil"/>
              <w:bottom w:val="single" w:sz="4" w:space="0" w:color="auto"/>
              <w:right w:val="single" w:sz="4" w:space="0" w:color="auto"/>
            </w:tcBorders>
            <w:shd w:val="clear" w:color="000000" w:fill="C6E0B4"/>
            <w:noWrap/>
            <w:textDirection w:val="btLr"/>
            <w:vAlign w:val="center"/>
            <w:hideMark/>
          </w:tcPr>
          <w:p w14:paraId="29E78904" w14:textId="77777777" w:rsidR="00C36261" w:rsidRDefault="00C36261" w:rsidP="006A7377">
            <w:pPr>
              <w:jc w:val="center"/>
              <w:rPr>
                <w:color w:val="000000"/>
                <w:sz w:val="22"/>
                <w:szCs w:val="22"/>
              </w:rPr>
            </w:pPr>
            <w:r>
              <w:rPr>
                <w:color w:val="000000"/>
                <w:sz w:val="22"/>
                <w:szCs w:val="22"/>
              </w:rPr>
              <w:t>Infraestructura Física</w:t>
            </w:r>
          </w:p>
        </w:tc>
        <w:tc>
          <w:tcPr>
            <w:tcW w:w="563" w:type="dxa"/>
            <w:tcBorders>
              <w:top w:val="nil"/>
              <w:left w:val="nil"/>
              <w:bottom w:val="single" w:sz="4" w:space="0" w:color="auto"/>
              <w:right w:val="single" w:sz="4" w:space="0" w:color="auto"/>
            </w:tcBorders>
            <w:shd w:val="clear" w:color="000000" w:fill="C6E0B4"/>
            <w:noWrap/>
            <w:textDirection w:val="btLr"/>
            <w:vAlign w:val="center"/>
            <w:hideMark/>
          </w:tcPr>
          <w:p w14:paraId="328021F7" w14:textId="77777777" w:rsidR="00C36261" w:rsidRDefault="00C36261" w:rsidP="006A7377">
            <w:pPr>
              <w:jc w:val="center"/>
              <w:rPr>
                <w:color w:val="000000"/>
                <w:sz w:val="22"/>
                <w:szCs w:val="22"/>
              </w:rPr>
            </w:pPr>
            <w:r>
              <w:rPr>
                <w:color w:val="000000"/>
                <w:sz w:val="22"/>
                <w:szCs w:val="22"/>
              </w:rPr>
              <w:t>Acceso a sistemas de salud</w:t>
            </w:r>
          </w:p>
        </w:tc>
      </w:tr>
    </w:tbl>
    <w:p w14:paraId="3F0DDB58" w14:textId="77777777" w:rsidR="00C36261" w:rsidRPr="00E51CBF" w:rsidRDefault="00C36261" w:rsidP="00C36261">
      <w:pPr>
        <w:jc w:val="both"/>
        <w:rPr>
          <w:sz w:val="16"/>
          <w:szCs w:val="16"/>
          <w:lang w:val="es-ES"/>
        </w:rPr>
      </w:pPr>
      <w:r w:rsidRPr="00E51CBF">
        <w:rPr>
          <w:sz w:val="16"/>
          <w:szCs w:val="16"/>
          <w:lang w:val="es-ES"/>
        </w:rPr>
        <w:t>Fuente:  Estructura INFORM Guatemala v3.2021 - Publicada septiembre 2022</w:t>
      </w:r>
    </w:p>
    <w:p w14:paraId="3C9DAE36" w14:textId="77777777" w:rsidR="00C36261" w:rsidRPr="00CA2251" w:rsidRDefault="00C36261" w:rsidP="00C36261">
      <w:pPr>
        <w:jc w:val="both"/>
        <w:rPr>
          <w:highlight w:val="yellow"/>
          <w:lang w:val="es-ES"/>
        </w:rPr>
      </w:pPr>
    </w:p>
    <w:p w14:paraId="083119D3" w14:textId="77777777" w:rsidR="00C36261" w:rsidRPr="00E51CBF" w:rsidRDefault="00C36261" w:rsidP="00C36261">
      <w:pPr>
        <w:jc w:val="both"/>
      </w:pPr>
      <w:r w:rsidRPr="00E51CBF">
        <w:t xml:space="preserve">Los resultados obtenidos del Índice para Guatemala son los siguientes: </w:t>
      </w:r>
    </w:p>
    <w:p w14:paraId="05224F6A" w14:textId="77777777" w:rsidR="00C36261" w:rsidRDefault="00C36261" w:rsidP="00C36261">
      <w:pPr>
        <w:jc w:val="both"/>
        <w:rPr>
          <w:b/>
          <w:bCs/>
          <w:sz w:val="22"/>
          <w:szCs w:val="22"/>
          <w:lang w:val="es-ES"/>
        </w:rPr>
      </w:pPr>
    </w:p>
    <w:p w14:paraId="104D575F" w14:textId="76BE9C9F" w:rsidR="00C36261" w:rsidRPr="00CA2251" w:rsidRDefault="00CA2251" w:rsidP="00CA2251">
      <w:pPr>
        <w:pStyle w:val="Descripcin"/>
        <w:rPr>
          <w:b w:val="0"/>
          <w:color w:val="auto"/>
          <w:sz w:val="22"/>
          <w:szCs w:val="22"/>
        </w:rPr>
      </w:pPr>
      <w:bookmarkStart w:id="811" w:name="_Toc143593657"/>
      <w:r w:rsidRPr="00CA2251">
        <w:rPr>
          <w:color w:val="auto"/>
        </w:rPr>
        <w:t xml:space="preserve">Gráfico </w:t>
      </w:r>
      <w:r w:rsidRPr="00CA2251">
        <w:rPr>
          <w:color w:val="auto"/>
        </w:rPr>
        <w:fldChar w:fldCharType="begin"/>
      </w:r>
      <w:r w:rsidRPr="00CA2251">
        <w:rPr>
          <w:color w:val="auto"/>
        </w:rPr>
        <w:instrText xml:space="preserve"> SEQ Gráfico \* ARABIC </w:instrText>
      </w:r>
      <w:r w:rsidRPr="00CA2251">
        <w:rPr>
          <w:color w:val="auto"/>
        </w:rPr>
        <w:fldChar w:fldCharType="separate"/>
      </w:r>
      <w:r w:rsidR="00A62AFA">
        <w:rPr>
          <w:noProof/>
          <w:color w:val="auto"/>
        </w:rPr>
        <w:t>99</w:t>
      </w:r>
      <w:r w:rsidRPr="00CA2251">
        <w:rPr>
          <w:color w:val="auto"/>
        </w:rPr>
        <w:fldChar w:fldCharType="end"/>
      </w:r>
      <w:r w:rsidRPr="00CA2251">
        <w:rPr>
          <w:color w:val="auto"/>
        </w:rPr>
        <w:t>.  Índice INFORM 2022</w:t>
      </w:r>
      <w:bookmarkEnd w:id="811"/>
    </w:p>
    <w:p w14:paraId="021DA464" w14:textId="77777777" w:rsidR="00C36261" w:rsidRPr="007D08C1" w:rsidRDefault="00C36261" w:rsidP="00CA2251">
      <w:pPr>
        <w:jc w:val="center"/>
      </w:pPr>
      <w:r w:rsidRPr="007D08C1">
        <w:rPr>
          <w:noProof/>
        </w:rPr>
        <w:drawing>
          <wp:inline distT="0" distB="0" distL="0" distR="0" wp14:anchorId="752BD201" wp14:editId="43B57188">
            <wp:extent cx="3036627" cy="377446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6">
                      <a:extLst>
                        <a:ext uri="{28A0092B-C50C-407E-A947-70E740481C1C}">
                          <a14:useLocalDpi xmlns:a14="http://schemas.microsoft.com/office/drawing/2010/main" val="0"/>
                        </a:ext>
                      </a:extLst>
                    </a:blip>
                    <a:stretch>
                      <a:fillRect/>
                    </a:stretch>
                  </pic:blipFill>
                  <pic:spPr>
                    <a:xfrm>
                      <a:off x="0" y="0"/>
                      <a:ext cx="3085700" cy="3835462"/>
                    </a:xfrm>
                    <a:prstGeom prst="rect">
                      <a:avLst/>
                    </a:prstGeom>
                  </pic:spPr>
                </pic:pic>
              </a:graphicData>
            </a:graphic>
          </wp:inline>
        </w:drawing>
      </w:r>
    </w:p>
    <w:p w14:paraId="463851BE" w14:textId="77777777" w:rsidR="00C36261" w:rsidRPr="00E51CBF" w:rsidRDefault="00C36261" w:rsidP="00CA2251">
      <w:pPr>
        <w:ind w:left="1416" w:firstLine="708"/>
        <w:jc w:val="both"/>
        <w:rPr>
          <w:sz w:val="16"/>
          <w:szCs w:val="16"/>
          <w:lang w:val="es-ES"/>
        </w:rPr>
      </w:pPr>
      <w:r w:rsidRPr="007D08C1">
        <w:rPr>
          <w:sz w:val="16"/>
          <w:szCs w:val="16"/>
          <w:lang w:val="es-ES"/>
        </w:rPr>
        <w:t>Fuente: INFORM Guatemala v3.2021</w:t>
      </w:r>
      <w:r w:rsidRPr="00E51CBF">
        <w:rPr>
          <w:sz w:val="16"/>
          <w:szCs w:val="16"/>
          <w:lang w:val="es-ES"/>
        </w:rPr>
        <w:t xml:space="preserve"> </w:t>
      </w:r>
    </w:p>
    <w:p w14:paraId="3DEBE648" w14:textId="77777777" w:rsidR="00C36261" w:rsidRDefault="00C36261" w:rsidP="00C36261">
      <w:pPr>
        <w:jc w:val="both"/>
        <w:rPr>
          <w:lang w:val="es-ES"/>
        </w:rPr>
      </w:pPr>
      <w:r w:rsidRPr="00156BCC">
        <w:rPr>
          <w:lang w:val="es-ES"/>
        </w:rPr>
        <w:lastRenderedPageBreak/>
        <w:t>De los 340 municipios se visualiza que únicamente cuatro de ellos se encuentra en un rango muy bajo, mientras la mayoría se encuentra en un rango de medio a muy alto en su nivel de riesgo comprendiendo el grado de exposición, vulnerabilidad y la capacidad de respuesta. Los resultados del Índice INFORM son de suma importancia ya que son utilizados por el Sistema Nacional de Coordinación para la Reducción del Riesgo de Desastres y por los tomadores de decisión para su análisis de riesgo de crisis humanitarias y desastres, y así mejorar las capacidades de respuesta municipal y necesidades humanitarias potenciales.</w:t>
      </w:r>
    </w:p>
    <w:p w14:paraId="1DEE3CCA" w14:textId="77777777" w:rsidR="00C36261" w:rsidRPr="00E40BC4" w:rsidRDefault="00C36261" w:rsidP="00C36261">
      <w:pPr>
        <w:jc w:val="both"/>
        <w:rPr>
          <w:highlight w:val="yellow"/>
          <w:lang w:val="es-ES"/>
        </w:rPr>
      </w:pPr>
    </w:p>
    <w:p w14:paraId="579EC2AF" w14:textId="77777777" w:rsidR="00C36261" w:rsidRDefault="00C36261" w:rsidP="00C36261">
      <w:pPr>
        <w:jc w:val="both"/>
        <w:rPr>
          <w:u w:val="single"/>
          <w:lang w:val="es-ES"/>
        </w:rPr>
      </w:pPr>
      <w:r w:rsidRPr="00E11974">
        <w:rPr>
          <w:lang w:val="es-ES"/>
        </w:rPr>
        <w:t xml:space="preserve">El Índice de Riesgo Global </w:t>
      </w:r>
      <w:r>
        <w:rPr>
          <w:lang w:val="es-ES"/>
        </w:rPr>
        <w:t>del Foro Económico Mundial, define el riesgo global como “</w:t>
      </w:r>
      <w:r w:rsidRPr="00E11974">
        <w:rPr>
          <w:i/>
          <w:iCs/>
          <w:lang w:val="es-ES"/>
        </w:rPr>
        <w:t>la posibilidad de que ocurrencia de un evento o condición que, si ocurre, impactaría negativamente en una cantidad significativa proporción del PIB mundial, población o recursos”</w:t>
      </w:r>
      <w:r>
        <w:rPr>
          <w:lang w:val="es-ES"/>
        </w:rPr>
        <w:t xml:space="preserve">. El Índice evalúa riesgos como; la </w:t>
      </w:r>
      <w:r w:rsidRPr="00E11974">
        <w:rPr>
          <w:lang w:val="es-ES"/>
        </w:rPr>
        <w:t>inflación, costo de vida</w:t>
      </w:r>
      <w:r>
        <w:rPr>
          <w:lang w:val="es-ES"/>
        </w:rPr>
        <w:t xml:space="preserve"> </w:t>
      </w:r>
      <w:r w:rsidRPr="00E11974">
        <w:rPr>
          <w:lang w:val="es-ES"/>
        </w:rPr>
        <w:t>crisis</w:t>
      </w:r>
      <w:r>
        <w:rPr>
          <w:lang w:val="es-ES"/>
        </w:rPr>
        <w:t xml:space="preserve"> por </w:t>
      </w:r>
      <w:r w:rsidRPr="00E11974">
        <w:rPr>
          <w:lang w:val="es-ES"/>
        </w:rPr>
        <w:t>guerras comerciales, salidas de capital de países emergentes</w:t>
      </w:r>
      <w:r>
        <w:rPr>
          <w:lang w:val="es-ES"/>
        </w:rPr>
        <w:t xml:space="preserve"> </w:t>
      </w:r>
      <w:r w:rsidRPr="00E11974">
        <w:rPr>
          <w:lang w:val="es-ES"/>
        </w:rPr>
        <w:t>mercados, disturbios sociales generalizados, geopolítica</w:t>
      </w:r>
      <w:r>
        <w:rPr>
          <w:lang w:val="es-ES"/>
        </w:rPr>
        <w:t xml:space="preserve">, </w:t>
      </w:r>
      <w:r w:rsidRPr="00E11974">
        <w:rPr>
          <w:lang w:val="es-ES"/>
        </w:rPr>
        <w:t>confrontac</w:t>
      </w:r>
      <w:r>
        <w:rPr>
          <w:lang w:val="es-ES"/>
        </w:rPr>
        <w:t>iones</w:t>
      </w:r>
      <w:r w:rsidRPr="00E11974">
        <w:rPr>
          <w:lang w:val="es-ES"/>
        </w:rPr>
        <w:t>,</w:t>
      </w:r>
      <w:r>
        <w:rPr>
          <w:lang w:val="es-ES"/>
        </w:rPr>
        <w:t xml:space="preserve"> </w:t>
      </w:r>
      <w:r w:rsidRPr="00E11974">
        <w:rPr>
          <w:lang w:val="es-ES"/>
        </w:rPr>
        <w:t>los insostenibles</w:t>
      </w:r>
      <w:r>
        <w:rPr>
          <w:lang w:val="es-ES"/>
        </w:rPr>
        <w:t xml:space="preserve"> </w:t>
      </w:r>
      <w:r w:rsidRPr="00E11974">
        <w:rPr>
          <w:lang w:val="es-ES"/>
        </w:rPr>
        <w:t>niveles de deuda, una nueva era</w:t>
      </w:r>
      <w:r>
        <w:rPr>
          <w:lang w:val="es-ES"/>
        </w:rPr>
        <w:t xml:space="preserve"> </w:t>
      </w:r>
      <w:r w:rsidRPr="00E11974">
        <w:rPr>
          <w:lang w:val="es-ES"/>
        </w:rPr>
        <w:t>de bajo crecimiento, baj</w:t>
      </w:r>
      <w:r>
        <w:rPr>
          <w:lang w:val="es-ES"/>
        </w:rPr>
        <w:t xml:space="preserve">a </w:t>
      </w:r>
      <w:r w:rsidRPr="00E11974">
        <w:rPr>
          <w:lang w:val="es-ES"/>
        </w:rPr>
        <w:t>inversión y la desglobalización, una disminución de la</w:t>
      </w:r>
      <w:r>
        <w:rPr>
          <w:lang w:val="es-ES"/>
        </w:rPr>
        <w:t xml:space="preserve"> </w:t>
      </w:r>
      <w:r w:rsidRPr="00E11974">
        <w:rPr>
          <w:lang w:val="es-ES"/>
        </w:rPr>
        <w:t>desarrollo después de décadas de progreso, rápido y</w:t>
      </w:r>
      <w:r>
        <w:rPr>
          <w:lang w:val="es-ES"/>
        </w:rPr>
        <w:t xml:space="preserve"> </w:t>
      </w:r>
      <w:r w:rsidRPr="00E11974">
        <w:rPr>
          <w:lang w:val="es-ES"/>
        </w:rPr>
        <w:t>desarrollo sin restricciones de productos</w:t>
      </w:r>
      <w:r>
        <w:rPr>
          <w:lang w:val="es-ES"/>
        </w:rPr>
        <w:t xml:space="preserve"> </w:t>
      </w:r>
      <w:r w:rsidRPr="00E11974">
        <w:rPr>
          <w:lang w:val="es-ES"/>
        </w:rPr>
        <w:t xml:space="preserve">de doble uso </w:t>
      </w:r>
      <w:r>
        <w:rPr>
          <w:lang w:val="es-ES"/>
        </w:rPr>
        <w:t xml:space="preserve">, </w:t>
      </w:r>
      <w:r w:rsidRPr="00E11974">
        <w:rPr>
          <w:lang w:val="es-ES"/>
        </w:rPr>
        <w:t xml:space="preserve">tecnologías, y la </w:t>
      </w:r>
      <w:r w:rsidRPr="00A04CED">
        <w:rPr>
          <w:u w:val="single"/>
          <w:lang w:val="es-ES"/>
        </w:rPr>
        <w:t>creciente presión de impactos y ambiciones del cambio climático en una ventana cada vez más pequeña para la transición a un mundo 1.5°C.</w:t>
      </w:r>
    </w:p>
    <w:p w14:paraId="009FA159" w14:textId="77777777" w:rsidR="00C36261" w:rsidRDefault="00C36261" w:rsidP="00C36261">
      <w:pPr>
        <w:jc w:val="both"/>
        <w:rPr>
          <w:u w:val="single"/>
          <w:lang w:val="es-ES"/>
        </w:rPr>
      </w:pPr>
    </w:p>
    <w:p w14:paraId="06FD8AC8" w14:textId="77777777" w:rsidR="00C36261" w:rsidRDefault="00C36261" w:rsidP="00C36261">
      <w:pPr>
        <w:jc w:val="both"/>
        <w:rPr>
          <w:lang w:val="es-ES"/>
        </w:rPr>
      </w:pPr>
      <w:r w:rsidRPr="007D0545">
        <w:rPr>
          <w:lang w:val="es-ES"/>
        </w:rPr>
        <w:t xml:space="preserve">De acuerdo al análisis del Índice se espera que, para los próximos dos años los riesgos globales sean: </w:t>
      </w:r>
    </w:p>
    <w:p w14:paraId="47C1DE05" w14:textId="77777777" w:rsidR="00C36261" w:rsidRDefault="00C36261" w:rsidP="00C36261">
      <w:pPr>
        <w:jc w:val="both"/>
        <w:rPr>
          <w:lang w:val="es-ES"/>
        </w:rPr>
      </w:pPr>
    </w:p>
    <w:tbl>
      <w:tblPr>
        <w:tblStyle w:val="Tablaconcuadrcula"/>
        <w:tblW w:w="0" w:type="auto"/>
        <w:tblLook w:val="04A0" w:firstRow="1" w:lastRow="0" w:firstColumn="1" w:lastColumn="0" w:noHBand="0" w:noVBand="1"/>
      </w:tblPr>
      <w:tblGrid>
        <w:gridCol w:w="436"/>
        <w:gridCol w:w="8392"/>
      </w:tblGrid>
      <w:tr w:rsidR="00C36261" w:rsidRPr="004C3810" w14:paraId="7E704B87" w14:textId="77777777" w:rsidTr="006A7377">
        <w:tc>
          <w:tcPr>
            <w:tcW w:w="421" w:type="dxa"/>
          </w:tcPr>
          <w:p w14:paraId="736F301B" w14:textId="77777777" w:rsidR="00C36261" w:rsidRPr="004C3810" w:rsidRDefault="00C36261" w:rsidP="006A7377">
            <w:pPr>
              <w:jc w:val="both"/>
              <w:rPr>
                <w:sz w:val="22"/>
                <w:szCs w:val="22"/>
                <w:lang w:val="es-ES"/>
              </w:rPr>
            </w:pPr>
            <w:r w:rsidRPr="004C3810">
              <w:rPr>
                <w:sz w:val="22"/>
                <w:szCs w:val="22"/>
                <w:lang w:val="es-ES"/>
              </w:rPr>
              <w:t>1</w:t>
            </w:r>
          </w:p>
        </w:tc>
        <w:tc>
          <w:tcPr>
            <w:tcW w:w="8407" w:type="dxa"/>
          </w:tcPr>
          <w:p w14:paraId="0B956C81" w14:textId="77777777" w:rsidR="00C36261" w:rsidRPr="004C3810" w:rsidRDefault="00C36261" w:rsidP="006A7377">
            <w:pPr>
              <w:jc w:val="both"/>
              <w:rPr>
                <w:sz w:val="22"/>
                <w:szCs w:val="22"/>
                <w:lang w:val="es-ES"/>
              </w:rPr>
            </w:pPr>
            <w:r w:rsidRPr="004C3810">
              <w:rPr>
                <w:sz w:val="22"/>
                <w:szCs w:val="22"/>
                <w:lang w:val="es-ES"/>
              </w:rPr>
              <w:t>La crisis del coste de vida</w:t>
            </w:r>
          </w:p>
        </w:tc>
      </w:tr>
      <w:tr w:rsidR="00C36261" w:rsidRPr="004C3810" w14:paraId="281B5C82" w14:textId="77777777" w:rsidTr="006A7377">
        <w:tc>
          <w:tcPr>
            <w:tcW w:w="421" w:type="dxa"/>
          </w:tcPr>
          <w:p w14:paraId="350E82DD" w14:textId="77777777" w:rsidR="00C36261" w:rsidRPr="004C3810" w:rsidRDefault="00C36261" w:rsidP="006A7377">
            <w:pPr>
              <w:jc w:val="both"/>
              <w:rPr>
                <w:sz w:val="22"/>
                <w:szCs w:val="22"/>
                <w:lang w:val="es-ES"/>
              </w:rPr>
            </w:pPr>
            <w:r w:rsidRPr="004C3810">
              <w:rPr>
                <w:noProof/>
                <w:sz w:val="22"/>
                <w:szCs w:val="22"/>
                <w:lang w:val="es-ES"/>
              </w:rPr>
              <mc:AlternateContent>
                <mc:Choice Requires="wps">
                  <w:drawing>
                    <wp:anchor distT="0" distB="0" distL="114300" distR="114300" simplePos="0" relativeHeight="251669504" behindDoc="0" locked="0" layoutInCell="1" allowOverlap="1" wp14:anchorId="6A35DA0A" wp14:editId="2EFA9763">
                      <wp:simplePos x="0" y="0"/>
                      <wp:positionH relativeFrom="column">
                        <wp:posOffset>-54610</wp:posOffset>
                      </wp:positionH>
                      <wp:positionV relativeFrom="paragraph">
                        <wp:posOffset>3230</wp:posOffset>
                      </wp:positionV>
                      <wp:extent cx="5565913" cy="174929"/>
                      <wp:effectExtent l="0" t="0" r="15875" b="15875"/>
                      <wp:wrapNone/>
                      <wp:docPr id="117" name="Rectángulo 117"/>
                      <wp:cNvGraphicFramePr/>
                      <a:graphic xmlns:a="http://schemas.openxmlformats.org/drawingml/2006/main">
                        <a:graphicData uri="http://schemas.microsoft.com/office/word/2010/wordprocessingShape">
                          <wps:wsp>
                            <wps:cNvSpPr/>
                            <wps:spPr>
                              <a:xfrm>
                                <a:off x="0" y="0"/>
                                <a:ext cx="5565913" cy="174929"/>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EBA2F" id="Rectángulo 117" o:spid="_x0000_s1026" style="position:absolute;margin-left:-4.3pt;margin-top:.25pt;width:438.25pt;height:1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" filled="f" strokecolor="#2f5496 [2404]" strokeweight="1pt"/>
                  </w:pict>
                </mc:Fallback>
              </mc:AlternateContent>
            </w:r>
            <w:r w:rsidRPr="004C3810">
              <w:rPr>
                <w:sz w:val="22"/>
                <w:szCs w:val="22"/>
                <w:lang w:val="es-ES"/>
              </w:rPr>
              <w:t>2</w:t>
            </w:r>
          </w:p>
        </w:tc>
        <w:tc>
          <w:tcPr>
            <w:tcW w:w="8407" w:type="dxa"/>
          </w:tcPr>
          <w:p w14:paraId="08BF25D7" w14:textId="77777777" w:rsidR="00C36261" w:rsidRPr="004C3810" w:rsidRDefault="00C36261" w:rsidP="006A7377">
            <w:pPr>
              <w:jc w:val="both"/>
              <w:rPr>
                <w:sz w:val="22"/>
                <w:szCs w:val="22"/>
                <w:lang w:val="es-ES"/>
              </w:rPr>
            </w:pPr>
            <w:r w:rsidRPr="004C3810">
              <w:rPr>
                <w:sz w:val="22"/>
                <w:szCs w:val="22"/>
                <w:lang w:val="es-ES"/>
              </w:rPr>
              <w:t>Desastres naturales y fenómenos climáticos extremos</w:t>
            </w:r>
          </w:p>
        </w:tc>
      </w:tr>
      <w:tr w:rsidR="00C36261" w:rsidRPr="004C3810" w14:paraId="468D224F" w14:textId="77777777" w:rsidTr="006A7377">
        <w:tc>
          <w:tcPr>
            <w:tcW w:w="421" w:type="dxa"/>
          </w:tcPr>
          <w:p w14:paraId="3CB8B1EE" w14:textId="77777777" w:rsidR="00C36261" w:rsidRPr="004C3810" w:rsidRDefault="00C36261" w:rsidP="006A7377">
            <w:pPr>
              <w:jc w:val="both"/>
              <w:rPr>
                <w:sz w:val="22"/>
                <w:szCs w:val="22"/>
                <w:lang w:val="es-ES"/>
              </w:rPr>
            </w:pPr>
            <w:r w:rsidRPr="004C3810">
              <w:rPr>
                <w:sz w:val="22"/>
                <w:szCs w:val="22"/>
                <w:lang w:val="es-ES"/>
              </w:rPr>
              <w:t>3</w:t>
            </w:r>
          </w:p>
        </w:tc>
        <w:tc>
          <w:tcPr>
            <w:tcW w:w="8407" w:type="dxa"/>
          </w:tcPr>
          <w:p w14:paraId="148ED4F9" w14:textId="77777777" w:rsidR="00C36261" w:rsidRPr="004C3810" w:rsidRDefault="00C36261" w:rsidP="006A7377">
            <w:pPr>
              <w:jc w:val="both"/>
              <w:rPr>
                <w:sz w:val="22"/>
                <w:szCs w:val="22"/>
                <w:lang w:val="es-ES"/>
              </w:rPr>
            </w:pPr>
            <w:r w:rsidRPr="004C3810">
              <w:rPr>
                <w:sz w:val="22"/>
                <w:szCs w:val="22"/>
                <w:lang w:val="es-ES"/>
              </w:rPr>
              <w:t>Confrontación geoeconómica</w:t>
            </w:r>
          </w:p>
        </w:tc>
      </w:tr>
      <w:tr w:rsidR="00C36261" w:rsidRPr="004C3810" w14:paraId="2C0C62A5" w14:textId="77777777" w:rsidTr="006A7377">
        <w:tc>
          <w:tcPr>
            <w:tcW w:w="421" w:type="dxa"/>
          </w:tcPr>
          <w:p w14:paraId="2F69FFFA" w14:textId="77777777" w:rsidR="00C36261" w:rsidRPr="004C3810" w:rsidRDefault="00C36261" w:rsidP="006A7377">
            <w:pPr>
              <w:jc w:val="both"/>
              <w:rPr>
                <w:sz w:val="22"/>
                <w:szCs w:val="22"/>
                <w:lang w:val="es-ES"/>
              </w:rPr>
            </w:pPr>
            <w:r w:rsidRPr="004C3810">
              <w:rPr>
                <w:sz w:val="22"/>
                <w:szCs w:val="22"/>
                <w:lang w:val="es-ES"/>
              </w:rPr>
              <w:t>4</w:t>
            </w:r>
          </w:p>
        </w:tc>
        <w:tc>
          <w:tcPr>
            <w:tcW w:w="8407" w:type="dxa"/>
          </w:tcPr>
          <w:p w14:paraId="108DD40B" w14:textId="77777777" w:rsidR="00C36261" w:rsidRPr="004C3810" w:rsidRDefault="00C36261" w:rsidP="006A7377">
            <w:pPr>
              <w:jc w:val="both"/>
              <w:rPr>
                <w:sz w:val="22"/>
                <w:szCs w:val="22"/>
                <w:lang w:val="es-ES"/>
              </w:rPr>
            </w:pPr>
            <w:r w:rsidRPr="004C3810">
              <w:rPr>
                <w:noProof/>
                <w:sz w:val="22"/>
                <w:szCs w:val="22"/>
                <w:lang w:val="es-ES"/>
              </w:rPr>
              <mc:AlternateContent>
                <mc:Choice Requires="wps">
                  <w:drawing>
                    <wp:anchor distT="0" distB="0" distL="114300" distR="114300" simplePos="0" relativeHeight="251670528" behindDoc="0" locked="0" layoutInCell="1" allowOverlap="1" wp14:anchorId="5E8E7E11" wp14:editId="1B87287F">
                      <wp:simplePos x="0" y="0"/>
                      <wp:positionH relativeFrom="column">
                        <wp:posOffset>-360680</wp:posOffset>
                      </wp:positionH>
                      <wp:positionV relativeFrom="paragraph">
                        <wp:posOffset>12700</wp:posOffset>
                      </wp:positionV>
                      <wp:extent cx="5597525" cy="150495"/>
                      <wp:effectExtent l="0" t="0" r="22225" b="20955"/>
                      <wp:wrapNone/>
                      <wp:docPr id="118" name="Rectángulo 118"/>
                      <wp:cNvGraphicFramePr/>
                      <a:graphic xmlns:a="http://schemas.openxmlformats.org/drawingml/2006/main">
                        <a:graphicData uri="http://schemas.microsoft.com/office/word/2010/wordprocessingShape">
                          <wps:wsp>
                            <wps:cNvSpPr/>
                            <wps:spPr>
                              <a:xfrm>
                                <a:off x="0" y="0"/>
                                <a:ext cx="5597525" cy="15049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3DEFF" id="Rectángulo 118" o:spid="_x0000_s1026" style="position:absolute;margin-left:-28.4pt;margin-top:1pt;width:440.75pt;height:1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" filled="f" strokecolor="#2f5496 [2404]" strokeweight="1pt"/>
                  </w:pict>
                </mc:Fallback>
              </mc:AlternateContent>
            </w:r>
            <w:r w:rsidRPr="004C3810">
              <w:rPr>
                <w:sz w:val="22"/>
                <w:szCs w:val="22"/>
                <w:lang w:val="es-ES"/>
              </w:rPr>
              <w:t>La falta de mitigación del cambio climático</w:t>
            </w:r>
          </w:p>
        </w:tc>
      </w:tr>
      <w:tr w:rsidR="00C36261" w:rsidRPr="004C3810" w14:paraId="75BE351A" w14:textId="77777777" w:rsidTr="006A7377">
        <w:tc>
          <w:tcPr>
            <w:tcW w:w="421" w:type="dxa"/>
          </w:tcPr>
          <w:p w14:paraId="723113B4" w14:textId="77777777" w:rsidR="00C36261" w:rsidRPr="004C3810" w:rsidRDefault="00C36261" w:rsidP="006A7377">
            <w:pPr>
              <w:jc w:val="both"/>
              <w:rPr>
                <w:sz w:val="22"/>
                <w:szCs w:val="22"/>
                <w:lang w:val="es-ES"/>
              </w:rPr>
            </w:pPr>
            <w:r w:rsidRPr="004C3810">
              <w:rPr>
                <w:sz w:val="22"/>
                <w:szCs w:val="22"/>
                <w:lang w:val="es-ES"/>
              </w:rPr>
              <w:t>5</w:t>
            </w:r>
          </w:p>
        </w:tc>
        <w:tc>
          <w:tcPr>
            <w:tcW w:w="8407" w:type="dxa"/>
          </w:tcPr>
          <w:p w14:paraId="5FCDD055" w14:textId="77777777" w:rsidR="00C36261" w:rsidRPr="004C3810" w:rsidRDefault="00C36261" w:rsidP="006A7377">
            <w:pPr>
              <w:jc w:val="both"/>
              <w:rPr>
                <w:sz w:val="22"/>
                <w:szCs w:val="22"/>
                <w:lang w:val="es-ES"/>
              </w:rPr>
            </w:pPr>
            <w:r w:rsidRPr="004C3810">
              <w:rPr>
                <w:sz w:val="22"/>
                <w:szCs w:val="22"/>
                <w:lang w:val="es-ES"/>
              </w:rPr>
              <w:t>Falta de cohesión social y polarización</w:t>
            </w:r>
          </w:p>
        </w:tc>
      </w:tr>
      <w:tr w:rsidR="00C36261" w:rsidRPr="004C3810" w14:paraId="340DA3DE" w14:textId="77777777" w:rsidTr="006A7377">
        <w:tc>
          <w:tcPr>
            <w:tcW w:w="421" w:type="dxa"/>
          </w:tcPr>
          <w:p w14:paraId="1D0819B0" w14:textId="77777777" w:rsidR="00C36261" w:rsidRPr="004C3810" w:rsidRDefault="00C36261" w:rsidP="006A7377">
            <w:pPr>
              <w:jc w:val="both"/>
              <w:rPr>
                <w:sz w:val="22"/>
                <w:szCs w:val="22"/>
                <w:lang w:val="es-ES"/>
              </w:rPr>
            </w:pPr>
            <w:r w:rsidRPr="004C3810">
              <w:rPr>
                <w:sz w:val="22"/>
                <w:szCs w:val="22"/>
                <w:lang w:val="es-ES"/>
              </w:rPr>
              <w:t>6</w:t>
            </w:r>
          </w:p>
        </w:tc>
        <w:tc>
          <w:tcPr>
            <w:tcW w:w="8407" w:type="dxa"/>
          </w:tcPr>
          <w:p w14:paraId="5ACE3680" w14:textId="77777777" w:rsidR="00C36261" w:rsidRPr="004C3810" w:rsidRDefault="00C36261" w:rsidP="006A7377">
            <w:pPr>
              <w:jc w:val="both"/>
              <w:rPr>
                <w:sz w:val="22"/>
                <w:szCs w:val="22"/>
                <w:lang w:val="es-ES"/>
              </w:rPr>
            </w:pPr>
            <w:r w:rsidRPr="004C3810">
              <w:rPr>
                <w:sz w:val="22"/>
                <w:szCs w:val="22"/>
                <w:lang w:val="es-ES"/>
              </w:rPr>
              <w:t>Incidentes y daños ambientales a gran escala</w:t>
            </w:r>
          </w:p>
        </w:tc>
      </w:tr>
      <w:tr w:rsidR="00C36261" w:rsidRPr="004C3810" w14:paraId="45441C9C" w14:textId="77777777" w:rsidTr="006A7377">
        <w:tc>
          <w:tcPr>
            <w:tcW w:w="421" w:type="dxa"/>
          </w:tcPr>
          <w:p w14:paraId="0A544D8C" w14:textId="77777777" w:rsidR="00C36261" w:rsidRPr="004C3810" w:rsidRDefault="00C36261" w:rsidP="006A7377">
            <w:pPr>
              <w:jc w:val="both"/>
              <w:rPr>
                <w:sz w:val="22"/>
                <w:szCs w:val="22"/>
                <w:lang w:val="es-ES"/>
              </w:rPr>
            </w:pPr>
            <w:r w:rsidRPr="004C3810">
              <w:rPr>
                <w:sz w:val="22"/>
                <w:szCs w:val="22"/>
                <w:lang w:val="es-ES"/>
              </w:rPr>
              <w:t>7</w:t>
            </w:r>
          </w:p>
        </w:tc>
        <w:tc>
          <w:tcPr>
            <w:tcW w:w="8407" w:type="dxa"/>
          </w:tcPr>
          <w:p w14:paraId="5F2FBBCA" w14:textId="77777777" w:rsidR="00C36261" w:rsidRPr="004C3810" w:rsidRDefault="00C36261" w:rsidP="006A7377">
            <w:pPr>
              <w:jc w:val="both"/>
              <w:rPr>
                <w:sz w:val="22"/>
                <w:szCs w:val="22"/>
                <w:lang w:val="es-ES"/>
              </w:rPr>
            </w:pPr>
            <w:r w:rsidRPr="004C3810">
              <w:rPr>
                <w:noProof/>
                <w:sz w:val="22"/>
                <w:szCs w:val="22"/>
                <w:lang w:val="es-ES"/>
              </w:rPr>
              <mc:AlternateContent>
                <mc:Choice Requires="wps">
                  <w:drawing>
                    <wp:anchor distT="0" distB="0" distL="114300" distR="114300" simplePos="0" relativeHeight="251671552" behindDoc="0" locked="0" layoutInCell="1" allowOverlap="1" wp14:anchorId="2B294D34" wp14:editId="6A839F27">
                      <wp:simplePos x="0" y="0"/>
                      <wp:positionH relativeFrom="column">
                        <wp:posOffset>-399083</wp:posOffset>
                      </wp:positionH>
                      <wp:positionV relativeFrom="paragraph">
                        <wp:posOffset>2043</wp:posOffset>
                      </wp:positionV>
                      <wp:extent cx="5605145" cy="159026"/>
                      <wp:effectExtent l="0" t="0" r="14605" b="12700"/>
                      <wp:wrapNone/>
                      <wp:docPr id="119" name="Rectángulo 119"/>
                      <wp:cNvGraphicFramePr/>
                      <a:graphic xmlns:a="http://schemas.openxmlformats.org/drawingml/2006/main">
                        <a:graphicData uri="http://schemas.microsoft.com/office/word/2010/wordprocessingShape">
                          <wps:wsp>
                            <wps:cNvSpPr/>
                            <wps:spPr>
                              <a:xfrm>
                                <a:off x="0" y="0"/>
                                <a:ext cx="5605145" cy="159026"/>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B1F8C" id="Rectángulo 119" o:spid="_x0000_s1026" style="position:absolute;margin-left:-31.4pt;margin-top:.15pt;width:441.35pt;height: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" filled="f" strokecolor="#2f5496 [2404]" strokeweight="1pt"/>
                  </w:pict>
                </mc:Fallback>
              </mc:AlternateContent>
            </w:r>
            <w:r w:rsidRPr="004C3810">
              <w:rPr>
                <w:sz w:val="22"/>
                <w:szCs w:val="22"/>
                <w:lang w:val="es-ES"/>
              </w:rPr>
              <w:t>Fracaso de la adaptación al cambio climático</w:t>
            </w:r>
          </w:p>
        </w:tc>
      </w:tr>
      <w:tr w:rsidR="00C36261" w:rsidRPr="004C3810" w14:paraId="39D531A5" w14:textId="77777777" w:rsidTr="006A7377">
        <w:tc>
          <w:tcPr>
            <w:tcW w:w="421" w:type="dxa"/>
          </w:tcPr>
          <w:p w14:paraId="610A598C" w14:textId="77777777" w:rsidR="00C36261" w:rsidRPr="004C3810" w:rsidRDefault="00C36261" w:rsidP="006A7377">
            <w:pPr>
              <w:jc w:val="both"/>
              <w:rPr>
                <w:sz w:val="22"/>
                <w:szCs w:val="22"/>
                <w:lang w:val="es-ES"/>
              </w:rPr>
            </w:pPr>
            <w:r w:rsidRPr="004C3810">
              <w:rPr>
                <w:sz w:val="22"/>
                <w:szCs w:val="22"/>
                <w:lang w:val="es-ES"/>
              </w:rPr>
              <w:t>8</w:t>
            </w:r>
          </w:p>
        </w:tc>
        <w:tc>
          <w:tcPr>
            <w:tcW w:w="8407" w:type="dxa"/>
          </w:tcPr>
          <w:p w14:paraId="651A37A2" w14:textId="77777777" w:rsidR="00C36261" w:rsidRPr="004C3810" w:rsidRDefault="00C36261" w:rsidP="006A7377">
            <w:pPr>
              <w:jc w:val="both"/>
              <w:rPr>
                <w:sz w:val="22"/>
                <w:szCs w:val="22"/>
                <w:lang w:val="es-ES"/>
              </w:rPr>
            </w:pPr>
            <w:r w:rsidRPr="004C3810">
              <w:rPr>
                <w:sz w:val="22"/>
                <w:szCs w:val="22"/>
                <w:lang w:val="es-ES"/>
              </w:rPr>
              <w:t>Cibercrimen e inseguridad cibernética</w:t>
            </w:r>
          </w:p>
        </w:tc>
      </w:tr>
      <w:tr w:rsidR="00C36261" w:rsidRPr="004C3810" w14:paraId="5A33D977" w14:textId="77777777" w:rsidTr="006A7377">
        <w:tc>
          <w:tcPr>
            <w:tcW w:w="421" w:type="dxa"/>
          </w:tcPr>
          <w:p w14:paraId="42DE6115" w14:textId="77777777" w:rsidR="00C36261" w:rsidRPr="004C3810" w:rsidRDefault="00C36261" w:rsidP="006A7377">
            <w:pPr>
              <w:jc w:val="both"/>
              <w:rPr>
                <w:sz w:val="22"/>
                <w:szCs w:val="22"/>
                <w:lang w:val="es-ES"/>
              </w:rPr>
            </w:pPr>
            <w:r w:rsidRPr="004C3810">
              <w:rPr>
                <w:sz w:val="22"/>
                <w:szCs w:val="22"/>
                <w:lang w:val="es-ES"/>
              </w:rPr>
              <w:t>9</w:t>
            </w:r>
          </w:p>
        </w:tc>
        <w:tc>
          <w:tcPr>
            <w:tcW w:w="8407" w:type="dxa"/>
          </w:tcPr>
          <w:p w14:paraId="683F29CF" w14:textId="77777777" w:rsidR="00C36261" w:rsidRPr="004C3810" w:rsidRDefault="00C36261" w:rsidP="006A7377">
            <w:pPr>
              <w:jc w:val="both"/>
              <w:rPr>
                <w:sz w:val="22"/>
                <w:szCs w:val="22"/>
                <w:lang w:val="es-ES"/>
              </w:rPr>
            </w:pPr>
            <w:r w:rsidRPr="004C3810">
              <w:rPr>
                <w:sz w:val="22"/>
                <w:szCs w:val="22"/>
                <w:lang w:val="es-ES"/>
              </w:rPr>
              <w:t>Crisis de recursos naturales</w:t>
            </w:r>
          </w:p>
        </w:tc>
      </w:tr>
      <w:tr w:rsidR="00C36261" w:rsidRPr="004C3810" w14:paraId="45D779C9" w14:textId="77777777" w:rsidTr="006A7377">
        <w:tc>
          <w:tcPr>
            <w:tcW w:w="421" w:type="dxa"/>
          </w:tcPr>
          <w:p w14:paraId="122AA052" w14:textId="77777777" w:rsidR="00C36261" w:rsidRPr="004C3810" w:rsidRDefault="00C36261" w:rsidP="006A7377">
            <w:pPr>
              <w:jc w:val="both"/>
              <w:rPr>
                <w:sz w:val="22"/>
                <w:szCs w:val="22"/>
                <w:lang w:val="es-ES"/>
              </w:rPr>
            </w:pPr>
            <w:r w:rsidRPr="004C3810">
              <w:rPr>
                <w:sz w:val="22"/>
                <w:szCs w:val="22"/>
                <w:lang w:val="es-ES"/>
              </w:rPr>
              <w:t>10</w:t>
            </w:r>
          </w:p>
        </w:tc>
        <w:tc>
          <w:tcPr>
            <w:tcW w:w="8407" w:type="dxa"/>
          </w:tcPr>
          <w:p w14:paraId="08552775" w14:textId="77777777" w:rsidR="00C36261" w:rsidRPr="004C3810" w:rsidRDefault="00C36261" w:rsidP="006A7377">
            <w:pPr>
              <w:jc w:val="both"/>
              <w:rPr>
                <w:sz w:val="22"/>
                <w:szCs w:val="22"/>
                <w:lang w:val="es-ES"/>
              </w:rPr>
            </w:pPr>
            <w:r w:rsidRPr="004C3810">
              <w:rPr>
                <w:sz w:val="22"/>
                <w:szCs w:val="22"/>
                <w:lang w:val="es-ES"/>
              </w:rPr>
              <w:t>Migración involuntaria a gran escala</w:t>
            </w:r>
          </w:p>
        </w:tc>
      </w:tr>
    </w:tbl>
    <w:p w14:paraId="7667FC64" w14:textId="77777777" w:rsidR="00C36261" w:rsidRDefault="00C36261" w:rsidP="00C36261">
      <w:pPr>
        <w:jc w:val="both"/>
        <w:rPr>
          <w:u w:val="single"/>
          <w:lang w:val="es-ES"/>
        </w:rPr>
      </w:pPr>
    </w:p>
    <w:p w14:paraId="0E4A8982" w14:textId="77777777" w:rsidR="00C36261" w:rsidRDefault="00C36261" w:rsidP="00C36261">
      <w:pPr>
        <w:jc w:val="both"/>
        <w:rPr>
          <w:lang w:val="es-ES"/>
        </w:rPr>
      </w:pPr>
      <w:r w:rsidRPr="007D0545">
        <w:rPr>
          <w:lang w:val="es-ES"/>
        </w:rPr>
        <w:t xml:space="preserve">Y para los próximos diez años los riesgos más relevantes a nivel mundial serán: </w:t>
      </w:r>
    </w:p>
    <w:p w14:paraId="5C89F965" w14:textId="77777777" w:rsidR="00C36261" w:rsidRDefault="00C36261" w:rsidP="00C36261">
      <w:pPr>
        <w:jc w:val="both"/>
        <w:rPr>
          <w:lang w:val="es-ES"/>
        </w:rPr>
      </w:pPr>
      <w:r>
        <w:rPr>
          <w:noProof/>
          <w:lang w:val="es-ES"/>
        </w:rPr>
        <mc:AlternateContent>
          <mc:Choice Requires="wps">
            <w:drawing>
              <wp:anchor distT="0" distB="0" distL="114300" distR="114300" simplePos="0" relativeHeight="251672576" behindDoc="0" locked="0" layoutInCell="1" allowOverlap="1" wp14:anchorId="567D7E26" wp14:editId="275D4F9F">
                <wp:simplePos x="0" y="0"/>
                <wp:positionH relativeFrom="margin">
                  <wp:align>left</wp:align>
                </wp:positionH>
                <wp:positionV relativeFrom="paragraph">
                  <wp:posOffset>172693</wp:posOffset>
                </wp:positionV>
                <wp:extent cx="5589629" cy="715617"/>
                <wp:effectExtent l="0" t="0" r="11430" b="27940"/>
                <wp:wrapNone/>
                <wp:docPr id="120" name="Rectángulo 120"/>
                <wp:cNvGraphicFramePr/>
                <a:graphic xmlns:a="http://schemas.openxmlformats.org/drawingml/2006/main">
                  <a:graphicData uri="http://schemas.microsoft.com/office/word/2010/wordprocessingShape">
                    <wps:wsp>
                      <wps:cNvSpPr/>
                      <wps:spPr>
                        <a:xfrm>
                          <a:off x="0" y="0"/>
                          <a:ext cx="5589629" cy="715617"/>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C0BCF" id="Rectángulo 120" o:spid="_x0000_s1026" style="position:absolute;margin-left:0;margin-top:13.6pt;width:440.15pt;height:56.35pt;z-index:2516725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" filled="f" strokecolor="#2f5496 [2404]" strokeweight="1pt">
                <w10:wrap anchorx="margin"/>
              </v:rect>
            </w:pict>
          </mc:Fallback>
        </mc:AlternateContent>
      </w:r>
    </w:p>
    <w:tbl>
      <w:tblPr>
        <w:tblStyle w:val="Tablaconcuadrcula"/>
        <w:tblW w:w="0" w:type="auto"/>
        <w:tblLook w:val="04A0" w:firstRow="1" w:lastRow="0" w:firstColumn="1" w:lastColumn="0" w:noHBand="0" w:noVBand="1"/>
      </w:tblPr>
      <w:tblGrid>
        <w:gridCol w:w="436"/>
        <w:gridCol w:w="8392"/>
      </w:tblGrid>
      <w:tr w:rsidR="00C36261" w:rsidRPr="004C3810" w14:paraId="33476D87" w14:textId="77777777" w:rsidTr="006A7377">
        <w:tc>
          <w:tcPr>
            <w:tcW w:w="421" w:type="dxa"/>
          </w:tcPr>
          <w:p w14:paraId="3431883C" w14:textId="77777777" w:rsidR="00C36261" w:rsidRPr="004C3810" w:rsidRDefault="00C36261" w:rsidP="006A7377">
            <w:pPr>
              <w:jc w:val="both"/>
              <w:rPr>
                <w:sz w:val="22"/>
                <w:szCs w:val="22"/>
                <w:lang w:val="es-ES"/>
              </w:rPr>
            </w:pPr>
            <w:r w:rsidRPr="004C3810">
              <w:rPr>
                <w:sz w:val="22"/>
                <w:szCs w:val="22"/>
                <w:lang w:val="es-ES"/>
              </w:rPr>
              <w:t>1</w:t>
            </w:r>
          </w:p>
        </w:tc>
        <w:tc>
          <w:tcPr>
            <w:tcW w:w="8407" w:type="dxa"/>
          </w:tcPr>
          <w:p w14:paraId="6B4438E4" w14:textId="77777777" w:rsidR="00C36261" w:rsidRPr="004C3810" w:rsidRDefault="00C36261" w:rsidP="006A7377">
            <w:pPr>
              <w:jc w:val="both"/>
              <w:rPr>
                <w:sz w:val="22"/>
                <w:szCs w:val="22"/>
                <w:lang w:val="es-ES"/>
              </w:rPr>
            </w:pPr>
            <w:r w:rsidRPr="004C3810">
              <w:rPr>
                <w:sz w:val="22"/>
                <w:szCs w:val="22"/>
                <w:lang w:val="es-ES"/>
              </w:rPr>
              <w:t>La falta de mitigación del cambio climático</w:t>
            </w:r>
          </w:p>
        </w:tc>
      </w:tr>
      <w:tr w:rsidR="00C36261" w:rsidRPr="004C3810" w14:paraId="61FB2090" w14:textId="77777777" w:rsidTr="006A7377">
        <w:tc>
          <w:tcPr>
            <w:tcW w:w="421" w:type="dxa"/>
          </w:tcPr>
          <w:p w14:paraId="5641A0B2" w14:textId="77777777" w:rsidR="00C36261" w:rsidRPr="004C3810" w:rsidRDefault="00C36261" w:rsidP="006A7377">
            <w:pPr>
              <w:jc w:val="both"/>
              <w:rPr>
                <w:sz w:val="22"/>
                <w:szCs w:val="22"/>
                <w:lang w:val="es-ES"/>
              </w:rPr>
            </w:pPr>
            <w:r w:rsidRPr="004C3810">
              <w:rPr>
                <w:sz w:val="22"/>
                <w:szCs w:val="22"/>
                <w:lang w:val="es-ES"/>
              </w:rPr>
              <w:t>2</w:t>
            </w:r>
          </w:p>
        </w:tc>
        <w:tc>
          <w:tcPr>
            <w:tcW w:w="8407" w:type="dxa"/>
          </w:tcPr>
          <w:p w14:paraId="2EBE9F89" w14:textId="77777777" w:rsidR="00C36261" w:rsidRPr="004C3810" w:rsidRDefault="00C36261" w:rsidP="006A7377">
            <w:pPr>
              <w:jc w:val="both"/>
              <w:rPr>
                <w:sz w:val="22"/>
                <w:szCs w:val="22"/>
                <w:lang w:val="es-ES"/>
              </w:rPr>
            </w:pPr>
            <w:r w:rsidRPr="004C3810">
              <w:rPr>
                <w:sz w:val="22"/>
                <w:szCs w:val="22"/>
                <w:lang w:val="es-ES"/>
              </w:rPr>
              <w:t>Fracaso de la adaptación al cambio climático</w:t>
            </w:r>
          </w:p>
        </w:tc>
      </w:tr>
      <w:tr w:rsidR="00C36261" w:rsidRPr="004C3810" w14:paraId="3F29E7C6" w14:textId="77777777" w:rsidTr="006A7377">
        <w:tc>
          <w:tcPr>
            <w:tcW w:w="421" w:type="dxa"/>
          </w:tcPr>
          <w:p w14:paraId="7A1D0D53" w14:textId="77777777" w:rsidR="00C36261" w:rsidRPr="004C3810" w:rsidRDefault="00C36261" w:rsidP="006A7377">
            <w:pPr>
              <w:jc w:val="both"/>
              <w:rPr>
                <w:sz w:val="22"/>
                <w:szCs w:val="22"/>
                <w:lang w:val="es-ES"/>
              </w:rPr>
            </w:pPr>
            <w:r w:rsidRPr="004C3810">
              <w:rPr>
                <w:sz w:val="22"/>
                <w:szCs w:val="22"/>
                <w:lang w:val="es-ES"/>
              </w:rPr>
              <w:t>3</w:t>
            </w:r>
          </w:p>
        </w:tc>
        <w:tc>
          <w:tcPr>
            <w:tcW w:w="8407" w:type="dxa"/>
          </w:tcPr>
          <w:p w14:paraId="47952143" w14:textId="77777777" w:rsidR="00C36261" w:rsidRPr="004C3810" w:rsidRDefault="00C36261" w:rsidP="006A7377">
            <w:pPr>
              <w:jc w:val="both"/>
              <w:rPr>
                <w:sz w:val="22"/>
                <w:szCs w:val="22"/>
                <w:lang w:val="es-ES"/>
              </w:rPr>
            </w:pPr>
            <w:r w:rsidRPr="004C3810">
              <w:rPr>
                <w:sz w:val="22"/>
                <w:szCs w:val="22"/>
                <w:lang w:val="es-ES"/>
              </w:rPr>
              <w:t>Desastres naturales y fenómenos climáticos extremos</w:t>
            </w:r>
          </w:p>
        </w:tc>
      </w:tr>
      <w:tr w:rsidR="00C36261" w:rsidRPr="004C3810" w14:paraId="2D102358" w14:textId="77777777" w:rsidTr="006A7377">
        <w:tc>
          <w:tcPr>
            <w:tcW w:w="421" w:type="dxa"/>
          </w:tcPr>
          <w:p w14:paraId="45AD6801" w14:textId="77777777" w:rsidR="00C36261" w:rsidRPr="004C3810" w:rsidRDefault="00C36261" w:rsidP="006A7377">
            <w:pPr>
              <w:jc w:val="both"/>
              <w:rPr>
                <w:sz w:val="22"/>
                <w:szCs w:val="22"/>
                <w:lang w:val="es-ES"/>
              </w:rPr>
            </w:pPr>
            <w:r w:rsidRPr="004C3810">
              <w:rPr>
                <w:sz w:val="22"/>
                <w:szCs w:val="22"/>
                <w:lang w:val="es-ES"/>
              </w:rPr>
              <w:t>4</w:t>
            </w:r>
          </w:p>
        </w:tc>
        <w:tc>
          <w:tcPr>
            <w:tcW w:w="8407" w:type="dxa"/>
          </w:tcPr>
          <w:p w14:paraId="287BB65F" w14:textId="77777777" w:rsidR="00C36261" w:rsidRPr="004C3810" w:rsidRDefault="00C36261" w:rsidP="006A7377">
            <w:pPr>
              <w:jc w:val="both"/>
              <w:rPr>
                <w:sz w:val="22"/>
                <w:szCs w:val="22"/>
                <w:lang w:val="es-ES"/>
              </w:rPr>
            </w:pPr>
            <w:r w:rsidRPr="004C3810">
              <w:rPr>
                <w:sz w:val="22"/>
                <w:szCs w:val="22"/>
                <w:lang w:val="es-ES"/>
              </w:rPr>
              <w:t>Pérdida de biodiversidad y colapso de ecosistemas</w:t>
            </w:r>
          </w:p>
        </w:tc>
      </w:tr>
      <w:tr w:rsidR="00C36261" w:rsidRPr="004C3810" w14:paraId="51E77354" w14:textId="77777777" w:rsidTr="006A7377">
        <w:tc>
          <w:tcPr>
            <w:tcW w:w="421" w:type="dxa"/>
          </w:tcPr>
          <w:p w14:paraId="5F28AFB9" w14:textId="77777777" w:rsidR="00C36261" w:rsidRPr="004C3810" w:rsidRDefault="00C36261" w:rsidP="006A7377">
            <w:pPr>
              <w:jc w:val="both"/>
              <w:rPr>
                <w:sz w:val="22"/>
                <w:szCs w:val="22"/>
                <w:lang w:val="es-ES"/>
              </w:rPr>
            </w:pPr>
            <w:r w:rsidRPr="004C3810">
              <w:rPr>
                <w:sz w:val="22"/>
                <w:szCs w:val="22"/>
                <w:lang w:val="es-ES"/>
              </w:rPr>
              <w:t>5</w:t>
            </w:r>
          </w:p>
        </w:tc>
        <w:tc>
          <w:tcPr>
            <w:tcW w:w="8407" w:type="dxa"/>
          </w:tcPr>
          <w:p w14:paraId="36EA345C" w14:textId="77777777" w:rsidR="00C36261" w:rsidRPr="004C3810" w:rsidRDefault="00C36261" w:rsidP="006A7377">
            <w:pPr>
              <w:jc w:val="both"/>
              <w:rPr>
                <w:sz w:val="22"/>
                <w:szCs w:val="22"/>
                <w:lang w:val="es-ES"/>
              </w:rPr>
            </w:pPr>
            <w:r w:rsidRPr="004C3810">
              <w:rPr>
                <w:sz w:val="22"/>
                <w:szCs w:val="22"/>
                <w:lang w:val="es-ES"/>
              </w:rPr>
              <w:t>Migración involuntaria a gran escala</w:t>
            </w:r>
          </w:p>
        </w:tc>
      </w:tr>
      <w:tr w:rsidR="00C36261" w:rsidRPr="004C3810" w14:paraId="044CE1FA" w14:textId="77777777" w:rsidTr="006A7377">
        <w:tc>
          <w:tcPr>
            <w:tcW w:w="421" w:type="dxa"/>
          </w:tcPr>
          <w:p w14:paraId="3740496A" w14:textId="77777777" w:rsidR="00C36261" w:rsidRPr="004C3810" w:rsidRDefault="00C36261" w:rsidP="006A7377">
            <w:pPr>
              <w:jc w:val="both"/>
              <w:rPr>
                <w:sz w:val="22"/>
                <w:szCs w:val="22"/>
                <w:lang w:val="es-ES"/>
              </w:rPr>
            </w:pPr>
            <w:r w:rsidRPr="004C3810">
              <w:rPr>
                <w:sz w:val="22"/>
                <w:szCs w:val="22"/>
                <w:lang w:val="es-ES"/>
              </w:rPr>
              <w:t>6</w:t>
            </w:r>
          </w:p>
        </w:tc>
        <w:tc>
          <w:tcPr>
            <w:tcW w:w="8407" w:type="dxa"/>
          </w:tcPr>
          <w:p w14:paraId="384D3090" w14:textId="77777777" w:rsidR="00C36261" w:rsidRPr="004C3810" w:rsidRDefault="00C36261" w:rsidP="006A7377">
            <w:pPr>
              <w:jc w:val="both"/>
              <w:rPr>
                <w:sz w:val="22"/>
                <w:szCs w:val="22"/>
                <w:lang w:val="es-ES"/>
              </w:rPr>
            </w:pPr>
            <w:r w:rsidRPr="004C3810">
              <w:rPr>
                <w:sz w:val="22"/>
                <w:szCs w:val="22"/>
                <w:lang w:val="es-ES"/>
              </w:rPr>
              <w:t>Crisis de recursos naturales</w:t>
            </w:r>
          </w:p>
        </w:tc>
      </w:tr>
      <w:tr w:rsidR="00C36261" w:rsidRPr="004C3810" w14:paraId="0F9504B5" w14:textId="77777777" w:rsidTr="006A7377">
        <w:tc>
          <w:tcPr>
            <w:tcW w:w="421" w:type="dxa"/>
          </w:tcPr>
          <w:p w14:paraId="1485E93F" w14:textId="77777777" w:rsidR="00C36261" w:rsidRPr="004C3810" w:rsidRDefault="00C36261" w:rsidP="006A7377">
            <w:pPr>
              <w:jc w:val="both"/>
              <w:rPr>
                <w:sz w:val="22"/>
                <w:szCs w:val="22"/>
                <w:lang w:val="es-ES"/>
              </w:rPr>
            </w:pPr>
            <w:r w:rsidRPr="004C3810">
              <w:rPr>
                <w:sz w:val="22"/>
                <w:szCs w:val="22"/>
                <w:lang w:val="es-ES"/>
              </w:rPr>
              <w:t>7</w:t>
            </w:r>
          </w:p>
        </w:tc>
        <w:tc>
          <w:tcPr>
            <w:tcW w:w="8407" w:type="dxa"/>
          </w:tcPr>
          <w:p w14:paraId="7051DCEB" w14:textId="77777777" w:rsidR="00C36261" w:rsidRPr="004C3810" w:rsidRDefault="00C36261" w:rsidP="006A7377">
            <w:pPr>
              <w:jc w:val="both"/>
              <w:rPr>
                <w:sz w:val="22"/>
                <w:szCs w:val="22"/>
                <w:lang w:val="es-ES"/>
              </w:rPr>
            </w:pPr>
            <w:r w:rsidRPr="004C3810">
              <w:rPr>
                <w:noProof/>
                <w:sz w:val="22"/>
                <w:szCs w:val="22"/>
                <w:lang w:val="es-ES"/>
              </w:rPr>
              <mc:AlternateContent>
                <mc:Choice Requires="wps">
                  <w:drawing>
                    <wp:anchor distT="0" distB="0" distL="114300" distR="114300" simplePos="0" relativeHeight="251673600" behindDoc="0" locked="0" layoutInCell="1" allowOverlap="1" wp14:anchorId="41C45C1B" wp14:editId="250E4D61">
                      <wp:simplePos x="0" y="0"/>
                      <wp:positionH relativeFrom="column">
                        <wp:posOffset>-361315</wp:posOffset>
                      </wp:positionH>
                      <wp:positionV relativeFrom="paragraph">
                        <wp:posOffset>-172361</wp:posOffset>
                      </wp:positionV>
                      <wp:extent cx="5605145" cy="159026"/>
                      <wp:effectExtent l="0" t="0" r="14605" b="12700"/>
                      <wp:wrapNone/>
                      <wp:docPr id="121" name="Rectángulo 121"/>
                      <wp:cNvGraphicFramePr/>
                      <a:graphic xmlns:a="http://schemas.openxmlformats.org/drawingml/2006/main">
                        <a:graphicData uri="http://schemas.microsoft.com/office/word/2010/wordprocessingShape">
                          <wps:wsp>
                            <wps:cNvSpPr/>
                            <wps:spPr>
                              <a:xfrm>
                                <a:off x="0" y="0"/>
                                <a:ext cx="5605145" cy="159026"/>
                              </a:xfrm>
                              <a:prstGeom prst="rect">
                                <a:avLst/>
                              </a:prstGeom>
                              <a:noFill/>
                              <a:ln w="25400" cap="flat" cmpd="sng" algn="ctr">
                                <a:solidFill>
                                  <a:srgbClr val="4472C4">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3A61CD" id="Rectángulo 121" o:spid="_x0000_s1026" style="position:absolute;margin-left:-28.45pt;margin-top:-13.55pt;width:441.35pt;height: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" filled="f" strokecolor="#2f5597" strokeweight="2pt"/>
                  </w:pict>
                </mc:Fallback>
              </mc:AlternateContent>
            </w:r>
            <w:r w:rsidRPr="004C3810">
              <w:rPr>
                <w:sz w:val="22"/>
                <w:szCs w:val="22"/>
                <w:lang w:val="es-ES"/>
              </w:rPr>
              <w:t>Falta de cohesión social y polarización</w:t>
            </w:r>
          </w:p>
        </w:tc>
      </w:tr>
      <w:tr w:rsidR="00C36261" w:rsidRPr="004C3810" w14:paraId="7D801BD2" w14:textId="77777777" w:rsidTr="006A7377">
        <w:tc>
          <w:tcPr>
            <w:tcW w:w="421" w:type="dxa"/>
          </w:tcPr>
          <w:p w14:paraId="62E2456E" w14:textId="77777777" w:rsidR="00C36261" w:rsidRPr="004C3810" w:rsidRDefault="00C36261" w:rsidP="006A7377">
            <w:pPr>
              <w:jc w:val="both"/>
              <w:rPr>
                <w:sz w:val="22"/>
                <w:szCs w:val="22"/>
                <w:lang w:val="es-ES"/>
              </w:rPr>
            </w:pPr>
            <w:r w:rsidRPr="004C3810">
              <w:rPr>
                <w:sz w:val="22"/>
                <w:szCs w:val="22"/>
                <w:lang w:val="es-ES"/>
              </w:rPr>
              <w:t>8</w:t>
            </w:r>
          </w:p>
        </w:tc>
        <w:tc>
          <w:tcPr>
            <w:tcW w:w="8407" w:type="dxa"/>
          </w:tcPr>
          <w:p w14:paraId="1D8E7736" w14:textId="77777777" w:rsidR="00C36261" w:rsidRPr="004C3810" w:rsidRDefault="00C36261" w:rsidP="006A7377">
            <w:pPr>
              <w:jc w:val="both"/>
              <w:rPr>
                <w:sz w:val="22"/>
                <w:szCs w:val="22"/>
                <w:lang w:val="es-ES"/>
              </w:rPr>
            </w:pPr>
            <w:r w:rsidRPr="004C3810">
              <w:rPr>
                <w:sz w:val="22"/>
                <w:szCs w:val="22"/>
                <w:lang w:val="es-ES"/>
              </w:rPr>
              <w:t>Cibercrimen e inseguridad cibernética</w:t>
            </w:r>
          </w:p>
        </w:tc>
      </w:tr>
      <w:tr w:rsidR="00C36261" w:rsidRPr="004C3810" w14:paraId="30AAF4DF" w14:textId="77777777" w:rsidTr="006A7377">
        <w:tc>
          <w:tcPr>
            <w:tcW w:w="421" w:type="dxa"/>
          </w:tcPr>
          <w:p w14:paraId="36B832E3" w14:textId="77777777" w:rsidR="00C36261" w:rsidRPr="004C3810" w:rsidRDefault="00C36261" w:rsidP="006A7377">
            <w:pPr>
              <w:jc w:val="both"/>
              <w:rPr>
                <w:sz w:val="22"/>
                <w:szCs w:val="22"/>
                <w:lang w:val="es-ES"/>
              </w:rPr>
            </w:pPr>
            <w:r w:rsidRPr="004C3810">
              <w:rPr>
                <w:sz w:val="22"/>
                <w:szCs w:val="22"/>
                <w:lang w:val="es-ES"/>
              </w:rPr>
              <w:t>9</w:t>
            </w:r>
          </w:p>
        </w:tc>
        <w:tc>
          <w:tcPr>
            <w:tcW w:w="8407" w:type="dxa"/>
          </w:tcPr>
          <w:p w14:paraId="53850202" w14:textId="77777777" w:rsidR="00C36261" w:rsidRPr="004C3810" w:rsidRDefault="00C36261" w:rsidP="006A7377">
            <w:pPr>
              <w:jc w:val="both"/>
              <w:rPr>
                <w:sz w:val="22"/>
                <w:szCs w:val="22"/>
                <w:lang w:val="es-ES"/>
              </w:rPr>
            </w:pPr>
            <w:r w:rsidRPr="004C3810">
              <w:rPr>
                <w:sz w:val="22"/>
                <w:szCs w:val="22"/>
                <w:lang w:val="es-ES"/>
              </w:rPr>
              <w:t>Confrontación geoeconómica</w:t>
            </w:r>
          </w:p>
        </w:tc>
      </w:tr>
      <w:tr w:rsidR="00C36261" w:rsidRPr="004C3810" w14:paraId="2A40CD62" w14:textId="77777777" w:rsidTr="006A7377">
        <w:tc>
          <w:tcPr>
            <w:tcW w:w="421" w:type="dxa"/>
          </w:tcPr>
          <w:p w14:paraId="2980E94D" w14:textId="77777777" w:rsidR="00C36261" w:rsidRPr="004C3810" w:rsidRDefault="00C36261" w:rsidP="006A7377">
            <w:pPr>
              <w:jc w:val="both"/>
              <w:rPr>
                <w:sz w:val="22"/>
                <w:szCs w:val="22"/>
                <w:lang w:val="es-ES"/>
              </w:rPr>
            </w:pPr>
            <w:r w:rsidRPr="004C3810">
              <w:rPr>
                <w:sz w:val="22"/>
                <w:szCs w:val="22"/>
                <w:lang w:val="es-ES"/>
              </w:rPr>
              <w:t>10</w:t>
            </w:r>
          </w:p>
        </w:tc>
        <w:tc>
          <w:tcPr>
            <w:tcW w:w="8407" w:type="dxa"/>
          </w:tcPr>
          <w:p w14:paraId="51830417" w14:textId="77777777" w:rsidR="00C36261" w:rsidRPr="004C3810" w:rsidRDefault="00C36261" w:rsidP="006A7377">
            <w:pPr>
              <w:jc w:val="both"/>
              <w:rPr>
                <w:sz w:val="22"/>
                <w:szCs w:val="22"/>
                <w:lang w:val="es-ES"/>
              </w:rPr>
            </w:pPr>
            <w:r w:rsidRPr="004C3810">
              <w:rPr>
                <w:sz w:val="22"/>
                <w:szCs w:val="22"/>
                <w:lang w:val="es-ES"/>
              </w:rPr>
              <w:t>Incidentes y daños ambientales a gran escala</w:t>
            </w:r>
          </w:p>
        </w:tc>
      </w:tr>
    </w:tbl>
    <w:p w14:paraId="1313F914" w14:textId="77777777" w:rsidR="00C36261" w:rsidRDefault="00C36261" w:rsidP="00C36261">
      <w:pPr>
        <w:jc w:val="both"/>
        <w:rPr>
          <w:u w:val="single"/>
          <w:lang w:val="es-ES"/>
        </w:rPr>
      </w:pPr>
    </w:p>
    <w:p w14:paraId="00472AE4" w14:textId="77777777" w:rsidR="00C36261" w:rsidRDefault="00C36261" w:rsidP="00C36261">
      <w:pPr>
        <w:jc w:val="both"/>
        <w:rPr>
          <w:lang w:val="es-ES"/>
        </w:rPr>
      </w:pPr>
      <w:r>
        <w:rPr>
          <w:lang w:val="es-ES"/>
        </w:rPr>
        <w:lastRenderedPageBreak/>
        <w:t>Como se puede evidenciar con</w:t>
      </w:r>
      <w:r w:rsidRPr="00283502">
        <w:t xml:space="preserve"> </w:t>
      </w:r>
      <w:r>
        <w:t>los resultados del</w:t>
      </w:r>
      <w:r w:rsidRPr="00283502">
        <w:rPr>
          <w:lang w:val="es-ES"/>
        </w:rPr>
        <w:t xml:space="preserve"> Índice de Riesgo Global del Foro Económico Mundial</w:t>
      </w:r>
      <w:r>
        <w:rPr>
          <w:lang w:val="es-ES"/>
        </w:rPr>
        <w:t>, l</w:t>
      </w:r>
      <w:r w:rsidRPr="00FC1EC6">
        <w:rPr>
          <w:lang w:val="es-ES"/>
        </w:rPr>
        <w:t xml:space="preserve">os riesgos climáticos y ambientales son </w:t>
      </w:r>
      <w:r>
        <w:rPr>
          <w:lang w:val="es-ES"/>
        </w:rPr>
        <w:t xml:space="preserve">los riesgos globales de mayor incidencia en el presente y sobre todo </w:t>
      </w:r>
      <w:r w:rsidRPr="00FC1EC6">
        <w:rPr>
          <w:lang w:val="es-ES"/>
        </w:rPr>
        <w:t>durante la próxima década</w:t>
      </w:r>
      <w:r>
        <w:rPr>
          <w:lang w:val="es-ES"/>
        </w:rPr>
        <w:t>. A consecuencia de</w:t>
      </w:r>
      <w:r w:rsidRPr="00FC1EC6">
        <w:rPr>
          <w:lang w:val="es-ES"/>
        </w:rPr>
        <w:t xml:space="preserve"> las crisis actuales </w:t>
      </w:r>
      <w:r>
        <w:rPr>
          <w:lang w:val="es-ES"/>
        </w:rPr>
        <w:t>y la creciente demanda de recursos tanto del sector privado como del público, l</w:t>
      </w:r>
      <w:r w:rsidRPr="00FC1EC6">
        <w:rPr>
          <w:lang w:val="es-ES"/>
        </w:rPr>
        <w:t xml:space="preserve">a pérdida de </w:t>
      </w:r>
      <w:r>
        <w:rPr>
          <w:lang w:val="es-ES"/>
        </w:rPr>
        <w:t xml:space="preserve">recursos naturales </w:t>
      </w:r>
      <w:r w:rsidRPr="00FC1EC6">
        <w:rPr>
          <w:lang w:val="es-ES"/>
        </w:rPr>
        <w:t>y el cambio climático</w:t>
      </w:r>
      <w:r>
        <w:rPr>
          <w:lang w:val="es-ES"/>
        </w:rPr>
        <w:t xml:space="preserve"> impacta de forma directa o indirecta a los demás riesgos, provocando que, el nivel de riesgo e impactos para la población y la economía sea mayor </w:t>
      </w:r>
      <w:r w:rsidRPr="00FC1EC6">
        <w:rPr>
          <w:lang w:val="es-ES"/>
        </w:rPr>
        <w:t>en economías vulnerables al clima</w:t>
      </w:r>
      <w:r>
        <w:rPr>
          <w:lang w:val="es-ES"/>
        </w:rPr>
        <w:t xml:space="preserve"> como la de Guatemala</w:t>
      </w:r>
      <w:r w:rsidRPr="00FC1EC6">
        <w:rPr>
          <w:lang w:val="es-ES"/>
        </w:rPr>
        <w:t xml:space="preserve">, </w:t>
      </w:r>
      <w:r>
        <w:rPr>
          <w:lang w:val="es-ES"/>
        </w:rPr>
        <w:t xml:space="preserve">aumentando así,  </w:t>
      </w:r>
      <w:r w:rsidRPr="00FC1EC6">
        <w:rPr>
          <w:lang w:val="es-ES"/>
        </w:rPr>
        <w:t xml:space="preserve">los impactos de los desastres </w:t>
      </w:r>
      <w:r>
        <w:rPr>
          <w:lang w:val="es-ES"/>
        </w:rPr>
        <w:t>provocados por fenómenos naturales</w:t>
      </w:r>
      <w:r w:rsidRPr="00FC1EC6">
        <w:rPr>
          <w:lang w:val="es-ES"/>
        </w:rPr>
        <w:t>, y limitar aún más</w:t>
      </w:r>
      <w:r>
        <w:rPr>
          <w:lang w:val="es-ES"/>
        </w:rPr>
        <w:t xml:space="preserve"> </w:t>
      </w:r>
      <w:r w:rsidRPr="00FC1EC6">
        <w:rPr>
          <w:lang w:val="es-ES"/>
        </w:rPr>
        <w:t>avances en la mitigación del cambio climático</w:t>
      </w:r>
      <w:r>
        <w:rPr>
          <w:lang w:val="es-ES"/>
        </w:rPr>
        <w:t xml:space="preserve"> provocando un peso mayor sobre las finanzas públicas tanto para prevención, reducción y atención a desastres provocados por fenómenos naturales. </w:t>
      </w:r>
    </w:p>
    <w:p w14:paraId="45453043" w14:textId="77777777" w:rsidR="00C36261" w:rsidRDefault="00C36261" w:rsidP="00C36261">
      <w:pPr>
        <w:jc w:val="both"/>
        <w:rPr>
          <w:lang w:val="es-ES"/>
        </w:rPr>
      </w:pPr>
    </w:p>
    <w:p w14:paraId="0A596677" w14:textId="77777777" w:rsidR="00C36261" w:rsidRDefault="00C36261" w:rsidP="00C36261">
      <w:pPr>
        <w:jc w:val="both"/>
        <w:rPr>
          <w:lang w:val="es-ES"/>
        </w:rPr>
      </w:pPr>
      <w:r w:rsidRPr="00063B7D">
        <w:rPr>
          <w:lang w:val="es-ES"/>
        </w:rPr>
        <w:t xml:space="preserve">Según el Foro Económico Mundial con el apoyo de La Fundación para el Desarrollo de Guatemala - FUNDESA para Guatemala, los riesgos </w:t>
      </w:r>
      <w:r>
        <w:rPr>
          <w:lang w:val="es-ES"/>
        </w:rPr>
        <w:t xml:space="preserve">para el país </w:t>
      </w:r>
      <w:r w:rsidRPr="00063B7D">
        <w:rPr>
          <w:lang w:val="es-ES"/>
        </w:rPr>
        <w:t xml:space="preserve">más importantes para el año 2025 están relacionados con: desastres naturales, colapso de los servicios e infraestructura pública, estancamiento económico, colapso de las instituciones del Estado y la inequidad digital. El Índice coloca a Guatemala en el puesto 35 de 191 países con una clase de riesgo alto, lo que quiere decir que, sin realizar cambios significativos </w:t>
      </w:r>
      <w:r>
        <w:rPr>
          <w:lang w:val="es-ES"/>
        </w:rPr>
        <w:t>en la forma en que invertimos, desarrollamos y crecemos como país</w:t>
      </w:r>
      <w:r w:rsidRPr="00063B7D">
        <w:rPr>
          <w:lang w:val="es-ES"/>
        </w:rPr>
        <w:t xml:space="preserve"> , los impactos del cambio climático y la aceleración del consumo de recursos naturales podrían llevar a </w:t>
      </w:r>
      <w:r>
        <w:rPr>
          <w:lang w:val="es-ES"/>
        </w:rPr>
        <w:t>mayor impacto</w:t>
      </w:r>
      <w:r w:rsidRPr="00063B7D">
        <w:rPr>
          <w:lang w:val="es-ES"/>
        </w:rPr>
        <w:t xml:space="preserve"> en los ecosistemas y por lo tanto en la economía, ya que se verían amenazados los suministros de comida, </w:t>
      </w:r>
      <w:r>
        <w:rPr>
          <w:lang w:val="es-ES"/>
        </w:rPr>
        <w:t>medios de vida de la población</w:t>
      </w:r>
      <w:r w:rsidRPr="00063B7D">
        <w:rPr>
          <w:lang w:val="es-ES"/>
        </w:rPr>
        <w:t xml:space="preserve"> y aumentaría la vulnerabilidad </w:t>
      </w:r>
      <w:r>
        <w:rPr>
          <w:lang w:val="es-ES"/>
        </w:rPr>
        <w:t xml:space="preserve">a nivel nacional </w:t>
      </w:r>
      <w:r w:rsidRPr="00063B7D">
        <w:rPr>
          <w:lang w:val="es-ES"/>
        </w:rPr>
        <w:t>a los cambios del clima intensificando los impactos de los desastres causado por fenómenos naturales</w:t>
      </w:r>
      <w:r>
        <w:rPr>
          <w:lang w:val="es-ES"/>
        </w:rPr>
        <w:t xml:space="preserve"> lo que impacta de forma directa las finanzas del Estado que, además de la atención de dichos desastres también debe de atender otras necesidades de la población y estar preparado para tender también otro tipo de externalidades.  </w:t>
      </w:r>
    </w:p>
    <w:p w14:paraId="22BCA937" w14:textId="77777777" w:rsidR="00C36261" w:rsidRPr="00063B7D" w:rsidRDefault="00C36261" w:rsidP="00C36261">
      <w:pPr>
        <w:jc w:val="both"/>
        <w:rPr>
          <w:lang w:val="es-ES"/>
        </w:rPr>
      </w:pPr>
    </w:p>
    <w:p w14:paraId="3AB46F7C" w14:textId="77777777" w:rsidR="00C36261" w:rsidRPr="00E40BC4" w:rsidRDefault="00C36261" w:rsidP="000E12CF">
      <w:pPr>
        <w:pStyle w:val="Prrafodelista"/>
        <w:keepNext/>
        <w:numPr>
          <w:ilvl w:val="0"/>
          <w:numId w:val="14"/>
        </w:numPr>
        <w:ind w:right="49"/>
        <w:contextualSpacing w:val="0"/>
        <w:outlineLvl w:val="0"/>
        <w:rPr>
          <w:b/>
          <w:vanish/>
          <w:highlight w:val="yellow"/>
        </w:rPr>
      </w:pPr>
      <w:bookmarkStart w:id="812" w:name="_Toc110522972"/>
      <w:bookmarkStart w:id="813" w:name="_Toc143252289"/>
      <w:bookmarkStart w:id="814" w:name="_Toc143252433"/>
      <w:bookmarkStart w:id="815" w:name="_Toc143252575"/>
      <w:bookmarkStart w:id="816" w:name="_Toc143874105"/>
      <w:bookmarkStart w:id="817" w:name="_Toc143874250"/>
      <w:bookmarkStart w:id="818" w:name="_Toc144114016"/>
      <w:bookmarkStart w:id="819" w:name="_Toc144114174"/>
      <w:bookmarkStart w:id="820" w:name="_Toc144114320"/>
      <w:bookmarkStart w:id="821" w:name="_Toc144114464"/>
      <w:bookmarkEnd w:id="812"/>
      <w:bookmarkEnd w:id="813"/>
      <w:bookmarkEnd w:id="814"/>
      <w:bookmarkEnd w:id="815"/>
      <w:bookmarkEnd w:id="816"/>
      <w:bookmarkEnd w:id="817"/>
      <w:bookmarkEnd w:id="818"/>
      <w:bookmarkEnd w:id="819"/>
      <w:bookmarkEnd w:id="820"/>
      <w:bookmarkEnd w:id="821"/>
    </w:p>
    <w:p w14:paraId="7B13C3CF" w14:textId="77777777" w:rsidR="00447AA7" w:rsidRPr="00447AA7" w:rsidRDefault="00447AA7" w:rsidP="00447AA7">
      <w:pPr>
        <w:pStyle w:val="Prrafodelista"/>
        <w:keepNext/>
        <w:widowControl w:val="0"/>
        <w:numPr>
          <w:ilvl w:val="0"/>
          <w:numId w:val="35"/>
        </w:numPr>
        <w:contextualSpacing w:val="0"/>
        <w:outlineLvl w:val="1"/>
        <w:rPr>
          <w:rFonts w:eastAsiaTheme="minorHAnsi"/>
          <w:b/>
          <w:bCs/>
          <w:vanish/>
          <w:color w:val="000000"/>
          <w:lang w:eastAsia="en-US"/>
        </w:rPr>
      </w:pPr>
      <w:bookmarkStart w:id="822" w:name="_Toc143252290"/>
      <w:bookmarkStart w:id="823" w:name="_Toc143252434"/>
      <w:bookmarkStart w:id="824" w:name="_Toc143252576"/>
      <w:bookmarkStart w:id="825" w:name="_Toc143874106"/>
      <w:bookmarkStart w:id="826" w:name="_Toc143874251"/>
      <w:bookmarkStart w:id="827" w:name="_Toc144114017"/>
      <w:bookmarkStart w:id="828" w:name="_Toc144114175"/>
      <w:bookmarkStart w:id="829" w:name="_Toc144114321"/>
      <w:bookmarkStart w:id="830" w:name="_Toc144114465"/>
      <w:bookmarkStart w:id="831" w:name="_Toc110522973"/>
      <w:bookmarkEnd w:id="822"/>
      <w:bookmarkEnd w:id="823"/>
      <w:bookmarkEnd w:id="824"/>
      <w:bookmarkEnd w:id="825"/>
      <w:bookmarkEnd w:id="826"/>
      <w:bookmarkEnd w:id="827"/>
      <w:bookmarkEnd w:id="828"/>
      <w:bookmarkEnd w:id="829"/>
      <w:bookmarkEnd w:id="830"/>
    </w:p>
    <w:p w14:paraId="3725ACFB" w14:textId="7862A2FD" w:rsidR="00C36261" w:rsidRPr="00447AA7" w:rsidRDefault="00C36261" w:rsidP="000E01EC">
      <w:pPr>
        <w:pStyle w:val="Ttulo2"/>
        <w:numPr>
          <w:ilvl w:val="1"/>
          <w:numId w:val="35"/>
        </w:numPr>
        <w:ind w:left="426" w:hanging="284"/>
        <w:rPr>
          <w:bCs/>
        </w:rPr>
      </w:pPr>
      <w:bookmarkStart w:id="832" w:name="_Toc144114466"/>
      <w:r w:rsidRPr="00447AA7">
        <w:rPr>
          <w:bCs/>
        </w:rPr>
        <w:t>Desastres provocados por tipo de fenómenos naturales en Guatemala</w:t>
      </w:r>
      <w:bookmarkEnd w:id="831"/>
      <w:bookmarkEnd w:id="832"/>
    </w:p>
    <w:p w14:paraId="3B69F738" w14:textId="77777777" w:rsidR="00C36261" w:rsidRDefault="00C36261" w:rsidP="00C36261">
      <w:pPr>
        <w:jc w:val="both"/>
        <w:rPr>
          <w:lang w:val="es-ES"/>
        </w:rPr>
      </w:pPr>
    </w:p>
    <w:p w14:paraId="6B3DF79B" w14:textId="77777777" w:rsidR="00C36261" w:rsidRPr="00447AA7" w:rsidRDefault="00C36261" w:rsidP="000E01EC">
      <w:pPr>
        <w:pStyle w:val="Ttulo2"/>
        <w:numPr>
          <w:ilvl w:val="2"/>
          <w:numId w:val="35"/>
        </w:numPr>
        <w:tabs>
          <w:tab w:val="left" w:pos="993"/>
        </w:tabs>
        <w:ind w:left="567" w:hanging="283"/>
        <w:rPr>
          <w:bCs/>
        </w:rPr>
      </w:pPr>
      <w:bookmarkStart w:id="833" w:name="_Toc144114467"/>
      <w:r w:rsidRPr="00447AA7">
        <w:rPr>
          <w:bCs/>
        </w:rPr>
        <w:t>Volcanes</w:t>
      </w:r>
      <w:bookmarkEnd w:id="833"/>
    </w:p>
    <w:p w14:paraId="4350F476" w14:textId="77777777" w:rsidR="00C36261" w:rsidRDefault="00C36261" w:rsidP="00C36261">
      <w:pPr>
        <w:jc w:val="both"/>
        <w:rPr>
          <w:lang w:val="es-ES"/>
        </w:rPr>
      </w:pPr>
    </w:p>
    <w:p w14:paraId="13BF3626" w14:textId="77777777" w:rsidR="00C36261" w:rsidRDefault="00C36261" w:rsidP="00C36261">
      <w:pPr>
        <w:jc w:val="both"/>
        <w:rPr>
          <w:lang w:val="es-ES"/>
        </w:rPr>
      </w:pPr>
      <w:r>
        <w:t xml:space="preserve">Según información del INSIVUMEH, en Guatemala existen aproximadamente 324 estructuras identificadas como de origen volcánico, 29 son considerados “volcanes”, y de éstos solamente 8 tienen reportes de actividad en tiempos históricos. Cuatro son los más activos actualmente: Tacaná, Santiaguito, Fuego y Pacaya. </w:t>
      </w:r>
      <w:r w:rsidRPr="00EE7387">
        <w:rPr>
          <w:lang w:val="es-ES"/>
        </w:rPr>
        <w:t>Los volcanes pueden producir peligros durante y después una erupción. La mayoría de las amenazas solo afectan las zonas vecinas al volcán, en un radio de pocos a algunas decenas de kilómetros. Pero otros en combinación con las condiciones meteorológicas, el viento y lluvia, pueden ser transportados a grandes distancias. Dentro de las amenazas volcánicas se pueden mencionar:</w:t>
      </w:r>
    </w:p>
    <w:p w14:paraId="298D1D22" w14:textId="77777777" w:rsidR="00C36261" w:rsidRPr="00EE7387" w:rsidRDefault="00C36261" w:rsidP="00C36261">
      <w:pPr>
        <w:jc w:val="both"/>
        <w:rPr>
          <w:lang w:val="es-ES"/>
        </w:rPr>
      </w:pPr>
    </w:p>
    <w:p w14:paraId="25A36636" w14:textId="753D0C6B" w:rsidR="00C36261" w:rsidRDefault="00C36261" w:rsidP="00CA2251">
      <w:pPr>
        <w:pStyle w:val="Prrafodelista"/>
        <w:widowControl w:val="0"/>
        <w:numPr>
          <w:ilvl w:val="0"/>
          <w:numId w:val="33"/>
        </w:numPr>
        <w:jc w:val="both"/>
        <w:rPr>
          <w:lang w:val="es-ES"/>
        </w:rPr>
      </w:pPr>
      <w:r w:rsidRPr="00CA2251">
        <w:rPr>
          <w:i/>
          <w:iCs/>
        </w:rPr>
        <w:t xml:space="preserve">Flujo de lava: </w:t>
      </w:r>
      <w:r w:rsidRPr="004C3810">
        <w:t>Masa de roca fundida que sale sobre la superficie terrestre durante una erupción efusiva. Las temperaturas de flujos de lava pueden variar entre 900 y 1200 °C, y hay variaciones en la viscosidad la lava, dependiente en su composición.</w:t>
      </w:r>
      <w:r w:rsidRPr="00EE7387">
        <w:rPr>
          <w:lang w:val="es-ES"/>
        </w:rPr>
        <w:t xml:space="preserve"> </w:t>
      </w:r>
    </w:p>
    <w:p w14:paraId="0894FCB0" w14:textId="5F372E12" w:rsidR="00C36261" w:rsidRDefault="00C36261" w:rsidP="004C3810">
      <w:pPr>
        <w:pStyle w:val="Prrafodelista"/>
        <w:widowControl w:val="0"/>
        <w:numPr>
          <w:ilvl w:val="0"/>
          <w:numId w:val="33"/>
        </w:numPr>
        <w:jc w:val="both"/>
        <w:rPr>
          <w:lang w:val="es-ES"/>
        </w:rPr>
      </w:pPr>
      <w:r w:rsidRPr="004C3810">
        <w:rPr>
          <w:i/>
          <w:iCs/>
          <w:lang w:val="es-ES"/>
        </w:rPr>
        <w:t>Flujo piroclástico:</w:t>
      </w:r>
      <w:r w:rsidRPr="004C3810">
        <w:rPr>
          <w:lang w:val="es-ES"/>
        </w:rPr>
        <w:t xml:space="preserve"> Inmensa avalancha de rocas, ceniza y gas calientes, de origen volcánicos que avanza ladera debajo de un volcán, a velocidades tan grandes como 100 km/</w:t>
      </w:r>
      <w:proofErr w:type="spellStart"/>
      <w:r w:rsidRPr="004C3810">
        <w:rPr>
          <w:lang w:val="es-ES"/>
        </w:rPr>
        <w:t>hr</w:t>
      </w:r>
      <w:proofErr w:type="spellEnd"/>
      <w:r w:rsidRPr="004C3810">
        <w:rPr>
          <w:lang w:val="es-ES"/>
        </w:rPr>
        <w:t xml:space="preserve"> o más. La temperatura dentro del flujo puede alcanzar 500 °C, suficiente </w:t>
      </w:r>
      <w:r w:rsidRPr="004C3810">
        <w:rPr>
          <w:lang w:val="es-ES"/>
        </w:rPr>
        <w:lastRenderedPageBreak/>
        <w:t>para quemar y carbonizar la madera.</w:t>
      </w:r>
    </w:p>
    <w:p w14:paraId="4DCA5EAC" w14:textId="77777777" w:rsidR="004C3810" w:rsidRDefault="00C36261" w:rsidP="004C3810">
      <w:pPr>
        <w:pStyle w:val="Prrafodelista"/>
        <w:widowControl w:val="0"/>
        <w:numPr>
          <w:ilvl w:val="0"/>
          <w:numId w:val="33"/>
        </w:numPr>
        <w:jc w:val="both"/>
        <w:rPr>
          <w:lang w:val="es-ES"/>
        </w:rPr>
      </w:pPr>
      <w:r w:rsidRPr="004C3810">
        <w:rPr>
          <w:i/>
          <w:iCs/>
          <w:lang w:val="es-ES"/>
        </w:rPr>
        <w:t>Caída de ceniza:</w:t>
      </w:r>
      <w:r w:rsidRPr="004C3810">
        <w:rPr>
          <w:lang w:val="es-ES"/>
        </w:rPr>
        <w:t xml:space="preserve"> Rocas volcánicas muy pequeñas, como polvo o arena, que son arrojados al aire por explosiones o son acarreadas hacia arriba dentro de la atmósfera por gases en columnas de erupción</w:t>
      </w:r>
      <w:r w:rsidR="004C3810">
        <w:rPr>
          <w:lang w:val="es-ES"/>
        </w:rPr>
        <w:t>.</w:t>
      </w:r>
    </w:p>
    <w:p w14:paraId="048832C9" w14:textId="0E59F727" w:rsidR="00C36261" w:rsidRPr="004C3810" w:rsidRDefault="00C36261" w:rsidP="004C3810">
      <w:pPr>
        <w:pStyle w:val="Prrafodelista"/>
        <w:widowControl w:val="0"/>
        <w:numPr>
          <w:ilvl w:val="0"/>
          <w:numId w:val="33"/>
        </w:numPr>
        <w:jc w:val="both"/>
        <w:rPr>
          <w:lang w:val="es-ES"/>
        </w:rPr>
      </w:pPr>
      <w:r w:rsidRPr="004C3810">
        <w:rPr>
          <w:lang w:val="es-ES"/>
        </w:rPr>
        <w:t xml:space="preserve"> </w:t>
      </w:r>
      <w:r w:rsidRPr="004C3810">
        <w:rPr>
          <w:i/>
          <w:iCs/>
        </w:rPr>
        <w:t>Lahar:</w:t>
      </w:r>
      <w:r>
        <w:t xml:space="preserve"> Flujo de lodo que consiste en una mezcla de escombros de roca y agua que fluye rápidamente y que se origina en las laderas de un volcán. Estos flujos se forman principalmente por intensas lluvias sobre depósitos de cenizas o rocas volcánicas poco consolidados. </w:t>
      </w:r>
    </w:p>
    <w:p w14:paraId="78110961" w14:textId="594F87B4" w:rsidR="00C36261" w:rsidRPr="004C3810" w:rsidRDefault="00C36261" w:rsidP="004C3810">
      <w:pPr>
        <w:pStyle w:val="Prrafodelista"/>
        <w:widowControl w:val="0"/>
        <w:numPr>
          <w:ilvl w:val="0"/>
          <w:numId w:val="33"/>
        </w:numPr>
        <w:jc w:val="both"/>
        <w:rPr>
          <w:lang w:val="es-ES"/>
        </w:rPr>
      </w:pPr>
      <w:r w:rsidRPr="004C3810">
        <w:rPr>
          <w:i/>
          <w:iCs/>
        </w:rPr>
        <w:t>Bombas volcánicas:</w:t>
      </w:r>
      <w:r>
        <w:t xml:space="preserve"> Rocas de lava de consistencia plástica lanzadas desde el cráter durante una erupción, que se solidifican en el aire tomando formas redondeadas y aerodinámicas. </w:t>
      </w:r>
    </w:p>
    <w:p w14:paraId="40A1CF91" w14:textId="68824C0E" w:rsidR="00C36261" w:rsidRPr="004C3810" w:rsidRDefault="00C36261" w:rsidP="004C3810">
      <w:pPr>
        <w:pStyle w:val="Prrafodelista"/>
        <w:widowControl w:val="0"/>
        <w:numPr>
          <w:ilvl w:val="0"/>
          <w:numId w:val="33"/>
        </w:numPr>
        <w:jc w:val="both"/>
        <w:rPr>
          <w:lang w:val="es-ES"/>
        </w:rPr>
      </w:pPr>
      <w:r w:rsidRPr="004C3810">
        <w:rPr>
          <w:i/>
          <w:iCs/>
        </w:rPr>
        <w:t>Gas:</w:t>
      </w:r>
      <w:r>
        <w:t xml:space="preserve"> El magma contiene muchos gases, y son liberados durante las erupciones. Lo principales gases son: vapor de agua (90%, H2O), dióxido de azufre (SO2), monóxido de carbono (CO) y sulfuro de hidrogeno (HS). Volcanes pueden liberar los gases sin erupción, con fumarolas, pequeñas aberturas por la que escapan los gases volcánicos dentro de la atmósfera. </w:t>
      </w:r>
    </w:p>
    <w:p w14:paraId="1AA4B4EF" w14:textId="77777777" w:rsidR="00C36261" w:rsidRPr="00B25C48" w:rsidRDefault="00C36261" w:rsidP="00C36261">
      <w:pPr>
        <w:jc w:val="center"/>
        <w:rPr>
          <w:rFonts w:eastAsiaTheme="minorHAnsi"/>
          <w:b/>
          <w:sz w:val="22"/>
          <w:szCs w:val="22"/>
          <w:lang w:eastAsia="en-US"/>
        </w:rPr>
      </w:pPr>
    </w:p>
    <w:p w14:paraId="03C712A2" w14:textId="09CE2C05" w:rsidR="00C36261" w:rsidRPr="004C3810" w:rsidRDefault="004C3810" w:rsidP="00DF59FC">
      <w:pPr>
        <w:pStyle w:val="Descripcin"/>
        <w:rPr>
          <w:color w:val="auto"/>
        </w:rPr>
      </w:pPr>
      <w:bookmarkStart w:id="834" w:name="_Toc143593658"/>
      <w:r w:rsidRPr="004C3810">
        <w:rPr>
          <w:color w:val="auto"/>
        </w:rPr>
        <w:t xml:space="preserve">Gráfico </w:t>
      </w:r>
      <w:r w:rsidRPr="004C3810">
        <w:rPr>
          <w:color w:val="auto"/>
        </w:rPr>
        <w:fldChar w:fldCharType="begin"/>
      </w:r>
      <w:r w:rsidRPr="004C3810">
        <w:rPr>
          <w:color w:val="auto"/>
        </w:rPr>
        <w:instrText xml:space="preserve"> SEQ Gráfico \* ARABIC </w:instrText>
      </w:r>
      <w:r w:rsidRPr="004C3810">
        <w:rPr>
          <w:color w:val="auto"/>
        </w:rPr>
        <w:fldChar w:fldCharType="separate"/>
      </w:r>
      <w:r w:rsidR="00A62AFA">
        <w:rPr>
          <w:noProof/>
          <w:color w:val="auto"/>
        </w:rPr>
        <w:t>100</w:t>
      </w:r>
      <w:r w:rsidRPr="004C3810">
        <w:rPr>
          <w:color w:val="auto"/>
        </w:rPr>
        <w:fldChar w:fldCharType="end"/>
      </w:r>
      <w:r w:rsidRPr="004C3810">
        <w:rPr>
          <w:color w:val="auto"/>
        </w:rPr>
        <w:t>.  Volcanes de Guatemala</w:t>
      </w:r>
      <w:r w:rsidR="00C36261" w:rsidRPr="00B25C48">
        <w:rPr>
          <w:sz w:val="22"/>
          <w:szCs w:val="22"/>
        </w:rPr>
        <w:t xml:space="preserve"> </w:t>
      </w:r>
      <w:r w:rsidR="00C36261">
        <w:rPr>
          <w:noProof/>
          <w:lang w:val="es-ES"/>
        </w:rPr>
        <w:drawing>
          <wp:inline distT="0" distB="0" distL="0" distR="0" wp14:anchorId="30BB4659" wp14:editId="37030587">
            <wp:extent cx="5803647" cy="4490114"/>
            <wp:effectExtent l="0" t="0" r="6985" b="571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7">
                      <a:extLst>
                        <a:ext uri="{28A0092B-C50C-407E-A947-70E740481C1C}">
                          <a14:useLocalDpi xmlns:a14="http://schemas.microsoft.com/office/drawing/2010/main" val="0"/>
                        </a:ext>
                      </a:extLst>
                    </a:blip>
                    <a:srcRect t="5145"/>
                    <a:stretch/>
                  </pic:blipFill>
                  <pic:spPr bwMode="auto">
                    <a:xfrm>
                      <a:off x="0" y="0"/>
                      <a:ext cx="5870772" cy="4542047"/>
                    </a:xfrm>
                    <a:prstGeom prst="rect">
                      <a:avLst/>
                    </a:prstGeom>
                    <a:noFill/>
                    <a:ln>
                      <a:noFill/>
                    </a:ln>
                    <a:extLst>
                      <a:ext uri="{53640926-AAD7-44D8-BBD7-CCE9431645EC}">
                        <a14:shadowObscured xmlns:a14="http://schemas.microsoft.com/office/drawing/2010/main"/>
                      </a:ext>
                    </a:extLst>
                  </pic:spPr>
                </pic:pic>
              </a:graphicData>
            </a:graphic>
          </wp:inline>
        </w:drawing>
      </w:r>
      <w:bookmarkEnd w:id="834"/>
    </w:p>
    <w:p w14:paraId="07228EE5" w14:textId="5AE1F686" w:rsidR="00C36261" w:rsidRPr="004C3810" w:rsidRDefault="004C3810" w:rsidP="004C3810">
      <w:pPr>
        <w:rPr>
          <w:sz w:val="16"/>
          <w:szCs w:val="16"/>
          <w:lang w:val="es-ES"/>
        </w:rPr>
      </w:pPr>
      <w:r>
        <w:rPr>
          <w:sz w:val="16"/>
          <w:szCs w:val="16"/>
          <w:lang w:val="es-ES"/>
        </w:rPr>
        <w:t xml:space="preserve">     </w:t>
      </w:r>
      <w:r w:rsidR="00C36261" w:rsidRPr="004C3810">
        <w:rPr>
          <w:sz w:val="16"/>
          <w:szCs w:val="16"/>
          <w:lang w:val="es-ES"/>
        </w:rPr>
        <w:t>Fuente: volcanes guatemaltecos amenaza relativa, INSIVUMEH 2020</w:t>
      </w:r>
    </w:p>
    <w:p w14:paraId="53D0A9F4" w14:textId="77777777" w:rsidR="00C36261" w:rsidRDefault="00C36261" w:rsidP="00C36261">
      <w:pPr>
        <w:pStyle w:val="Prrafodelista"/>
        <w:ind w:left="1140"/>
        <w:jc w:val="both"/>
        <w:rPr>
          <w:lang w:val="es-ES"/>
        </w:rPr>
      </w:pPr>
    </w:p>
    <w:p w14:paraId="0714C96A" w14:textId="77777777" w:rsidR="00C36261" w:rsidRPr="006F1657" w:rsidRDefault="00C36261" w:rsidP="00C36261">
      <w:pPr>
        <w:jc w:val="both"/>
        <w:rPr>
          <w:lang w:val="es-ES"/>
        </w:rPr>
      </w:pPr>
      <w:r w:rsidRPr="00BC55DA">
        <w:rPr>
          <w:lang w:val="es-ES"/>
        </w:rPr>
        <w:lastRenderedPageBreak/>
        <w:t xml:space="preserve">Según informes de la Coordinadora Nacional para la Reducción de Desastres (CONRED) y el Instituto Nacional de Sismología, Vulcanología, Meteorología e Hidrología (INSIVUMEH) en lo que va del 2023, el país se ha visto </w:t>
      </w:r>
      <w:r>
        <w:rPr>
          <w:lang w:val="es-ES"/>
        </w:rPr>
        <w:t>afectado por</w:t>
      </w:r>
      <w:r w:rsidRPr="00BC55DA">
        <w:rPr>
          <w:lang w:val="es-ES"/>
        </w:rPr>
        <w:t xml:space="preserve"> explosiones débiles, moderadas y fuertes del Volcán de Fuego y Volcán Santiaguito, las cuales se acompañaron de columna de gas y ceniza. Para dichos eventos según datos de la CONRED, un aproximado de 130.000 personas estuvieron en riesgo de la ceniza, además se habilitaron 13 albergues en cuatro municipios cercanos.</w:t>
      </w:r>
    </w:p>
    <w:p w14:paraId="68CBB2BC" w14:textId="77777777" w:rsidR="00C44997" w:rsidRPr="006F1657" w:rsidRDefault="00C44997" w:rsidP="00C36261">
      <w:pPr>
        <w:jc w:val="both"/>
        <w:rPr>
          <w:lang w:val="es-ES"/>
        </w:rPr>
      </w:pPr>
    </w:p>
    <w:p w14:paraId="11D6C24F" w14:textId="77777777" w:rsidR="00C36261" w:rsidRPr="00447AA7" w:rsidRDefault="00C36261" w:rsidP="000E01EC">
      <w:pPr>
        <w:pStyle w:val="Ttulo2"/>
        <w:numPr>
          <w:ilvl w:val="2"/>
          <w:numId w:val="35"/>
        </w:numPr>
        <w:tabs>
          <w:tab w:val="left" w:pos="993"/>
        </w:tabs>
        <w:ind w:left="567" w:hanging="283"/>
        <w:rPr>
          <w:bCs/>
        </w:rPr>
      </w:pPr>
      <w:bookmarkStart w:id="835" w:name="_Toc144114468"/>
      <w:r w:rsidRPr="00447AA7">
        <w:rPr>
          <w:bCs/>
        </w:rPr>
        <w:t>Incendios forestales</w:t>
      </w:r>
      <w:bookmarkEnd w:id="835"/>
    </w:p>
    <w:p w14:paraId="76E90093" w14:textId="77777777" w:rsidR="00C36261" w:rsidRDefault="00C36261" w:rsidP="00C36261">
      <w:pPr>
        <w:jc w:val="both"/>
        <w:rPr>
          <w:lang w:val="es-ES"/>
        </w:rPr>
      </w:pPr>
    </w:p>
    <w:p w14:paraId="63C80A3A" w14:textId="77777777" w:rsidR="00C36261" w:rsidRDefault="00C36261" w:rsidP="00C36261">
      <w:pPr>
        <w:jc w:val="both"/>
      </w:pPr>
      <w:r>
        <w:t xml:space="preserve">Según información contenida en el Protocolo Nacional Temporada de incendios forestales 2022-2023 de la CONRED, en Guatemala los incendios forestales son una de las principales causas de degradación del patrimonio natural, provocando daños directos e indirectos a la fauna, flora, recurso hídrico y suelo de los distintos ecosistemas.  Los efectos del cambio climático como el fenómeno del niño en los últimos años, han afectado al país, a través de una serie de acontecimientos como la sequía, el incremento del área en el corredor seco y su efecto en incidencia de incendios forestales en las temporadas secas, así como considerable superficie afectada. </w:t>
      </w:r>
    </w:p>
    <w:p w14:paraId="0C3D329B" w14:textId="77777777" w:rsidR="00C36261" w:rsidRDefault="00C36261" w:rsidP="00C36261">
      <w:pPr>
        <w:jc w:val="both"/>
      </w:pPr>
    </w:p>
    <w:p w14:paraId="22CB2E7D" w14:textId="77777777" w:rsidR="00C36261" w:rsidRPr="005A79F5" w:rsidRDefault="00C36261" w:rsidP="00C36261">
      <w:pPr>
        <w:jc w:val="both"/>
      </w:pPr>
      <w:r>
        <w:t xml:space="preserve">El promedio histórico para Guatemala 2001-2022, de incendios reportados y atendidos por las distintas instituciones del Sistema CONRED, es de 718 con un área afectada de 29,444 hectáreas y, sumando a esto, </w:t>
      </w:r>
      <w:r>
        <w:rPr>
          <w:lang w:val="es-ES"/>
        </w:rPr>
        <w:t xml:space="preserve">las Naciones Unidas </w:t>
      </w:r>
      <w:r w:rsidRPr="00FA4AE8">
        <w:rPr>
          <w:lang w:val="es-ES"/>
        </w:rPr>
        <w:t>califica</w:t>
      </w:r>
      <w:r>
        <w:rPr>
          <w:lang w:val="es-ES"/>
        </w:rPr>
        <w:t>n</w:t>
      </w:r>
      <w:r w:rsidRPr="00FA4AE8">
        <w:rPr>
          <w:lang w:val="es-ES"/>
        </w:rPr>
        <w:t xml:space="preserve"> al fenómeno como una crisis mundial de incendios forestales y proyecta que esos desastres aumentarán un 30% para 2050 y más de un 50% para fin de siglo.</w:t>
      </w:r>
    </w:p>
    <w:p w14:paraId="67C34481" w14:textId="77777777" w:rsidR="00C36261" w:rsidRDefault="00C36261" w:rsidP="00C36261">
      <w:pPr>
        <w:jc w:val="both"/>
        <w:rPr>
          <w:rFonts w:ascii="Lato" w:hAnsi="Lato"/>
          <w:color w:val="212529"/>
          <w:shd w:val="clear" w:color="auto" w:fill="FFFFFF"/>
        </w:rPr>
      </w:pPr>
    </w:p>
    <w:p w14:paraId="4927F390" w14:textId="77777777" w:rsidR="00C36261" w:rsidRDefault="00C36261" w:rsidP="00C36261">
      <w:pPr>
        <w:jc w:val="both"/>
        <w:rPr>
          <w:lang w:val="es-ES"/>
        </w:rPr>
      </w:pPr>
      <w:r>
        <w:rPr>
          <w:lang w:val="es-ES"/>
        </w:rPr>
        <w:t>Según Información de la CONRED, en lo que va del 2023 a</w:t>
      </w:r>
      <w:r w:rsidRPr="00B10582">
        <w:rPr>
          <w:lang w:val="es-ES"/>
        </w:rPr>
        <w:t xml:space="preserve">lrededor de 37 mil 681 hectáreas han sido consumidas en el territorio nacional por los incendios registrados en la presente temporada, así mismo se han registrado 943 incendios entre forestales y no forestales, siendo los departamentos de Petén (257), Quiché (133), Guatemala (110) y Huehuetenango (96) los más afectados hasta la primera quincena de junio. </w:t>
      </w:r>
    </w:p>
    <w:p w14:paraId="1CB7A7F7" w14:textId="77777777" w:rsidR="00C36261" w:rsidRPr="00E40BC4" w:rsidRDefault="00C36261" w:rsidP="00C36261">
      <w:pPr>
        <w:jc w:val="both"/>
        <w:rPr>
          <w:highlight w:val="yellow"/>
          <w:lang w:val="es-ES"/>
        </w:rPr>
      </w:pPr>
    </w:p>
    <w:p w14:paraId="4CB3819A" w14:textId="77777777" w:rsidR="00C36261" w:rsidRPr="00A623C5" w:rsidRDefault="00C36261" w:rsidP="00C36261">
      <w:pPr>
        <w:jc w:val="both"/>
        <w:rPr>
          <w:lang w:val="es-ES"/>
        </w:rPr>
      </w:pPr>
      <w:r w:rsidRPr="00A623C5">
        <w:rPr>
          <w:lang w:val="es-ES"/>
        </w:rPr>
        <w:t>El Estado Global del Clima de la Organización Meteorológica Mundial indicó que, para mayo, a nivel global fue el tercer mayo más cálido desde 1850, según el INSIVUMEH la anomalía promedio de temperatura para Guatemala en mayo fue de +1.5 °C. Durante junio, las anomalías en la región Niño del Pacífico Ecuatorial superaron el umbral de los +0.5 °C lo que indica que se estableció el fenómeno de El Niño y, este fenómeno en Guatemala implica: aumento de la temperatura promedio en el país, disminución en los acumulados de precipitación y aumento en la duración e intensidad de la canícula. Dichos cambios en la temperatura se ven reflejados en incendios forestales y no forestales que causan impacto directo en ecosistemas, finanzas públicas y vidas huma</w:t>
      </w:r>
      <w:r>
        <w:rPr>
          <w:lang w:val="es-ES"/>
        </w:rPr>
        <w:t>n</w:t>
      </w:r>
      <w:r w:rsidRPr="00A623C5">
        <w:rPr>
          <w:lang w:val="es-ES"/>
        </w:rPr>
        <w:t xml:space="preserve">as. </w:t>
      </w:r>
    </w:p>
    <w:p w14:paraId="1D7FC6BE" w14:textId="77777777" w:rsidR="00C36261" w:rsidRPr="00E40BC4" w:rsidRDefault="00C36261" w:rsidP="00C36261">
      <w:pPr>
        <w:jc w:val="both"/>
        <w:rPr>
          <w:highlight w:val="yellow"/>
          <w:lang w:val="es-ES"/>
        </w:rPr>
      </w:pPr>
    </w:p>
    <w:p w14:paraId="49F819AD" w14:textId="77777777" w:rsidR="00C36261" w:rsidRDefault="00C36261" w:rsidP="00C36261">
      <w:pPr>
        <w:jc w:val="both"/>
        <w:rPr>
          <w:sz w:val="22"/>
          <w:szCs w:val="22"/>
          <w:highlight w:val="yellow"/>
          <w:lang w:val="es-ES"/>
        </w:rPr>
      </w:pPr>
      <w:r w:rsidRPr="00A623C5">
        <w:rPr>
          <w:lang w:val="es-ES"/>
        </w:rPr>
        <w:t>Para la temporada de incendios forestales 2022-2023 de acuerdo a l</w:t>
      </w:r>
      <w:r>
        <w:rPr>
          <w:lang w:val="es-ES"/>
        </w:rPr>
        <w:t>a</w:t>
      </w:r>
      <w:r w:rsidRPr="00A623C5">
        <w:rPr>
          <w:lang w:val="es-ES"/>
        </w:rPr>
        <w:t xml:space="preserve"> CONRED se suscitaron 8</w:t>
      </w:r>
      <w:r>
        <w:rPr>
          <w:lang w:val="es-ES"/>
        </w:rPr>
        <w:t>28</w:t>
      </w:r>
      <w:r w:rsidRPr="00A623C5">
        <w:rPr>
          <w:lang w:val="es-ES"/>
        </w:rPr>
        <w:t xml:space="preserve"> incendios forestales, 136 no forestales y un total de 3</w:t>
      </w:r>
      <w:r>
        <w:rPr>
          <w:lang w:val="es-ES"/>
        </w:rPr>
        <w:t>7</w:t>
      </w:r>
      <w:r w:rsidRPr="00A623C5">
        <w:rPr>
          <w:lang w:val="es-ES"/>
        </w:rPr>
        <w:t>,</w:t>
      </w:r>
      <w:r>
        <w:rPr>
          <w:lang w:val="es-ES"/>
        </w:rPr>
        <w:t>681</w:t>
      </w:r>
      <w:r w:rsidRPr="00A623C5">
        <w:rPr>
          <w:lang w:val="es-ES"/>
        </w:rPr>
        <w:t xml:space="preserve"> hectáreas consumidas por los incendios durante la temporada. </w:t>
      </w:r>
    </w:p>
    <w:p w14:paraId="4DFDD398" w14:textId="09F7CD3C" w:rsidR="00C36261" w:rsidRDefault="00C36261" w:rsidP="00C36261">
      <w:pPr>
        <w:jc w:val="both"/>
        <w:rPr>
          <w:sz w:val="22"/>
          <w:szCs w:val="22"/>
          <w:highlight w:val="yellow"/>
          <w:lang w:val="es-ES"/>
        </w:rPr>
      </w:pPr>
    </w:p>
    <w:p w14:paraId="02892B53" w14:textId="634FCF4A" w:rsidR="004C3810" w:rsidRDefault="004C3810" w:rsidP="00C36261">
      <w:pPr>
        <w:jc w:val="both"/>
        <w:rPr>
          <w:sz w:val="22"/>
          <w:szCs w:val="22"/>
          <w:highlight w:val="yellow"/>
          <w:lang w:val="es-ES"/>
        </w:rPr>
      </w:pPr>
    </w:p>
    <w:p w14:paraId="07D0364F" w14:textId="77777777" w:rsidR="004C3810" w:rsidRDefault="004C3810" w:rsidP="00C36261">
      <w:pPr>
        <w:jc w:val="both"/>
        <w:rPr>
          <w:sz w:val="22"/>
          <w:szCs w:val="22"/>
          <w:highlight w:val="yellow"/>
          <w:lang w:val="es-ES"/>
        </w:rPr>
      </w:pPr>
    </w:p>
    <w:p w14:paraId="1DAB4E94" w14:textId="39F3E8BC" w:rsidR="00C36261" w:rsidRPr="004C3810" w:rsidRDefault="004C3810" w:rsidP="004C3810">
      <w:pPr>
        <w:pStyle w:val="Descripcin"/>
        <w:keepNext/>
      </w:pPr>
      <w:bookmarkStart w:id="836" w:name="_Toc143593554"/>
      <w:r w:rsidRPr="004C3810">
        <w:rPr>
          <w:color w:val="auto"/>
        </w:rPr>
        <w:lastRenderedPageBreak/>
        <w:t xml:space="preserve">Tabla </w:t>
      </w:r>
      <w:r w:rsidRPr="004C3810">
        <w:rPr>
          <w:color w:val="auto"/>
        </w:rPr>
        <w:fldChar w:fldCharType="begin"/>
      </w:r>
      <w:r w:rsidRPr="004C3810">
        <w:rPr>
          <w:color w:val="auto"/>
        </w:rPr>
        <w:instrText xml:space="preserve"> SEQ Tabla \* ARABIC </w:instrText>
      </w:r>
      <w:r w:rsidRPr="004C3810">
        <w:rPr>
          <w:color w:val="auto"/>
        </w:rPr>
        <w:fldChar w:fldCharType="separate"/>
      </w:r>
      <w:r w:rsidR="00A62AFA">
        <w:rPr>
          <w:noProof/>
          <w:color w:val="auto"/>
        </w:rPr>
        <w:t>52</w:t>
      </w:r>
      <w:r w:rsidRPr="004C3810">
        <w:rPr>
          <w:color w:val="auto"/>
        </w:rPr>
        <w:fldChar w:fldCharType="end"/>
      </w:r>
      <w:r w:rsidRPr="004C3810">
        <w:rPr>
          <w:color w:val="auto"/>
        </w:rPr>
        <w:t xml:space="preserve">.  </w:t>
      </w:r>
      <w:r w:rsidR="00C36261" w:rsidRPr="004C3810">
        <w:rPr>
          <w:color w:val="auto"/>
          <w:sz w:val="22"/>
          <w:szCs w:val="22"/>
        </w:rPr>
        <w:t>Temporada de incendios forestales y no forestales 2022-2023</w:t>
      </w:r>
      <w:bookmarkEnd w:id="836"/>
    </w:p>
    <w:tbl>
      <w:tblPr>
        <w:tblStyle w:val="Tabladecuadrcula4-nfasis111"/>
        <w:tblW w:w="0" w:type="auto"/>
        <w:jc w:val="center"/>
        <w:tblLook w:val="04A0" w:firstRow="1" w:lastRow="0" w:firstColumn="1" w:lastColumn="0" w:noHBand="0" w:noVBand="1"/>
      </w:tblPr>
      <w:tblGrid>
        <w:gridCol w:w="1597"/>
        <w:gridCol w:w="1169"/>
        <w:gridCol w:w="1169"/>
        <w:gridCol w:w="718"/>
        <w:gridCol w:w="1157"/>
      </w:tblGrid>
      <w:tr w:rsidR="00C36261" w:rsidRPr="00A645EE" w14:paraId="73F74EF6" w14:textId="77777777" w:rsidTr="00C44997">
        <w:trPr>
          <w:cnfStyle w:val="100000000000" w:firstRow="1" w:lastRow="0" w:firstColumn="0" w:lastColumn="0" w:oddVBand="0" w:evenVBand="0" w:oddHBand="0"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632" w:type="dxa"/>
            <w:vAlign w:val="center"/>
          </w:tcPr>
          <w:p w14:paraId="4FF24DDE" w14:textId="77777777" w:rsidR="00C36261" w:rsidRPr="00C44997" w:rsidRDefault="00C36261" w:rsidP="006A7377">
            <w:pPr>
              <w:jc w:val="center"/>
              <w:rPr>
                <w:color w:val="auto"/>
                <w:sz w:val="22"/>
                <w:szCs w:val="22"/>
                <w:lang w:val="es-ES"/>
              </w:rPr>
            </w:pPr>
            <w:r w:rsidRPr="00C44997">
              <w:rPr>
                <w:sz w:val="22"/>
                <w:szCs w:val="22"/>
                <w:lang w:val="es-ES"/>
              </w:rPr>
              <w:t>Departamento</w:t>
            </w:r>
          </w:p>
        </w:tc>
        <w:tc>
          <w:tcPr>
            <w:tcW w:w="450" w:type="dxa"/>
            <w:vAlign w:val="center"/>
          </w:tcPr>
          <w:p w14:paraId="1DA23024" w14:textId="77777777" w:rsidR="00C36261" w:rsidRPr="00C44997" w:rsidRDefault="00C36261" w:rsidP="006A7377">
            <w:pPr>
              <w:jc w:val="center"/>
              <w:cnfStyle w:val="100000000000" w:firstRow="1"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Forestales</w:t>
            </w:r>
          </w:p>
        </w:tc>
        <w:tc>
          <w:tcPr>
            <w:tcW w:w="502" w:type="dxa"/>
            <w:vAlign w:val="center"/>
          </w:tcPr>
          <w:p w14:paraId="721D9D88" w14:textId="77777777" w:rsidR="00C36261" w:rsidRPr="00C44997" w:rsidRDefault="00C36261" w:rsidP="006A7377">
            <w:pPr>
              <w:jc w:val="center"/>
              <w:cnfStyle w:val="100000000000" w:firstRow="1"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No Forestales</w:t>
            </w:r>
          </w:p>
        </w:tc>
        <w:tc>
          <w:tcPr>
            <w:tcW w:w="355" w:type="dxa"/>
            <w:vAlign w:val="center"/>
          </w:tcPr>
          <w:p w14:paraId="75315D0B" w14:textId="77777777" w:rsidR="00C36261" w:rsidRPr="00C44997" w:rsidRDefault="00C36261" w:rsidP="006A7377">
            <w:pPr>
              <w:jc w:val="center"/>
              <w:cnfStyle w:val="100000000000" w:firstRow="1"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Total</w:t>
            </w:r>
          </w:p>
        </w:tc>
        <w:tc>
          <w:tcPr>
            <w:tcW w:w="508" w:type="dxa"/>
            <w:vAlign w:val="center"/>
          </w:tcPr>
          <w:p w14:paraId="01CB6BE8" w14:textId="77777777" w:rsidR="00C36261" w:rsidRPr="00C44997" w:rsidRDefault="00C36261" w:rsidP="006A7377">
            <w:pPr>
              <w:jc w:val="center"/>
              <w:cnfStyle w:val="100000000000" w:firstRow="1"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Hectáreas Afectadas</w:t>
            </w:r>
          </w:p>
        </w:tc>
      </w:tr>
      <w:tr w:rsidR="00C36261" w:rsidRPr="00A645EE" w14:paraId="1CA37EFC" w14:textId="77777777" w:rsidTr="00C44997">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632" w:type="dxa"/>
          </w:tcPr>
          <w:p w14:paraId="719D2F99" w14:textId="77777777" w:rsidR="00C36261" w:rsidRPr="00C44997" w:rsidRDefault="00C36261" w:rsidP="006A7377">
            <w:pPr>
              <w:rPr>
                <w:b w:val="0"/>
                <w:bCs w:val="0"/>
                <w:sz w:val="22"/>
                <w:szCs w:val="22"/>
                <w:lang w:val="es-ES"/>
              </w:rPr>
            </w:pPr>
            <w:r w:rsidRPr="00C44997">
              <w:rPr>
                <w:b w:val="0"/>
                <w:bCs w:val="0"/>
                <w:sz w:val="22"/>
                <w:szCs w:val="22"/>
                <w:lang w:val="es-ES"/>
              </w:rPr>
              <w:t>Alta Verapaz</w:t>
            </w:r>
          </w:p>
        </w:tc>
        <w:tc>
          <w:tcPr>
            <w:tcW w:w="450" w:type="dxa"/>
          </w:tcPr>
          <w:p w14:paraId="3637F7A5"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37</w:t>
            </w:r>
          </w:p>
        </w:tc>
        <w:tc>
          <w:tcPr>
            <w:tcW w:w="502" w:type="dxa"/>
          </w:tcPr>
          <w:p w14:paraId="1C24408C"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w:t>
            </w:r>
          </w:p>
        </w:tc>
        <w:tc>
          <w:tcPr>
            <w:tcW w:w="355" w:type="dxa"/>
          </w:tcPr>
          <w:p w14:paraId="35CCF8E7"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38</w:t>
            </w:r>
          </w:p>
        </w:tc>
        <w:tc>
          <w:tcPr>
            <w:tcW w:w="508" w:type="dxa"/>
          </w:tcPr>
          <w:p w14:paraId="137578AF"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430</w:t>
            </w:r>
          </w:p>
        </w:tc>
      </w:tr>
      <w:tr w:rsidR="00C36261" w:rsidRPr="00A645EE" w14:paraId="5E15CA01"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474B3FDF" w14:textId="77777777" w:rsidR="00C36261" w:rsidRPr="00C44997" w:rsidRDefault="00C36261" w:rsidP="006A7377">
            <w:pPr>
              <w:rPr>
                <w:b w:val="0"/>
                <w:bCs w:val="0"/>
                <w:sz w:val="22"/>
                <w:szCs w:val="22"/>
                <w:lang w:val="es-ES"/>
              </w:rPr>
            </w:pPr>
            <w:r w:rsidRPr="00C44997">
              <w:rPr>
                <w:b w:val="0"/>
                <w:bCs w:val="0"/>
                <w:sz w:val="22"/>
                <w:szCs w:val="22"/>
                <w:lang w:val="es-ES"/>
              </w:rPr>
              <w:t>Baja Verapaz</w:t>
            </w:r>
          </w:p>
        </w:tc>
        <w:tc>
          <w:tcPr>
            <w:tcW w:w="450" w:type="dxa"/>
          </w:tcPr>
          <w:p w14:paraId="2CDE1BF0"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34</w:t>
            </w:r>
          </w:p>
        </w:tc>
        <w:tc>
          <w:tcPr>
            <w:tcW w:w="502" w:type="dxa"/>
          </w:tcPr>
          <w:p w14:paraId="5FE29C6E"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2</w:t>
            </w:r>
          </w:p>
        </w:tc>
        <w:tc>
          <w:tcPr>
            <w:tcW w:w="355" w:type="dxa"/>
          </w:tcPr>
          <w:p w14:paraId="1398046D"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36</w:t>
            </w:r>
          </w:p>
        </w:tc>
        <w:tc>
          <w:tcPr>
            <w:tcW w:w="508" w:type="dxa"/>
          </w:tcPr>
          <w:p w14:paraId="49EE829E"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878</w:t>
            </w:r>
          </w:p>
        </w:tc>
      </w:tr>
      <w:tr w:rsidR="00C36261" w:rsidRPr="00A645EE" w14:paraId="4A214946"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04F363B4" w14:textId="77777777" w:rsidR="00C36261" w:rsidRPr="00C44997" w:rsidRDefault="00C36261" w:rsidP="006A7377">
            <w:pPr>
              <w:rPr>
                <w:b w:val="0"/>
                <w:bCs w:val="0"/>
                <w:sz w:val="22"/>
                <w:szCs w:val="22"/>
                <w:lang w:val="es-ES"/>
              </w:rPr>
            </w:pPr>
            <w:r w:rsidRPr="00C44997">
              <w:rPr>
                <w:b w:val="0"/>
                <w:bCs w:val="0"/>
                <w:sz w:val="22"/>
                <w:szCs w:val="22"/>
                <w:lang w:val="es-ES"/>
              </w:rPr>
              <w:t>Chimaltenango</w:t>
            </w:r>
          </w:p>
        </w:tc>
        <w:tc>
          <w:tcPr>
            <w:tcW w:w="450" w:type="dxa"/>
          </w:tcPr>
          <w:p w14:paraId="0844B3FB"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13</w:t>
            </w:r>
          </w:p>
        </w:tc>
        <w:tc>
          <w:tcPr>
            <w:tcW w:w="502" w:type="dxa"/>
          </w:tcPr>
          <w:p w14:paraId="4EB95184"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w:t>
            </w:r>
          </w:p>
        </w:tc>
        <w:tc>
          <w:tcPr>
            <w:tcW w:w="355" w:type="dxa"/>
          </w:tcPr>
          <w:p w14:paraId="36790AAC"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14</w:t>
            </w:r>
          </w:p>
        </w:tc>
        <w:tc>
          <w:tcPr>
            <w:tcW w:w="508" w:type="dxa"/>
          </w:tcPr>
          <w:p w14:paraId="5C9B3A88"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189</w:t>
            </w:r>
          </w:p>
        </w:tc>
      </w:tr>
      <w:tr w:rsidR="00C36261" w:rsidRPr="00A645EE" w14:paraId="5245FB36"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7A04E269" w14:textId="77777777" w:rsidR="00C36261" w:rsidRPr="00C44997" w:rsidRDefault="00C36261" w:rsidP="006A7377">
            <w:pPr>
              <w:rPr>
                <w:b w:val="0"/>
                <w:bCs w:val="0"/>
                <w:sz w:val="22"/>
                <w:szCs w:val="22"/>
                <w:lang w:val="es-ES"/>
              </w:rPr>
            </w:pPr>
            <w:r w:rsidRPr="00C44997">
              <w:rPr>
                <w:b w:val="0"/>
                <w:bCs w:val="0"/>
                <w:sz w:val="22"/>
                <w:szCs w:val="22"/>
                <w:lang w:val="es-ES"/>
              </w:rPr>
              <w:t>Chiquimula</w:t>
            </w:r>
          </w:p>
        </w:tc>
        <w:tc>
          <w:tcPr>
            <w:tcW w:w="450" w:type="dxa"/>
          </w:tcPr>
          <w:p w14:paraId="286ECA23"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9</w:t>
            </w:r>
          </w:p>
        </w:tc>
        <w:tc>
          <w:tcPr>
            <w:tcW w:w="502" w:type="dxa"/>
          </w:tcPr>
          <w:p w14:paraId="3D4D5B16"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w:t>
            </w:r>
          </w:p>
        </w:tc>
        <w:tc>
          <w:tcPr>
            <w:tcW w:w="355" w:type="dxa"/>
          </w:tcPr>
          <w:p w14:paraId="5BAC2193"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10</w:t>
            </w:r>
          </w:p>
        </w:tc>
        <w:tc>
          <w:tcPr>
            <w:tcW w:w="508" w:type="dxa"/>
          </w:tcPr>
          <w:p w14:paraId="7590E249"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324</w:t>
            </w:r>
          </w:p>
        </w:tc>
      </w:tr>
      <w:tr w:rsidR="00C36261" w:rsidRPr="00A645EE" w14:paraId="15B61B58"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61C327A6" w14:textId="77777777" w:rsidR="00C36261" w:rsidRPr="00C44997" w:rsidRDefault="00C36261" w:rsidP="006A7377">
            <w:pPr>
              <w:rPr>
                <w:b w:val="0"/>
                <w:bCs w:val="0"/>
                <w:sz w:val="22"/>
                <w:szCs w:val="22"/>
                <w:lang w:val="es-ES"/>
              </w:rPr>
            </w:pPr>
            <w:r w:rsidRPr="00C44997">
              <w:rPr>
                <w:b w:val="0"/>
                <w:bCs w:val="0"/>
                <w:sz w:val="22"/>
                <w:szCs w:val="22"/>
                <w:lang w:val="es-ES"/>
              </w:rPr>
              <w:t>El Progreso</w:t>
            </w:r>
          </w:p>
        </w:tc>
        <w:tc>
          <w:tcPr>
            <w:tcW w:w="450" w:type="dxa"/>
          </w:tcPr>
          <w:p w14:paraId="16D4EDC3"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13</w:t>
            </w:r>
          </w:p>
        </w:tc>
        <w:tc>
          <w:tcPr>
            <w:tcW w:w="502" w:type="dxa"/>
          </w:tcPr>
          <w:p w14:paraId="01B21F3F"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2</w:t>
            </w:r>
          </w:p>
        </w:tc>
        <w:tc>
          <w:tcPr>
            <w:tcW w:w="355" w:type="dxa"/>
          </w:tcPr>
          <w:p w14:paraId="2965595A"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15</w:t>
            </w:r>
          </w:p>
        </w:tc>
        <w:tc>
          <w:tcPr>
            <w:tcW w:w="508" w:type="dxa"/>
          </w:tcPr>
          <w:p w14:paraId="3021A4A5"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582</w:t>
            </w:r>
          </w:p>
        </w:tc>
      </w:tr>
      <w:tr w:rsidR="00C36261" w:rsidRPr="00A645EE" w14:paraId="62EFA511"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0643CACD" w14:textId="77777777" w:rsidR="00C36261" w:rsidRPr="00C44997" w:rsidRDefault="00C36261" w:rsidP="006A7377">
            <w:pPr>
              <w:rPr>
                <w:b w:val="0"/>
                <w:bCs w:val="0"/>
                <w:sz w:val="22"/>
                <w:szCs w:val="22"/>
                <w:lang w:val="es-ES"/>
              </w:rPr>
            </w:pPr>
            <w:r w:rsidRPr="00C44997">
              <w:rPr>
                <w:b w:val="0"/>
                <w:bCs w:val="0"/>
                <w:sz w:val="22"/>
                <w:szCs w:val="22"/>
                <w:lang w:val="es-ES"/>
              </w:rPr>
              <w:t>Escuintla</w:t>
            </w:r>
          </w:p>
        </w:tc>
        <w:tc>
          <w:tcPr>
            <w:tcW w:w="450" w:type="dxa"/>
          </w:tcPr>
          <w:p w14:paraId="71C7C70D"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5</w:t>
            </w:r>
          </w:p>
        </w:tc>
        <w:tc>
          <w:tcPr>
            <w:tcW w:w="502" w:type="dxa"/>
          </w:tcPr>
          <w:p w14:paraId="182C40DA"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w:t>
            </w:r>
          </w:p>
        </w:tc>
        <w:tc>
          <w:tcPr>
            <w:tcW w:w="355" w:type="dxa"/>
          </w:tcPr>
          <w:p w14:paraId="74C099DF"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7</w:t>
            </w:r>
          </w:p>
        </w:tc>
        <w:tc>
          <w:tcPr>
            <w:tcW w:w="508" w:type="dxa"/>
          </w:tcPr>
          <w:p w14:paraId="1BDC0670"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175</w:t>
            </w:r>
          </w:p>
        </w:tc>
      </w:tr>
      <w:tr w:rsidR="00C36261" w:rsidRPr="00A645EE" w14:paraId="3DCBBBD8"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1E9C67BA" w14:textId="77777777" w:rsidR="00C36261" w:rsidRPr="00C44997" w:rsidRDefault="00C36261" w:rsidP="006A7377">
            <w:pPr>
              <w:rPr>
                <w:b w:val="0"/>
                <w:bCs w:val="0"/>
                <w:sz w:val="22"/>
                <w:szCs w:val="22"/>
                <w:lang w:val="es-ES"/>
              </w:rPr>
            </w:pPr>
            <w:r w:rsidRPr="00C44997">
              <w:rPr>
                <w:b w:val="0"/>
                <w:bCs w:val="0"/>
                <w:sz w:val="22"/>
                <w:szCs w:val="22"/>
                <w:lang w:val="es-ES"/>
              </w:rPr>
              <w:t>Guatemala</w:t>
            </w:r>
          </w:p>
        </w:tc>
        <w:tc>
          <w:tcPr>
            <w:tcW w:w="450" w:type="dxa"/>
          </w:tcPr>
          <w:p w14:paraId="71440948"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65</w:t>
            </w:r>
          </w:p>
        </w:tc>
        <w:tc>
          <w:tcPr>
            <w:tcW w:w="502" w:type="dxa"/>
          </w:tcPr>
          <w:p w14:paraId="5A2510A2"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45</w:t>
            </w:r>
          </w:p>
        </w:tc>
        <w:tc>
          <w:tcPr>
            <w:tcW w:w="355" w:type="dxa"/>
          </w:tcPr>
          <w:p w14:paraId="5AFBEBE5"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110</w:t>
            </w:r>
          </w:p>
        </w:tc>
        <w:tc>
          <w:tcPr>
            <w:tcW w:w="508" w:type="dxa"/>
          </w:tcPr>
          <w:p w14:paraId="0D959041"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755</w:t>
            </w:r>
          </w:p>
        </w:tc>
      </w:tr>
      <w:tr w:rsidR="00C36261" w:rsidRPr="00A645EE" w14:paraId="3EE208AE"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4BF22A14" w14:textId="77777777" w:rsidR="00C36261" w:rsidRPr="00C44997" w:rsidRDefault="00C36261" w:rsidP="006A7377">
            <w:pPr>
              <w:rPr>
                <w:b w:val="0"/>
                <w:bCs w:val="0"/>
                <w:sz w:val="22"/>
                <w:szCs w:val="22"/>
                <w:lang w:val="es-ES"/>
              </w:rPr>
            </w:pPr>
            <w:r w:rsidRPr="00C44997">
              <w:rPr>
                <w:b w:val="0"/>
                <w:bCs w:val="0"/>
                <w:sz w:val="22"/>
                <w:szCs w:val="22"/>
                <w:lang w:val="es-ES"/>
              </w:rPr>
              <w:t>Huehuetenango</w:t>
            </w:r>
          </w:p>
        </w:tc>
        <w:tc>
          <w:tcPr>
            <w:tcW w:w="450" w:type="dxa"/>
          </w:tcPr>
          <w:p w14:paraId="24452E97"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87</w:t>
            </w:r>
          </w:p>
        </w:tc>
        <w:tc>
          <w:tcPr>
            <w:tcW w:w="502" w:type="dxa"/>
          </w:tcPr>
          <w:p w14:paraId="0D190ADC"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10</w:t>
            </w:r>
          </w:p>
        </w:tc>
        <w:tc>
          <w:tcPr>
            <w:tcW w:w="355" w:type="dxa"/>
          </w:tcPr>
          <w:p w14:paraId="14C24FA6"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97</w:t>
            </w:r>
          </w:p>
        </w:tc>
        <w:tc>
          <w:tcPr>
            <w:tcW w:w="508" w:type="dxa"/>
          </w:tcPr>
          <w:p w14:paraId="7D764FD8"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1,690</w:t>
            </w:r>
          </w:p>
        </w:tc>
      </w:tr>
      <w:tr w:rsidR="00C36261" w:rsidRPr="00A645EE" w14:paraId="17ECCF9F"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0073D4C1" w14:textId="77777777" w:rsidR="00C36261" w:rsidRPr="00C44997" w:rsidRDefault="00C36261" w:rsidP="006A7377">
            <w:pPr>
              <w:rPr>
                <w:b w:val="0"/>
                <w:bCs w:val="0"/>
                <w:sz w:val="22"/>
                <w:szCs w:val="22"/>
                <w:lang w:val="es-ES"/>
              </w:rPr>
            </w:pPr>
            <w:r w:rsidRPr="00C44997">
              <w:rPr>
                <w:b w:val="0"/>
                <w:bCs w:val="0"/>
                <w:sz w:val="22"/>
                <w:szCs w:val="22"/>
                <w:lang w:val="es-ES"/>
              </w:rPr>
              <w:t>Izabal</w:t>
            </w:r>
          </w:p>
        </w:tc>
        <w:tc>
          <w:tcPr>
            <w:tcW w:w="450" w:type="dxa"/>
          </w:tcPr>
          <w:p w14:paraId="76B5A5E9"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w:t>
            </w:r>
          </w:p>
        </w:tc>
        <w:tc>
          <w:tcPr>
            <w:tcW w:w="502" w:type="dxa"/>
          </w:tcPr>
          <w:p w14:paraId="31AAC585"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w:t>
            </w:r>
          </w:p>
        </w:tc>
        <w:tc>
          <w:tcPr>
            <w:tcW w:w="355" w:type="dxa"/>
          </w:tcPr>
          <w:p w14:paraId="7F6857A7"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w:t>
            </w:r>
          </w:p>
        </w:tc>
        <w:tc>
          <w:tcPr>
            <w:tcW w:w="508" w:type="dxa"/>
          </w:tcPr>
          <w:p w14:paraId="60F7A7CA"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1090</w:t>
            </w:r>
          </w:p>
        </w:tc>
      </w:tr>
      <w:tr w:rsidR="00C36261" w:rsidRPr="00A645EE" w14:paraId="7146DD06"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72E5B511" w14:textId="77777777" w:rsidR="00C36261" w:rsidRPr="00C44997" w:rsidRDefault="00C36261" w:rsidP="006A7377">
            <w:pPr>
              <w:rPr>
                <w:b w:val="0"/>
                <w:bCs w:val="0"/>
                <w:sz w:val="22"/>
                <w:szCs w:val="22"/>
                <w:lang w:val="es-ES"/>
              </w:rPr>
            </w:pPr>
            <w:r w:rsidRPr="00C44997">
              <w:rPr>
                <w:b w:val="0"/>
                <w:bCs w:val="0"/>
                <w:sz w:val="22"/>
                <w:szCs w:val="22"/>
                <w:lang w:val="es-ES"/>
              </w:rPr>
              <w:t>Jalapa</w:t>
            </w:r>
          </w:p>
        </w:tc>
        <w:tc>
          <w:tcPr>
            <w:tcW w:w="450" w:type="dxa"/>
          </w:tcPr>
          <w:p w14:paraId="716030C1"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29</w:t>
            </w:r>
          </w:p>
        </w:tc>
        <w:tc>
          <w:tcPr>
            <w:tcW w:w="502" w:type="dxa"/>
          </w:tcPr>
          <w:p w14:paraId="123B4564"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4</w:t>
            </w:r>
          </w:p>
        </w:tc>
        <w:tc>
          <w:tcPr>
            <w:tcW w:w="355" w:type="dxa"/>
          </w:tcPr>
          <w:p w14:paraId="06E1C8C0"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33</w:t>
            </w:r>
          </w:p>
        </w:tc>
        <w:tc>
          <w:tcPr>
            <w:tcW w:w="508" w:type="dxa"/>
          </w:tcPr>
          <w:p w14:paraId="1EDF22CD"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496</w:t>
            </w:r>
          </w:p>
        </w:tc>
      </w:tr>
      <w:tr w:rsidR="00C36261" w:rsidRPr="00A645EE" w14:paraId="5A09AB49"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469A251E" w14:textId="77777777" w:rsidR="00C36261" w:rsidRPr="00C44997" w:rsidRDefault="00C36261" w:rsidP="006A7377">
            <w:pPr>
              <w:rPr>
                <w:b w:val="0"/>
                <w:bCs w:val="0"/>
                <w:sz w:val="22"/>
                <w:szCs w:val="22"/>
                <w:lang w:val="es-ES"/>
              </w:rPr>
            </w:pPr>
            <w:r w:rsidRPr="00C44997">
              <w:rPr>
                <w:b w:val="0"/>
                <w:bCs w:val="0"/>
                <w:sz w:val="22"/>
                <w:szCs w:val="22"/>
                <w:lang w:val="es-ES"/>
              </w:rPr>
              <w:t>Jutiapa</w:t>
            </w:r>
          </w:p>
        </w:tc>
        <w:tc>
          <w:tcPr>
            <w:tcW w:w="450" w:type="dxa"/>
          </w:tcPr>
          <w:p w14:paraId="228EC625"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13</w:t>
            </w:r>
          </w:p>
        </w:tc>
        <w:tc>
          <w:tcPr>
            <w:tcW w:w="502" w:type="dxa"/>
          </w:tcPr>
          <w:p w14:paraId="5A542F8A"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w:t>
            </w:r>
          </w:p>
        </w:tc>
        <w:tc>
          <w:tcPr>
            <w:tcW w:w="355" w:type="dxa"/>
          </w:tcPr>
          <w:p w14:paraId="6AB0A084"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16</w:t>
            </w:r>
          </w:p>
        </w:tc>
        <w:tc>
          <w:tcPr>
            <w:tcW w:w="508" w:type="dxa"/>
          </w:tcPr>
          <w:p w14:paraId="150ACA90"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575</w:t>
            </w:r>
          </w:p>
        </w:tc>
      </w:tr>
      <w:tr w:rsidR="00C36261" w:rsidRPr="00A645EE" w14:paraId="1C49C010"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3FFCF978" w14:textId="77777777" w:rsidR="00C36261" w:rsidRPr="00C44997" w:rsidRDefault="00C36261" w:rsidP="006A7377">
            <w:pPr>
              <w:rPr>
                <w:b w:val="0"/>
                <w:bCs w:val="0"/>
                <w:sz w:val="22"/>
                <w:szCs w:val="22"/>
                <w:lang w:val="es-ES"/>
              </w:rPr>
            </w:pPr>
            <w:r w:rsidRPr="00C44997">
              <w:rPr>
                <w:b w:val="0"/>
                <w:bCs w:val="0"/>
                <w:sz w:val="22"/>
                <w:szCs w:val="22"/>
                <w:lang w:val="es-ES"/>
              </w:rPr>
              <w:t>Petén</w:t>
            </w:r>
          </w:p>
        </w:tc>
        <w:tc>
          <w:tcPr>
            <w:tcW w:w="450" w:type="dxa"/>
          </w:tcPr>
          <w:p w14:paraId="66FB4449"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231</w:t>
            </w:r>
          </w:p>
        </w:tc>
        <w:tc>
          <w:tcPr>
            <w:tcW w:w="502" w:type="dxa"/>
          </w:tcPr>
          <w:p w14:paraId="5077A09A"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34</w:t>
            </w:r>
          </w:p>
        </w:tc>
        <w:tc>
          <w:tcPr>
            <w:tcW w:w="355" w:type="dxa"/>
          </w:tcPr>
          <w:p w14:paraId="185905FF"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265</w:t>
            </w:r>
          </w:p>
        </w:tc>
        <w:tc>
          <w:tcPr>
            <w:tcW w:w="508" w:type="dxa"/>
          </w:tcPr>
          <w:p w14:paraId="2A47B725"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22,368</w:t>
            </w:r>
          </w:p>
        </w:tc>
      </w:tr>
      <w:tr w:rsidR="00C36261" w:rsidRPr="00A645EE" w14:paraId="1DD1ACDD"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5459F370" w14:textId="77777777" w:rsidR="00C36261" w:rsidRPr="00C44997" w:rsidRDefault="00C36261" w:rsidP="006A7377">
            <w:pPr>
              <w:rPr>
                <w:b w:val="0"/>
                <w:bCs w:val="0"/>
                <w:sz w:val="22"/>
                <w:szCs w:val="22"/>
                <w:lang w:val="es-ES"/>
              </w:rPr>
            </w:pPr>
            <w:r w:rsidRPr="00C44997">
              <w:rPr>
                <w:b w:val="0"/>
                <w:bCs w:val="0"/>
                <w:sz w:val="22"/>
                <w:szCs w:val="22"/>
                <w:lang w:val="es-ES"/>
              </w:rPr>
              <w:t>Quetzaltenango</w:t>
            </w:r>
          </w:p>
        </w:tc>
        <w:tc>
          <w:tcPr>
            <w:tcW w:w="450" w:type="dxa"/>
          </w:tcPr>
          <w:p w14:paraId="19DCF06C"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17</w:t>
            </w:r>
          </w:p>
        </w:tc>
        <w:tc>
          <w:tcPr>
            <w:tcW w:w="502" w:type="dxa"/>
          </w:tcPr>
          <w:p w14:paraId="4C0025D1"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w:t>
            </w:r>
          </w:p>
        </w:tc>
        <w:tc>
          <w:tcPr>
            <w:tcW w:w="355" w:type="dxa"/>
          </w:tcPr>
          <w:p w14:paraId="3CB7A0D0"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17</w:t>
            </w:r>
          </w:p>
        </w:tc>
        <w:tc>
          <w:tcPr>
            <w:tcW w:w="508" w:type="dxa"/>
          </w:tcPr>
          <w:p w14:paraId="6BA115E4"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99</w:t>
            </w:r>
          </w:p>
        </w:tc>
      </w:tr>
      <w:tr w:rsidR="00C36261" w:rsidRPr="00A645EE" w14:paraId="31EC77AE" w14:textId="77777777" w:rsidTr="00C44997">
        <w:trPr>
          <w:trHeight w:val="275"/>
          <w:jc w:val="center"/>
        </w:trPr>
        <w:tc>
          <w:tcPr>
            <w:cnfStyle w:val="001000000000" w:firstRow="0" w:lastRow="0" w:firstColumn="1" w:lastColumn="0" w:oddVBand="0" w:evenVBand="0" w:oddHBand="0" w:evenHBand="0" w:firstRowFirstColumn="0" w:firstRowLastColumn="0" w:lastRowFirstColumn="0" w:lastRowLastColumn="0"/>
            <w:tcW w:w="632" w:type="dxa"/>
          </w:tcPr>
          <w:p w14:paraId="0FE15675" w14:textId="77777777" w:rsidR="00C36261" w:rsidRPr="00C44997" w:rsidRDefault="00C36261" w:rsidP="006A7377">
            <w:pPr>
              <w:rPr>
                <w:b w:val="0"/>
                <w:bCs w:val="0"/>
                <w:sz w:val="22"/>
                <w:szCs w:val="22"/>
                <w:lang w:val="es-ES"/>
              </w:rPr>
            </w:pPr>
            <w:r w:rsidRPr="00C44997">
              <w:rPr>
                <w:b w:val="0"/>
                <w:bCs w:val="0"/>
                <w:sz w:val="22"/>
                <w:szCs w:val="22"/>
                <w:lang w:val="es-ES"/>
              </w:rPr>
              <w:t>Quiché</w:t>
            </w:r>
          </w:p>
        </w:tc>
        <w:tc>
          <w:tcPr>
            <w:tcW w:w="450" w:type="dxa"/>
          </w:tcPr>
          <w:p w14:paraId="52BE7482"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132</w:t>
            </w:r>
          </w:p>
        </w:tc>
        <w:tc>
          <w:tcPr>
            <w:tcW w:w="502" w:type="dxa"/>
          </w:tcPr>
          <w:p w14:paraId="6F888D4B"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8</w:t>
            </w:r>
          </w:p>
        </w:tc>
        <w:tc>
          <w:tcPr>
            <w:tcW w:w="355" w:type="dxa"/>
          </w:tcPr>
          <w:p w14:paraId="64A16FED"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140</w:t>
            </w:r>
          </w:p>
        </w:tc>
        <w:tc>
          <w:tcPr>
            <w:tcW w:w="508" w:type="dxa"/>
          </w:tcPr>
          <w:p w14:paraId="204FD6B4"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3,369</w:t>
            </w:r>
          </w:p>
        </w:tc>
      </w:tr>
      <w:tr w:rsidR="00C36261" w:rsidRPr="00A645EE" w14:paraId="46F03256"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57B82234" w14:textId="77777777" w:rsidR="00C36261" w:rsidRPr="00C44997" w:rsidRDefault="00C36261" w:rsidP="006A7377">
            <w:pPr>
              <w:rPr>
                <w:b w:val="0"/>
                <w:bCs w:val="0"/>
                <w:sz w:val="22"/>
                <w:szCs w:val="22"/>
                <w:lang w:val="es-ES"/>
              </w:rPr>
            </w:pPr>
            <w:r w:rsidRPr="00C44997">
              <w:rPr>
                <w:b w:val="0"/>
                <w:bCs w:val="0"/>
                <w:sz w:val="22"/>
                <w:szCs w:val="22"/>
                <w:lang w:val="es-ES"/>
              </w:rPr>
              <w:t>Retalhuleu</w:t>
            </w:r>
          </w:p>
        </w:tc>
        <w:tc>
          <w:tcPr>
            <w:tcW w:w="450" w:type="dxa"/>
          </w:tcPr>
          <w:p w14:paraId="4E05167B"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w:t>
            </w:r>
          </w:p>
        </w:tc>
        <w:tc>
          <w:tcPr>
            <w:tcW w:w="502" w:type="dxa"/>
          </w:tcPr>
          <w:p w14:paraId="343C549C"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w:t>
            </w:r>
          </w:p>
        </w:tc>
        <w:tc>
          <w:tcPr>
            <w:tcW w:w="355" w:type="dxa"/>
          </w:tcPr>
          <w:p w14:paraId="0986BC0B"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w:t>
            </w:r>
          </w:p>
        </w:tc>
        <w:tc>
          <w:tcPr>
            <w:tcW w:w="508" w:type="dxa"/>
          </w:tcPr>
          <w:p w14:paraId="10E89D88"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142</w:t>
            </w:r>
          </w:p>
        </w:tc>
      </w:tr>
      <w:tr w:rsidR="00C36261" w:rsidRPr="00A645EE" w14:paraId="11187D7C"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07C7F579" w14:textId="77777777" w:rsidR="00C36261" w:rsidRPr="00C44997" w:rsidRDefault="00C36261" w:rsidP="006A7377">
            <w:pPr>
              <w:rPr>
                <w:b w:val="0"/>
                <w:bCs w:val="0"/>
                <w:sz w:val="22"/>
                <w:szCs w:val="22"/>
                <w:lang w:val="es-ES"/>
              </w:rPr>
            </w:pPr>
            <w:r w:rsidRPr="00C44997">
              <w:rPr>
                <w:b w:val="0"/>
                <w:bCs w:val="0"/>
                <w:sz w:val="22"/>
                <w:szCs w:val="22"/>
                <w:lang w:val="es-ES"/>
              </w:rPr>
              <w:t>Sacatepéquez</w:t>
            </w:r>
          </w:p>
        </w:tc>
        <w:tc>
          <w:tcPr>
            <w:tcW w:w="450" w:type="dxa"/>
          </w:tcPr>
          <w:p w14:paraId="1D20C979"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21</w:t>
            </w:r>
          </w:p>
        </w:tc>
        <w:tc>
          <w:tcPr>
            <w:tcW w:w="502" w:type="dxa"/>
          </w:tcPr>
          <w:p w14:paraId="0DDDE85F"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4</w:t>
            </w:r>
          </w:p>
        </w:tc>
        <w:tc>
          <w:tcPr>
            <w:tcW w:w="355" w:type="dxa"/>
          </w:tcPr>
          <w:p w14:paraId="15284DF2"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25</w:t>
            </w:r>
          </w:p>
        </w:tc>
        <w:tc>
          <w:tcPr>
            <w:tcW w:w="508" w:type="dxa"/>
          </w:tcPr>
          <w:p w14:paraId="4642F0B1"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42</w:t>
            </w:r>
          </w:p>
        </w:tc>
      </w:tr>
      <w:tr w:rsidR="00C36261" w:rsidRPr="00A645EE" w14:paraId="27DB7561"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7392C6F3" w14:textId="77777777" w:rsidR="00C36261" w:rsidRPr="00C44997" w:rsidRDefault="00C36261" w:rsidP="006A7377">
            <w:pPr>
              <w:rPr>
                <w:b w:val="0"/>
                <w:bCs w:val="0"/>
                <w:sz w:val="22"/>
                <w:szCs w:val="22"/>
                <w:lang w:val="es-ES"/>
              </w:rPr>
            </w:pPr>
            <w:r w:rsidRPr="00C44997">
              <w:rPr>
                <w:b w:val="0"/>
                <w:bCs w:val="0"/>
                <w:sz w:val="22"/>
                <w:szCs w:val="22"/>
                <w:lang w:val="es-ES"/>
              </w:rPr>
              <w:t>San Marcos</w:t>
            </w:r>
          </w:p>
        </w:tc>
        <w:tc>
          <w:tcPr>
            <w:tcW w:w="450" w:type="dxa"/>
          </w:tcPr>
          <w:p w14:paraId="60E74E5D"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13</w:t>
            </w:r>
          </w:p>
        </w:tc>
        <w:tc>
          <w:tcPr>
            <w:tcW w:w="502" w:type="dxa"/>
          </w:tcPr>
          <w:p w14:paraId="24B629D1"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w:t>
            </w:r>
          </w:p>
        </w:tc>
        <w:tc>
          <w:tcPr>
            <w:tcW w:w="355" w:type="dxa"/>
          </w:tcPr>
          <w:p w14:paraId="7B6EFD35"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13</w:t>
            </w:r>
          </w:p>
        </w:tc>
        <w:tc>
          <w:tcPr>
            <w:tcW w:w="508" w:type="dxa"/>
          </w:tcPr>
          <w:p w14:paraId="6BF4C2A0"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144</w:t>
            </w:r>
          </w:p>
        </w:tc>
      </w:tr>
      <w:tr w:rsidR="00C36261" w:rsidRPr="00A645EE" w14:paraId="41F82956"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2932CA74" w14:textId="77777777" w:rsidR="00C36261" w:rsidRPr="00C44997" w:rsidRDefault="00C36261" w:rsidP="006A7377">
            <w:pPr>
              <w:rPr>
                <w:b w:val="0"/>
                <w:bCs w:val="0"/>
                <w:sz w:val="22"/>
                <w:szCs w:val="22"/>
                <w:lang w:val="es-ES"/>
              </w:rPr>
            </w:pPr>
            <w:r w:rsidRPr="00C44997">
              <w:rPr>
                <w:b w:val="0"/>
                <w:bCs w:val="0"/>
                <w:sz w:val="22"/>
                <w:szCs w:val="22"/>
                <w:lang w:val="es-ES"/>
              </w:rPr>
              <w:t>Santa Rosa</w:t>
            </w:r>
          </w:p>
        </w:tc>
        <w:tc>
          <w:tcPr>
            <w:tcW w:w="450" w:type="dxa"/>
          </w:tcPr>
          <w:p w14:paraId="1C8D912B"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5</w:t>
            </w:r>
          </w:p>
        </w:tc>
        <w:tc>
          <w:tcPr>
            <w:tcW w:w="502" w:type="dxa"/>
          </w:tcPr>
          <w:p w14:paraId="7E06EDF7"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5</w:t>
            </w:r>
          </w:p>
        </w:tc>
        <w:tc>
          <w:tcPr>
            <w:tcW w:w="355" w:type="dxa"/>
          </w:tcPr>
          <w:p w14:paraId="6AE42AA4"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10</w:t>
            </w:r>
          </w:p>
        </w:tc>
        <w:tc>
          <w:tcPr>
            <w:tcW w:w="508" w:type="dxa"/>
          </w:tcPr>
          <w:p w14:paraId="4E44D6FB"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437</w:t>
            </w:r>
          </w:p>
        </w:tc>
      </w:tr>
      <w:tr w:rsidR="00C36261" w:rsidRPr="00A645EE" w14:paraId="1B9E14BD"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68568D06" w14:textId="77777777" w:rsidR="00C36261" w:rsidRPr="00C44997" w:rsidRDefault="00C36261" w:rsidP="006A7377">
            <w:pPr>
              <w:rPr>
                <w:b w:val="0"/>
                <w:bCs w:val="0"/>
                <w:sz w:val="22"/>
                <w:szCs w:val="22"/>
                <w:lang w:val="es-ES"/>
              </w:rPr>
            </w:pPr>
            <w:r w:rsidRPr="00C44997">
              <w:rPr>
                <w:b w:val="0"/>
                <w:bCs w:val="0"/>
                <w:sz w:val="22"/>
                <w:szCs w:val="22"/>
                <w:lang w:val="es-ES"/>
              </w:rPr>
              <w:t>Sololá</w:t>
            </w:r>
          </w:p>
        </w:tc>
        <w:tc>
          <w:tcPr>
            <w:tcW w:w="450" w:type="dxa"/>
          </w:tcPr>
          <w:p w14:paraId="5B6D15A4"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20</w:t>
            </w:r>
          </w:p>
        </w:tc>
        <w:tc>
          <w:tcPr>
            <w:tcW w:w="502" w:type="dxa"/>
          </w:tcPr>
          <w:p w14:paraId="02E41517"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w:t>
            </w:r>
          </w:p>
        </w:tc>
        <w:tc>
          <w:tcPr>
            <w:tcW w:w="355" w:type="dxa"/>
          </w:tcPr>
          <w:p w14:paraId="0309C509"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21</w:t>
            </w:r>
          </w:p>
        </w:tc>
        <w:tc>
          <w:tcPr>
            <w:tcW w:w="508" w:type="dxa"/>
          </w:tcPr>
          <w:p w14:paraId="28D8AE29"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186</w:t>
            </w:r>
          </w:p>
        </w:tc>
      </w:tr>
      <w:tr w:rsidR="00C36261" w:rsidRPr="00A645EE" w14:paraId="2DE9F42C"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1A8E4B30" w14:textId="77777777" w:rsidR="00C36261" w:rsidRPr="00C44997" w:rsidRDefault="00C36261" w:rsidP="006A7377">
            <w:pPr>
              <w:rPr>
                <w:b w:val="0"/>
                <w:bCs w:val="0"/>
                <w:sz w:val="22"/>
                <w:szCs w:val="22"/>
                <w:lang w:val="es-ES"/>
              </w:rPr>
            </w:pPr>
            <w:r w:rsidRPr="00C44997">
              <w:rPr>
                <w:b w:val="0"/>
                <w:bCs w:val="0"/>
                <w:sz w:val="22"/>
                <w:szCs w:val="22"/>
                <w:lang w:val="es-ES"/>
              </w:rPr>
              <w:t>Suchitepéquez</w:t>
            </w:r>
          </w:p>
        </w:tc>
        <w:tc>
          <w:tcPr>
            <w:tcW w:w="450" w:type="dxa"/>
          </w:tcPr>
          <w:p w14:paraId="5FE73093"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2</w:t>
            </w:r>
          </w:p>
        </w:tc>
        <w:tc>
          <w:tcPr>
            <w:tcW w:w="502" w:type="dxa"/>
          </w:tcPr>
          <w:p w14:paraId="433F63D3"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w:t>
            </w:r>
          </w:p>
        </w:tc>
        <w:tc>
          <w:tcPr>
            <w:tcW w:w="355" w:type="dxa"/>
          </w:tcPr>
          <w:p w14:paraId="71E5691F"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3</w:t>
            </w:r>
          </w:p>
        </w:tc>
        <w:tc>
          <w:tcPr>
            <w:tcW w:w="508" w:type="dxa"/>
          </w:tcPr>
          <w:p w14:paraId="08FEB171"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125</w:t>
            </w:r>
          </w:p>
        </w:tc>
      </w:tr>
      <w:tr w:rsidR="00C36261" w:rsidRPr="00A645EE" w14:paraId="4CE3A270" w14:textId="77777777" w:rsidTr="00C4499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034917B3" w14:textId="77777777" w:rsidR="00C36261" w:rsidRPr="00C44997" w:rsidRDefault="00C36261" w:rsidP="006A7377">
            <w:pPr>
              <w:rPr>
                <w:b w:val="0"/>
                <w:bCs w:val="0"/>
                <w:sz w:val="22"/>
                <w:szCs w:val="22"/>
                <w:lang w:val="es-ES"/>
              </w:rPr>
            </w:pPr>
            <w:r w:rsidRPr="00C44997">
              <w:rPr>
                <w:b w:val="0"/>
                <w:bCs w:val="0"/>
                <w:sz w:val="22"/>
                <w:szCs w:val="22"/>
                <w:lang w:val="es-ES"/>
              </w:rPr>
              <w:t>Totonicapán</w:t>
            </w:r>
          </w:p>
        </w:tc>
        <w:tc>
          <w:tcPr>
            <w:tcW w:w="450" w:type="dxa"/>
          </w:tcPr>
          <w:p w14:paraId="261EEE18"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30</w:t>
            </w:r>
          </w:p>
        </w:tc>
        <w:tc>
          <w:tcPr>
            <w:tcW w:w="502" w:type="dxa"/>
          </w:tcPr>
          <w:p w14:paraId="0BA0CDD0"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w:t>
            </w:r>
          </w:p>
        </w:tc>
        <w:tc>
          <w:tcPr>
            <w:tcW w:w="355" w:type="dxa"/>
          </w:tcPr>
          <w:p w14:paraId="33046CCB"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30</w:t>
            </w:r>
          </w:p>
        </w:tc>
        <w:tc>
          <w:tcPr>
            <w:tcW w:w="508" w:type="dxa"/>
          </w:tcPr>
          <w:p w14:paraId="4BCE857B" w14:textId="77777777" w:rsidR="00C36261" w:rsidRPr="00C44997"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C44997">
              <w:rPr>
                <w:sz w:val="22"/>
                <w:szCs w:val="22"/>
                <w:lang w:val="es-ES"/>
              </w:rPr>
              <w:t>398</w:t>
            </w:r>
          </w:p>
        </w:tc>
      </w:tr>
      <w:tr w:rsidR="00C36261" w:rsidRPr="00A645EE" w14:paraId="5C0D4436" w14:textId="77777777" w:rsidTr="00C44997">
        <w:trPr>
          <w:trHeight w:val="260"/>
          <w:jc w:val="center"/>
        </w:trPr>
        <w:tc>
          <w:tcPr>
            <w:cnfStyle w:val="001000000000" w:firstRow="0" w:lastRow="0" w:firstColumn="1" w:lastColumn="0" w:oddVBand="0" w:evenVBand="0" w:oddHBand="0" w:evenHBand="0" w:firstRowFirstColumn="0" w:firstRowLastColumn="0" w:lastRowFirstColumn="0" w:lastRowLastColumn="0"/>
            <w:tcW w:w="632" w:type="dxa"/>
          </w:tcPr>
          <w:p w14:paraId="53DB8BF6" w14:textId="77777777" w:rsidR="00C36261" w:rsidRPr="00C44997" w:rsidRDefault="00C36261" w:rsidP="006A7377">
            <w:pPr>
              <w:rPr>
                <w:b w:val="0"/>
                <w:bCs w:val="0"/>
                <w:sz w:val="22"/>
                <w:szCs w:val="22"/>
                <w:lang w:val="es-ES"/>
              </w:rPr>
            </w:pPr>
            <w:r w:rsidRPr="00C44997">
              <w:rPr>
                <w:b w:val="0"/>
                <w:bCs w:val="0"/>
                <w:sz w:val="22"/>
                <w:szCs w:val="22"/>
                <w:lang w:val="es-ES"/>
              </w:rPr>
              <w:t>Zacapa</w:t>
            </w:r>
          </w:p>
        </w:tc>
        <w:tc>
          <w:tcPr>
            <w:tcW w:w="450" w:type="dxa"/>
          </w:tcPr>
          <w:p w14:paraId="28953E13"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45</w:t>
            </w:r>
          </w:p>
        </w:tc>
        <w:tc>
          <w:tcPr>
            <w:tcW w:w="502" w:type="dxa"/>
          </w:tcPr>
          <w:p w14:paraId="007B335A"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13</w:t>
            </w:r>
          </w:p>
        </w:tc>
        <w:tc>
          <w:tcPr>
            <w:tcW w:w="355" w:type="dxa"/>
          </w:tcPr>
          <w:p w14:paraId="116DAC03"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58</w:t>
            </w:r>
          </w:p>
        </w:tc>
        <w:tc>
          <w:tcPr>
            <w:tcW w:w="508" w:type="dxa"/>
          </w:tcPr>
          <w:p w14:paraId="376C97EE" w14:textId="77777777" w:rsidR="00C36261" w:rsidRPr="00C44997"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C44997">
              <w:rPr>
                <w:sz w:val="22"/>
                <w:szCs w:val="22"/>
                <w:lang w:val="es-ES"/>
              </w:rPr>
              <w:t>3182</w:t>
            </w:r>
          </w:p>
        </w:tc>
      </w:tr>
    </w:tbl>
    <w:p w14:paraId="03FEBD5D" w14:textId="5B8170F7" w:rsidR="00C36261" w:rsidRPr="00021C68" w:rsidRDefault="004C3810" w:rsidP="004C3810">
      <w:pPr>
        <w:tabs>
          <w:tab w:val="left" w:pos="3615"/>
        </w:tabs>
        <w:rPr>
          <w:sz w:val="16"/>
          <w:szCs w:val="16"/>
          <w:lang w:val="es-ES"/>
        </w:rPr>
      </w:pPr>
      <w:r>
        <w:rPr>
          <w:sz w:val="16"/>
          <w:szCs w:val="16"/>
          <w:lang w:val="es-ES"/>
        </w:rPr>
        <w:t xml:space="preserve">                                      </w:t>
      </w:r>
      <w:r w:rsidR="00C36261" w:rsidRPr="00021C68">
        <w:rPr>
          <w:sz w:val="16"/>
          <w:szCs w:val="16"/>
          <w:lang w:val="es-ES"/>
        </w:rPr>
        <w:t xml:space="preserve">Fuente: </w:t>
      </w:r>
      <w:r w:rsidR="00C36261">
        <w:rPr>
          <w:sz w:val="16"/>
          <w:szCs w:val="16"/>
          <w:lang w:val="es-ES"/>
        </w:rPr>
        <w:t xml:space="preserve">en base a </w:t>
      </w:r>
      <w:r w:rsidR="00C36261" w:rsidRPr="00021C68">
        <w:rPr>
          <w:sz w:val="16"/>
          <w:szCs w:val="16"/>
          <w:lang w:val="es-ES"/>
        </w:rPr>
        <w:t>CONRED, incendios forestales 2022-2023</w:t>
      </w:r>
    </w:p>
    <w:p w14:paraId="5EB341EB" w14:textId="77777777" w:rsidR="00C36261" w:rsidRPr="00E40BC4" w:rsidRDefault="00C36261" w:rsidP="00C36261">
      <w:pPr>
        <w:tabs>
          <w:tab w:val="left" w:pos="3615"/>
        </w:tabs>
        <w:jc w:val="both"/>
        <w:rPr>
          <w:highlight w:val="yellow"/>
          <w:lang w:val="es-ES"/>
        </w:rPr>
      </w:pPr>
    </w:p>
    <w:p w14:paraId="1DF4C9DC" w14:textId="77777777" w:rsidR="00C36261" w:rsidRDefault="00C36261" w:rsidP="00C36261">
      <w:pPr>
        <w:tabs>
          <w:tab w:val="left" w:pos="3615"/>
        </w:tabs>
        <w:jc w:val="both"/>
        <w:rPr>
          <w:lang w:val="es-ES"/>
        </w:rPr>
      </w:pPr>
      <w:r w:rsidRPr="008D54C6">
        <w:rPr>
          <w:lang w:val="es-ES"/>
        </w:rPr>
        <w:t xml:space="preserve">De acuerdo al cuadro anterior, los 22 departamentos se vieron afectado por la temporada de incendios, siendo el más afectado el departamento de Peten, seguido por Quiche y Huehuetenango. El impacto de los incendios se considera tanto en pérdidas económicas directas con daños ambientales y culturales (pérdida de los servicios prestados por los ecosistemas, así como pérdidas y daños arqueológicos, entre otros) y los daños a la salud humana. </w:t>
      </w:r>
    </w:p>
    <w:p w14:paraId="52F0CF91" w14:textId="77777777" w:rsidR="00C36261" w:rsidRDefault="00C36261" w:rsidP="00C36261">
      <w:pPr>
        <w:jc w:val="both"/>
        <w:rPr>
          <w:lang w:val="es-ES"/>
        </w:rPr>
      </w:pPr>
    </w:p>
    <w:p w14:paraId="7B57D4EC" w14:textId="77777777" w:rsidR="00C36261" w:rsidRPr="00447AA7" w:rsidRDefault="00C36261" w:rsidP="000E01EC">
      <w:pPr>
        <w:pStyle w:val="Ttulo2"/>
        <w:numPr>
          <w:ilvl w:val="2"/>
          <w:numId w:val="35"/>
        </w:numPr>
        <w:tabs>
          <w:tab w:val="left" w:pos="993"/>
        </w:tabs>
        <w:ind w:left="567" w:hanging="283"/>
        <w:rPr>
          <w:bCs/>
        </w:rPr>
      </w:pPr>
      <w:bookmarkStart w:id="837" w:name="_Toc144114469"/>
      <w:r w:rsidRPr="00447AA7">
        <w:rPr>
          <w:bCs/>
        </w:rPr>
        <w:t>Sismos:</w:t>
      </w:r>
      <w:bookmarkEnd w:id="837"/>
    </w:p>
    <w:p w14:paraId="73906D79" w14:textId="77777777" w:rsidR="00C36261" w:rsidRDefault="00C36261" w:rsidP="00C36261">
      <w:pPr>
        <w:jc w:val="both"/>
        <w:rPr>
          <w:lang w:val="es-ES"/>
        </w:rPr>
      </w:pPr>
    </w:p>
    <w:p w14:paraId="06C4B206" w14:textId="77777777" w:rsidR="00C36261" w:rsidRDefault="00C36261" w:rsidP="00C36261">
      <w:pPr>
        <w:shd w:val="clear" w:color="auto" w:fill="FFFFFF"/>
        <w:jc w:val="both"/>
        <w:textAlignment w:val="baseline"/>
        <w:rPr>
          <w:lang w:val="es-ES"/>
        </w:rPr>
      </w:pPr>
      <w:r w:rsidRPr="007500FB">
        <w:rPr>
          <w:lang w:val="es-ES"/>
        </w:rPr>
        <w:t xml:space="preserve">Según el marco tectónico de Guatemala establecido por el </w:t>
      </w:r>
      <w:proofErr w:type="spellStart"/>
      <w:r w:rsidRPr="007500FB">
        <w:rPr>
          <w:lang w:val="es-ES"/>
        </w:rPr>
        <w:t>Insivumeh</w:t>
      </w:r>
      <w:proofErr w:type="spellEnd"/>
      <w:r w:rsidRPr="007500FB">
        <w:rPr>
          <w:lang w:val="es-ES"/>
        </w:rPr>
        <w:t>, </w:t>
      </w:r>
      <w:r>
        <w:rPr>
          <w:lang w:val="es-ES"/>
        </w:rPr>
        <w:t>e</w:t>
      </w:r>
      <w:r w:rsidRPr="007500FB">
        <w:rPr>
          <w:lang w:val="es-ES"/>
        </w:rPr>
        <w:t>l territorio nacional está repartido en tres placas tectónicas: Norteamérica, Caribe y Cocos. Los movimientos relativos entre éstas determinan los principales rasgos topográficos del país y la distribución de los terremotos y volcanes.</w:t>
      </w:r>
      <w:r>
        <w:rPr>
          <w:lang w:val="es-ES"/>
        </w:rPr>
        <w:t xml:space="preserve"> L</w:t>
      </w:r>
      <w:r w:rsidRPr="007500FB">
        <w:rPr>
          <w:lang w:val="es-ES"/>
        </w:rPr>
        <w:t>os sismos naturales son los producidos por fuentes sísmicas que no pueden ser controlados por los humanos, como fallas geológicas, actividad volcánica y, en menor importancia, agentes meteorológicos tales como el oleaje del mar. Estas representan el mayor peligro o amenaza para la humanidad.</w:t>
      </w:r>
    </w:p>
    <w:p w14:paraId="42EE356B" w14:textId="77777777" w:rsidR="00C36261" w:rsidRDefault="00C36261" w:rsidP="00C36261">
      <w:pPr>
        <w:shd w:val="clear" w:color="auto" w:fill="FFFFFF"/>
        <w:jc w:val="both"/>
        <w:textAlignment w:val="baseline"/>
        <w:rPr>
          <w:lang w:val="es-ES"/>
        </w:rPr>
      </w:pPr>
    </w:p>
    <w:p w14:paraId="47842E46" w14:textId="77777777" w:rsidR="00C36261" w:rsidRDefault="00C36261" w:rsidP="00C36261">
      <w:pPr>
        <w:shd w:val="clear" w:color="auto" w:fill="FFFFFF"/>
        <w:jc w:val="both"/>
        <w:textAlignment w:val="baseline"/>
        <w:rPr>
          <w:lang w:val="es-ES"/>
        </w:rPr>
      </w:pPr>
      <w:r>
        <w:rPr>
          <w:lang w:val="es-ES"/>
        </w:rPr>
        <w:t xml:space="preserve">Para el periodo del 2018 hasta mediados de julio 2023 se han registrado un total de 818 sismos de los cuales 493 son sensibles para la población. </w:t>
      </w:r>
    </w:p>
    <w:p w14:paraId="34F01C8E" w14:textId="77777777" w:rsidR="00C36261" w:rsidRDefault="00C36261" w:rsidP="00C36261">
      <w:pPr>
        <w:shd w:val="clear" w:color="auto" w:fill="FFFFFF"/>
        <w:jc w:val="both"/>
        <w:textAlignment w:val="baseline"/>
        <w:rPr>
          <w:lang w:val="es-ES"/>
        </w:rPr>
      </w:pPr>
    </w:p>
    <w:p w14:paraId="7A84475A" w14:textId="6D717F2A" w:rsidR="00C36261" w:rsidRPr="004C3810" w:rsidRDefault="004C3810" w:rsidP="004C3810">
      <w:pPr>
        <w:pStyle w:val="Descripcin"/>
        <w:keepNext/>
      </w:pPr>
      <w:bookmarkStart w:id="838" w:name="_Toc143593555"/>
      <w:r w:rsidRPr="004C3810">
        <w:rPr>
          <w:color w:val="auto"/>
        </w:rPr>
        <w:lastRenderedPageBreak/>
        <w:t xml:space="preserve">Tabla </w:t>
      </w:r>
      <w:r w:rsidRPr="004C3810">
        <w:rPr>
          <w:color w:val="auto"/>
        </w:rPr>
        <w:fldChar w:fldCharType="begin"/>
      </w:r>
      <w:r w:rsidRPr="004C3810">
        <w:rPr>
          <w:color w:val="auto"/>
        </w:rPr>
        <w:instrText xml:space="preserve"> SEQ Tabla \* ARABIC </w:instrText>
      </w:r>
      <w:r w:rsidRPr="004C3810">
        <w:rPr>
          <w:color w:val="auto"/>
        </w:rPr>
        <w:fldChar w:fldCharType="separate"/>
      </w:r>
      <w:r w:rsidR="00A62AFA">
        <w:rPr>
          <w:noProof/>
          <w:color w:val="auto"/>
        </w:rPr>
        <w:t>53</w:t>
      </w:r>
      <w:r w:rsidRPr="004C3810">
        <w:rPr>
          <w:color w:val="auto"/>
        </w:rPr>
        <w:fldChar w:fldCharType="end"/>
      </w:r>
      <w:r w:rsidRPr="004C3810">
        <w:rPr>
          <w:color w:val="auto"/>
        </w:rPr>
        <w:t xml:space="preserve">.  </w:t>
      </w:r>
      <w:r w:rsidR="00C36261" w:rsidRPr="004C3810">
        <w:rPr>
          <w:color w:val="auto"/>
          <w:sz w:val="22"/>
          <w:szCs w:val="22"/>
        </w:rPr>
        <w:t>Sismos Guatemala 2018-2023</w:t>
      </w:r>
      <w:bookmarkEnd w:id="838"/>
    </w:p>
    <w:tbl>
      <w:tblPr>
        <w:tblStyle w:val="Tabladecuadrcula4-nfasis11"/>
        <w:tblW w:w="0" w:type="auto"/>
        <w:jc w:val="center"/>
        <w:tblLook w:val="04A0" w:firstRow="1" w:lastRow="0" w:firstColumn="1" w:lastColumn="0" w:noHBand="0" w:noVBand="1"/>
      </w:tblPr>
      <w:tblGrid>
        <w:gridCol w:w="1414"/>
        <w:gridCol w:w="1842"/>
        <w:gridCol w:w="1701"/>
      </w:tblGrid>
      <w:tr w:rsidR="00C36261" w14:paraId="5300A4B0" w14:textId="77777777" w:rsidTr="004C3810">
        <w:trPr>
          <w:cnfStyle w:val="100000000000" w:firstRow="1" w:lastRow="0" w:firstColumn="0" w:lastColumn="0" w:oddVBand="0" w:evenVBand="0" w:oddHBand="0"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414" w:type="dxa"/>
          </w:tcPr>
          <w:p w14:paraId="3FB24ABF" w14:textId="77777777" w:rsidR="00C36261" w:rsidRPr="004C3810" w:rsidRDefault="00C36261" w:rsidP="006A7377">
            <w:pPr>
              <w:jc w:val="center"/>
              <w:rPr>
                <w:sz w:val="22"/>
                <w:szCs w:val="22"/>
                <w:lang w:val="es-ES"/>
              </w:rPr>
            </w:pPr>
            <w:r w:rsidRPr="004C3810">
              <w:rPr>
                <w:sz w:val="22"/>
                <w:szCs w:val="22"/>
                <w:lang w:val="es-ES"/>
              </w:rPr>
              <w:t>Periodo</w:t>
            </w:r>
          </w:p>
        </w:tc>
        <w:tc>
          <w:tcPr>
            <w:tcW w:w="1842" w:type="dxa"/>
          </w:tcPr>
          <w:p w14:paraId="35EA4F63" w14:textId="77777777" w:rsidR="00C36261" w:rsidRPr="004C3810" w:rsidRDefault="00C36261" w:rsidP="006A7377">
            <w:pPr>
              <w:jc w:val="center"/>
              <w:cnfStyle w:val="100000000000" w:firstRow="1" w:lastRow="0" w:firstColumn="0" w:lastColumn="0" w:oddVBand="0" w:evenVBand="0" w:oddHBand="0" w:evenHBand="0" w:firstRowFirstColumn="0" w:firstRowLastColumn="0" w:lastRowFirstColumn="0" w:lastRowLastColumn="0"/>
              <w:rPr>
                <w:sz w:val="22"/>
                <w:szCs w:val="22"/>
                <w:lang w:val="es-ES"/>
              </w:rPr>
            </w:pPr>
            <w:r w:rsidRPr="004C3810">
              <w:rPr>
                <w:sz w:val="22"/>
                <w:szCs w:val="22"/>
                <w:lang w:val="es-ES"/>
              </w:rPr>
              <w:t>Sismo registrado</w:t>
            </w:r>
          </w:p>
        </w:tc>
        <w:tc>
          <w:tcPr>
            <w:tcW w:w="1701" w:type="dxa"/>
          </w:tcPr>
          <w:p w14:paraId="78F4662C" w14:textId="77777777" w:rsidR="00C36261" w:rsidRPr="004C3810" w:rsidRDefault="00C36261" w:rsidP="006A7377">
            <w:pPr>
              <w:jc w:val="center"/>
              <w:cnfStyle w:val="100000000000" w:firstRow="1" w:lastRow="0" w:firstColumn="0" w:lastColumn="0" w:oddVBand="0" w:evenVBand="0" w:oddHBand="0" w:evenHBand="0" w:firstRowFirstColumn="0" w:firstRowLastColumn="0" w:lastRowFirstColumn="0" w:lastRowLastColumn="0"/>
              <w:rPr>
                <w:sz w:val="22"/>
                <w:szCs w:val="22"/>
                <w:lang w:val="es-ES"/>
              </w:rPr>
            </w:pPr>
            <w:r w:rsidRPr="004C3810">
              <w:rPr>
                <w:sz w:val="22"/>
                <w:szCs w:val="22"/>
                <w:lang w:val="es-ES"/>
              </w:rPr>
              <w:t>Sismo sensible</w:t>
            </w:r>
          </w:p>
        </w:tc>
      </w:tr>
      <w:tr w:rsidR="00C36261" w14:paraId="0374C8B6" w14:textId="77777777" w:rsidTr="004C3810">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1414" w:type="dxa"/>
          </w:tcPr>
          <w:p w14:paraId="5ABAD3C5" w14:textId="77777777" w:rsidR="00C36261" w:rsidRPr="004C3810" w:rsidRDefault="00C36261" w:rsidP="006A7377">
            <w:pPr>
              <w:jc w:val="center"/>
              <w:rPr>
                <w:sz w:val="22"/>
                <w:szCs w:val="22"/>
                <w:lang w:val="es-ES"/>
              </w:rPr>
            </w:pPr>
            <w:r w:rsidRPr="004C3810">
              <w:rPr>
                <w:sz w:val="22"/>
                <w:szCs w:val="22"/>
                <w:lang w:val="es-ES"/>
              </w:rPr>
              <w:t>2018</w:t>
            </w:r>
          </w:p>
        </w:tc>
        <w:tc>
          <w:tcPr>
            <w:tcW w:w="1842" w:type="dxa"/>
          </w:tcPr>
          <w:p w14:paraId="4C5B129E"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4C3810">
              <w:rPr>
                <w:sz w:val="22"/>
                <w:szCs w:val="22"/>
                <w:lang w:val="es-ES"/>
              </w:rPr>
              <w:t>33</w:t>
            </w:r>
          </w:p>
        </w:tc>
        <w:tc>
          <w:tcPr>
            <w:tcW w:w="1701" w:type="dxa"/>
          </w:tcPr>
          <w:p w14:paraId="5CE6205F"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4C3810">
              <w:rPr>
                <w:sz w:val="22"/>
                <w:szCs w:val="22"/>
                <w:lang w:val="es-ES"/>
              </w:rPr>
              <w:t>33</w:t>
            </w:r>
          </w:p>
        </w:tc>
      </w:tr>
      <w:tr w:rsidR="00C36261" w14:paraId="28298195" w14:textId="77777777" w:rsidTr="004C3810">
        <w:trPr>
          <w:trHeight w:val="45"/>
          <w:jc w:val="center"/>
        </w:trPr>
        <w:tc>
          <w:tcPr>
            <w:cnfStyle w:val="001000000000" w:firstRow="0" w:lastRow="0" w:firstColumn="1" w:lastColumn="0" w:oddVBand="0" w:evenVBand="0" w:oddHBand="0" w:evenHBand="0" w:firstRowFirstColumn="0" w:firstRowLastColumn="0" w:lastRowFirstColumn="0" w:lastRowLastColumn="0"/>
            <w:tcW w:w="1414" w:type="dxa"/>
          </w:tcPr>
          <w:p w14:paraId="3244ACAF" w14:textId="77777777" w:rsidR="00C36261" w:rsidRPr="004C3810" w:rsidRDefault="00C36261" w:rsidP="006A7377">
            <w:pPr>
              <w:jc w:val="center"/>
              <w:rPr>
                <w:sz w:val="22"/>
                <w:szCs w:val="22"/>
                <w:lang w:val="es-ES"/>
              </w:rPr>
            </w:pPr>
            <w:r w:rsidRPr="004C3810">
              <w:rPr>
                <w:sz w:val="22"/>
                <w:szCs w:val="22"/>
                <w:lang w:val="es-ES"/>
              </w:rPr>
              <w:t>2019</w:t>
            </w:r>
          </w:p>
        </w:tc>
        <w:tc>
          <w:tcPr>
            <w:tcW w:w="1842" w:type="dxa"/>
          </w:tcPr>
          <w:p w14:paraId="0FA182C1"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4C3810">
              <w:rPr>
                <w:sz w:val="22"/>
                <w:szCs w:val="22"/>
                <w:lang w:val="es-ES"/>
              </w:rPr>
              <w:t>88</w:t>
            </w:r>
          </w:p>
        </w:tc>
        <w:tc>
          <w:tcPr>
            <w:tcW w:w="1701" w:type="dxa"/>
          </w:tcPr>
          <w:p w14:paraId="4221DD09"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4C3810">
              <w:rPr>
                <w:sz w:val="22"/>
                <w:szCs w:val="22"/>
                <w:lang w:val="es-ES"/>
              </w:rPr>
              <w:t>88</w:t>
            </w:r>
          </w:p>
        </w:tc>
      </w:tr>
      <w:tr w:rsidR="00C36261" w14:paraId="307F4F7F" w14:textId="77777777" w:rsidTr="004C3810">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414" w:type="dxa"/>
          </w:tcPr>
          <w:p w14:paraId="5B5CE667" w14:textId="77777777" w:rsidR="00C36261" w:rsidRPr="004C3810" w:rsidRDefault="00C36261" w:rsidP="006A7377">
            <w:pPr>
              <w:jc w:val="center"/>
              <w:rPr>
                <w:sz w:val="22"/>
                <w:szCs w:val="22"/>
                <w:lang w:val="es-ES"/>
              </w:rPr>
            </w:pPr>
            <w:r w:rsidRPr="004C3810">
              <w:rPr>
                <w:sz w:val="22"/>
                <w:szCs w:val="22"/>
                <w:lang w:val="es-ES"/>
              </w:rPr>
              <w:t>2020</w:t>
            </w:r>
          </w:p>
        </w:tc>
        <w:tc>
          <w:tcPr>
            <w:tcW w:w="1842" w:type="dxa"/>
          </w:tcPr>
          <w:p w14:paraId="15FFDCE1"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4C3810">
              <w:rPr>
                <w:sz w:val="22"/>
                <w:szCs w:val="22"/>
                <w:lang w:val="es-ES"/>
              </w:rPr>
              <w:t>183</w:t>
            </w:r>
          </w:p>
        </w:tc>
        <w:tc>
          <w:tcPr>
            <w:tcW w:w="1701" w:type="dxa"/>
          </w:tcPr>
          <w:p w14:paraId="13C966F4"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4C3810">
              <w:rPr>
                <w:sz w:val="22"/>
                <w:szCs w:val="22"/>
                <w:lang w:val="es-ES"/>
              </w:rPr>
              <w:t>79</w:t>
            </w:r>
          </w:p>
        </w:tc>
      </w:tr>
      <w:tr w:rsidR="00C36261" w14:paraId="2D12F947" w14:textId="77777777" w:rsidTr="004C3810">
        <w:trPr>
          <w:trHeight w:val="45"/>
          <w:jc w:val="center"/>
        </w:trPr>
        <w:tc>
          <w:tcPr>
            <w:cnfStyle w:val="001000000000" w:firstRow="0" w:lastRow="0" w:firstColumn="1" w:lastColumn="0" w:oddVBand="0" w:evenVBand="0" w:oddHBand="0" w:evenHBand="0" w:firstRowFirstColumn="0" w:firstRowLastColumn="0" w:lastRowFirstColumn="0" w:lastRowLastColumn="0"/>
            <w:tcW w:w="1414" w:type="dxa"/>
          </w:tcPr>
          <w:p w14:paraId="1F197F19" w14:textId="77777777" w:rsidR="00C36261" w:rsidRPr="004C3810" w:rsidRDefault="00C36261" w:rsidP="006A7377">
            <w:pPr>
              <w:jc w:val="center"/>
              <w:rPr>
                <w:sz w:val="22"/>
                <w:szCs w:val="22"/>
                <w:lang w:val="es-ES"/>
              </w:rPr>
            </w:pPr>
            <w:r w:rsidRPr="004C3810">
              <w:rPr>
                <w:sz w:val="22"/>
                <w:szCs w:val="22"/>
                <w:lang w:val="es-ES"/>
              </w:rPr>
              <w:t>2021</w:t>
            </w:r>
          </w:p>
        </w:tc>
        <w:tc>
          <w:tcPr>
            <w:tcW w:w="1842" w:type="dxa"/>
          </w:tcPr>
          <w:p w14:paraId="302DB242"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4C3810">
              <w:rPr>
                <w:sz w:val="22"/>
                <w:szCs w:val="22"/>
                <w:lang w:val="es-ES"/>
              </w:rPr>
              <w:t>250</w:t>
            </w:r>
          </w:p>
        </w:tc>
        <w:tc>
          <w:tcPr>
            <w:tcW w:w="1701" w:type="dxa"/>
          </w:tcPr>
          <w:p w14:paraId="641C4F16"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4C3810">
              <w:rPr>
                <w:sz w:val="22"/>
                <w:szCs w:val="22"/>
                <w:lang w:val="es-ES"/>
              </w:rPr>
              <w:t>140</w:t>
            </w:r>
          </w:p>
        </w:tc>
      </w:tr>
      <w:tr w:rsidR="00C36261" w14:paraId="35214E5E" w14:textId="77777777" w:rsidTr="004C3810">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414" w:type="dxa"/>
          </w:tcPr>
          <w:p w14:paraId="4BF1DD0D" w14:textId="77777777" w:rsidR="00C36261" w:rsidRPr="004C3810" w:rsidRDefault="00C36261" w:rsidP="006A7377">
            <w:pPr>
              <w:jc w:val="center"/>
              <w:rPr>
                <w:sz w:val="22"/>
                <w:szCs w:val="22"/>
                <w:lang w:val="es-ES"/>
              </w:rPr>
            </w:pPr>
            <w:r w:rsidRPr="004C3810">
              <w:rPr>
                <w:sz w:val="22"/>
                <w:szCs w:val="22"/>
                <w:lang w:val="es-ES"/>
              </w:rPr>
              <w:t>2022</w:t>
            </w:r>
          </w:p>
        </w:tc>
        <w:tc>
          <w:tcPr>
            <w:tcW w:w="1842" w:type="dxa"/>
          </w:tcPr>
          <w:p w14:paraId="18BA27C6"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4C3810">
              <w:rPr>
                <w:sz w:val="22"/>
                <w:szCs w:val="22"/>
                <w:lang w:val="es-ES"/>
              </w:rPr>
              <w:t>179</w:t>
            </w:r>
          </w:p>
        </w:tc>
        <w:tc>
          <w:tcPr>
            <w:tcW w:w="1701" w:type="dxa"/>
          </w:tcPr>
          <w:p w14:paraId="3894878F"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4C3810">
              <w:rPr>
                <w:sz w:val="22"/>
                <w:szCs w:val="22"/>
                <w:lang w:val="es-ES"/>
              </w:rPr>
              <w:t>101</w:t>
            </w:r>
          </w:p>
        </w:tc>
      </w:tr>
      <w:tr w:rsidR="00C36261" w14:paraId="100688EB" w14:textId="77777777" w:rsidTr="004C3810">
        <w:trPr>
          <w:trHeight w:val="45"/>
          <w:jc w:val="center"/>
        </w:trPr>
        <w:tc>
          <w:tcPr>
            <w:cnfStyle w:val="001000000000" w:firstRow="0" w:lastRow="0" w:firstColumn="1" w:lastColumn="0" w:oddVBand="0" w:evenVBand="0" w:oddHBand="0" w:evenHBand="0" w:firstRowFirstColumn="0" w:firstRowLastColumn="0" w:lastRowFirstColumn="0" w:lastRowLastColumn="0"/>
            <w:tcW w:w="1414" w:type="dxa"/>
          </w:tcPr>
          <w:p w14:paraId="59C848AF" w14:textId="77777777" w:rsidR="00C36261" w:rsidRPr="004C3810" w:rsidRDefault="00C36261" w:rsidP="006A7377">
            <w:pPr>
              <w:jc w:val="center"/>
              <w:rPr>
                <w:sz w:val="22"/>
                <w:szCs w:val="22"/>
                <w:lang w:val="es-ES"/>
              </w:rPr>
            </w:pPr>
            <w:r w:rsidRPr="004C3810">
              <w:rPr>
                <w:sz w:val="22"/>
                <w:szCs w:val="22"/>
                <w:lang w:val="es-ES"/>
              </w:rPr>
              <w:t>2023</w:t>
            </w:r>
          </w:p>
        </w:tc>
        <w:tc>
          <w:tcPr>
            <w:tcW w:w="1842" w:type="dxa"/>
          </w:tcPr>
          <w:p w14:paraId="739947EC"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4C3810">
              <w:rPr>
                <w:sz w:val="22"/>
                <w:szCs w:val="22"/>
                <w:lang w:val="es-ES"/>
              </w:rPr>
              <w:t>85</w:t>
            </w:r>
          </w:p>
        </w:tc>
        <w:tc>
          <w:tcPr>
            <w:tcW w:w="1701" w:type="dxa"/>
          </w:tcPr>
          <w:p w14:paraId="5A692D95"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4C3810">
              <w:rPr>
                <w:sz w:val="22"/>
                <w:szCs w:val="22"/>
                <w:lang w:val="es-ES"/>
              </w:rPr>
              <w:t>52</w:t>
            </w:r>
          </w:p>
        </w:tc>
      </w:tr>
      <w:tr w:rsidR="00C36261" w14:paraId="1D4C26EA" w14:textId="77777777" w:rsidTr="004C3810">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414" w:type="dxa"/>
          </w:tcPr>
          <w:p w14:paraId="65BF6667" w14:textId="77777777" w:rsidR="00C36261" w:rsidRPr="004C3810" w:rsidRDefault="00C36261" w:rsidP="006A7377">
            <w:pPr>
              <w:jc w:val="center"/>
              <w:rPr>
                <w:sz w:val="22"/>
                <w:szCs w:val="22"/>
                <w:lang w:val="es-ES"/>
              </w:rPr>
            </w:pPr>
            <w:r w:rsidRPr="004C3810">
              <w:rPr>
                <w:sz w:val="22"/>
                <w:szCs w:val="22"/>
                <w:lang w:val="es-ES"/>
              </w:rPr>
              <w:t>Total</w:t>
            </w:r>
          </w:p>
        </w:tc>
        <w:tc>
          <w:tcPr>
            <w:tcW w:w="1842" w:type="dxa"/>
          </w:tcPr>
          <w:p w14:paraId="7AC85EBF"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4C3810">
              <w:rPr>
                <w:sz w:val="22"/>
                <w:szCs w:val="22"/>
                <w:lang w:val="es-ES"/>
              </w:rPr>
              <w:t>818</w:t>
            </w:r>
          </w:p>
        </w:tc>
        <w:tc>
          <w:tcPr>
            <w:tcW w:w="1701" w:type="dxa"/>
          </w:tcPr>
          <w:p w14:paraId="73E7C3B7"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lang w:val="es-ES"/>
              </w:rPr>
            </w:pPr>
            <w:r w:rsidRPr="004C3810">
              <w:rPr>
                <w:sz w:val="22"/>
                <w:szCs w:val="22"/>
                <w:lang w:val="es-ES"/>
              </w:rPr>
              <w:t>493</w:t>
            </w:r>
          </w:p>
        </w:tc>
      </w:tr>
    </w:tbl>
    <w:p w14:paraId="0D7D93FC" w14:textId="57A99F2C" w:rsidR="00C36261" w:rsidRPr="00B25C48" w:rsidRDefault="00C44997" w:rsidP="00C36261">
      <w:pPr>
        <w:tabs>
          <w:tab w:val="left" w:pos="3615"/>
        </w:tabs>
        <w:jc w:val="both"/>
        <w:rPr>
          <w:sz w:val="16"/>
          <w:szCs w:val="16"/>
          <w:lang w:val="es-ES"/>
        </w:rPr>
      </w:pPr>
      <w:r>
        <w:rPr>
          <w:sz w:val="16"/>
          <w:szCs w:val="16"/>
          <w:lang w:val="es-ES"/>
        </w:rPr>
        <w:t xml:space="preserve">          </w:t>
      </w:r>
      <w:r w:rsidR="004C3810">
        <w:rPr>
          <w:sz w:val="16"/>
          <w:szCs w:val="16"/>
          <w:lang w:val="es-ES"/>
        </w:rPr>
        <w:t xml:space="preserve">                       </w:t>
      </w:r>
      <w:r>
        <w:rPr>
          <w:sz w:val="16"/>
          <w:szCs w:val="16"/>
          <w:lang w:val="es-ES"/>
        </w:rPr>
        <w:t xml:space="preserve">  </w:t>
      </w:r>
      <w:r w:rsidR="00C36261" w:rsidRPr="00B25C48">
        <w:rPr>
          <w:sz w:val="16"/>
          <w:szCs w:val="16"/>
          <w:lang w:val="es-ES"/>
        </w:rPr>
        <w:t xml:space="preserve">Fuente: Boletín sismológico del Centro sismológico José </w:t>
      </w:r>
      <w:proofErr w:type="spellStart"/>
      <w:r w:rsidR="00C36261" w:rsidRPr="00B25C48">
        <w:rPr>
          <w:sz w:val="16"/>
          <w:szCs w:val="16"/>
          <w:lang w:val="es-ES"/>
        </w:rPr>
        <w:t>Vassaux</w:t>
      </w:r>
      <w:proofErr w:type="spellEnd"/>
      <w:r w:rsidR="00C36261" w:rsidRPr="00B25C48">
        <w:rPr>
          <w:sz w:val="16"/>
          <w:szCs w:val="16"/>
          <w:lang w:val="es-ES"/>
        </w:rPr>
        <w:t xml:space="preserve"> Palomo, INSIVUMEH  2023</w:t>
      </w:r>
    </w:p>
    <w:p w14:paraId="0C263073" w14:textId="77777777" w:rsidR="00C36261" w:rsidRDefault="00C36261" w:rsidP="00C36261">
      <w:pPr>
        <w:jc w:val="both"/>
        <w:rPr>
          <w:lang w:val="es-ES"/>
        </w:rPr>
      </w:pPr>
    </w:p>
    <w:p w14:paraId="301D7057" w14:textId="2981A2E4" w:rsidR="00C36261" w:rsidRPr="004C3810" w:rsidRDefault="004C3810" w:rsidP="004C3810">
      <w:pPr>
        <w:pStyle w:val="Descripcin"/>
        <w:rPr>
          <w:b w:val="0"/>
          <w:color w:val="auto"/>
          <w:sz w:val="22"/>
          <w:szCs w:val="22"/>
        </w:rPr>
      </w:pPr>
      <w:bookmarkStart w:id="839" w:name="_Toc143593659"/>
      <w:r w:rsidRPr="004C3810">
        <w:rPr>
          <w:color w:val="auto"/>
          <w:sz w:val="22"/>
          <w:szCs w:val="22"/>
        </w:rPr>
        <w:t xml:space="preserve">Gráfico </w:t>
      </w:r>
      <w:r w:rsidRPr="004C3810">
        <w:rPr>
          <w:color w:val="auto"/>
          <w:sz w:val="22"/>
          <w:szCs w:val="22"/>
        </w:rPr>
        <w:fldChar w:fldCharType="begin"/>
      </w:r>
      <w:r w:rsidRPr="004C3810">
        <w:rPr>
          <w:color w:val="auto"/>
          <w:sz w:val="22"/>
          <w:szCs w:val="22"/>
        </w:rPr>
        <w:instrText xml:space="preserve"> SEQ Gráfico \* ARABIC </w:instrText>
      </w:r>
      <w:r w:rsidRPr="004C3810">
        <w:rPr>
          <w:color w:val="auto"/>
          <w:sz w:val="22"/>
          <w:szCs w:val="22"/>
        </w:rPr>
        <w:fldChar w:fldCharType="separate"/>
      </w:r>
      <w:r w:rsidR="00A62AFA">
        <w:rPr>
          <w:noProof/>
          <w:color w:val="auto"/>
          <w:sz w:val="22"/>
          <w:szCs w:val="22"/>
        </w:rPr>
        <w:t>101</w:t>
      </w:r>
      <w:r w:rsidRPr="004C3810">
        <w:rPr>
          <w:color w:val="auto"/>
          <w:sz w:val="22"/>
          <w:szCs w:val="22"/>
        </w:rPr>
        <w:fldChar w:fldCharType="end"/>
      </w:r>
      <w:r w:rsidRPr="004C3810">
        <w:rPr>
          <w:color w:val="auto"/>
          <w:sz w:val="22"/>
          <w:szCs w:val="22"/>
        </w:rPr>
        <w:t>.  Mapa de Guatemala con los eventos sísmicos registrados 2018-2023</w:t>
      </w:r>
      <w:bookmarkEnd w:id="839"/>
    </w:p>
    <w:p w14:paraId="746B74CC" w14:textId="77777777" w:rsidR="00C36261" w:rsidRDefault="00C36261" w:rsidP="00C36261">
      <w:pPr>
        <w:jc w:val="center"/>
      </w:pPr>
      <w:r>
        <w:rPr>
          <w:noProof/>
        </w:rPr>
        <w:drawing>
          <wp:inline distT="0" distB="0" distL="0" distR="0" wp14:anchorId="1712A84A" wp14:editId="40064F63">
            <wp:extent cx="3837182" cy="3541595"/>
            <wp:effectExtent l="0" t="0" r="0" b="190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8">
                      <a:extLst>
                        <a:ext uri="{28A0092B-C50C-407E-A947-70E740481C1C}">
                          <a14:useLocalDpi xmlns:a14="http://schemas.microsoft.com/office/drawing/2010/main" val="0"/>
                        </a:ext>
                      </a:extLst>
                    </a:blip>
                    <a:srcRect l="6909" t="2202" r="6887"/>
                    <a:stretch/>
                  </pic:blipFill>
                  <pic:spPr bwMode="auto">
                    <a:xfrm>
                      <a:off x="0" y="0"/>
                      <a:ext cx="3885266" cy="3585975"/>
                    </a:xfrm>
                    <a:prstGeom prst="rect">
                      <a:avLst/>
                    </a:prstGeom>
                    <a:noFill/>
                    <a:ln>
                      <a:noFill/>
                    </a:ln>
                    <a:extLst>
                      <a:ext uri="{53640926-AAD7-44D8-BBD7-CCE9431645EC}">
                        <a14:shadowObscured xmlns:a14="http://schemas.microsoft.com/office/drawing/2010/main"/>
                      </a:ext>
                    </a:extLst>
                  </pic:spPr>
                </pic:pic>
              </a:graphicData>
            </a:graphic>
          </wp:inline>
        </w:drawing>
      </w:r>
    </w:p>
    <w:p w14:paraId="37B54E2D" w14:textId="09082970" w:rsidR="00C36261" w:rsidRPr="00B25C48" w:rsidRDefault="004C3810" w:rsidP="00C36261">
      <w:pPr>
        <w:tabs>
          <w:tab w:val="left" w:pos="3615"/>
        </w:tabs>
        <w:jc w:val="both"/>
        <w:rPr>
          <w:sz w:val="16"/>
          <w:szCs w:val="16"/>
          <w:lang w:val="es-ES"/>
        </w:rPr>
      </w:pPr>
      <w:r>
        <w:rPr>
          <w:sz w:val="16"/>
          <w:szCs w:val="16"/>
          <w:lang w:val="es-ES"/>
        </w:rPr>
        <w:t xml:space="preserve">                  </w:t>
      </w:r>
      <w:r w:rsidR="00C36261" w:rsidRPr="00B25C48">
        <w:rPr>
          <w:sz w:val="16"/>
          <w:szCs w:val="16"/>
          <w:lang w:val="es-ES"/>
        </w:rPr>
        <w:t xml:space="preserve">Fuente: Boletín sismológico del Centro sismológico José </w:t>
      </w:r>
      <w:proofErr w:type="spellStart"/>
      <w:r w:rsidR="00C36261" w:rsidRPr="00B25C48">
        <w:rPr>
          <w:sz w:val="16"/>
          <w:szCs w:val="16"/>
          <w:lang w:val="es-ES"/>
        </w:rPr>
        <w:t>Vassaux</w:t>
      </w:r>
      <w:proofErr w:type="spellEnd"/>
      <w:r w:rsidR="00C36261" w:rsidRPr="00B25C48">
        <w:rPr>
          <w:sz w:val="16"/>
          <w:szCs w:val="16"/>
          <w:lang w:val="es-ES"/>
        </w:rPr>
        <w:t xml:space="preserve"> Palomo, INSIVUMEH  2023</w:t>
      </w:r>
    </w:p>
    <w:p w14:paraId="4184E9C4" w14:textId="77777777" w:rsidR="00C36261" w:rsidRDefault="00C36261" w:rsidP="00C36261">
      <w:pPr>
        <w:jc w:val="both"/>
      </w:pPr>
    </w:p>
    <w:p w14:paraId="2308E0BE" w14:textId="77777777" w:rsidR="00C36261" w:rsidRDefault="00C36261" w:rsidP="00C36261">
      <w:pPr>
        <w:jc w:val="both"/>
      </w:pPr>
      <w:r>
        <w:t>Específicamente para el primer semestre del 2023 según el reporte de la actividad sísmica en el país durante el primer semestre de 2023 del INSIVUMEH se han registrado 2348 sismos y 50 sismos sensibles haciendo un total de 2398 a nivel nacional.</w:t>
      </w:r>
    </w:p>
    <w:p w14:paraId="26A29904" w14:textId="77777777" w:rsidR="00C36261" w:rsidRDefault="00C36261" w:rsidP="00C36261">
      <w:pPr>
        <w:jc w:val="both"/>
      </w:pPr>
    </w:p>
    <w:p w14:paraId="46D4E693" w14:textId="157C2989" w:rsidR="00C36261" w:rsidRPr="004C3810" w:rsidRDefault="004C3810" w:rsidP="004C3810">
      <w:pPr>
        <w:pStyle w:val="Descripcin"/>
        <w:keepNext/>
      </w:pPr>
      <w:bookmarkStart w:id="840" w:name="_Toc143593556"/>
      <w:r w:rsidRPr="004C3810">
        <w:rPr>
          <w:color w:val="auto"/>
        </w:rPr>
        <w:t xml:space="preserve">Tabla </w:t>
      </w:r>
      <w:r w:rsidRPr="004C3810">
        <w:rPr>
          <w:color w:val="auto"/>
        </w:rPr>
        <w:fldChar w:fldCharType="begin"/>
      </w:r>
      <w:r w:rsidRPr="004C3810">
        <w:rPr>
          <w:color w:val="auto"/>
        </w:rPr>
        <w:instrText xml:space="preserve"> SEQ Tabla \* ARABIC </w:instrText>
      </w:r>
      <w:r w:rsidRPr="004C3810">
        <w:rPr>
          <w:color w:val="auto"/>
        </w:rPr>
        <w:fldChar w:fldCharType="separate"/>
      </w:r>
      <w:r w:rsidR="00A62AFA">
        <w:rPr>
          <w:noProof/>
          <w:color w:val="auto"/>
        </w:rPr>
        <w:t>54</w:t>
      </w:r>
      <w:r w:rsidRPr="004C3810">
        <w:rPr>
          <w:color w:val="auto"/>
        </w:rPr>
        <w:fldChar w:fldCharType="end"/>
      </w:r>
      <w:r w:rsidRPr="004C3810">
        <w:rPr>
          <w:color w:val="auto"/>
        </w:rPr>
        <w:t xml:space="preserve">.  </w:t>
      </w:r>
      <w:r w:rsidR="00C36261" w:rsidRPr="004C3810">
        <w:rPr>
          <w:color w:val="auto"/>
          <w:sz w:val="22"/>
          <w:szCs w:val="22"/>
        </w:rPr>
        <w:t>Sismos primer semestre 2023</w:t>
      </w:r>
      <w:bookmarkEnd w:id="840"/>
    </w:p>
    <w:tbl>
      <w:tblPr>
        <w:tblStyle w:val="Tabladecuadrcula4-nfasis11"/>
        <w:tblW w:w="0" w:type="auto"/>
        <w:tblInd w:w="1956" w:type="dxa"/>
        <w:tblLook w:val="04A0" w:firstRow="1" w:lastRow="0" w:firstColumn="1" w:lastColumn="0" w:noHBand="0" w:noVBand="1"/>
      </w:tblPr>
      <w:tblGrid>
        <w:gridCol w:w="1243"/>
        <w:gridCol w:w="1378"/>
        <w:gridCol w:w="1293"/>
        <w:gridCol w:w="1213"/>
      </w:tblGrid>
      <w:tr w:rsidR="00C36261" w:rsidRPr="004C3810" w14:paraId="69275244" w14:textId="77777777" w:rsidTr="004C3810">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43" w:type="dxa"/>
          </w:tcPr>
          <w:p w14:paraId="09664BF7" w14:textId="77777777" w:rsidR="00C36261" w:rsidRPr="004C3810" w:rsidRDefault="00C36261" w:rsidP="006A7377">
            <w:pPr>
              <w:jc w:val="center"/>
              <w:rPr>
                <w:sz w:val="20"/>
                <w:szCs w:val="20"/>
              </w:rPr>
            </w:pPr>
            <w:r w:rsidRPr="004C3810">
              <w:rPr>
                <w:sz w:val="20"/>
                <w:szCs w:val="20"/>
              </w:rPr>
              <w:t>PERIODO</w:t>
            </w:r>
          </w:p>
        </w:tc>
        <w:tc>
          <w:tcPr>
            <w:tcW w:w="1378" w:type="dxa"/>
          </w:tcPr>
          <w:p w14:paraId="347D01E5" w14:textId="77777777" w:rsidR="00C36261" w:rsidRPr="004C3810" w:rsidRDefault="00C36261" w:rsidP="006A73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4C3810">
              <w:rPr>
                <w:sz w:val="20"/>
                <w:szCs w:val="20"/>
              </w:rPr>
              <w:t>REGISTRO</w:t>
            </w:r>
          </w:p>
        </w:tc>
        <w:tc>
          <w:tcPr>
            <w:tcW w:w="1293" w:type="dxa"/>
          </w:tcPr>
          <w:p w14:paraId="3ABE8CC0" w14:textId="77777777" w:rsidR="00C36261" w:rsidRPr="004C3810" w:rsidRDefault="00C36261" w:rsidP="006A73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4C3810">
              <w:rPr>
                <w:sz w:val="20"/>
                <w:szCs w:val="20"/>
              </w:rPr>
              <w:t>SENSIBLE</w:t>
            </w:r>
          </w:p>
        </w:tc>
        <w:tc>
          <w:tcPr>
            <w:tcW w:w="1213" w:type="dxa"/>
          </w:tcPr>
          <w:p w14:paraId="3B2A846E" w14:textId="77777777" w:rsidR="00C36261" w:rsidRPr="004C3810" w:rsidRDefault="00C36261" w:rsidP="006A73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4C3810">
              <w:rPr>
                <w:sz w:val="20"/>
                <w:szCs w:val="20"/>
              </w:rPr>
              <w:t>TOTAL</w:t>
            </w:r>
          </w:p>
        </w:tc>
      </w:tr>
      <w:tr w:rsidR="00C36261" w:rsidRPr="004C3810" w14:paraId="3C675C38" w14:textId="77777777" w:rsidTr="004C381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243" w:type="dxa"/>
          </w:tcPr>
          <w:p w14:paraId="248BE088" w14:textId="77777777" w:rsidR="00C36261" w:rsidRPr="004C3810" w:rsidRDefault="00C36261" w:rsidP="006A7377">
            <w:pPr>
              <w:rPr>
                <w:sz w:val="22"/>
                <w:szCs w:val="22"/>
              </w:rPr>
            </w:pPr>
            <w:r w:rsidRPr="004C3810">
              <w:rPr>
                <w:sz w:val="22"/>
                <w:szCs w:val="22"/>
              </w:rPr>
              <w:t>Enero</w:t>
            </w:r>
          </w:p>
        </w:tc>
        <w:tc>
          <w:tcPr>
            <w:tcW w:w="1378" w:type="dxa"/>
          </w:tcPr>
          <w:p w14:paraId="2531957A"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929</w:t>
            </w:r>
          </w:p>
        </w:tc>
        <w:tc>
          <w:tcPr>
            <w:tcW w:w="1293" w:type="dxa"/>
          </w:tcPr>
          <w:p w14:paraId="7A403B83"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17</w:t>
            </w:r>
          </w:p>
        </w:tc>
        <w:tc>
          <w:tcPr>
            <w:tcW w:w="1213" w:type="dxa"/>
          </w:tcPr>
          <w:p w14:paraId="0D381AC3"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946</w:t>
            </w:r>
          </w:p>
        </w:tc>
      </w:tr>
      <w:tr w:rsidR="00C36261" w:rsidRPr="004C3810" w14:paraId="733070AF" w14:textId="77777777" w:rsidTr="004C3810">
        <w:trPr>
          <w:trHeight w:val="109"/>
        </w:trPr>
        <w:tc>
          <w:tcPr>
            <w:cnfStyle w:val="001000000000" w:firstRow="0" w:lastRow="0" w:firstColumn="1" w:lastColumn="0" w:oddVBand="0" w:evenVBand="0" w:oddHBand="0" w:evenHBand="0" w:firstRowFirstColumn="0" w:firstRowLastColumn="0" w:lastRowFirstColumn="0" w:lastRowLastColumn="0"/>
            <w:tcW w:w="1243" w:type="dxa"/>
          </w:tcPr>
          <w:p w14:paraId="64499EB8" w14:textId="77777777" w:rsidR="00C36261" w:rsidRPr="004C3810" w:rsidRDefault="00C36261" w:rsidP="006A7377">
            <w:pPr>
              <w:rPr>
                <w:sz w:val="22"/>
                <w:szCs w:val="22"/>
              </w:rPr>
            </w:pPr>
            <w:r w:rsidRPr="004C3810">
              <w:rPr>
                <w:sz w:val="22"/>
                <w:szCs w:val="22"/>
              </w:rPr>
              <w:t>Febrero</w:t>
            </w:r>
          </w:p>
        </w:tc>
        <w:tc>
          <w:tcPr>
            <w:tcW w:w="1378" w:type="dxa"/>
          </w:tcPr>
          <w:p w14:paraId="775AD288"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4C3810">
              <w:rPr>
                <w:sz w:val="22"/>
                <w:szCs w:val="22"/>
              </w:rPr>
              <w:t>412</w:t>
            </w:r>
          </w:p>
        </w:tc>
        <w:tc>
          <w:tcPr>
            <w:tcW w:w="1293" w:type="dxa"/>
          </w:tcPr>
          <w:p w14:paraId="724B9581"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4C3810">
              <w:rPr>
                <w:sz w:val="22"/>
                <w:szCs w:val="22"/>
              </w:rPr>
              <w:t>8</w:t>
            </w:r>
          </w:p>
        </w:tc>
        <w:tc>
          <w:tcPr>
            <w:tcW w:w="1213" w:type="dxa"/>
          </w:tcPr>
          <w:p w14:paraId="58B3577E"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4C3810">
              <w:rPr>
                <w:sz w:val="22"/>
                <w:szCs w:val="22"/>
              </w:rPr>
              <w:t>420</w:t>
            </w:r>
          </w:p>
        </w:tc>
      </w:tr>
      <w:tr w:rsidR="00C36261" w:rsidRPr="004C3810" w14:paraId="2E090433" w14:textId="77777777" w:rsidTr="004C3810">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43" w:type="dxa"/>
          </w:tcPr>
          <w:p w14:paraId="245FE9B4" w14:textId="77777777" w:rsidR="00C36261" w:rsidRPr="004C3810" w:rsidRDefault="00C36261" w:rsidP="006A7377">
            <w:pPr>
              <w:rPr>
                <w:sz w:val="22"/>
                <w:szCs w:val="22"/>
              </w:rPr>
            </w:pPr>
            <w:r w:rsidRPr="004C3810">
              <w:rPr>
                <w:sz w:val="22"/>
                <w:szCs w:val="22"/>
              </w:rPr>
              <w:t>Marzo</w:t>
            </w:r>
          </w:p>
        </w:tc>
        <w:tc>
          <w:tcPr>
            <w:tcW w:w="1378" w:type="dxa"/>
          </w:tcPr>
          <w:p w14:paraId="0E95693F"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296</w:t>
            </w:r>
          </w:p>
        </w:tc>
        <w:tc>
          <w:tcPr>
            <w:tcW w:w="1293" w:type="dxa"/>
          </w:tcPr>
          <w:p w14:paraId="14F35AF9"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8</w:t>
            </w:r>
          </w:p>
        </w:tc>
        <w:tc>
          <w:tcPr>
            <w:tcW w:w="1213" w:type="dxa"/>
          </w:tcPr>
          <w:p w14:paraId="56F5C810"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304</w:t>
            </w:r>
          </w:p>
        </w:tc>
      </w:tr>
      <w:tr w:rsidR="00C36261" w:rsidRPr="004C3810" w14:paraId="206CA1F7" w14:textId="77777777" w:rsidTr="004C3810">
        <w:trPr>
          <w:trHeight w:val="158"/>
        </w:trPr>
        <w:tc>
          <w:tcPr>
            <w:cnfStyle w:val="001000000000" w:firstRow="0" w:lastRow="0" w:firstColumn="1" w:lastColumn="0" w:oddVBand="0" w:evenVBand="0" w:oddHBand="0" w:evenHBand="0" w:firstRowFirstColumn="0" w:firstRowLastColumn="0" w:lastRowFirstColumn="0" w:lastRowLastColumn="0"/>
            <w:tcW w:w="1243" w:type="dxa"/>
          </w:tcPr>
          <w:p w14:paraId="2AF2F211" w14:textId="77777777" w:rsidR="00C36261" w:rsidRPr="004C3810" w:rsidRDefault="00C36261" w:rsidP="006A7377">
            <w:pPr>
              <w:rPr>
                <w:sz w:val="22"/>
                <w:szCs w:val="22"/>
              </w:rPr>
            </w:pPr>
            <w:r w:rsidRPr="004C3810">
              <w:rPr>
                <w:sz w:val="22"/>
                <w:szCs w:val="22"/>
              </w:rPr>
              <w:t>Abril</w:t>
            </w:r>
          </w:p>
        </w:tc>
        <w:tc>
          <w:tcPr>
            <w:tcW w:w="1378" w:type="dxa"/>
          </w:tcPr>
          <w:p w14:paraId="453D5256"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4C3810">
              <w:rPr>
                <w:sz w:val="22"/>
                <w:szCs w:val="22"/>
              </w:rPr>
              <w:t>263</w:t>
            </w:r>
          </w:p>
        </w:tc>
        <w:tc>
          <w:tcPr>
            <w:tcW w:w="1293" w:type="dxa"/>
          </w:tcPr>
          <w:p w14:paraId="5C8C971D"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4C3810">
              <w:rPr>
                <w:sz w:val="22"/>
                <w:szCs w:val="22"/>
              </w:rPr>
              <w:t>7</w:t>
            </w:r>
          </w:p>
        </w:tc>
        <w:tc>
          <w:tcPr>
            <w:tcW w:w="1213" w:type="dxa"/>
          </w:tcPr>
          <w:p w14:paraId="188E26A1"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4C3810">
              <w:rPr>
                <w:sz w:val="22"/>
                <w:szCs w:val="22"/>
              </w:rPr>
              <w:t>270</w:t>
            </w:r>
          </w:p>
        </w:tc>
      </w:tr>
      <w:tr w:rsidR="00C36261" w:rsidRPr="004C3810" w14:paraId="7933C2F7" w14:textId="77777777" w:rsidTr="004C3810">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43" w:type="dxa"/>
          </w:tcPr>
          <w:p w14:paraId="028E5268" w14:textId="77777777" w:rsidR="00C36261" w:rsidRPr="004C3810" w:rsidRDefault="00C36261" w:rsidP="006A7377">
            <w:pPr>
              <w:rPr>
                <w:sz w:val="22"/>
                <w:szCs w:val="22"/>
              </w:rPr>
            </w:pPr>
            <w:r w:rsidRPr="004C3810">
              <w:rPr>
                <w:sz w:val="22"/>
                <w:szCs w:val="22"/>
              </w:rPr>
              <w:t>Mayo</w:t>
            </w:r>
          </w:p>
        </w:tc>
        <w:tc>
          <w:tcPr>
            <w:tcW w:w="1378" w:type="dxa"/>
          </w:tcPr>
          <w:p w14:paraId="28FC12CF"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254</w:t>
            </w:r>
          </w:p>
        </w:tc>
        <w:tc>
          <w:tcPr>
            <w:tcW w:w="1293" w:type="dxa"/>
          </w:tcPr>
          <w:p w14:paraId="696A5D6D"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5</w:t>
            </w:r>
          </w:p>
        </w:tc>
        <w:tc>
          <w:tcPr>
            <w:tcW w:w="1213" w:type="dxa"/>
          </w:tcPr>
          <w:p w14:paraId="308F015B"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259</w:t>
            </w:r>
          </w:p>
        </w:tc>
      </w:tr>
      <w:tr w:rsidR="00C36261" w:rsidRPr="004C3810" w14:paraId="1C799D91" w14:textId="77777777" w:rsidTr="004C3810">
        <w:trPr>
          <w:trHeight w:val="113"/>
        </w:trPr>
        <w:tc>
          <w:tcPr>
            <w:cnfStyle w:val="001000000000" w:firstRow="0" w:lastRow="0" w:firstColumn="1" w:lastColumn="0" w:oddVBand="0" w:evenVBand="0" w:oddHBand="0" w:evenHBand="0" w:firstRowFirstColumn="0" w:firstRowLastColumn="0" w:lastRowFirstColumn="0" w:lastRowLastColumn="0"/>
            <w:tcW w:w="1243" w:type="dxa"/>
          </w:tcPr>
          <w:p w14:paraId="51CB85CD" w14:textId="77777777" w:rsidR="00C36261" w:rsidRPr="004C3810" w:rsidRDefault="00C36261" w:rsidP="006A7377">
            <w:pPr>
              <w:rPr>
                <w:sz w:val="22"/>
                <w:szCs w:val="22"/>
              </w:rPr>
            </w:pPr>
            <w:r w:rsidRPr="004C3810">
              <w:rPr>
                <w:sz w:val="22"/>
                <w:szCs w:val="22"/>
              </w:rPr>
              <w:t>junio</w:t>
            </w:r>
          </w:p>
        </w:tc>
        <w:tc>
          <w:tcPr>
            <w:tcW w:w="1378" w:type="dxa"/>
          </w:tcPr>
          <w:p w14:paraId="07D8DDEC"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4C3810">
              <w:rPr>
                <w:sz w:val="22"/>
                <w:szCs w:val="22"/>
              </w:rPr>
              <w:t>194</w:t>
            </w:r>
          </w:p>
        </w:tc>
        <w:tc>
          <w:tcPr>
            <w:tcW w:w="1293" w:type="dxa"/>
          </w:tcPr>
          <w:p w14:paraId="25C64F0C"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4C3810">
              <w:rPr>
                <w:sz w:val="22"/>
                <w:szCs w:val="22"/>
              </w:rPr>
              <w:t>5</w:t>
            </w:r>
          </w:p>
        </w:tc>
        <w:tc>
          <w:tcPr>
            <w:tcW w:w="1213" w:type="dxa"/>
          </w:tcPr>
          <w:p w14:paraId="43D34E8F" w14:textId="77777777" w:rsidR="00C36261" w:rsidRPr="004C3810" w:rsidRDefault="00C36261" w:rsidP="006A7377">
            <w:pPr>
              <w:jc w:val="center"/>
              <w:cnfStyle w:val="000000000000" w:firstRow="0" w:lastRow="0" w:firstColumn="0" w:lastColumn="0" w:oddVBand="0" w:evenVBand="0" w:oddHBand="0" w:evenHBand="0" w:firstRowFirstColumn="0" w:firstRowLastColumn="0" w:lastRowFirstColumn="0" w:lastRowLastColumn="0"/>
              <w:rPr>
                <w:sz w:val="22"/>
                <w:szCs w:val="22"/>
              </w:rPr>
            </w:pPr>
            <w:r w:rsidRPr="004C3810">
              <w:rPr>
                <w:sz w:val="22"/>
                <w:szCs w:val="22"/>
              </w:rPr>
              <w:t>199</w:t>
            </w:r>
          </w:p>
        </w:tc>
      </w:tr>
      <w:tr w:rsidR="00C36261" w:rsidRPr="004C3810" w14:paraId="3BA46482" w14:textId="77777777" w:rsidTr="004C381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43" w:type="dxa"/>
          </w:tcPr>
          <w:p w14:paraId="009E8072" w14:textId="77777777" w:rsidR="00C36261" w:rsidRPr="004C3810" w:rsidRDefault="00C36261" w:rsidP="006A7377">
            <w:pPr>
              <w:rPr>
                <w:sz w:val="22"/>
                <w:szCs w:val="22"/>
              </w:rPr>
            </w:pPr>
            <w:r w:rsidRPr="004C3810">
              <w:rPr>
                <w:sz w:val="22"/>
                <w:szCs w:val="22"/>
              </w:rPr>
              <w:t>Total</w:t>
            </w:r>
          </w:p>
        </w:tc>
        <w:tc>
          <w:tcPr>
            <w:tcW w:w="1378" w:type="dxa"/>
          </w:tcPr>
          <w:p w14:paraId="5BB254CD"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2348</w:t>
            </w:r>
          </w:p>
        </w:tc>
        <w:tc>
          <w:tcPr>
            <w:tcW w:w="1293" w:type="dxa"/>
          </w:tcPr>
          <w:p w14:paraId="636C2FF0"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50</w:t>
            </w:r>
          </w:p>
        </w:tc>
        <w:tc>
          <w:tcPr>
            <w:tcW w:w="1213" w:type="dxa"/>
          </w:tcPr>
          <w:p w14:paraId="4877EBF8" w14:textId="77777777" w:rsidR="00C36261" w:rsidRPr="004C3810" w:rsidRDefault="00C36261" w:rsidP="006A73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4C3810">
              <w:rPr>
                <w:sz w:val="22"/>
                <w:szCs w:val="22"/>
              </w:rPr>
              <w:t>2398</w:t>
            </w:r>
          </w:p>
        </w:tc>
      </w:tr>
    </w:tbl>
    <w:p w14:paraId="799C7E7D" w14:textId="4D206820" w:rsidR="00C36261" w:rsidRPr="004C3810" w:rsidRDefault="004C3810" w:rsidP="004C3810">
      <w:pPr>
        <w:tabs>
          <w:tab w:val="left" w:pos="3615"/>
        </w:tabs>
        <w:jc w:val="both"/>
        <w:rPr>
          <w:sz w:val="16"/>
          <w:szCs w:val="16"/>
          <w:lang w:val="es-ES"/>
        </w:rPr>
      </w:pPr>
      <w:r>
        <w:rPr>
          <w:sz w:val="16"/>
          <w:szCs w:val="16"/>
          <w:lang w:val="es-ES"/>
        </w:rPr>
        <w:t xml:space="preserve">                                     </w:t>
      </w:r>
      <w:r w:rsidR="00C36261" w:rsidRPr="00B25C48">
        <w:rPr>
          <w:sz w:val="16"/>
          <w:szCs w:val="16"/>
          <w:lang w:val="es-ES"/>
        </w:rPr>
        <w:t xml:space="preserve">Fuente: Boletín sismológico del Centro sismológico José </w:t>
      </w:r>
      <w:proofErr w:type="spellStart"/>
      <w:r w:rsidR="00C36261" w:rsidRPr="00B25C48">
        <w:rPr>
          <w:sz w:val="16"/>
          <w:szCs w:val="16"/>
          <w:lang w:val="es-ES"/>
        </w:rPr>
        <w:t>Vassaux</w:t>
      </w:r>
      <w:proofErr w:type="spellEnd"/>
      <w:r w:rsidR="00C36261" w:rsidRPr="00B25C48">
        <w:rPr>
          <w:sz w:val="16"/>
          <w:szCs w:val="16"/>
          <w:lang w:val="es-ES"/>
        </w:rPr>
        <w:t xml:space="preserve"> Palomo, INSIVUMEH  2023</w:t>
      </w:r>
    </w:p>
    <w:p w14:paraId="03AD685E" w14:textId="36AAAB59" w:rsidR="00C36261" w:rsidRPr="004C3810" w:rsidRDefault="004C3810" w:rsidP="004C3810">
      <w:pPr>
        <w:pStyle w:val="Descripcin"/>
        <w:rPr>
          <w:b w:val="0"/>
          <w:color w:val="auto"/>
          <w:sz w:val="22"/>
          <w:szCs w:val="22"/>
        </w:rPr>
      </w:pPr>
      <w:bookmarkStart w:id="841" w:name="_Toc143593660"/>
      <w:r w:rsidRPr="004C3810">
        <w:rPr>
          <w:color w:val="auto"/>
        </w:rPr>
        <w:lastRenderedPageBreak/>
        <w:t xml:space="preserve">Gráfico </w:t>
      </w:r>
      <w:r w:rsidRPr="004C3810">
        <w:rPr>
          <w:color w:val="auto"/>
        </w:rPr>
        <w:fldChar w:fldCharType="begin"/>
      </w:r>
      <w:r w:rsidRPr="004C3810">
        <w:rPr>
          <w:color w:val="auto"/>
        </w:rPr>
        <w:instrText xml:space="preserve"> SEQ Gráfico \* ARABIC </w:instrText>
      </w:r>
      <w:r w:rsidRPr="004C3810">
        <w:rPr>
          <w:color w:val="auto"/>
        </w:rPr>
        <w:fldChar w:fldCharType="separate"/>
      </w:r>
      <w:r w:rsidR="00A62AFA">
        <w:rPr>
          <w:noProof/>
          <w:color w:val="auto"/>
        </w:rPr>
        <w:t>102</w:t>
      </w:r>
      <w:r w:rsidRPr="004C3810">
        <w:rPr>
          <w:color w:val="auto"/>
        </w:rPr>
        <w:fldChar w:fldCharType="end"/>
      </w:r>
      <w:r w:rsidRPr="004C3810">
        <w:rPr>
          <w:color w:val="auto"/>
        </w:rPr>
        <w:t>.  Localización geográfica sismos primer semestre 2023</w:t>
      </w:r>
      <w:bookmarkEnd w:id="841"/>
    </w:p>
    <w:p w14:paraId="2E898171" w14:textId="77777777" w:rsidR="00C36261" w:rsidRDefault="00C36261" w:rsidP="004C3810">
      <w:pPr>
        <w:jc w:val="center"/>
      </w:pPr>
      <w:r>
        <w:rPr>
          <w:noProof/>
        </w:rPr>
        <w:drawing>
          <wp:inline distT="0" distB="0" distL="0" distR="0" wp14:anchorId="35A28E05" wp14:editId="382F18A7">
            <wp:extent cx="4732934" cy="5121810"/>
            <wp:effectExtent l="0" t="0" r="0" b="317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35396" cy="5124474"/>
                    </a:xfrm>
                    <a:prstGeom prst="rect">
                      <a:avLst/>
                    </a:prstGeom>
                    <a:noFill/>
                    <a:ln>
                      <a:noFill/>
                    </a:ln>
                  </pic:spPr>
                </pic:pic>
              </a:graphicData>
            </a:graphic>
          </wp:inline>
        </w:drawing>
      </w:r>
    </w:p>
    <w:p w14:paraId="6C3794BB" w14:textId="49CF6ECD" w:rsidR="00C36261" w:rsidRPr="00B25C48" w:rsidRDefault="004C3810" w:rsidP="00C36261">
      <w:pPr>
        <w:tabs>
          <w:tab w:val="left" w:pos="3615"/>
        </w:tabs>
        <w:jc w:val="both"/>
        <w:rPr>
          <w:sz w:val="16"/>
          <w:szCs w:val="16"/>
          <w:lang w:val="es-ES"/>
        </w:rPr>
      </w:pPr>
      <w:r>
        <w:rPr>
          <w:sz w:val="16"/>
          <w:szCs w:val="16"/>
          <w:lang w:val="es-ES"/>
        </w:rPr>
        <w:t xml:space="preserve">                                 </w:t>
      </w:r>
      <w:r w:rsidR="00C36261" w:rsidRPr="00B25C48">
        <w:rPr>
          <w:sz w:val="16"/>
          <w:szCs w:val="16"/>
          <w:lang w:val="es-ES"/>
        </w:rPr>
        <w:t xml:space="preserve">Fuente: Boletín sismológico del Centro sismológico José </w:t>
      </w:r>
      <w:proofErr w:type="spellStart"/>
      <w:r w:rsidR="00C36261" w:rsidRPr="00B25C48">
        <w:rPr>
          <w:sz w:val="16"/>
          <w:szCs w:val="16"/>
          <w:lang w:val="es-ES"/>
        </w:rPr>
        <w:t>Vassaux</w:t>
      </w:r>
      <w:proofErr w:type="spellEnd"/>
      <w:r w:rsidR="00C36261" w:rsidRPr="00B25C48">
        <w:rPr>
          <w:sz w:val="16"/>
          <w:szCs w:val="16"/>
          <w:lang w:val="es-ES"/>
        </w:rPr>
        <w:t xml:space="preserve"> Palomo, INSIVUMEH  2023</w:t>
      </w:r>
    </w:p>
    <w:p w14:paraId="2B51AB1E" w14:textId="77777777" w:rsidR="00C36261" w:rsidRDefault="00C36261" w:rsidP="00C36261">
      <w:pPr>
        <w:jc w:val="both"/>
        <w:rPr>
          <w:lang w:val="es-ES"/>
        </w:rPr>
      </w:pPr>
    </w:p>
    <w:p w14:paraId="771E6800" w14:textId="77777777" w:rsidR="00C36261" w:rsidRDefault="00C36261" w:rsidP="00C36261">
      <w:pPr>
        <w:jc w:val="both"/>
        <w:rPr>
          <w:lang w:val="es-ES"/>
        </w:rPr>
      </w:pPr>
      <w:r>
        <w:rPr>
          <w:lang w:val="es-ES"/>
        </w:rPr>
        <w:t>Por lo anteriormente mencionado Guatemala es un país altamente sísmico p</w:t>
      </w:r>
      <w:r w:rsidRPr="00874651">
        <w:rPr>
          <w:lang w:val="es-ES"/>
        </w:rPr>
        <w:t>articularmente, las poblaciones del sector</w:t>
      </w:r>
      <w:r>
        <w:rPr>
          <w:lang w:val="es-ES"/>
        </w:rPr>
        <w:t xml:space="preserve"> </w:t>
      </w:r>
      <w:r w:rsidRPr="00874651">
        <w:rPr>
          <w:lang w:val="es-ES"/>
        </w:rPr>
        <w:t>frágil de la economía</w:t>
      </w:r>
      <w:r>
        <w:rPr>
          <w:lang w:val="es-ES"/>
        </w:rPr>
        <w:t xml:space="preserve"> y para la infraestructura tomando en cuenta que en Guatemala muy puta infraestructura es realizada con una planificación ante sísmica y si a eso lo sumamos </w:t>
      </w:r>
      <w:r w:rsidRPr="00874651">
        <w:rPr>
          <w:lang w:val="es-ES"/>
        </w:rPr>
        <w:t xml:space="preserve">los efectos secundarios posteriores a la ocurrencia de un sismo, como pueden ser: incendios, fracturas, deslizamiento de laderas, tsunamis, licuefacción, subsidencia </w:t>
      </w:r>
      <w:r>
        <w:rPr>
          <w:lang w:val="es-ES"/>
        </w:rPr>
        <w:t xml:space="preserve">entre otro, se puede decir que es una amenaza latente para la población y las finanzas públicas. </w:t>
      </w:r>
    </w:p>
    <w:p w14:paraId="6488BA7D" w14:textId="77777777" w:rsidR="00C36261" w:rsidRDefault="00C36261" w:rsidP="00C36261">
      <w:pPr>
        <w:jc w:val="both"/>
        <w:rPr>
          <w:lang w:val="es-ES"/>
        </w:rPr>
      </w:pPr>
    </w:p>
    <w:p w14:paraId="6C673C3A" w14:textId="77777777" w:rsidR="00C36261" w:rsidRPr="00447AA7" w:rsidRDefault="00C36261" w:rsidP="000E01EC">
      <w:pPr>
        <w:pStyle w:val="Ttulo2"/>
        <w:numPr>
          <w:ilvl w:val="2"/>
          <w:numId w:val="35"/>
        </w:numPr>
        <w:tabs>
          <w:tab w:val="left" w:pos="993"/>
        </w:tabs>
        <w:ind w:left="567" w:hanging="283"/>
        <w:rPr>
          <w:bCs/>
        </w:rPr>
      </w:pPr>
      <w:bookmarkStart w:id="842" w:name="_Toc144114470"/>
      <w:r w:rsidRPr="00447AA7">
        <w:rPr>
          <w:bCs/>
        </w:rPr>
        <w:t>Exceso de lluvia</w:t>
      </w:r>
      <w:bookmarkEnd w:id="842"/>
      <w:r w:rsidRPr="00447AA7">
        <w:rPr>
          <w:bCs/>
        </w:rPr>
        <w:t xml:space="preserve"> </w:t>
      </w:r>
    </w:p>
    <w:p w14:paraId="4F7E6FB6" w14:textId="77777777" w:rsidR="00C36261" w:rsidRDefault="00C36261" w:rsidP="00C36261">
      <w:pPr>
        <w:jc w:val="both"/>
        <w:rPr>
          <w:lang w:val="es-ES"/>
        </w:rPr>
      </w:pPr>
    </w:p>
    <w:p w14:paraId="40906FA9" w14:textId="77777777" w:rsidR="00C36261" w:rsidRDefault="00C36261" w:rsidP="00C36261">
      <w:pPr>
        <w:jc w:val="both"/>
      </w:pPr>
      <w:r>
        <w:rPr>
          <w:lang w:val="es-ES"/>
        </w:rPr>
        <w:t xml:space="preserve">Según información contenida en </w:t>
      </w:r>
      <w:r w:rsidRPr="002C7B10">
        <w:rPr>
          <w:lang w:val="es-ES"/>
        </w:rPr>
        <w:t>protocolo específico de</w:t>
      </w:r>
      <w:r>
        <w:rPr>
          <w:lang w:val="es-ES"/>
        </w:rPr>
        <w:t xml:space="preserve"> </w:t>
      </w:r>
      <w:r w:rsidRPr="002C7B10">
        <w:rPr>
          <w:lang w:val="es-ES"/>
        </w:rPr>
        <w:t xml:space="preserve">lluvias en la </w:t>
      </w:r>
      <w:r>
        <w:rPr>
          <w:lang w:val="es-ES"/>
        </w:rPr>
        <w:t>R</w:t>
      </w:r>
      <w:r w:rsidRPr="002C7B10">
        <w:rPr>
          <w:lang w:val="es-ES"/>
        </w:rPr>
        <w:t>epública</w:t>
      </w:r>
      <w:r>
        <w:rPr>
          <w:lang w:val="es-ES"/>
        </w:rPr>
        <w:t xml:space="preserve"> </w:t>
      </w:r>
      <w:r w:rsidRPr="002C7B10">
        <w:rPr>
          <w:lang w:val="es-ES"/>
        </w:rPr>
        <w:t>de Guatemala 2023</w:t>
      </w:r>
      <w:r>
        <w:rPr>
          <w:lang w:val="es-ES"/>
        </w:rPr>
        <w:t xml:space="preserve"> de la CONRED, </w:t>
      </w:r>
      <w:r>
        <w:t xml:space="preserve">el inicio de la época lluviosa, según la metodología elaborada por ICC-INSIVUMEH, hace referencia a la persistencia de las lluvias durante un cierto período, específicamente durante 10 días en donde la precipitación supera la evapotranspiración. La exposición de la región </w:t>
      </w:r>
      <w:proofErr w:type="spellStart"/>
      <w:r>
        <w:t>Bocacosta</w:t>
      </w:r>
      <w:proofErr w:type="spellEnd"/>
      <w:r>
        <w:t xml:space="preserve"> al viento dominante del sur, </w:t>
      </w:r>
      <w:r>
        <w:lastRenderedPageBreak/>
        <w:t xml:space="preserve">favorece el ingreso de aire húmedo al interior del territorio, esto repercute en el desarrollo de lluvias y tormentas eléctricas de carácter orográfico en la ladera montañosa de la Sierra Madre, es por ello que la temporada de lluvias se inicia tempranamente en </w:t>
      </w:r>
      <w:proofErr w:type="spellStart"/>
      <w:r>
        <w:t>Bocacosta</w:t>
      </w:r>
      <w:proofErr w:type="spellEnd"/>
      <w:r>
        <w:t xml:space="preserve"> respecto al resto del país. Para el periodo del 2018 al 2022 se registraron un total de 6.785 incidentes de tipo hidrometeorológico a nivel municipal en donde los departamentos más afectados fueron; Alta Verapaz con 826 incidentes, Guatemala con 650 y Huehuetenango con 594 incidentes. </w:t>
      </w:r>
    </w:p>
    <w:p w14:paraId="0018785F" w14:textId="77777777" w:rsidR="00C36261" w:rsidRDefault="00C36261" w:rsidP="00C36261">
      <w:pPr>
        <w:jc w:val="both"/>
      </w:pPr>
    </w:p>
    <w:p w14:paraId="45CE7D0C" w14:textId="1FEFA5D0" w:rsidR="00C36261" w:rsidRPr="004C3810" w:rsidRDefault="004C3810" w:rsidP="004C3810">
      <w:pPr>
        <w:pStyle w:val="Descripcin"/>
        <w:rPr>
          <w:b w:val="0"/>
          <w:color w:val="auto"/>
          <w:sz w:val="22"/>
          <w:szCs w:val="22"/>
        </w:rPr>
      </w:pPr>
      <w:bookmarkStart w:id="843" w:name="_Toc143593661"/>
      <w:r w:rsidRPr="004C3810">
        <w:rPr>
          <w:color w:val="auto"/>
        </w:rPr>
        <w:t xml:space="preserve">Gráfico </w:t>
      </w:r>
      <w:r w:rsidRPr="004C3810">
        <w:rPr>
          <w:color w:val="auto"/>
        </w:rPr>
        <w:fldChar w:fldCharType="begin"/>
      </w:r>
      <w:r w:rsidRPr="004C3810">
        <w:rPr>
          <w:color w:val="auto"/>
        </w:rPr>
        <w:instrText xml:space="preserve"> SEQ Gráfico \* ARABIC </w:instrText>
      </w:r>
      <w:r w:rsidRPr="004C3810">
        <w:rPr>
          <w:color w:val="auto"/>
        </w:rPr>
        <w:fldChar w:fldCharType="separate"/>
      </w:r>
      <w:r w:rsidR="00A62AFA">
        <w:rPr>
          <w:noProof/>
          <w:color w:val="auto"/>
        </w:rPr>
        <w:t>103</w:t>
      </w:r>
      <w:r w:rsidRPr="004C3810">
        <w:rPr>
          <w:color w:val="auto"/>
        </w:rPr>
        <w:fldChar w:fldCharType="end"/>
      </w:r>
      <w:r w:rsidRPr="004C3810">
        <w:rPr>
          <w:color w:val="auto"/>
        </w:rPr>
        <w:t>.  Incidentes de tipo hidrometeorológico registrados en CONRED a nivel municipal del año 2018 a 2022</w:t>
      </w:r>
      <w:bookmarkEnd w:id="843"/>
    </w:p>
    <w:p w14:paraId="1DA01978" w14:textId="77777777" w:rsidR="00C36261" w:rsidRDefault="00C36261" w:rsidP="00C36261">
      <w:pPr>
        <w:jc w:val="center"/>
      </w:pPr>
      <w:r>
        <w:rPr>
          <w:noProof/>
        </w:rPr>
        <w:drawing>
          <wp:inline distT="0" distB="0" distL="0" distR="0" wp14:anchorId="01D19969" wp14:editId="182EDCA1">
            <wp:extent cx="4943326" cy="6010275"/>
            <wp:effectExtent l="0" t="0" r="0" b="0"/>
            <wp:docPr id="1889938816" name="Imagen 188993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57750" cy="6027813"/>
                    </a:xfrm>
                    <a:prstGeom prst="rect">
                      <a:avLst/>
                    </a:prstGeom>
                    <a:noFill/>
                    <a:ln>
                      <a:noFill/>
                    </a:ln>
                  </pic:spPr>
                </pic:pic>
              </a:graphicData>
            </a:graphic>
          </wp:inline>
        </w:drawing>
      </w:r>
    </w:p>
    <w:p w14:paraId="21FDC51F" w14:textId="6E55B2AB" w:rsidR="00C36261" w:rsidRPr="00B25C48" w:rsidRDefault="004C3810" w:rsidP="00C36261">
      <w:pPr>
        <w:tabs>
          <w:tab w:val="left" w:pos="3615"/>
        </w:tabs>
        <w:jc w:val="both"/>
        <w:rPr>
          <w:sz w:val="16"/>
          <w:szCs w:val="16"/>
          <w:lang w:val="es-ES"/>
        </w:rPr>
      </w:pPr>
      <w:r>
        <w:rPr>
          <w:sz w:val="16"/>
          <w:szCs w:val="16"/>
          <w:lang w:val="es-ES"/>
        </w:rPr>
        <w:t xml:space="preserve">                       </w:t>
      </w:r>
      <w:r w:rsidR="00C36261" w:rsidRPr="00B25C48">
        <w:rPr>
          <w:sz w:val="16"/>
          <w:szCs w:val="16"/>
          <w:lang w:val="es-ES"/>
        </w:rPr>
        <w:t>Fuente: protocolo específico de lluvias en la república de Guatemala 2023, CONRED</w:t>
      </w:r>
    </w:p>
    <w:p w14:paraId="1806341E" w14:textId="77777777" w:rsidR="00037E1D" w:rsidRDefault="00037E1D" w:rsidP="00C36261">
      <w:pPr>
        <w:jc w:val="both"/>
        <w:rPr>
          <w:lang w:val="es-ES"/>
        </w:rPr>
      </w:pPr>
    </w:p>
    <w:p w14:paraId="0B1C937B" w14:textId="2BF95A33" w:rsidR="00C36261" w:rsidRDefault="00C36261" w:rsidP="00C36261">
      <w:pPr>
        <w:jc w:val="both"/>
        <w:rPr>
          <w:lang w:val="es-ES"/>
        </w:rPr>
      </w:pPr>
      <w:r w:rsidRPr="00D97148">
        <w:rPr>
          <w:lang w:val="es-ES"/>
        </w:rPr>
        <w:lastRenderedPageBreak/>
        <w:t>Para la temporada de lluvia del 2023 hasta el 04 de julio se registraron 7,938 personas en riesgo, 459,653 personas afectadas, 711 personas damnificadas, 1,709 personas evacuadas, 3,783 personas atendidas, 3 personas heridas, 13 personas fallecidas siendo los departamentos más afectados Alta Verapaz, Baja Verapaz, Escuintla, Zacapa, Guatemala y Totonicapán. En cuando a daños a viviendas e infraestructura pública, se reportaron 185 viviendas en riesgo, 39 viviendas con daños leves, 636 viviendas con daños moderados, 40 viviendas con daños severo, 11 escuelas afectadas, 299 incidentes, 68 carreteras afectadas, 6 edificios afectados, 4 puentes afectados y 1 puente destruido.</w:t>
      </w:r>
      <w:r w:rsidRPr="00B25FFF">
        <w:rPr>
          <w:lang w:val="es-ES"/>
        </w:rPr>
        <w:t xml:space="preserve">   </w:t>
      </w:r>
    </w:p>
    <w:p w14:paraId="625282CA" w14:textId="77777777" w:rsidR="00C36261" w:rsidRDefault="00C36261" w:rsidP="00C36261">
      <w:pPr>
        <w:jc w:val="both"/>
        <w:rPr>
          <w:lang w:val="es-ES"/>
        </w:rPr>
      </w:pPr>
    </w:p>
    <w:p w14:paraId="12706690" w14:textId="77777777" w:rsidR="00C36261" w:rsidRPr="00404A3A" w:rsidRDefault="00C36261" w:rsidP="00C36261">
      <w:pPr>
        <w:jc w:val="both"/>
        <w:rPr>
          <w:lang w:val="es-ES"/>
        </w:rPr>
      </w:pPr>
      <w:r w:rsidRPr="00404A3A">
        <w:rPr>
          <w:lang w:val="es-ES"/>
        </w:rPr>
        <w:t>Los remanentes de humedad asociados al acercamiento y paso de la Onda del Este al Sur del territorio guatemalteco favorecerá a que se presenten lluvias acompañadas de actividad eléctrica del Sur al Centro y Occidente, condiciones que pueden registrarse en horas de la tarde y noche de hoy miércoles 05 de julio de 2023.</w:t>
      </w:r>
    </w:p>
    <w:p w14:paraId="7D1B5A5B" w14:textId="77777777" w:rsidR="00C36261" w:rsidRPr="00404A3A" w:rsidRDefault="00C36261" w:rsidP="00C36261">
      <w:pPr>
        <w:jc w:val="both"/>
        <w:rPr>
          <w:lang w:val="es-ES"/>
        </w:rPr>
      </w:pPr>
    </w:p>
    <w:p w14:paraId="1D66502B" w14:textId="77777777" w:rsidR="00C36261" w:rsidRPr="00B25FFF" w:rsidRDefault="00C36261" w:rsidP="00C36261">
      <w:pPr>
        <w:jc w:val="both"/>
        <w:rPr>
          <w:lang w:val="es-ES"/>
        </w:rPr>
      </w:pPr>
      <w:r>
        <w:rPr>
          <w:lang w:val="es-ES"/>
        </w:rPr>
        <w:t xml:space="preserve">Para el 20 de julio 2023 según el </w:t>
      </w:r>
      <w:r w:rsidRPr="00F07310">
        <w:rPr>
          <w:lang w:val="es-ES"/>
        </w:rPr>
        <w:t>Informe No. 155</w:t>
      </w:r>
      <w:r>
        <w:rPr>
          <w:lang w:val="es-ES"/>
        </w:rPr>
        <w:t xml:space="preserve"> de la CONRED, </w:t>
      </w:r>
      <w:r w:rsidRPr="00F07310">
        <w:rPr>
          <w:lang w:val="es-ES"/>
        </w:rPr>
        <w:t>851 mil 276 personas se han visto afectadas por las fuertes lluvias y vientos registrados en el territorio nacional.</w:t>
      </w:r>
      <w:r>
        <w:rPr>
          <w:lang w:val="es-ES"/>
        </w:rPr>
        <w:t xml:space="preserve"> </w:t>
      </w:r>
      <w:r w:rsidRPr="00F07310">
        <w:rPr>
          <w:lang w:val="es-ES"/>
        </w:rPr>
        <w:t>En cuanto a la estadística de personas, 94 han sido albergadas, 1,300 damnificadas, se han evacuado a 3,078 personas, se han atendido 7,405 y se encuentran en riesgo 8,668.</w:t>
      </w:r>
      <w:r>
        <w:rPr>
          <w:lang w:val="es-ES"/>
        </w:rPr>
        <w:t xml:space="preserve"> Respecto a daño de viviendas e infraestructura han sucedido </w:t>
      </w:r>
      <w:r w:rsidRPr="00F07310">
        <w:rPr>
          <w:lang w:val="es-ES"/>
        </w:rPr>
        <w:t>341 incidentes</w:t>
      </w:r>
      <w:r>
        <w:rPr>
          <w:lang w:val="es-ES"/>
        </w:rPr>
        <w:t xml:space="preserve">, </w:t>
      </w:r>
      <w:r w:rsidRPr="00F07310">
        <w:rPr>
          <w:lang w:val="es-ES"/>
        </w:rPr>
        <w:t>299 viviendas en riesgo</w:t>
      </w:r>
      <w:r>
        <w:rPr>
          <w:lang w:val="es-ES"/>
        </w:rPr>
        <w:t xml:space="preserve">, </w:t>
      </w:r>
      <w:r w:rsidRPr="00F07310">
        <w:rPr>
          <w:lang w:val="es-ES"/>
        </w:rPr>
        <w:t>6 puentes afectados</w:t>
      </w:r>
      <w:r>
        <w:rPr>
          <w:lang w:val="es-ES"/>
        </w:rPr>
        <w:t xml:space="preserve">, </w:t>
      </w:r>
      <w:r w:rsidRPr="00F07310">
        <w:rPr>
          <w:lang w:val="es-ES"/>
        </w:rPr>
        <w:t>1,142 viviendas con daño moderado</w:t>
      </w:r>
      <w:r>
        <w:rPr>
          <w:lang w:val="es-ES"/>
        </w:rPr>
        <w:t xml:space="preserve"> y </w:t>
      </w:r>
      <w:r w:rsidRPr="00F07310">
        <w:rPr>
          <w:lang w:val="es-ES"/>
        </w:rPr>
        <w:t>110 carreteras afectadas</w:t>
      </w:r>
      <w:r>
        <w:rPr>
          <w:lang w:val="es-ES"/>
        </w:rPr>
        <w:t xml:space="preserve"> en donde los departamentos más afectados fueron; </w:t>
      </w:r>
      <w:r w:rsidRPr="00F07310">
        <w:rPr>
          <w:lang w:val="es-ES"/>
        </w:rPr>
        <w:t>Mariscos, Izabal.</w:t>
      </w:r>
      <w:r>
        <w:rPr>
          <w:lang w:val="es-ES"/>
        </w:rPr>
        <w:t xml:space="preserve"> </w:t>
      </w:r>
      <w:r w:rsidRPr="00F07310">
        <w:rPr>
          <w:lang w:val="es-ES"/>
        </w:rPr>
        <w:t>Volcán de Fuego, Chimaltenango.</w:t>
      </w:r>
      <w:r>
        <w:rPr>
          <w:lang w:val="es-ES"/>
        </w:rPr>
        <w:t xml:space="preserve"> </w:t>
      </w:r>
      <w:proofErr w:type="spellStart"/>
      <w:r w:rsidRPr="00F07310">
        <w:rPr>
          <w:lang w:val="es-ES"/>
        </w:rPr>
        <w:t>Chachaclún</w:t>
      </w:r>
      <w:proofErr w:type="spellEnd"/>
      <w:r w:rsidRPr="00F07310">
        <w:rPr>
          <w:lang w:val="es-ES"/>
        </w:rPr>
        <w:t>, Petén.</w:t>
      </w:r>
      <w:r>
        <w:rPr>
          <w:lang w:val="es-ES"/>
        </w:rPr>
        <w:t xml:space="preserve"> </w:t>
      </w:r>
      <w:r w:rsidRPr="00F07310">
        <w:rPr>
          <w:lang w:val="es-ES"/>
        </w:rPr>
        <w:t xml:space="preserve">Santa María </w:t>
      </w:r>
      <w:proofErr w:type="spellStart"/>
      <w:r w:rsidRPr="00F07310">
        <w:rPr>
          <w:lang w:val="es-ES"/>
        </w:rPr>
        <w:t>Cahabón</w:t>
      </w:r>
      <w:proofErr w:type="spellEnd"/>
      <w:r w:rsidRPr="00F07310">
        <w:rPr>
          <w:lang w:val="es-ES"/>
        </w:rPr>
        <w:t>,</w:t>
      </w:r>
      <w:r>
        <w:rPr>
          <w:lang w:val="es-ES"/>
        </w:rPr>
        <w:t xml:space="preserve"> Huehuetenango, </w:t>
      </w:r>
      <w:r w:rsidRPr="00F07310">
        <w:rPr>
          <w:lang w:val="es-ES"/>
        </w:rPr>
        <w:t>Alta Verapaz.</w:t>
      </w:r>
      <w:r>
        <w:rPr>
          <w:lang w:val="es-ES"/>
        </w:rPr>
        <w:t xml:space="preserve"> </w:t>
      </w:r>
      <w:r w:rsidRPr="00F07310">
        <w:rPr>
          <w:lang w:val="es-ES"/>
        </w:rPr>
        <w:t>Morales, Izabal</w:t>
      </w:r>
      <w:r>
        <w:rPr>
          <w:lang w:val="es-ES"/>
        </w:rPr>
        <w:t xml:space="preserve"> Y </w:t>
      </w:r>
      <w:r w:rsidRPr="00F07310">
        <w:rPr>
          <w:lang w:val="es-ES"/>
        </w:rPr>
        <w:t>Poptún, Petén.</w:t>
      </w:r>
    </w:p>
    <w:p w14:paraId="791E45E1" w14:textId="77777777" w:rsidR="00C36261" w:rsidRPr="00700FC4" w:rsidRDefault="00C36261" w:rsidP="00C36261">
      <w:pPr>
        <w:tabs>
          <w:tab w:val="left" w:pos="3615"/>
        </w:tabs>
        <w:jc w:val="both"/>
        <w:rPr>
          <w:lang w:val="es-ES"/>
        </w:rPr>
      </w:pPr>
    </w:p>
    <w:p w14:paraId="196BB4CA" w14:textId="77777777" w:rsidR="00C36261" w:rsidRPr="00447AA7" w:rsidRDefault="00C36261" w:rsidP="000E01EC">
      <w:pPr>
        <w:pStyle w:val="Ttulo2"/>
        <w:numPr>
          <w:ilvl w:val="1"/>
          <w:numId w:val="35"/>
        </w:numPr>
        <w:ind w:left="426" w:hanging="284"/>
        <w:rPr>
          <w:bCs/>
        </w:rPr>
      </w:pPr>
      <w:bookmarkStart w:id="844" w:name="_Toc144114471"/>
      <w:r w:rsidRPr="00447AA7">
        <w:rPr>
          <w:bCs/>
        </w:rPr>
        <w:t>Proyección del impacto fiscal por fenómeno natural</w:t>
      </w:r>
      <w:bookmarkEnd w:id="844"/>
    </w:p>
    <w:p w14:paraId="54035A29" w14:textId="77777777" w:rsidR="00C36261" w:rsidRDefault="00C36261" w:rsidP="00C36261">
      <w:pPr>
        <w:tabs>
          <w:tab w:val="left" w:pos="3615"/>
        </w:tabs>
        <w:jc w:val="both"/>
        <w:rPr>
          <w:lang w:val="es-ES"/>
        </w:rPr>
      </w:pPr>
    </w:p>
    <w:p w14:paraId="1FA6BA40" w14:textId="77777777" w:rsidR="00C36261" w:rsidRPr="00700FC4" w:rsidRDefault="00C36261" w:rsidP="00C36261">
      <w:pPr>
        <w:tabs>
          <w:tab w:val="left" w:pos="3615"/>
        </w:tabs>
        <w:jc w:val="both"/>
        <w:rPr>
          <w:lang w:val="es-ES"/>
        </w:rPr>
      </w:pPr>
      <w:r w:rsidRPr="00700FC4">
        <w:rPr>
          <w:lang w:val="es-ES"/>
        </w:rPr>
        <w:t xml:space="preserve">El impacto de los desastres provocados por fenómenos en la economía y la sostenibilidad de las finanzas públicas depende de la frecuencia e intensidad del evento, a mayor frecuencia e intensidad implica un mayor riesgo de choques negativos sobre las cuentas fiscales. Para entender y mejorar la forma en que se gasta e invierte en gestión al riesgo de desastres provocados por fenómenos naturales es importante analizar los gastos destinados ex ante y ex post con el fin de fortalecer la resiliencia financiera del país. </w:t>
      </w:r>
    </w:p>
    <w:p w14:paraId="5A43FD8B" w14:textId="77777777" w:rsidR="00C36261" w:rsidRPr="00700FC4" w:rsidRDefault="00C36261" w:rsidP="00C36261">
      <w:pPr>
        <w:tabs>
          <w:tab w:val="left" w:pos="3615"/>
        </w:tabs>
        <w:jc w:val="both"/>
        <w:rPr>
          <w:lang w:val="es-ES"/>
        </w:rPr>
      </w:pPr>
    </w:p>
    <w:p w14:paraId="7D62A498" w14:textId="77777777" w:rsidR="00C36261" w:rsidRPr="00700FC4" w:rsidRDefault="00C36261" w:rsidP="00C36261">
      <w:pPr>
        <w:tabs>
          <w:tab w:val="left" w:pos="3615"/>
        </w:tabs>
        <w:jc w:val="both"/>
        <w:rPr>
          <w:lang w:val="es-ES"/>
        </w:rPr>
      </w:pPr>
      <w:r w:rsidRPr="00700FC4">
        <w:rPr>
          <w:lang w:val="es-ES"/>
        </w:rPr>
        <w:t xml:space="preserve">Se observa que, de los años analizados, el evento con mayor impacto en el gasto público en términos del PIB fue el huracán Stan ocurrido en 2005 y cuyo impacto en el gasto público se extendió hasta el 2010. Seguidamente se tiene que la tormenta tropical Agatha y la erupción del Volcán de Pacaya ambas ocurridas en 2010, reportó un gasto de 1.13% del PIB, el cual se extendió hasta 2014.  En años recientes ha sido constante el gasto destinado a la atención de las depresiones tropicales, temporada ciclónica, época lluviosa y sistemas de baja presión, lo cual evidencia que Guatemala se encuentra expuesto a eventos hidrometereológicos. </w:t>
      </w:r>
    </w:p>
    <w:p w14:paraId="4C515906" w14:textId="77777777" w:rsidR="00C36261" w:rsidRPr="00700FC4" w:rsidRDefault="00C36261" w:rsidP="00C36261">
      <w:pPr>
        <w:tabs>
          <w:tab w:val="left" w:pos="3615"/>
        </w:tabs>
        <w:jc w:val="both"/>
        <w:rPr>
          <w:lang w:val="es-ES"/>
        </w:rPr>
      </w:pPr>
    </w:p>
    <w:p w14:paraId="67D1141E" w14:textId="77777777" w:rsidR="00C36261" w:rsidRDefault="00C36261" w:rsidP="00C36261">
      <w:pPr>
        <w:tabs>
          <w:tab w:val="left" w:pos="3615"/>
        </w:tabs>
        <w:jc w:val="both"/>
        <w:rPr>
          <w:lang w:val="es-ES"/>
        </w:rPr>
      </w:pPr>
      <w:r w:rsidRPr="00700FC4">
        <w:rPr>
          <w:lang w:val="es-ES"/>
        </w:rPr>
        <w:t>Es relevante considerar que un evento natural ocasiona una erogación de recursos en el año que ocurre, pero la atención se puede extender a los años posteriores, lo cual dependerá de la magnitud e impacto del evento.</w:t>
      </w:r>
      <w:r>
        <w:rPr>
          <w:lang w:val="es-ES"/>
        </w:rPr>
        <w:t xml:space="preserve">  </w:t>
      </w:r>
    </w:p>
    <w:p w14:paraId="096F55D2" w14:textId="410A115B" w:rsidR="004C3810" w:rsidRDefault="004C3810" w:rsidP="004C3810">
      <w:pPr>
        <w:pStyle w:val="Descripcin"/>
        <w:keepNext/>
        <w:jc w:val="left"/>
        <w:rPr>
          <w:color w:val="auto"/>
          <w:sz w:val="22"/>
          <w:szCs w:val="22"/>
        </w:rPr>
      </w:pPr>
      <w:bookmarkStart w:id="845" w:name="_Toc110522842"/>
      <w:r>
        <w:rPr>
          <w:color w:val="auto"/>
          <w:sz w:val="22"/>
          <w:szCs w:val="22"/>
        </w:rPr>
        <w:t xml:space="preserve"> </w:t>
      </w:r>
      <w:bookmarkEnd w:id="845"/>
    </w:p>
    <w:p w14:paraId="3A489B36" w14:textId="77777777" w:rsidR="00037E1D" w:rsidRPr="00037E1D" w:rsidRDefault="00037E1D" w:rsidP="00037E1D">
      <w:pPr>
        <w:rPr>
          <w:lang w:eastAsia="en-US"/>
        </w:rPr>
      </w:pPr>
    </w:p>
    <w:p w14:paraId="1B610249" w14:textId="77777777" w:rsidR="004C3810" w:rsidRPr="004C3810" w:rsidRDefault="004C3810" w:rsidP="004C3810">
      <w:pPr>
        <w:rPr>
          <w:lang w:eastAsia="en-US"/>
        </w:rPr>
      </w:pPr>
    </w:p>
    <w:p w14:paraId="7C9D133C" w14:textId="5382E6B4" w:rsidR="004C3810" w:rsidRPr="004C3810" w:rsidRDefault="004C3810" w:rsidP="004C3810">
      <w:pPr>
        <w:pStyle w:val="Descripcin"/>
        <w:keepNext/>
        <w:rPr>
          <w:color w:val="auto"/>
        </w:rPr>
      </w:pPr>
      <w:bookmarkStart w:id="846" w:name="_Toc143593662"/>
      <w:r w:rsidRPr="004C3810">
        <w:rPr>
          <w:color w:val="auto"/>
        </w:rPr>
        <w:lastRenderedPageBreak/>
        <w:t xml:space="preserve">Gráfico </w:t>
      </w:r>
      <w:r w:rsidRPr="004C3810">
        <w:rPr>
          <w:color w:val="auto"/>
        </w:rPr>
        <w:fldChar w:fldCharType="begin"/>
      </w:r>
      <w:r w:rsidRPr="004C3810">
        <w:rPr>
          <w:color w:val="auto"/>
        </w:rPr>
        <w:instrText xml:space="preserve"> SEQ Gráfico \* ARABIC </w:instrText>
      </w:r>
      <w:r w:rsidRPr="004C3810">
        <w:rPr>
          <w:color w:val="auto"/>
        </w:rPr>
        <w:fldChar w:fldCharType="separate"/>
      </w:r>
      <w:r w:rsidR="00A62AFA">
        <w:rPr>
          <w:noProof/>
          <w:color w:val="auto"/>
        </w:rPr>
        <w:t>104</w:t>
      </w:r>
      <w:r w:rsidRPr="004C3810">
        <w:rPr>
          <w:color w:val="auto"/>
        </w:rPr>
        <w:fldChar w:fldCharType="end"/>
      </w:r>
      <w:r w:rsidRPr="004C3810">
        <w:rPr>
          <w:color w:val="auto"/>
        </w:rPr>
        <w:t>.  Gasto del Gobierno Central destinado a desastres provocados por fenómenos naturales</w:t>
      </w:r>
      <w:bookmarkEnd w:id="846"/>
    </w:p>
    <w:p w14:paraId="52F223E1" w14:textId="10C24FC3" w:rsidR="00C36261" w:rsidRDefault="00C36261" w:rsidP="004C3810">
      <w:pPr>
        <w:pStyle w:val="Descripcin"/>
        <w:keepNext/>
        <w:rPr>
          <w:rFonts w:eastAsia="Times New Roman"/>
          <w:b w:val="0"/>
          <w:color w:val="auto"/>
          <w:sz w:val="22"/>
          <w:szCs w:val="22"/>
          <w:lang w:val="es-ES"/>
        </w:rPr>
      </w:pPr>
      <w:r w:rsidRPr="00C150B8">
        <w:rPr>
          <w:rFonts w:eastAsia="Times New Roman"/>
          <w:b w:val="0"/>
          <w:color w:val="auto"/>
          <w:sz w:val="22"/>
          <w:szCs w:val="22"/>
          <w:lang w:val="es-ES"/>
        </w:rPr>
        <w:t>Porcentaje del PIB</w:t>
      </w:r>
    </w:p>
    <w:p w14:paraId="2E5756BD" w14:textId="77777777" w:rsidR="00C36261" w:rsidRDefault="00C36261" w:rsidP="00C36261">
      <w:pPr>
        <w:tabs>
          <w:tab w:val="left" w:pos="3615"/>
        </w:tabs>
        <w:jc w:val="both"/>
        <w:rPr>
          <w:highlight w:val="yellow"/>
          <w:lang w:val="es-ES"/>
        </w:rPr>
      </w:pPr>
      <w:r>
        <w:rPr>
          <w:noProof/>
          <w:lang w:val="es-ES"/>
        </w:rPr>
        <w:drawing>
          <wp:inline distT="0" distB="0" distL="0" distR="0" wp14:anchorId="7F483BA2" wp14:editId="3F3BC21A">
            <wp:extent cx="5452110" cy="1876567"/>
            <wp:effectExtent l="0" t="0" r="0" b="0"/>
            <wp:docPr id="1889938817" name="Gráfico 1889938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67A76EFE" w14:textId="77777777" w:rsidR="00C36261" w:rsidRPr="00C150B8" w:rsidRDefault="00C36261" w:rsidP="00C36261">
      <w:pPr>
        <w:tabs>
          <w:tab w:val="left" w:pos="3615"/>
        </w:tabs>
        <w:jc w:val="both"/>
        <w:rPr>
          <w:lang w:val="es-ES"/>
        </w:rPr>
      </w:pPr>
      <w:r w:rsidRPr="00C150B8">
        <w:rPr>
          <w:sz w:val="16"/>
          <w:szCs w:val="16"/>
          <w:lang w:val="es-ES"/>
        </w:rPr>
        <w:t xml:space="preserve">Fuente: Dirección de Análisis y Política Fiscal </w:t>
      </w:r>
    </w:p>
    <w:p w14:paraId="1D59FA6A" w14:textId="77777777" w:rsidR="00C36261" w:rsidRDefault="00C36261" w:rsidP="00C36261">
      <w:pPr>
        <w:tabs>
          <w:tab w:val="left" w:pos="3615"/>
        </w:tabs>
        <w:jc w:val="both"/>
        <w:rPr>
          <w:highlight w:val="yellow"/>
          <w:lang w:val="es-ES"/>
        </w:rPr>
      </w:pPr>
    </w:p>
    <w:p w14:paraId="1FE87CD1" w14:textId="77777777" w:rsidR="00C36261" w:rsidRPr="00586640" w:rsidRDefault="00C36261" w:rsidP="00C36261">
      <w:pPr>
        <w:tabs>
          <w:tab w:val="left" w:pos="3615"/>
        </w:tabs>
        <w:jc w:val="both"/>
        <w:rPr>
          <w:lang w:val="es-ES"/>
        </w:rPr>
      </w:pPr>
      <w:r w:rsidRPr="00586640">
        <w:rPr>
          <w:lang w:val="es-ES"/>
        </w:rPr>
        <w:t xml:space="preserve">Al evaluar el déficit fiscal recurrente y el ocasionado por la reconstrucción y atención del evento, se observa que para todos los años el impacto respecto al PIB es menor al 1%, lo cual se considera positivo, ya que, si bien los eventos naturales con potencial de generar desastres se presentan usualmente todos los años, el impacto en las finanzas públicas por medio del déficit fiscal se considera bajo y manejable. </w:t>
      </w:r>
    </w:p>
    <w:p w14:paraId="35091C44" w14:textId="77777777" w:rsidR="00C36261" w:rsidRPr="00586640" w:rsidRDefault="00C36261" w:rsidP="00C36261">
      <w:pPr>
        <w:tabs>
          <w:tab w:val="left" w:pos="3615"/>
        </w:tabs>
        <w:jc w:val="both"/>
        <w:rPr>
          <w:lang w:val="es-ES"/>
        </w:rPr>
      </w:pPr>
    </w:p>
    <w:p w14:paraId="398E3B57" w14:textId="77777777" w:rsidR="00C36261" w:rsidRDefault="00C36261" w:rsidP="00C36261">
      <w:pPr>
        <w:tabs>
          <w:tab w:val="left" w:pos="3615"/>
        </w:tabs>
        <w:jc w:val="both"/>
        <w:rPr>
          <w:lang w:val="es-ES"/>
        </w:rPr>
      </w:pPr>
      <w:r w:rsidRPr="00586640">
        <w:rPr>
          <w:lang w:val="es-ES"/>
        </w:rPr>
        <w:t>El año que reporta mayor impacto en su déficit fiscal es el 2011, donde se tuvo la combinación de dos eventos</w:t>
      </w:r>
      <w:r>
        <w:rPr>
          <w:lang w:val="es-ES"/>
        </w:rPr>
        <w:t xml:space="preserve"> de magnitud alta</w:t>
      </w:r>
      <w:r w:rsidRPr="00586640">
        <w:rPr>
          <w:lang w:val="es-ES"/>
        </w:rPr>
        <w:t xml:space="preserve"> como lo fue la tormenta tropical Agatha y la erupción del volcán Pacaya, ocasionando un impacto de 0.7% del PIB.</w:t>
      </w:r>
      <w:r>
        <w:rPr>
          <w:lang w:val="es-ES"/>
        </w:rPr>
        <w:t xml:space="preserve"> Seguidamente se tiene que en 2006 se tuvo un impacto de 0.6% del PIB, siendo el año posterior al huracán Stan, incluso con un impacto en el déficit mayor al de 2005 (año en que ocurrió el evento), esto derivado a que el huracán tuvo lugar en el último trimestre de 2005, teniendo poco tiempo para poder ejecutar todo el gasto necesario para la atención del desastre y por ello se extendió la atención a 2006.</w:t>
      </w:r>
    </w:p>
    <w:p w14:paraId="0E332C7D" w14:textId="77777777" w:rsidR="00C36261" w:rsidRDefault="00C36261" w:rsidP="00C36261">
      <w:pPr>
        <w:tabs>
          <w:tab w:val="left" w:pos="3615"/>
        </w:tabs>
        <w:jc w:val="both"/>
        <w:rPr>
          <w:highlight w:val="yellow"/>
          <w:lang w:val="es-ES"/>
        </w:rPr>
      </w:pPr>
    </w:p>
    <w:p w14:paraId="06682478" w14:textId="2549B3E6" w:rsidR="00A9717E" w:rsidRPr="00A9717E" w:rsidRDefault="00A9717E" w:rsidP="00A9717E">
      <w:pPr>
        <w:pStyle w:val="Descripcin"/>
        <w:rPr>
          <w:color w:val="auto"/>
        </w:rPr>
      </w:pPr>
      <w:bookmarkStart w:id="847" w:name="_Toc143593663"/>
      <w:r w:rsidRPr="00A9717E">
        <w:rPr>
          <w:color w:val="auto"/>
        </w:rPr>
        <w:t xml:space="preserve">Gráfico </w:t>
      </w:r>
      <w:r w:rsidRPr="00A9717E">
        <w:rPr>
          <w:color w:val="auto"/>
        </w:rPr>
        <w:fldChar w:fldCharType="begin"/>
      </w:r>
      <w:r w:rsidRPr="00A9717E">
        <w:rPr>
          <w:color w:val="auto"/>
        </w:rPr>
        <w:instrText xml:space="preserve"> SEQ Gráfico \* ARABIC </w:instrText>
      </w:r>
      <w:r w:rsidRPr="00A9717E">
        <w:rPr>
          <w:color w:val="auto"/>
        </w:rPr>
        <w:fldChar w:fldCharType="separate"/>
      </w:r>
      <w:r w:rsidR="00A62AFA">
        <w:rPr>
          <w:noProof/>
          <w:color w:val="auto"/>
        </w:rPr>
        <w:t>105</w:t>
      </w:r>
      <w:r w:rsidRPr="00A9717E">
        <w:rPr>
          <w:color w:val="auto"/>
        </w:rPr>
        <w:fldChar w:fldCharType="end"/>
      </w:r>
      <w:r w:rsidRPr="00A9717E">
        <w:rPr>
          <w:color w:val="auto"/>
        </w:rPr>
        <w:t>.  Impacto en el déficit fiscal de los desastres provocados por fenómenos naturales</w:t>
      </w:r>
      <w:bookmarkEnd w:id="847"/>
    </w:p>
    <w:p w14:paraId="62A58BFA" w14:textId="4609E7AC" w:rsidR="00C36261" w:rsidRDefault="00C36261" w:rsidP="00C36261">
      <w:pPr>
        <w:tabs>
          <w:tab w:val="left" w:pos="3615"/>
        </w:tabs>
        <w:jc w:val="center"/>
        <w:rPr>
          <w:sz w:val="22"/>
          <w:szCs w:val="22"/>
          <w:lang w:val="es-ES"/>
        </w:rPr>
      </w:pPr>
      <w:r w:rsidRPr="00C150B8">
        <w:rPr>
          <w:b/>
          <w:bCs/>
          <w:lang w:val="es-ES"/>
        </w:rPr>
        <w:t xml:space="preserve"> </w:t>
      </w:r>
      <w:r w:rsidRPr="00C97298">
        <w:rPr>
          <w:sz w:val="22"/>
          <w:szCs w:val="22"/>
          <w:lang w:val="es-ES"/>
        </w:rPr>
        <w:t>Porcentaje del PIB</w:t>
      </w:r>
    </w:p>
    <w:p w14:paraId="03F7F1D5" w14:textId="77777777" w:rsidR="00C36261" w:rsidRPr="00C97298" w:rsidRDefault="00C36261" w:rsidP="00C36261">
      <w:pPr>
        <w:tabs>
          <w:tab w:val="left" w:pos="3615"/>
        </w:tabs>
        <w:jc w:val="center"/>
        <w:rPr>
          <w:sz w:val="22"/>
          <w:szCs w:val="22"/>
          <w:lang w:val="es-ES"/>
        </w:rPr>
      </w:pPr>
      <w:r>
        <w:rPr>
          <w:noProof/>
          <w:sz w:val="22"/>
          <w:szCs w:val="22"/>
          <w:lang w:val="es-ES"/>
        </w:rPr>
        <w:drawing>
          <wp:inline distT="0" distB="0" distL="0" distR="0" wp14:anchorId="450AAFA1" wp14:editId="27A196D4">
            <wp:extent cx="5572125" cy="2138901"/>
            <wp:effectExtent l="0" t="0" r="0" b="0"/>
            <wp:docPr id="1889938818" name="Gráfico 1889938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5A051D18" w14:textId="77777777" w:rsidR="00C36261" w:rsidRPr="00C150B8" w:rsidRDefault="00C36261" w:rsidP="00C36261">
      <w:pPr>
        <w:tabs>
          <w:tab w:val="left" w:pos="3615"/>
        </w:tabs>
        <w:jc w:val="both"/>
        <w:rPr>
          <w:sz w:val="16"/>
          <w:szCs w:val="16"/>
          <w:lang w:val="es-ES"/>
        </w:rPr>
      </w:pPr>
      <w:r w:rsidRPr="00C150B8">
        <w:rPr>
          <w:sz w:val="16"/>
          <w:szCs w:val="16"/>
          <w:lang w:val="es-ES"/>
        </w:rPr>
        <w:t>Fuente: Dirección de Análisis y Política Fiscal</w:t>
      </w:r>
    </w:p>
    <w:p w14:paraId="787A2E5C" w14:textId="667002F3" w:rsidR="00C36261" w:rsidRDefault="00C36261" w:rsidP="00C36261">
      <w:pPr>
        <w:tabs>
          <w:tab w:val="left" w:pos="3615"/>
        </w:tabs>
        <w:jc w:val="both"/>
        <w:rPr>
          <w:lang w:val="es-ES"/>
        </w:rPr>
      </w:pPr>
      <w:r w:rsidRPr="00C150B8">
        <w:rPr>
          <w:lang w:val="es-ES"/>
        </w:rPr>
        <w:lastRenderedPageBreak/>
        <w:t xml:space="preserve">Esto pone de manifiesto que los riesgos fiscales por </w:t>
      </w:r>
      <w:r>
        <w:rPr>
          <w:lang w:val="es-ES"/>
        </w:rPr>
        <w:t>desastres provocados por fenómenos</w:t>
      </w:r>
      <w:r w:rsidRPr="00C150B8">
        <w:rPr>
          <w:lang w:val="es-ES"/>
        </w:rPr>
        <w:t xml:space="preserve"> naturales son sucesos que generan incertidumbre respecto a su temporalidad, magnitud o probabilidad de ocurrencia</w:t>
      </w:r>
      <w:r>
        <w:rPr>
          <w:lang w:val="es-ES"/>
        </w:rPr>
        <w:t xml:space="preserve"> por lo que conocer con exactitud el impacto en las finanzas públicas también es algo incierto y únicamente se pueden manejar con estimaciones. </w:t>
      </w:r>
    </w:p>
    <w:p w14:paraId="025176F0" w14:textId="77777777" w:rsidR="00C36261" w:rsidRDefault="00C36261" w:rsidP="00C36261">
      <w:pPr>
        <w:tabs>
          <w:tab w:val="left" w:pos="3615"/>
        </w:tabs>
        <w:jc w:val="both"/>
        <w:rPr>
          <w:lang w:val="es-ES"/>
        </w:rPr>
      </w:pPr>
    </w:p>
    <w:p w14:paraId="0A4C7DE1" w14:textId="77777777" w:rsidR="00C36261" w:rsidRPr="00E54CE3" w:rsidRDefault="00C36261" w:rsidP="00C36261">
      <w:pPr>
        <w:tabs>
          <w:tab w:val="left" w:pos="3615"/>
        </w:tabs>
        <w:jc w:val="both"/>
        <w:rPr>
          <w:lang w:val="es-ES"/>
        </w:rPr>
      </w:pPr>
      <w:r w:rsidRPr="00C150B8">
        <w:rPr>
          <w:lang w:val="es-ES"/>
        </w:rPr>
        <w:t>La experiencia en Guatemala es que estos eventos generan pérdidas continuas y están con una tendencia hacia el alza, lo que causa un aumento de población y zonas más vulnerables a los desastres limitando los recursos disponibles del gobierno para enfrentar los costos y demuestra la necesidad de buscar un enfoque de gestión del riesgo a largo plazo con el que se pueda financiar las pérdidas post desastres y gestionar mecanismos de adaptación a la vulnerabilidad climática del país para reducir el impacto en las finanzas públicas. Por ello el Ministerio de Finanzas Públicas cuenta con una serie de mecanismos financieros para fortalecer la resiliencia económica y fiscal del país y su capacidad de respuesta ante el riesgo de desastres.</w:t>
      </w:r>
    </w:p>
    <w:p w14:paraId="3385C60E" w14:textId="77777777" w:rsidR="00C36261" w:rsidRDefault="00C36261" w:rsidP="00C36261">
      <w:pPr>
        <w:tabs>
          <w:tab w:val="left" w:pos="3615"/>
        </w:tabs>
        <w:jc w:val="both"/>
        <w:rPr>
          <w:lang w:val="es-ES"/>
        </w:rPr>
      </w:pPr>
    </w:p>
    <w:p w14:paraId="53E18440" w14:textId="77777777" w:rsidR="00C36261" w:rsidRPr="00447AA7" w:rsidRDefault="00C36261" w:rsidP="000E01EC">
      <w:pPr>
        <w:pStyle w:val="Ttulo2"/>
        <w:numPr>
          <w:ilvl w:val="1"/>
          <w:numId w:val="35"/>
        </w:numPr>
        <w:ind w:left="426" w:hanging="284"/>
        <w:rPr>
          <w:bCs/>
        </w:rPr>
      </w:pPr>
      <w:bookmarkStart w:id="848" w:name="_Toc144114472"/>
      <w:r w:rsidRPr="00447AA7">
        <w:rPr>
          <w:bCs/>
        </w:rPr>
        <w:t>Estimación del impacto fiscal de los desastres naturales en los naturales</w:t>
      </w:r>
      <w:bookmarkEnd w:id="848"/>
      <w:r w:rsidRPr="00447AA7">
        <w:rPr>
          <w:bCs/>
        </w:rPr>
        <w:t xml:space="preserve"> </w:t>
      </w:r>
    </w:p>
    <w:p w14:paraId="0D9B6CF6" w14:textId="77777777" w:rsidR="00C36261" w:rsidRPr="008A582E" w:rsidRDefault="00C36261" w:rsidP="00C36261">
      <w:pPr>
        <w:rPr>
          <w:lang w:eastAsia="en-US"/>
        </w:rPr>
      </w:pPr>
    </w:p>
    <w:p w14:paraId="1EAFC773" w14:textId="77777777" w:rsidR="00C36261" w:rsidRDefault="00C36261" w:rsidP="00C36261">
      <w:pPr>
        <w:jc w:val="both"/>
      </w:pPr>
      <w:r w:rsidRPr="00117F03">
        <w:t xml:space="preserve">Al materializarse los riesgos por desastres naturales causan perdidas masivas humanas y consecuencias </w:t>
      </w:r>
      <w:r>
        <w:t>económicas</w:t>
      </w:r>
      <w:r w:rsidRPr="00117F03">
        <w:t xml:space="preserve"> indirectas en el corto, mediano y largo plazo.</w:t>
      </w:r>
      <w:r>
        <w:t xml:space="preserve"> </w:t>
      </w:r>
      <w:r w:rsidRPr="00117F03">
        <w:t>Por lo que la estabilidad macroeconómica y la sostenibilidad fiscal pueden verse afectado</w:t>
      </w:r>
      <w:r>
        <w:t>s</w:t>
      </w:r>
      <w:r w:rsidRPr="00117F03">
        <w:t xml:space="preserve"> por estos riesgos.</w:t>
      </w:r>
      <w:r>
        <w:t xml:space="preserve"> Motivo por el cual, se utiliza en esta sección una herramienta desarrollada en una asistencia técnica del Banco Mundial para el análisis de potenciales impactos económicos y fiscales por desastres naturales. </w:t>
      </w:r>
    </w:p>
    <w:p w14:paraId="58835573" w14:textId="77777777" w:rsidR="00C36261" w:rsidRDefault="00C36261" w:rsidP="00C36261">
      <w:pPr>
        <w:jc w:val="both"/>
      </w:pPr>
    </w:p>
    <w:p w14:paraId="41721257" w14:textId="77777777" w:rsidR="00C36261" w:rsidRDefault="00C36261" w:rsidP="00C36261">
      <w:pPr>
        <w:jc w:val="both"/>
      </w:pPr>
      <w:r>
        <w:t>El mecanismo de transmisión de un desastre natural considera la perdida en el stock de capital del país, lo que repercute en la disminución de la producción y por lo tanto los ingresos fiscales. Además, el gobierno debe invertir en infraestructura por lo que el gasto aumenta y el déficit fiscal y la deuda pública aumentan con respecto a un escenario base.</w:t>
      </w:r>
    </w:p>
    <w:p w14:paraId="50366D38" w14:textId="77777777" w:rsidR="00C36261" w:rsidRDefault="00C36261" w:rsidP="00C36261">
      <w:pPr>
        <w:jc w:val="both"/>
      </w:pPr>
    </w:p>
    <w:p w14:paraId="5308E079" w14:textId="002889E0" w:rsidR="00C36261" w:rsidRPr="00A9717E" w:rsidRDefault="00A9717E" w:rsidP="00A9717E">
      <w:pPr>
        <w:pStyle w:val="Descripcin"/>
        <w:rPr>
          <w:b w:val="0"/>
          <w:bCs/>
          <w:color w:val="auto"/>
        </w:rPr>
      </w:pPr>
      <w:bookmarkStart w:id="849" w:name="_Toc143593664"/>
      <w:r w:rsidRPr="00A9717E">
        <w:rPr>
          <w:color w:val="auto"/>
        </w:rPr>
        <w:t xml:space="preserve">Gráfico </w:t>
      </w:r>
      <w:r w:rsidRPr="00A9717E">
        <w:rPr>
          <w:color w:val="auto"/>
        </w:rPr>
        <w:fldChar w:fldCharType="begin"/>
      </w:r>
      <w:r w:rsidRPr="00A9717E">
        <w:rPr>
          <w:color w:val="auto"/>
        </w:rPr>
        <w:instrText xml:space="preserve"> SEQ Gráfico \* ARABIC </w:instrText>
      </w:r>
      <w:r w:rsidRPr="00A9717E">
        <w:rPr>
          <w:color w:val="auto"/>
        </w:rPr>
        <w:fldChar w:fldCharType="separate"/>
      </w:r>
      <w:r w:rsidR="00A62AFA">
        <w:rPr>
          <w:noProof/>
          <w:color w:val="auto"/>
        </w:rPr>
        <w:t>106</w:t>
      </w:r>
      <w:r w:rsidRPr="00A9717E">
        <w:rPr>
          <w:color w:val="auto"/>
        </w:rPr>
        <w:fldChar w:fldCharType="end"/>
      </w:r>
      <w:r w:rsidRPr="00A9717E">
        <w:rPr>
          <w:color w:val="auto"/>
        </w:rPr>
        <w:t>.  Impacto de un desastre natural severo en el sector real y la economía</w:t>
      </w:r>
      <w:bookmarkEnd w:id="849"/>
    </w:p>
    <w:p w14:paraId="169867B6" w14:textId="77777777" w:rsidR="00C36261" w:rsidRPr="00117F03" w:rsidRDefault="00C36261" w:rsidP="00C36261">
      <w:pPr>
        <w:jc w:val="both"/>
      </w:pPr>
    </w:p>
    <w:p w14:paraId="6FCF7E37" w14:textId="77777777" w:rsidR="00C36261" w:rsidRPr="00117F03" w:rsidRDefault="00C36261" w:rsidP="00C36261">
      <w:pPr>
        <w:jc w:val="both"/>
      </w:pPr>
      <w:r w:rsidRPr="00451A40">
        <w:rPr>
          <w:noProof/>
        </w:rPr>
        <w:drawing>
          <wp:inline distT="0" distB="0" distL="0" distR="0" wp14:anchorId="208226F0" wp14:editId="0936185A">
            <wp:extent cx="5612130" cy="1084997"/>
            <wp:effectExtent l="0" t="0" r="0" b="1270"/>
            <wp:docPr id="1889938819" name="Imagen 188993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656527" cy="1093580"/>
                    </a:xfrm>
                    <a:prstGeom prst="rect">
                      <a:avLst/>
                    </a:prstGeom>
                    <a:noFill/>
                    <a:ln>
                      <a:noFill/>
                    </a:ln>
                  </pic:spPr>
                </pic:pic>
              </a:graphicData>
            </a:graphic>
          </wp:inline>
        </w:drawing>
      </w:r>
    </w:p>
    <w:p w14:paraId="062A00AA" w14:textId="77777777" w:rsidR="00C36261" w:rsidRPr="00A9717E" w:rsidRDefault="00C36261" w:rsidP="00C36261">
      <w:pPr>
        <w:jc w:val="both"/>
        <w:rPr>
          <w:sz w:val="16"/>
          <w:szCs w:val="16"/>
        </w:rPr>
      </w:pPr>
      <w:r w:rsidRPr="00A9717E">
        <w:rPr>
          <w:sz w:val="16"/>
          <w:szCs w:val="16"/>
        </w:rPr>
        <w:t>Fuente: Banco Mundial</w:t>
      </w:r>
    </w:p>
    <w:p w14:paraId="146836D4" w14:textId="77777777" w:rsidR="00C36261" w:rsidRPr="00451A40" w:rsidRDefault="00C36261" w:rsidP="00C36261">
      <w:pPr>
        <w:jc w:val="both"/>
      </w:pPr>
    </w:p>
    <w:p w14:paraId="7D0C17E9" w14:textId="77777777" w:rsidR="00C36261" w:rsidRPr="00A9717E" w:rsidRDefault="00C36261" w:rsidP="00C36261">
      <w:pPr>
        <w:jc w:val="both"/>
      </w:pPr>
      <w:r w:rsidRPr="00451A40">
        <w:t>La forma a través de la cual</w:t>
      </w:r>
      <w:r>
        <w:t xml:space="preserve"> se cuantifican los efectos de las pérdidas del stock de capital en los agregados macroeconómicos, es a través del modelo de crecimiento económico de Solow-</w:t>
      </w:r>
      <w:proofErr w:type="spellStart"/>
      <w:r>
        <w:t>Swan</w:t>
      </w:r>
      <w:proofErr w:type="spellEnd"/>
      <w:r>
        <w:t xml:space="preserve">, que describe a la producción </w:t>
      </w:r>
      <w:r>
        <w:rPr>
          <w:rFonts w:ascii="Book Antiqua" w:hAnsi="Book Antiqua"/>
        </w:rPr>
        <w:t>(</w:t>
      </w:r>
      <m:oMath>
        <m:sSub>
          <m:sSubPr>
            <m:ctrlPr>
              <w:rPr>
                <w:rFonts w:ascii="Cambria Math" w:hAnsi="Cambria Math"/>
                <w:i/>
                <w:iCs/>
              </w:rPr>
            </m:ctrlPr>
          </m:sSubPr>
          <m:e>
            <m:r>
              <w:rPr>
                <w:rFonts w:ascii="Cambria Math" w:hAnsi="Cambria Math"/>
              </w:rPr>
              <m:t>Y</m:t>
            </m:r>
          </m:e>
          <m:sub>
            <m:r>
              <w:rPr>
                <w:rFonts w:ascii="Cambria Math" w:hAnsi="Cambria Math"/>
              </w:rPr>
              <m:t>t</m:t>
            </m:r>
          </m:sub>
        </m:sSub>
      </m:oMath>
      <w:r>
        <w:rPr>
          <w:rFonts w:ascii="Book Antiqua" w:hAnsi="Book Antiqua"/>
        </w:rPr>
        <w:t xml:space="preserve">) </w:t>
      </w:r>
      <w:r w:rsidRPr="00A9717E">
        <w:t>como una función del capital</w:t>
      </w:r>
      <w:r>
        <w:rPr>
          <w:rFonts w:ascii="Book Antiqua" w:hAnsi="Book Antiqua"/>
        </w:rPr>
        <w:t xml:space="preserve"> </w:t>
      </w:r>
      <w:r w:rsidRPr="0028528C">
        <w:rPr>
          <w:rFonts w:ascii="Book Antiqua" w:hAnsi="Book Antiqua"/>
        </w:rPr>
        <w:t>(</w:t>
      </w:r>
      <m:oMath>
        <m:sSub>
          <m:sSubPr>
            <m:ctrlPr>
              <w:rPr>
                <w:rFonts w:ascii="Cambria Math" w:hAnsi="Cambria Math" w:cs="Cambria Math"/>
                <w:i/>
                <w:iCs/>
              </w:rPr>
            </m:ctrlPr>
          </m:sSubPr>
          <m:e>
            <m:r>
              <w:rPr>
                <w:rFonts w:ascii="Cambria Math" w:hAnsi="Cambria Math" w:cs="Cambria Math"/>
              </w:rPr>
              <m:t>K</m:t>
            </m:r>
          </m:e>
          <m:sub>
            <m:r>
              <w:rPr>
                <w:rFonts w:ascii="Cambria Math" w:hAnsi="Cambria Math" w:cs="Cambria Math"/>
              </w:rPr>
              <m:t>t</m:t>
            </m:r>
          </m:sub>
        </m:sSub>
      </m:oMath>
      <w:r w:rsidRPr="00A9717E">
        <w:t>), el capital humano por trabajador</w:t>
      </w:r>
      <w:r>
        <w:rPr>
          <w:rFonts w:ascii="Book Antiqua" w:hAnsi="Book Antiqua"/>
        </w:rPr>
        <w:t xml:space="preserve"> </w:t>
      </w:r>
      <w:r w:rsidRPr="0028528C">
        <w:rPr>
          <w:rFonts w:ascii="Book Antiqua" w:hAnsi="Book Antiqua"/>
        </w:rPr>
        <w:t>(</w:t>
      </w:r>
      <m:oMath>
        <m:sSub>
          <m:sSubPr>
            <m:ctrlPr>
              <w:rPr>
                <w:rFonts w:ascii="Cambria Math" w:hAnsi="Cambria Math"/>
                <w:i/>
                <w:iCs/>
              </w:rPr>
            </m:ctrlPr>
          </m:sSubPr>
          <m:e>
            <m:r>
              <w:rPr>
                <w:rFonts w:ascii="Cambria Math" w:hAnsi="Cambria Math"/>
              </w:rPr>
              <m:t>h</m:t>
            </m:r>
          </m:e>
          <m:sub>
            <m:r>
              <w:rPr>
                <w:rFonts w:ascii="Cambria Math" w:hAnsi="Cambria Math"/>
              </w:rPr>
              <m:t>t</m:t>
            </m:r>
          </m:sub>
        </m:sSub>
        <m:sSub>
          <m:sSubPr>
            <m:ctrlPr>
              <w:rPr>
                <w:rFonts w:ascii="Cambria Math" w:hAnsi="Cambria Math"/>
                <w:i/>
                <w:iCs/>
              </w:rPr>
            </m:ctrlPr>
          </m:sSubPr>
          <m:e>
            <m:r>
              <w:rPr>
                <w:rFonts w:ascii="Cambria Math" w:hAnsi="Cambria Math"/>
              </w:rPr>
              <m:t>L</m:t>
            </m:r>
          </m:e>
          <m:sub>
            <m:r>
              <w:rPr>
                <w:rFonts w:ascii="Cambria Math" w:hAnsi="Cambria Math"/>
              </w:rPr>
              <m:t>t</m:t>
            </m:r>
          </m:sub>
        </m:sSub>
      </m:oMath>
      <w:r w:rsidRPr="0028528C">
        <w:rPr>
          <w:rFonts w:ascii="Book Antiqua" w:hAnsi="Book Antiqua"/>
        </w:rPr>
        <w:t xml:space="preserve">) </w:t>
      </w:r>
      <w:r w:rsidRPr="00A9717E">
        <w:t>y un parámetro exógeno que mide el progreso tecnológico</w:t>
      </w:r>
      <w:r>
        <w:rPr>
          <w:rFonts w:ascii="Book Antiqua" w:hAnsi="Book Antiqua"/>
        </w:rPr>
        <w:t xml:space="preserve"> </w:t>
      </w:r>
      <w:r w:rsidRPr="0028528C">
        <w:rPr>
          <w:rFonts w:ascii="Book Antiqua" w:hAnsi="Book Antiqua"/>
        </w:rPr>
        <w:t>(</w:t>
      </w:r>
      <m:oMath>
        <m:sSub>
          <m:sSubPr>
            <m:ctrlPr>
              <w:rPr>
                <w:rFonts w:ascii="Cambria Math" w:hAnsi="Cambria Math"/>
                <w:i/>
                <w:iCs/>
              </w:rPr>
            </m:ctrlPr>
          </m:sSubPr>
          <m:e>
            <m:r>
              <w:rPr>
                <w:rFonts w:ascii="Cambria Math" w:hAnsi="Cambria Math"/>
              </w:rPr>
              <m:t>A</m:t>
            </m:r>
          </m:e>
          <m:sub>
            <m:r>
              <w:rPr>
                <w:rFonts w:ascii="Cambria Math" w:hAnsi="Cambria Math"/>
              </w:rPr>
              <m:t>t</m:t>
            </m:r>
          </m:sub>
        </m:sSub>
      </m:oMath>
      <w:r w:rsidRPr="0028528C">
        <w:rPr>
          <w:rFonts w:ascii="Book Antiqua" w:hAnsi="Book Antiqua"/>
        </w:rPr>
        <w:t>)</w:t>
      </w:r>
      <w:r>
        <w:rPr>
          <w:rFonts w:ascii="Book Antiqua" w:hAnsi="Book Antiqua"/>
        </w:rPr>
        <w:t xml:space="preserve">. </w:t>
      </w:r>
      <w:r w:rsidRPr="00A9717E">
        <w:t>Además, de los parámetros</w:t>
      </w:r>
      <w:r>
        <w:rPr>
          <w:rFonts w:ascii="Book Antiqua" w:hAnsi="Book Antiqua"/>
        </w:rPr>
        <w:t xml:space="preserve"> </w:t>
      </w:r>
      <m:oMath>
        <m:r>
          <w:rPr>
            <w:rFonts w:ascii="Cambria Math" w:hAnsi="Cambria Math"/>
          </w:rPr>
          <m:t>β</m:t>
        </m:r>
      </m:oMath>
      <w:r w:rsidRPr="0028528C">
        <w:rPr>
          <w:rFonts w:ascii="Book Antiqua" w:hAnsi="Book Antiqua"/>
        </w:rPr>
        <w:t xml:space="preserve"> </w:t>
      </w:r>
      <w:r w:rsidRPr="00A9717E">
        <w:t xml:space="preserve">and </w:t>
      </w:r>
      <m:oMath>
        <m:r>
          <m:rPr>
            <m:sty m:val="p"/>
          </m:rPr>
          <w:rPr>
            <w:rFonts w:ascii="Cambria Math" w:hAnsi="Cambria Math"/>
          </w:rPr>
          <m:t>1-</m:t>
        </m:r>
        <m:r>
          <w:rPr>
            <w:rFonts w:ascii="Cambria Math" w:hAnsi="Cambria Math"/>
          </w:rPr>
          <m:t>β</m:t>
        </m:r>
      </m:oMath>
      <w:r w:rsidRPr="00A9717E">
        <w:t xml:space="preserve"> que representan la elasticidad de la producción con respecto el capital y el trabajo.</w:t>
      </w:r>
    </w:p>
    <w:p w14:paraId="53FE4EFD" w14:textId="77777777" w:rsidR="00C36261" w:rsidRDefault="00C36261" w:rsidP="00C36261">
      <w:pPr>
        <w:jc w:val="both"/>
        <w:rPr>
          <w:rFonts w:ascii="Book Antiqua" w:hAnsi="Book Antiqu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5"/>
        <w:gridCol w:w="513"/>
      </w:tblGrid>
      <w:tr w:rsidR="00C36261" w14:paraId="5F35C377" w14:textId="77777777" w:rsidTr="006A7377">
        <w:tc>
          <w:tcPr>
            <w:tcW w:w="8815" w:type="dxa"/>
          </w:tcPr>
          <w:p w14:paraId="5E2917CD" w14:textId="77777777" w:rsidR="00C36261" w:rsidRDefault="00805A42" w:rsidP="006A7377">
            <w:pPr>
              <w:jc w:val="both"/>
              <w:rPr>
                <w:rFonts w:ascii="Book Antiqua" w:hAnsi="Book Antiqua"/>
              </w:rPr>
            </w:pPr>
            <m:oMathPara>
              <m:oMath>
                <m:sSub>
                  <m:sSubPr>
                    <m:ctrlPr>
                      <w:rPr>
                        <w:rFonts w:ascii="Cambria Math" w:hAnsi="Cambria Math"/>
                        <w:i/>
                        <w:iCs/>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t</m:t>
                    </m:r>
                  </m:sub>
                </m:sSub>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t</m:t>
                    </m:r>
                  </m:sub>
                  <m:sup>
                    <m:r>
                      <w:rPr>
                        <w:rFonts w:ascii="Cambria Math" w:hAnsi="Cambria Math"/>
                        <w:lang w:val="en-US"/>
                      </w:rPr>
                      <m:t>1-β</m:t>
                    </m:r>
                  </m:sup>
                </m:sSubSup>
                <m:sSup>
                  <m:sSupPr>
                    <m:ctrlPr>
                      <w:rPr>
                        <w:rFonts w:ascii="Cambria Math" w:hAnsi="Cambria Math"/>
                        <w:i/>
                        <w:iCs/>
                        <w:lang w:val="en-US"/>
                      </w:rPr>
                    </m:ctrlPr>
                  </m:sSupPr>
                  <m:e>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t</m:t>
                        </m:r>
                      </m:sub>
                    </m:sSub>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m:t>
                    </m:r>
                  </m:e>
                  <m:sup>
                    <m:r>
                      <w:rPr>
                        <w:rFonts w:ascii="Cambria Math" w:hAnsi="Cambria Math"/>
                        <w:lang w:val="en-US"/>
                      </w:rPr>
                      <m:t>β</m:t>
                    </m:r>
                  </m:sup>
                </m:sSup>
              </m:oMath>
            </m:oMathPara>
          </w:p>
        </w:tc>
        <w:tc>
          <w:tcPr>
            <w:tcW w:w="535" w:type="dxa"/>
          </w:tcPr>
          <w:p w14:paraId="6982EFC8" w14:textId="77777777" w:rsidR="00C36261" w:rsidRDefault="00C36261" w:rsidP="006A7377">
            <w:pPr>
              <w:jc w:val="both"/>
              <w:rPr>
                <w:rFonts w:ascii="Book Antiqua" w:hAnsi="Book Antiqua"/>
              </w:rPr>
            </w:pPr>
          </w:p>
        </w:tc>
      </w:tr>
    </w:tbl>
    <w:p w14:paraId="2C989714" w14:textId="77777777" w:rsidR="00C36261" w:rsidRPr="00451A40" w:rsidRDefault="00C36261" w:rsidP="00C36261">
      <w:pPr>
        <w:rPr>
          <w:b/>
          <w:bCs/>
        </w:rPr>
      </w:pPr>
    </w:p>
    <w:p w14:paraId="74E8B4DA" w14:textId="77777777" w:rsidR="00C36261" w:rsidRDefault="00C36261" w:rsidP="00C36261">
      <w:pPr>
        <w:jc w:val="both"/>
        <w:rPr>
          <w:rFonts w:ascii="Book Antiqua" w:hAnsi="Book Antiqua"/>
        </w:rPr>
      </w:pPr>
      <w:r w:rsidRPr="00D80B2F">
        <w:t>Otra expresión fundamental para el modelo de crecimiento económico de Solow-</w:t>
      </w:r>
      <w:proofErr w:type="spellStart"/>
      <w:r w:rsidRPr="00D80B2F">
        <w:t>Swan</w:t>
      </w:r>
      <w:proofErr w:type="spellEnd"/>
      <w:r w:rsidRPr="00D80B2F">
        <w:t xml:space="preserve"> es la que describe la ley de acumulación de capital, la cual depende de la inversión y la depreciación</w:t>
      </w:r>
      <w:r>
        <w:t xml:space="preserve">. Por lo que la variación de capital es la diferencia entre la inversión </w:t>
      </w:r>
      <w:r w:rsidRPr="00FA55F6">
        <w:rPr>
          <w:rFonts w:ascii="Book Antiqua" w:hAnsi="Book Antiqua"/>
        </w:rPr>
        <w:t>(</w:t>
      </w:r>
      <m:oMath>
        <m:sSub>
          <m:sSubPr>
            <m:ctrlPr>
              <w:rPr>
                <w:rFonts w:ascii="Cambria Math" w:hAnsi="Cambria Math"/>
                <w:i/>
                <w:iCs/>
              </w:rPr>
            </m:ctrlPr>
          </m:sSubPr>
          <m:e>
            <m:r>
              <w:rPr>
                <w:rFonts w:ascii="Cambria Math" w:hAnsi="Cambria Math"/>
              </w:rPr>
              <m:t>I</m:t>
            </m:r>
          </m:e>
          <m:sub>
            <m:r>
              <w:rPr>
                <w:rFonts w:ascii="Cambria Math" w:hAnsi="Cambria Math"/>
              </w:rPr>
              <m:t>t</m:t>
            </m:r>
          </m:sub>
        </m:sSub>
      </m:oMath>
      <w:r w:rsidRPr="00FA55F6">
        <w:rPr>
          <w:rFonts w:ascii="Book Antiqua" w:hAnsi="Book Antiqua"/>
        </w:rPr>
        <w:t>)</w:t>
      </w:r>
      <w:r>
        <w:rPr>
          <w:rFonts w:ascii="Book Antiqua" w:hAnsi="Book Antiqua"/>
        </w:rPr>
        <w:t xml:space="preserve"> </w:t>
      </w:r>
      <w:r>
        <w:t xml:space="preserve">y el monto de la depreciación del capital dado por una tasa constante de depreciación </w:t>
      </w:r>
      <w:r>
        <w:rPr>
          <w:rFonts w:ascii="Book Antiqua" w:hAnsi="Book Antiqua"/>
        </w:rPr>
        <w:t>(</w:t>
      </w:r>
      <m:oMath>
        <m:r>
          <w:rPr>
            <w:rFonts w:ascii="Cambria Math" w:hAnsi="Cambria Math"/>
          </w:rPr>
          <m:t>δ</m:t>
        </m:r>
      </m:oMath>
      <w:r>
        <w:rPr>
          <w:rFonts w:ascii="Book Antiqua" w:hAnsi="Book Antiqua"/>
        </w:rPr>
        <w:t>).</w:t>
      </w:r>
    </w:p>
    <w:p w14:paraId="1E6F0031" w14:textId="77777777" w:rsidR="00C36261" w:rsidRDefault="00C36261" w:rsidP="00C36261">
      <w:pPr>
        <w:jc w:val="both"/>
        <w:rPr>
          <w:rFonts w:ascii="Book Antiqua" w:hAnsi="Book Antiqu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7"/>
      </w:tblGrid>
      <w:tr w:rsidR="00C36261" w14:paraId="42A9FA28" w14:textId="77777777" w:rsidTr="006A7377">
        <w:tc>
          <w:tcPr>
            <w:tcW w:w="8307" w:type="dxa"/>
          </w:tcPr>
          <w:p w14:paraId="236707FB" w14:textId="77777777" w:rsidR="00C36261" w:rsidRDefault="00805A42" w:rsidP="006A7377">
            <w:pPr>
              <w:jc w:val="both"/>
              <w:rPr>
                <w:rFonts w:ascii="Book Antiqua" w:hAnsi="Book Antiqua"/>
              </w:rPr>
            </w:pPr>
            <m:oMathPara>
              <m:oMath>
                <m:sSub>
                  <m:sSubPr>
                    <m:ctrlPr>
                      <w:rPr>
                        <w:rFonts w:ascii="Cambria Math" w:hAnsi="Cambria Math"/>
                        <w:i/>
                        <w:iCs/>
                        <w:lang w:val="en-US"/>
                      </w:rPr>
                    </m:ctrlPr>
                  </m:sSubPr>
                  <m:e>
                    <m:r>
                      <w:rPr>
                        <w:rFonts w:ascii="Cambria Math" w:hAnsi="Cambria Math"/>
                        <w:lang w:val="en-US"/>
                      </w:rPr>
                      <m:t>K</m:t>
                    </m:r>
                  </m:e>
                  <m:sub>
                    <m:r>
                      <w:rPr>
                        <w:rFonts w:ascii="Cambria Math" w:hAnsi="Cambria Math"/>
                        <w:lang w:val="en-US"/>
                      </w:rPr>
                      <m:t>t+1</m:t>
                    </m:r>
                  </m:sub>
                </m:sSub>
                <m:r>
                  <w:rPr>
                    <w:rFonts w:ascii="Cambria Math" w:hAnsi="Cambria Math"/>
                    <w:lang w:val="en-US"/>
                  </w:rPr>
                  <m:t>=</m:t>
                </m:r>
                <m:d>
                  <m:dPr>
                    <m:ctrlPr>
                      <w:rPr>
                        <w:rFonts w:ascii="Cambria Math" w:hAnsi="Cambria Math"/>
                        <w:i/>
                        <w:iCs/>
                        <w:lang w:val="en-US"/>
                      </w:rPr>
                    </m:ctrlPr>
                  </m:dPr>
                  <m:e>
                    <m:r>
                      <w:rPr>
                        <w:rFonts w:ascii="Cambria Math" w:hAnsi="Cambria Math"/>
                        <w:lang w:val="en-US"/>
                      </w:rPr>
                      <m:t>1-δ</m:t>
                    </m:r>
                  </m:e>
                </m:d>
                <m:sSub>
                  <m:sSubPr>
                    <m:ctrlPr>
                      <w:rPr>
                        <w:rFonts w:ascii="Cambria Math" w:hAnsi="Cambria Math"/>
                        <w:i/>
                        <w:iCs/>
                        <w:lang w:val="en-US"/>
                      </w:rPr>
                    </m:ctrlPr>
                  </m:sSubPr>
                  <m:e>
                    <m:r>
                      <w:rPr>
                        <w:rFonts w:ascii="Cambria Math" w:hAnsi="Cambria Math"/>
                        <w:lang w:val="en-US"/>
                      </w:rPr>
                      <m:t>K</m:t>
                    </m:r>
                  </m:e>
                  <m:sub>
                    <m:r>
                      <w:rPr>
                        <w:rFonts w:ascii="Cambria Math" w:hAnsi="Cambria Math"/>
                        <w:lang w:val="en-US"/>
                      </w:rPr>
                      <m:t>t</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t</m:t>
                    </m:r>
                  </m:sub>
                </m:sSub>
              </m:oMath>
            </m:oMathPara>
          </w:p>
        </w:tc>
      </w:tr>
    </w:tbl>
    <w:p w14:paraId="0DEE9F6F" w14:textId="77777777" w:rsidR="00C36261" w:rsidRPr="00D80B2F" w:rsidRDefault="00C36261" w:rsidP="00C36261">
      <w:pPr>
        <w:jc w:val="both"/>
      </w:pPr>
    </w:p>
    <w:p w14:paraId="16672311" w14:textId="77777777" w:rsidR="00C36261" w:rsidRDefault="00C36261" w:rsidP="00C36261">
      <w:pPr>
        <w:jc w:val="both"/>
      </w:pPr>
      <w:r w:rsidRPr="004D0164">
        <w:t xml:space="preserve">La información utilizada en </w:t>
      </w:r>
      <w:r>
        <w:t xml:space="preserve">el </w:t>
      </w:r>
      <w:r w:rsidRPr="004D0164">
        <w:t xml:space="preserve">modelo proviene de la base de datos de “Penn </w:t>
      </w:r>
      <w:proofErr w:type="spellStart"/>
      <w:r w:rsidRPr="004D0164">
        <w:t>World</w:t>
      </w:r>
      <w:proofErr w:type="spellEnd"/>
      <w:r w:rsidRPr="004D0164">
        <w:t xml:space="preserve"> Table”, que contiene información de distintas variables macroeconómicas para 183 países, </w:t>
      </w:r>
      <w:r>
        <w:t xml:space="preserve">así como </w:t>
      </w:r>
      <w:r w:rsidRPr="004D0164">
        <w:t xml:space="preserve">del Banco </w:t>
      </w:r>
      <w:r>
        <w:t>M</w:t>
      </w:r>
      <w:r w:rsidRPr="004D0164">
        <w:t xml:space="preserve">undial, del Fondo Monetario internacional, </w:t>
      </w:r>
      <w:r>
        <w:t xml:space="preserve">de </w:t>
      </w:r>
      <w:r w:rsidRPr="004D0164">
        <w:t>las cuentas nacionales del Banco de Guatemala y el escenario fiscal de mediano plazo.</w:t>
      </w:r>
    </w:p>
    <w:p w14:paraId="0DB9106E" w14:textId="77777777" w:rsidR="00C36261" w:rsidRPr="004D0164" w:rsidRDefault="00C36261" w:rsidP="00C36261">
      <w:pPr>
        <w:jc w:val="both"/>
      </w:pPr>
    </w:p>
    <w:p w14:paraId="0FB809DB" w14:textId="77777777" w:rsidR="00C36261" w:rsidRDefault="00C36261" w:rsidP="00C36261">
      <w:pPr>
        <w:jc w:val="both"/>
      </w:pPr>
      <w:r w:rsidRPr="004D0164">
        <w:t>Con el escenario base, se realizó el ejercicio para medir el impacto fiscal de los desastres naturales provocados por tormentas tropicales o huracanes, terremotos y volcanes, los cuales se presentan sus resultados a continuación.</w:t>
      </w:r>
    </w:p>
    <w:p w14:paraId="180F2699" w14:textId="77777777" w:rsidR="00B20FD7" w:rsidRDefault="00B20FD7" w:rsidP="00C36261">
      <w:pPr>
        <w:rPr>
          <w:b/>
          <w:bCs/>
        </w:rPr>
      </w:pPr>
    </w:p>
    <w:p w14:paraId="29AD4A9D" w14:textId="16BAD1CB" w:rsidR="00C36261" w:rsidRPr="00447AA7" w:rsidRDefault="00C36261" w:rsidP="000E01EC">
      <w:pPr>
        <w:pStyle w:val="Ttulo2"/>
        <w:numPr>
          <w:ilvl w:val="2"/>
          <w:numId w:val="35"/>
        </w:numPr>
        <w:tabs>
          <w:tab w:val="left" w:pos="993"/>
        </w:tabs>
        <w:ind w:left="567" w:hanging="283"/>
        <w:rPr>
          <w:bCs/>
        </w:rPr>
      </w:pPr>
      <w:bookmarkStart w:id="850" w:name="_Toc144114473"/>
      <w:r w:rsidRPr="006E0773">
        <w:rPr>
          <w:bCs/>
        </w:rPr>
        <w:t>Impacto en las finanzas públicas ante una tormenta tropical o huracán</w:t>
      </w:r>
      <w:bookmarkEnd w:id="850"/>
    </w:p>
    <w:p w14:paraId="781444F8" w14:textId="77777777" w:rsidR="00C36261" w:rsidRDefault="00C36261" w:rsidP="00C36261">
      <w:pPr>
        <w:rPr>
          <w:b/>
          <w:bCs/>
        </w:rPr>
      </w:pPr>
    </w:p>
    <w:p w14:paraId="3CA6D96D" w14:textId="77777777" w:rsidR="00C36261" w:rsidRDefault="00C36261" w:rsidP="00C36261">
      <w:pPr>
        <w:jc w:val="both"/>
      </w:pPr>
      <w:r>
        <w:t>Para el escenario de tormentas tropicales o huracanes se consideró los daños ocasionados con respecto al PIB del huracán Julia (0.2%), los huracanes ETA e IOTA (1.0%), la depresión tropical 12E (0.3%), la tormenta tropical Agatha (2.4%), la tormenta Stan (3.5%) y huracán Mitch (4.2%). Por lo que se realizó la simulación con una tormenta que ocasiona daños de 2.3% del PIB en 2024 y de los cuales el 50.0% corresponden al daño al stock de capital y a una expansión de pasivos contingentes del Estado, equivalentes al 55.0% del capital productivo público. La respuesta del Estado se realiza de forma gradual 15.0% en el primer año, 20.0% en el segundo por mayor ejecución de proyectos de reconstrucción, 10.0% en el tercer año y 5.0% en los últimos dos años del escenario.</w:t>
      </w:r>
    </w:p>
    <w:p w14:paraId="67F003D6" w14:textId="77777777" w:rsidR="00C36261" w:rsidRDefault="00C36261" w:rsidP="00C36261">
      <w:pPr>
        <w:jc w:val="both"/>
      </w:pPr>
    </w:p>
    <w:p w14:paraId="7DD00F64" w14:textId="2F99E6EA" w:rsidR="00C36261" w:rsidRDefault="00C36261" w:rsidP="00C36261">
      <w:pPr>
        <w:jc w:val="both"/>
      </w:pPr>
      <w:r>
        <w:t>Los resultados indican que el crecimiento disminuiría 0.4 puntos porcentuales con respecto al escenario base y se ubicaría en 2.1% en 2024, lo que afecta también a los ingresos fiscales y la expansión en el gasto público, por lo que el déficit aumentaría 0.2</w:t>
      </w:r>
      <w:r w:rsidR="00FA7AC8">
        <w:t xml:space="preserve"> puntos porcentuales</w:t>
      </w:r>
      <w:r>
        <w:t xml:space="preserve"> con respecto al escenario base y se encontraría en </w:t>
      </w:r>
      <w:r w:rsidR="003B5749">
        <w:t>1.9</w:t>
      </w:r>
      <w:r>
        <w:t>% y la deuda pública con respecto al PIB se ubicaría en 28.</w:t>
      </w:r>
      <w:r w:rsidR="003B5749">
        <w:t>2</w:t>
      </w:r>
      <w:r>
        <w:t xml:space="preserve">% (afectado también por un menor PIB nominal), en el año del desastre. En el mediano plazo el déficit se situaría en </w:t>
      </w:r>
      <w:r w:rsidR="003B5749">
        <w:t>1.5</w:t>
      </w:r>
      <w:r>
        <w:t xml:space="preserve">% </w:t>
      </w:r>
      <w:r w:rsidR="003B5749">
        <w:t xml:space="preserve">con respecto al PIB </w:t>
      </w:r>
      <w:r>
        <w:t xml:space="preserve">para el 2025 y para 2028 </w:t>
      </w:r>
      <w:r w:rsidR="003B5749">
        <w:t>en</w:t>
      </w:r>
      <w:r>
        <w:t xml:space="preserve"> 1.5%. Con respecto, a la deuda pública </w:t>
      </w:r>
      <w:r w:rsidR="003C60F7">
        <w:t xml:space="preserve">con respecto al PIB </w:t>
      </w:r>
      <w:r>
        <w:t xml:space="preserve">aumentaría a </w:t>
      </w:r>
      <w:r w:rsidR="003B5749">
        <w:t>28.1%</w:t>
      </w:r>
      <w:r>
        <w:t xml:space="preserve"> en 2025 y para 2028 estaría alrededor de </w:t>
      </w:r>
      <w:r w:rsidR="003B5749">
        <w:t>24.5</w:t>
      </w:r>
      <w:r>
        <w:t>%.</w:t>
      </w:r>
    </w:p>
    <w:p w14:paraId="31EB69B0" w14:textId="08CF93C4" w:rsidR="00C36261" w:rsidRDefault="00C36261" w:rsidP="00C36261">
      <w:pPr>
        <w:jc w:val="both"/>
      </w:pPr>
    </w:p>
    <w:p w14:paraId="1E646A19" w14:textId="0D46F4C9" w:rsidR="00A9717E" w:rsidRDefault="00A9717E" w:rsidP="00C36261">
      <w:pPr>
        <w:jc w:val="both"/>
      </w:pPr>
    </w:p>
    <w:p w14:paraId="7629833B" w14:textId="319C61D3" w:rsidR="00A9717E" w:rsidRDefault="00A9717E" w:rsidP="00C36261">
      <w:pPr>
        <w:jc w:val="both"/>
      </w:pPr>
    </w:p>
    <w:p w14:paraId="5761AB00" w14:textId="58EA068D" w:rsidR="00A9717E" w:rsidRDefault="00A9717E" w:rsidP="00C36261">
      <w:pPr>
        <w:jc w:val="both"/>
      </w:pPr>
    </w:p>
    <w:p w14:paraId="250A2A1D" w14:textId="11FE5AAD" w:rsidR="00A9717E" w:rsidRDefault="00A9717E" w:rsidP="00C36261">
      <w:pPr>
        <w:jc w:val="both"/>
      </w:pPr>
    </w:p>
    <w:p w14:paraId="65E964E7" w14:textId="45D0EBC0" w:rsidR="00A9717E" w:rsidRDefault="00A9717E" w:rsidP="00C36261">
      <w:pPr>
        <w:jc w:val="both"/>
      </w:pPr>
    </w:p>
    <w:p w14:paraId="7AF10BEC" w14:textId="79DA930F" w:rsidR="00A9717E" w:rsidRDefault="00A9717E" w:rsidP="00C36261">
      <w:pPr>
        <w:jc w:val="both"/>
      </w:pPr>
    </w:p>
    <w:p w14:paraId="5148A35B" w14:textId="77777777" w:rsidR="00A9717E" w:rsidRPr="00514904" w:rsidRDefault="00A9717E" w:rsidP="00C36261">
      <w:pPr>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2825"/>
        <w:gridCol w:w="2812"/>
      </w:tblGrid>
      <w:tr w:rsidR="00C36261" w:rsidRPr="00E55360" w14:paraId="1E0D230E" w14:textId="77777777" w:rsidTr="00A9717E">
        <w:trPr>
          <w:trHeight w:val="225"/>
          <w:jc w:val="center"/>
        </w:trPr>
        <w:tc>
          <w:tcPr>
            <w:tcW w:w="8315" w:type="dxa"/>
            <w:gridSpan w:val="3"/>
          </w:tcPr>
          <w:p w14:paraId="2F42503E" w14:textId="0668FCEC" w:rsidR="00C36261" w:rsidRPr="00E55360" w:rsidRDefault="00A9717E" w:rsidP="00A9717E">
            <w:pPr>
              <w:pStyle w:val="Descripcin"/>
              <w:rPr>
                <w:b w:val="0"/>
                <w:bCs/>
              </w:rPr>
            </w:pPr>
            <w:bookmarkStart w:id="851" w:name="_Toc143593665"/>
            <w:r w:rsidRPr="00A9717E">
              <w:rPr>
                <w:color w:val="auto"/>
              </w:rPr>
              <w:lastRenderedPageBreak/>
              <w:t xml:space="preserve">Gráfico </w:t>
            </w:r>
            <w:r w:rsidRPr="00A9717E">
              <w:rPr>
                <w:color w:val="auto"/>
              </w:rPr>
              <w:fldChar w:fldCharType="begin"/>
            </w:r>
            <w:r w:rsidRPr="00A9717E">
              <w:rPr>
                <w:color w:val="auto"/>
              </w:rPr>
              <w:instrText xml:space="preserve"> SEQ Gráfico \* ARABIC </w:instrText>
            </w:r>
            <w:r w:rsidRPr="00A9717E">
              <w:rPr>
                <w:color w:val="auto"/>
              </w:rPr>
              <w:fldChar w:fldCharType="separate"/>
            </w:r>
            <w:r w:rsidR="00A62AFA">
              <w:rPr>
                <w:noProof/>
                <w:color w:val="auto"/>
              </w:rPr>
              <w:t>107</w:t>
            </w:r>
            <w:r w:rsidRPr="00A9717E">
              <w:rPr>
                <w:color w:val="auto"/>
              </w:rPr>
              <w:fldChar w:fldCharType="end"/>
            </w:r>
            <w:r w:rsidRPr="00A9717E">
              <w:rPr>
                <w:color w:val="auto"/>
              </w:rPr>
              <w:t>.  Impacto en las finanzas públicas ante una tormenta tropical o huracán en 2024.</w:t>
            </w:r>
            <w:bookmarkEnd w:id="851"/>
          </w:p>
        </w:tc>
      </w:tr>
      <w:tr w:rsidR="00C36261" w:rsidRPr="00E55360" w14:paraId="1E862F80" w14:textId="77777777" w:rsidTr="00A9717E">
        <w:trPr>
          <w:trHeight w:val="225"/>
          <w:jc w:val="center"/>
        </w:trPr>
        <w:tc>
          <w:tcPr>
            <w:tcW w:w="2771" w:type="dxa"/>
          </w:tcPr>
          <w:p w14:paraId="7906A354" w14:textId="77777777" w:rsidR="00C36261" w:rsidRPr="00A9717E" w:rsidRDefault="00C36261" w:rsidP="006A7377">
            <w:pPr>
              <w:jc w:val="center"/>
              <w:rPr>
                <w:b/>
                <w:bCs/>
              </w:rPr>
            </w:pPr>
            <w:r w:rsidRPr="00A9717E">
              <w:rPr>
                <w:b/>
                <w:bCs/>
              </w:rPr>
              <w:t>Producto Interno Bruto</w:t>
            </w:r>
          </w:p>
          <w:p w14:paraId="0EB4C627" w14:textId="77777777" w:rsidR="00C36261" w:rsidRPr="00A9717E" w:rsidRDefault="00C36261" w:rsidP="006A7377">
            <w:pPr>
              <w:jc w:val="center"/>
            </w:pPr>
            <w:r w:rsidRPr="00A9717E">
              <w:rPr>
                <w:sz w:val="22"/>
                <w:szCs w:val="22"/>
              </w:rPr>
              <w:t>(cambio porcentual)</w:t>
            </w:r>
          </w:p>
        </w:tc>
        <w:tc>
          <w:tcPr>
            <w:tcW w:w="2771" w:type="dxa"/>
          </w:tcPr>
          <w:p w14:paraId="48228ABA" w14:textId="77777777" w:rsidR="00C36261" w:rsidRPr="00A9717E" w:rsidRDefault="00C36261" w:rsidP="006A7377">
            <w:pPr>
              <w:jc w:val="center"/>
            </w:pPr>
            <w:r w:rsidRPr="00A9717E">
              <w:rPr>
                <w:b/>
                <w:bCs/>
              </w:rPr>
              <w:t>Resultado Fiscal</w:t>
            </w:r>
            <w:r w:rsidRPr="00A9717E">
              <w:t xml:space="preserve"> </w:t>
            </w:r>
            <w:r w:rsidRPr="00A9717E">
              <w:rPr>
                <w:sz w:val="22"/>
                <w:szCs w:val="22"/>
              </w:rPr>
              <w:t>(Porcentaje del PIB)</w:t>
            </w:r>
          </w:p>
        </w:tc>
        <w:tc>
          <w:tcPr>
            <w:tcW w:w="2773" w:type="dxa"/>
          </w:tcPr>
          <w:p w14:paraId="7030E320" w14:textId="77777777" w:rsidR="00C36261" w:rsidRPr="00A9717E" w:rsidRDefault="00C36261" w:rsidP="006A7377">
            <w:pPr>
              <w:jc w:val="center"/>
            </w:pPr>
            <w:r w:rsidRPr="00A9717E">
              <w:rPr>
                <w:b/>
                <w:bCs/>
              </w:rPr>
              <w:t>Deuda Pública</w:t>
            </w:r>
            <w:r w:rsidRPr="00A9717E">
              <w:t xml:space="preserve"> </w:t>
            </w:r>
            <w:r w:rsidRPr="00A9717E">
              <w:rPr>
                <w:sz w:val="22"/>
                <w:szCs w:val="22"/>
              </w:rPr>
              <w:t>(Porcentaje del PIB)</w:t>
            </w:r>
          </w:p>
        </w:tc>
      </w:tr>
      <w:tr w:rsidR="00C36261" w:rsidRPr="00E55360" w14:paraId="0A876CC8" w14:textId="77777777" w:rsidTr="00A9717E">
        <w:tblPrEx>
          <w:tblCellMar>
            <w:left w:w="70" w:type="dxa"/>
            <w:right w:w="70" w:type="dxa"/>
          </w:tblCellMar>
        </w:tblPrEx>
        <w:trPr>
          <w:trHeight w:val="2367"/>
          <w:jc w:val="center"/>
        </w:trPr>
        <w:tc>
          <w:tcPr>
            <w:tcW w:w="2771" w:type="dxa"/>
          </w:tcPr>
          <w:p w14:paraId="1CD8F222" w14:textId="77777777" w:rsidR="00C36261" w:rsidRPr="00E55360" w:rsidRDefault="00C36261" w:rsidP="006A7377">
            <w:r>
              <w:rPr>
                <w:noProof/>
              </w:rPr>
              <w:drawing>
                <wp:inline distT="0" distB="0" distL="0" distR="0" wp14:anchorId="2C593767" wp14:editId="4399ADE7">
                  <wp:extent cx="1696720" cy="1439187"/>
                  <wp:effectExtent l="0" t="0" r="0" b="8890"/>
                  <wp:docPr id="1889938820" name="Gráfico 1889938820">
                    <a:extLst xmlns:a="http://schemas.openxmlformats.org/drawingml/2006/main">
                      <a:ext uri="{FF2B5EF4-FFF2-40B4-BE49-F238E27FC236}">
                        <a16:creationId xmlns:a16="http://schemas.microsoft.com/office/drawing/2014/main" id="{79CDCA95-8785-42FA-B5EF-5D0C80208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c>
          <w:tcPr>
            <w:tcW w:w="2771" w:type="dxa"/>
          </w:tcPr>
          <w:p w14:paraId="49CDB168" w14:textId="77777777" w:rsidR="00C36261" w:rsidRPr="00E55360" w:rsidRDefault="00C36261" w:rsidP="006A7377">
            <w:r>
              <w:rPr>
                <w:noProof/>
              </w:rPr>
              <w:drawing>
                <wp:inline distT="0" distB="0" distL="0" distR="0" wp14:anchorId="5FD789C7" wp14:editId="5FDF3467">
                  <wp:extent cx="1704975" cy="1438910"/>
                  <wp:effectExtent l="0" t="0" r="0" b="8890"/>
                  <wp:docPr id="1889938821" name="Gráfico 1889938821">
                    <a:extLst xmlns:a="http://schemas.openxmlformats.org/drawingml/2006/main">
                      <a:ext uri="{FF2B5EF4-FFF2-40B4-BE49-F238E27FC236}">
                        <a16:creationId xmlns:a16="http://schemas.microsoft.com/office/drawing/2014/main" id="{CD38443B-666E-446A-B10C-5BE0CE8CC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c>
          <w:tcPr>
            <w:tcW w:w="2773" w:type="dxa"/>
          </w:tcPr>
          <w:p w14:paraId="731BBF51" w14:textId="77777777" w:rsidR="00C36261" w:rsidRPr="00E55360" w:rsidRDefault="00C36261" w:rsidP="006A7377">
            <w:r>
              <w:rPr>
                <w:noProof/>
              </w:rPr>
              <w:drawing>
                <wp:inline distT="0" distB="0" distL="0" distR="0" wp14:anchorId="6709B08E" wp14:editId="5E0D3C9D">
                  <wp:extent cx="1696720" cy="1486894"/>
                  <wp:effectExtent l="0" t="0" r="0" b="0"/>
                  <wp:docPr id="1889938823" name="Gráfico 1889938823">
                    <a:extLst xmlns:a="http://schemas.openxmlformats.org/drawingml/2006/main">
                      <a:ext uri="{FF2B5EF4-FFF2-40B4-BE49-F238E27FC236}">
                        <a16:creationId xmlns:a16="http://schemas.microsoft.com/office/drawing/2014/main" id="{0B6BFB5D-32AC-44FD-8F7E-DDA6BF512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r>
      <w:tr w:rsidR="00C36261" w:rsidRPr="00E55360" w14:paraId="22E229C0" w14:textId="77777777" w:rsidTr="00A9717E">
        <w:trPr>
          <w:trHeight w:val="225"/>
          <w:jc w:val="center"/>
        </w:trPr>
        <w:tc>
          <w:tcPr>
            <w:tcW w:w="8315" w:type="dxa"/>
            <w:gridSpan w:val="3"/>
          </w:tcPr>
          <w:p w14:paraId="0864ECEE" w14:textId="77777777" w:rsidR="00C36261" w:rsidRPr="00E55360" w:rsidRDefault="00C36261" w:rsidP="006A7377">
            <w:r w:rsidRPr="00A9717E">
              <w:rPr>
                <w:sz w:val="16"/>
                <w:szCs w:val="16"/>
              </w:rPr>
              <w:t>Fuente: Ministerio de Finanzas</w:t>
            </w:r>
          </w:p>
        </w:tc>
      </w:tr>
    </w:tbl>
    <w:p w14:paraId="59686292" w14:textId="77777777" w:rsidR="00C36261" w:rsidRDefault="00C36261" w:rsidP="00C36261">
      <w:pPr>
        <w:rPr>
          <w:b/>
          <w:bCs/>
        </w:rPr>
      </w:pPr>
    </w:p>
    <w:p w14:paraId="149A613F" w14:textId="77777777" w:rsidR="00C36261" w:rsidRPr="00447AA7" w:rsidRDefault="00C36261" w:rsidP="000E01EC">
      <w:pPr>
        <w:pStyle w:val="Ttulo2"/>
        <w:numPr>
          <w:ilvl w:val="2"/>
          <w:numId w:val="35"/>
        </w:numPr>
        <w:tabs>
          <w:tab w:val="left" w:pos="993"/>
        </w:tabs>
        <w:ind w:left="567" w:hanging="283"/>
        <w:rPr>
          <w:bCs/>
        </w:rPr>
      </w:pPr>
      <w:bookmarkStart w:id="852" w:name="_Toc144114474"/>
      <w:r w:rsidRPr="006E0773">
        <w:rPr>
          <w:bCs/>
        </w:rPr>
        <w:t xml:space="preserve">Impacto en las finanzas públicas ante </w:t>
      </w:r>
      <w:r>
        <w:rPr>
          <w:bCs/>
        </w:rPr>
        <w:t>un terremoto</w:t>
      </w:r>
      <w:bookmarkEnd w:id="852"/>
    </w:p>
    <w:p w14:paraId="01915813" w14:textId="77777777" w:rsidR="00C36261" w:rsidRDefault="00C36261" w:rsidP="00C36261">
      <w:pPr>
        <w:rPr>
          <w:b/>
          <w:bCs/>
        </w:rPr>
      </w:pPr>
    </w:p>
    <w:p w14:paraId="3FEC8E7E" w14:textId="77777777" w:rsidR="00C36261" w:rsidRDefault="00C36261" w:rsidP="00C36261">
      <w:pPr>
        <w:jc w:val="both"/>
      </w:pPr>
      <w:r>
        <w:t>Para el caso de los terremotos se consideraron los daños ejercidos por el terremoto de 1976 y el terremoto de San Marcos, los cuales en promedio tuvieron daño con respecto el PIB del 9.3%, por lo que este será el valor considerado para el choque del desastre natural en 2024. El escenario del daño al stock de capital se considera también en 50.0% de los daños totales y según lo observado por la CEPAL del terremoto del 1976 se supone que los daños del capital productivo público serán del 55.0% del total (los daños dependerán de la magnitud del terremoto y la capacidad productiva cercanas al epicentro) y la respuesta del Estado se realiza de 20.0% en el primer y segundo año y de 5.0% en los últimos tres años.</w:t>
      </w:r>
    </w:p>
    <w:p w14:paraId="71235D73" w14:textId="77777777" w:rsidR="00C36261" w:rsidRDefault="00C36261" w:rsidP="00C36261">
      <w:pPr>
        <w:jc w:val="both"/>
      </w:pPr>
    </w:p>
    <w:p w14:paraId="74C4FCBC" w14:textId="04396B85" w:rsidR="00C36261" w:rsidRDefault="00C36261" w:rsidP="00C36261">
      <w:pPr>
        <w:jc w:val="both"/>
      </w:pPr>
      <w:r>
        <w:t xml:space="preserve">Los resultados indican que el crecimiento disminuiría 1.8 puntos porcentuales con respecto al escenario base y se ubicaría en 0.7% en 2024, lo que afecta también a los ingresos fiscales y con la expansión el gasto público, por lo que el déficit aumentaría </w:t>
      </w:r>
      <w:r w:rsidR="005B7FDB">
        <w:t>1.1 puntos porcentuales</w:t>
      </w:r>
      <w:r>
        <w:t xml:space="preserve"> con respecto al escenario base y se encontraría en </w:t>
      </w:r>
      <w:r w:rsidR="005B7FDB">
        <w:t>2.8</w:t>
      </w:r>
      <w:r>
        <w:t>%</w:t>
      </w:r>
      <w:r w:rsidR="005B7FDB">
        <w:t xml:space="preserve"> con respecto al PIB</w:t>
      </w:r>
      <w:r>
        <w:t>, y la deuda pública con respecto al PIB se ubicaría</w:t>
      </w:r>
      <w:r w:rsidR="000A2800">
        <w:t xml:space="preserve"> </w:t>
      </w:r>
      <w:r>
        <w:t xml:space="preserve">en </w:t>
      </w:r>
      <w:r w:rsidR="005B7FDB">
        <w:t>29.6</w:t>
      </w:r>
      <w:r>
        <w:t xml:space="preserve">% (afectado también por un menor PIB nominal), en el año del desastre. En el mediano plazo el déficit se situaría en </w:t>
      </w:r>
      <w:r w:rsidR="005B7FDB">
        <w:t>2.3</w:t>
      </w:r>
      <w:r>
        <w:t xml:space="preserve">% para el 2025 y para </w:t>
      </w:r>
      <w:r w:rsidR="005B7FDB">
        <w:t xml:space="preserve">0.2% para </w:t>
      </w:r>
      <w:r>
        <w:t>2028. Con respecto, a la deuda pública aumentaría a 30.</w:t>
      </w:r>
      <w:r w:rsidR="005B7FDB">
        <w:t>3</w:t>
      </w:r>
      <w:r>
        <w:t xml:space="preserve">% en </w:t>
      </w:r>
      <w:r w:rsidR="005B7FDB">
        <w:t>2025</w:t>
      </w:r>
      <w:r>
        <w:t xml:space="preserve"> y para 2028 estaría alrededor de </w:t>
      </w:r>
      <w:r w:rsidR="005B7FDB">
        <w:t>27.2</w:t>
      </w:r>
      <w:r>
        <w:t>%.</w:t>
      </w:r>
    </w:p>
    <w:p w14:paraId="2BBE8F4F" w14:textId="77777777" w:rsidR="000A2800" w:rsidRDefault="000A2800" w:rsidP="00C36261">
      <w:pPr>
        <w:jc w:val="both"/>
        <w:rPr>
          <w:b/>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2785"/>
        <w:gridCol w:w="2788"/>
      </w:tblGrid>
      <w:tr w:rsidR="00C36261" w:rsidRPr="00E55360" w14:paraId="6C4A3FF5" w14:textId="77777777" w:rsidTr="00A9717E">
        <w:trPr>
          <w:trHeight w:val="206"/>
          <w:jc w:val="center"/>
        </w:trPr>
        <w:tc>
          <w:tcPr>
            <w:tcW w:w="8358" w:type="dxa"/>
            <w:gridSpan w:val="3"/>
          </w:tcPr>
          <w:p w14:paraId="353924EC" w14:textId="738DA69A" w:rsidR="00C36261" w:rsidRPr="00E55360" w:rsidRDefault="00A9717E" w:rsidP="00A9717E">
            <w:pPr>
              <w:pStyle w:val="Descripcin"/>
              <w:rPr>
                <w:b w:val="0"/>
                <w:bCs/>
              </w:rPr>
            </w:pPr>
            <w:bookmarkStart w:id="853" w:name="_Toc143593666"/>
            <w:r w:rsidRPr="00A9717E">
              <w:rPr>
                <w:color w:val="auto"/>
              </w:rPr>
              <w:t xml:space="preserve">Gráfico </w:t>
            </w:r>
            <w:r w:rsidRPr="00A9717E">
              <w:rPr>
                <w:color w:val="auto"/>
              </w:rPr>
              <w:fldChar w:fldCharType="begin"/>
            </w:r>
            <w:r w:rsidRPr="00A9717E">
              <w:rPr>
                <w:color w:val="auto"/>
              </w:rPr>
              <w:instrText xml:space="preserve"> SEQ Gráfico \* ARABIC </w:instrText>
            </w:r>
            <w:r w:rsidRPr="00A9717E">
              <w:rPr>
                <w:color w:val="auto"/>
              </w:rPr>
              <w:fldChar w:fldCharType="separate"/>
            </w:r>
            <w:r w:rsidR="00A62AFA">
              <w:rPr>
                <w:noProof/>
                <w:color w:val="auto"/>
              </w:rPr>
              <w:t>108</w:t>
            </w:r>
            <w:r w:rsidRPr="00A9717E">
              <w:rPr>
                <w:color w:val="auto"/>
              </w:rPr>
              <w:fldChar w:fldCharType="end"/>
            </w:r>
            <w:r w:rsidRPr="00A9717E">
              <w:rPr>
                <w:color w:val="auto"/>
              </w:rPr>
              <w:t>.  Impacto en las finanzas públicas ante terremoto en 2024.</w:t>
            </w:r>
            <w:bookmarkEnd w:id="853"/>
          </w:p>
        </w:tc>
      </w:tr>
      <w:tr w:rsidR="00C36261" w:rsidRPr="00E55360" w14:paraId="7A3617B0" w14:textId="77777777" w:rsidTr="00037E1D">
        <w:trPr>
          <w:trHeight w:val="206"/>
          <w:jc w:val="center"/>
        </w:trPr>
        <w:tc>
          <w:tcPr>
            <w:tcW w:w="2785" w:type="dxa"/>
          </w:tcPr>
          <w:p w14:paraId="77848C1E" w14:textId="77777777" w:rsidR="00C36261" w:rsidRPr="00E55360" w:rsidRDefault="00C36261" w:rsidP="006A7377">
            <w:pPr>
              <w:jc w:val="center"/>
              <w:rPr>
                <w:b/>
                <w:bCs/>
              </w:rPr>
            </w:pPr>
            <w:r w:rsidRPr="00E55360">
              <w:rPr>
                <w:b/>
                <w:bCs/>
              </w:rPr>
              <w:t>Producto Interno Bruto</w:t>
            </w:r>
          </w:p>
          <w:p w14:paraId="33004D51" w14:textId="77777777" w:rsidR="00C36261" w:rsidRPr="00A9717E" w:rsidRDefault="00C36261" w:rsidP="006A7377">
            <w:pPr>
              <w:jc w:val="center"/>
            </w:pPr>
            <w:r w:rsidRPr="00A9717E">
              <w:rPr>
                <w:sz w:val="22"/>
                <w:szCs w:val="22"/>
              </w:rPr>
              <w:t>(cambio porcentual)</w:t>
            </w:r>
          </w:p>
        </w:tc>
        <w:tc>
          <w:tcPr>
            <w:tcW w:w="2785" w:type="dxa"/>
          </w:tcPr>
          <w:p w14:paraId="2DA2DDFD" w14:textId="77777777" w:rsidR="00C36261" w:rsidRPr="00E55360" w:rsidRDefault="00C36261" w:rsidP="006A7377">
            <w:pPr>
              <w:jc w:val="center"/>
              <w:rPr>
                <w:b/>
                <w:bCs/>
              </w:rPr>
            </w:pPr>
            <w:r w:rsidRPr="00E55360">
              <w:rPr>
                <w:b/>
                <w:bCs/>
              </w:rPr>
              <w:t xml:space="preserve">Resultado Fiscal </w:t>
            </w:r>
            <w:r w:rsidRPr="00A9717E">
              <w:rPr>
                <w:sz w:val="22"/>
                <w:szCs w:val="22"/>
              </w:rPr>
              <w:t>(Porcentaje del PIB)</w:t>
            </w:r>
          </w:p>
        </w:tc>
        <w:tc>
          <w:tcPr>
            <w:tcW w:w="2788" w:type="dxa"/>
          </w:tcPr>
          <w:p w14:paraId="5C2B0A46" w14:textId="77777777" w:rsidR="00C36261" w:rsidRPr="00E55360" w:rsidRDefault="00C36261" w:rsidP="006A7377">
            <w:pPr>
              <w:jc w:val="center"/>
              <w:rPr>
                <w:b/>
                <w:bCs/>
              </w:rPr>
            </w:pPr>
            <w:r w:rsidRPr="00E55360">
              <w:rPr>
                <w:b/>
                <w:bCs/>
              </w:rPr>
              <w:t xml:space="preserve">Deuda Pública </w:t>
            </w:r>
            <w:r w:rsidRPr="00A9717E">
              <w:rPr>
                <w:b/>
                <w:bCs/>
                <w:sz w:val="22"/>
                <w:szCs w:val="22"/>
              </w:rPr>
              <w:t>(Porcentaje del PIB)</w:t>
            </w:r>
          </w:p>
        </w:tc>
      </w:tr>
      <w:tr w:rsidR="00C36261" w:rsidRPr="00E55360" w14:paraId="63E522D7" w14:textId="77777777" w:rsidTr="00037E1D">
        <w:tblPrEx>
          <w:tblCellMar>
            <w:left w:w="70" w:type="dxa"/>
            <w:right w:w="70" w:type="dxa"/>
          </w:tblCellMar>
        </w:tblPrEx>
        <w:trPr>
          <w:trHeight w:val="2174"/>
          <w:jc w:val="center"/>
        </w:trPr>
        <w:tc>
          <w:tcPr>
            <w:tcW w:w="2785" w:type="dxa"/>
          </w:tcPr>
          <w:p w14:paraId="0837A93C" w14:textId="77777777" w:rsidR="00C36261" w:rsidRPr="00E55360" w:rsidRDefault="00C36261" w:rsidP="006A7377">
            <w:r>
              <w:rPr>
                <w:noProof/>
              </w:rPr>
              <w:drawing>
                <wp:inline distT="0" distB="0" distL="0" distR="0" wp14:anchorId="6880AB66" wp14:editId="307365CA">
                  <wp:extent cx="1619885" cy="1581785"/>
                  <wp:effectExtent l="0" t="0" r="0" b="0"/>
                  <wp:docPr id="1889938824" name="Gráfico 1889938824">
                    <a:extLst xmlns:a="http://schemas.openxmlformats.org/drawingml/2006/main">
                      <a:ext uri="{FF2B5EF4-FFF2-40B4-BE49-F238E27FC236}">
                        <a16:creationId xmlns:a16="http://schemas.microsoft.com/office/drawing/2014/main" id="{79CDCA95-8785-42FA-B5EF-5D0C80208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c>
          <w:tcPr>
            <w:tcW w:w="2785" w:type="dxa"/>
          </w:tcPr>
          <w:p w14:paraId="5A6424A8" w14:textId="77777777" w:rsidR="00C36261" w:rsidRPr="00E55360" w:rsidRDefault="00C36261" w:rsidP="006A7377">
            <w:r>
              <w:rPr>
                <w:noProof/>
              </w:rPr>
              <w:drawing>
                <wp:inline distT="0" distB="0" distL="0" distR="0" wp14:anchorId="47BD7A8B" wp14:editId="0E0C684C">
                  <wp:extent cx="1619885" cy="1581785"/>
                  <wp:effectExtent l="0" t="0" r="0" b="0"/>
                  <wp:docPr id="1889938825" name="Gráfico 1889938825">
                    <a:extLst xmlns:a="http://schemas.openxmlformats.org/drawingml/2006/main">
                      <a:ext uri="{FF2B5EF4-FFF2-40B4-BE49-F238E27FC236}">
                        <a16:creationId xmlns:a16="http://schemas.microsoft.com/office/drawing/2014/main" id="{CD38443B-666E-446A-B10C-5BE0CE8CC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c>
          <w:tcPr>
            <w:tcW w:w="2788" w:type="dxa"/>
          </w:tcPr>
          <w:p w14:paraId="4EDF3445" w14:textId="77777777" w:rsidR="00C36261" w:rsidRPr="00E55360" w:rsidRDefault="00C36261" w:rsidP="006A7377">
            <w:r>
              <w:rPr>
                <w:noProof/>
              </w:rPr>
              <w:drawing>
                <wp:inline distT="0" distB="0" distL="0" distR="0" wp14:anchorId="355C59C2" wp14:editId="235E7CE2">
                  <wp:extent cx="1619885" cy="1581785"/>
                  <wp:effectExtent l="0" t="0" r="0" b="0"/>
                  <wp:docPr id="1889938826" name="Gráfico 1889938826">
                    <a:extLst xmlns:a="http://schemas.openxmlformats.org/drawingml/2006/main">
                      <a:ext uri="{FF2B5EF4-FFF2-40B4-BE49-F238E27FC236}">
                        <a16:creationId xmlns:a16="http://schemas.microsoft.com/office/drawing/2014/main" id="{0B6BFB5D-32AC-44FD-8F7E-DDA6BF512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r>
      <w:tr w:rsidR="00C36261" w:rsidRPr="00E55360" w14:paraId="25622EB2" w14:textId="77777777" w:rsidTr="00A9717E">
        <w:trPr>
          <w:trHeight w:val="206"/>
          <w:jc w:val="center"/>
        </w:trPr>
        <w:tc>
          <w:tcPr>
            <w:tcW w:w="8358" w:type="dxa"/>
            <w:gridSpan w:val="3"/>
          </w:tcPr>
          <w:p w14:paraId="687681E5" w14:textId="77777777" w:rsidR="00C36261" w:rsidRPr="00E55360" w:rsidRDefault="00C36261" w:rsidP="006A7377">
            <w:r w:rsidRPr="00A9717E">
              <w:rPr>
                <w:sz w:val="16"/>
                <w:szCs w:val="16"/>
              </w:rPr>
              <w:t>Fuente: Ministerio de Finanzas</w:t>
            </w:r>
          </w:p>
        </w:tc>
      </w:tr>
    </w:tbl>
    <w:p w14:paraId="7BA032BC" w14:textId="77777777" w:rsidR="00C36261" w:rsidRPr="00447AA7" w:rsidRDefault="00C36261" w:rsidP="000E01EC">
      <w:pPr>
        <w:pStyle w:val="Ttulo2"/>
        <w:numPr>
          <w:ilvl w:val="2"/>
          <w:numId w:val="35"/>
        </w:numPr>
        <w:tabs>
          <w:tab w:val="left" w:pos="993"/>
        </w:tabs>
        <w:ind w:left="567" w:hanging="283"/>
        <w:rPr>
          <w:bCs/>
        </w:rPr>
      </w:pPr>
      <w:bookmarkStart w:id="854" w:name="_Toc144114475"/>
      <w:r w:rsidRPr="006E0773">
        <w:rPr>
          <w:bCs/>
        </w:rPr>
        <w:lastRenderedPageBreak/>
        <w:t xml:space="preserve">Impacto en las finanzas públicas ante </w:t>
      </w:r>
      <w:r>
        <w:rPr>
          <w:bCs/>
        </w:rPr>
        <w:t>un desastre ocasionado por un volcán</w:t>
      </w:r>
      <w:bookmarkEnd w:id="854"/>
    </w:p>
    <w:p w14:paraId="4BC74C62" w14:textId="77777777" w:rsidR="00C36261" w:rsidRPr="005105AC" w:rsidRDefault="00C36261" w:rsidP="00872FC6">
      <w:pPr>
        <w:jc w:val="both"/>
        <w:rPr>
          <w:b/>
          <w:bCs/>
          <w:sz w:val="20"/>
          <w:szCs w:val="20"/>
        </w:rPr>
      </w:pPr>
    </w:p>
    <w:p w14:paraId="37CA2FA2" w14:textId="77777777" w:rsidR="00C36261" w:rsidRDefault="00C36261" w:rsidP="00872FC6">
      <w:pPr>
        <w:jc w:val="both"/>
      </w:pPr>
      <w:r>
        <w:t>En el escenario de un choque de desastre natural ocasionado por un volcán se tomó como base lo sucedido por el volcán de Fuego en 2018 de lo que se cuantificó que los daños ocasionados fueron del 0.3% del PIB. El escenario del daño al stock de capital se considera del 50.0% del total y que los daños del capital productivo público serán del 50.0% del total. La respuesta del Estado se realiza de forma gradual 15.0% en el primer año, 20.0% en el segundo por mayor ejecución de proyectos de reconstrucción, y 5.0% los últimos 3 años.</w:t>
      </w:r>
    </w:p>
    <w:p w14:paraId="62922022" w14:textId="77777777" w:rsidR="00C36261" w:rsidRPr="005105AC" w:rsidRDefault="00C36261" w:rsidP="00872FC6">
      <w:pPr>
        <w:jc w:val="both"/>
        <w:rPr>
          <w:sz w:val="20"/>
          <w:szCs w:val="20"/>
        </w:rPr>
      </w:pPr>
    </w:p>
    <w:p w14:paraId="1AE7A0BB" w14:textId="2C384EB8" w:rsidR="00C36261" w:rsidRDefault="00C36261" w:rsidP="00872FC6">
      <w:pPr>
        <w:jc w:val="both"/>
      </w:pPr>
      <w:r>
        <w:t xml:space="preserve"> Los resultados indican que el crecimiento disminuiría 0.1 puntos porcentuales con respecto al escenario base y se ubicaría en </w:t>
      </w:r>
      <w:r w:rsidR="005B7FDB">
        <w:t>1.8</w:t>
      </w:r>
      <w:r>
        <w:t>% en 2024, dado que la ejecución del gobierno no es muy alta en relación al PIB, los déficits fiscales se encontrarían muy cercanos a los del escenario base y la deuda pública se encontraría 0.1 puntos porcentuales mayor en el 20</w:t>
      </w:r>
      <w:r w:rsidR="005B7FDB">
        <w:t>2</w:t>
      </w:r>
      <w:r>
        <w:t>8 (2</w:t>
      </w:r>
      <w:r w:rsidR="005B7FDB">
        <w:t>3</w:t>
      </w:r>
      <w:r>
        <w:t>.</w:t>
      </w:r>
      <w:r w:rsidR="005B7FDB">
        <w:t>8%</w:t>
      </w:r>
      <w:r>
        <w:t>). Es importante indicar que los daños de este tipo de desastres dependerán del volcán y la capacidad productiva cercana.</w:t>
      </w:r>
    </w:p>
    <w:p w14:paraId="67F3B0C9" w14:textId="77777777" w:rsidR="00572651" w:rsidRPr="005105AC" w:rsidRDefault="00572651" w:rsidP="00C36261">
      <w:pPr>
        <w:jc w:val="both"/>
        <w:rPr>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2839"/>
        <w:gridCol w:w="2845"/>
      </w:tblGrid>
      <w:tr w:rsidR="00C36261" w:rsidRPr="00E55360" w14:paraId="3866BCFF" w14:textId="77777777" w:rsidTr="005105AC">
        <w:trPr>
          <w:trHeight w:val="198"/>
          <w:jc w:val="center"/>
        </w:trPr>
        <w:tc>
          <w:tcPr>
            <w:tcW w:w="8523" w:type="dxa"/>
            <w:gridSpan w:val="3"/>
          </w:tcPr>
          <w:p w14:paraId="00E6FC39" w14:textId="0347291A" w:rsidR="00C36261" w:rsidRPr="00E55360" w:rsidRDefault="00A9717E" w:rsidP="00A9717E">
            <w:pPr>
              <w:pStyle w:val="Descripcin"/>
              <w:rPr>
                <w:b w:val="0"/>
                <w:bCs/>
              </w:rPr>
            </w:pPr>
            <w:bookmarkStart w:id="855" w:name="_Toc143593667"/>
            <w:r w:rsidRPr="00A9717E">
              <w:rPr>
                <w:color w:val="auto"/>
              </w:rPr>
              <w:t xml:space="preserve">Gráfico </w:t>
            </w:r>
            <w:r w:rsidRPr="00A9717E">
              <w:rPr>
                <w:color w:val="auto"/>
              </w:rPr>
              <w:fldChar w:fldCharType="begin"/>
            </w:r>
            <w:r w:rsidRPr="00A9717E">
              <w:rPr>
                <w:color w:val="auto"/>
              </w:rPr>
              <w:instrText xml:space="preserve"> SEQ Gráfico \* ARABIC </w:instrText>
            </w:r>
            <w:r w:rsidRPr="00A9717E">
              <w:rPr>
                <w:color w:val="auto"/>
              </w:rPr>
              <w:fldChar w:fldCharType="separate"/>
            </w:r>
            <w:r w:rsidR="00A62AFA">
              <w:rPr>
                <w:noProof/>
                <w:color w:val="auto"/>
              </w:rPr>
              <w:t>109</w:t>
            </w:r>
            <w:r w:rsidRPr="00A9717E">
              <w:rPr>
                <w:color w:val="auto"/>
              </w:rPr>
              <w:fldChar w:fldCharType="end"/>
            </w:r>
            <w:r w:rsidRPr="00A9717E">
              <w:rPr>
                <w:color w:val="auto"/>
              </w:rPr>
              <w:t xml:space="preserve">.  Impacto en las finanzas públicas ante </w:t>
            </w:r>
            <w:r w:rsidR="005C56A0">
              <w:rPr>
                <w:color w:val="auto"/>
              </w:rPr>
              <w:t>un desastre natural ocasionado por un volcán</w:t>
            </w:r>
            <w:r w:rsidRPr="00A9717E">
              <w:rPr>
                <w:color w:val="auto"/>
              </w:rPr>
              <w:t>.</w:t>
            </w:r>
            <w:bookmarkEnd w:id="855"/>
          </w:p>
        </w:tc>
      </w:tr>
      <w:tr w:rsidR="00C36261" w:rsidRPr="00E55360" w14:paraId="1E4275E1" w14:textId="77777777" w:rsidTr="005105AC">
        <w:trPr>
          <w:trHeight w:val="198"/>
          <w:jc w:val="center"/>
        </w:trPr>
        <w:tc>
          <w:tcPr>
            <w:tcW w:w="2839" w:type="dxa"/>
          </w:tcPr>
          <w:p w14:paraId="586D5582" w14:textId="77777777" w:rsidR="00C36261" w:rsidRPr="001B0754" w:rsidRDefault="00C36261" w:rsidP="006A7377">
            <w:pPr>
              <w:jc w:val="center"/>
              <w:rPr>
                <w:b/>
                <w:bCs/>
                <w:sz w:val="20"/>
                <w:szCs w:val="20"/>
              </w:rPr>
            </w:pPr>
            <w:r w:rsidRPr="001B0754">
              <w:rPr>
                <w:b/>
                <w:bCs/>
                <w:sz w:val="20"/>
                <w:szCs w:val="20"/>
              </w:rPr>
              <w:t>Producto Interno Bruto</w:t>
            </w:r>
          </w:p>
          <w:p w14:paraId="75763D7B" w14:textId="77777777" w:rsidR="00C36261" w:rsidRPr="001B0754" w:rsidRDefault="00C36261" w:rsidP="006A7377">
            <w:pPr>
              <w:jc w:val="center"/>
              <w:rPr>
                <w:sz w:val="20"/>
                <w:szCs w:val="20"/>
              </w:rPr>
            </w:pPr>
            <w:r w:rsidRPr="001B0754">
              <w:rPr>
                <w:sz w:val="20"/>
                <w:szCs w:val="20"/>
              </w:rPr>
              <w:t>(cambio porcentual)</w:t>
            </w:r>
          </w:p>
        </w:tc>
        <w:tc>
          <w:tcPr>
            <w:tcW w:w="2839" w:type="dxa"/>
          </w:tcPr>
          <w:p w14:paraId="54218F0B" w14:textId="77777777" w:rsidR="00C36261" w:rsidRPr="001B0754" w:rsidRDefault="00C36261" w:rsidP="006A7377">
            <w:pPr>
              <w:jc w:val="center"/>
              <w:rPr>
                <w:b/>
                <w:bCs/>
                <w:sz w:val="20"/>
                <w:szCs w:val="20"/>
              </w:rPr>
            </w:pPr>
            <w:r w:rsidRPr="001B0754">
              <w:rPr>
                <w:b/>
                <w:bCs/>
                <w:sz w:val="20"/>
                <w:szCs w:val="20"/>
              </w:rPr>
              <w:t xml:space="preserve">Resultado Fiscal </w:t>
            </w:r>
            <w:r w:rsidRPr="001B0754">
              <w:rPr>
                <w:sz w:val="20"/>
                <w:szCs w:val="20"/>
              </w:rPr>
              <w:t>(Porcentaje del PIB)</w:t>
            </w:r>
          </w:p>
        </w:tc>
        <w:tc>
          <w:tcPr>
            <w:tcW w:w="2844" w:type="dxa"/>
          </w:tcPr>
          <w:p w14:paraId="26798079" w14:textId="77777777" w:rsidR="00C36261" w:rsidRPr="001B0754" w:rsidRDefault="00C36261" w:rsidP="006A7377">
            <w:pPr>
              <w:jc w:val="center"/>
              <w:rPr>
                <w:b/>
                <w:bCs/>
                <w:sz w:val="20"/>
                <w:szCs w:val="20"/>
              </w:rPr>
            </w:pPr>
            <w:r w:rsidRPr="001B0754">
              <w:rPr>
                <w:b/>
                <w:bCs/>
                <w:sz w:val="20"/>
                <w:szCs w:val="20"/>
              </w:rPr>
              <w:t xml:space="preserve">Deuda Pública </w:t>
            </w:r>
            <w:r w:rsidRPr="001B0754">
              <w:rPr>
                <w:sz w:val="20"/>
                <w:szCs w:val="20"/>
              </w:rPr>
              <w:t>(Porcentaje del PIB)</w:t>
            </w:r>
          </w:p>
        </w:tc>
      </w:tr>
      <w:tr w:rsidR="00C36261" w:rsidRPr="00E55360" w14:paraId="084DBDEA" w14:textId="77777777" w:rsidTr="005105AC">
        <w:tblPrEx>
          <w:tblCellMar>
            <w:left w:w="70" w:type="dxa"/>
            <w:right w:w="70" w:type="dxa"/>
          </w:tblCellMar>
        </w:tblPrEx>
        <w:trPr>
          <w:trHeight w:val="2091"/>
          <w:jc w:val="center"/>
        </w:trPr>
        <w:tc>
          <w:tcPr>
            <w:tcW w:w="2839" w:type="dxa"/>
          </w:tcPr>
          <w:p w14:paraId="76B0FCFF" w14:textId="77777777" w:rsidR="00C36261" w:rsidRPr="00E55360" w:rsidRDefault="00C36261" w:rsidP="006A7377">
            <w:r>
              <w:rPr>
                <w:noProof/>
              </w:rPr>
              <w:drawing>
                <wp:inline distT="0" distB="0" distL="0" distR="0" wp14:anchorId="294B37DD" wp14:editId="4503CEB5">
                  <wp:extent cx="1618615" cy="1463040"/>
                  <wp:effectExtent l="0" t="0" r="635" b="3810"/>
                  <wp:docPr id="1889938827" name="Gráfico 1889938827">
                    <a:extLst xmlns:a="http://schemas.openxmlformats.org/drawingml/2006/main">
                      <a:ext uri="{FF2B5EF4-FFF2-40B4-BE49-F238E27FC236}">
                        <a16:creationId xmlns:a16="http://schemas.microsoft.com/office/drawing/2014/main" id="{79CDCA95-8785-42FA-B5EF-5D0C80208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c>
          <w:tcPr>
            <w:tcW w:w="2839" w:type="dxa"/>
          </w:tcPr>
          <w:p w14:paraId="7EE6AEAE" w14:textId="77777777" w:rsidR="00C36261" w:rsidRPr="00E55360" w:rsidRDefault="00C36261" w:rsidP="006A7377">
            <w:r>
              <w:rPr>
                <w:noProof/>
              </w:rPr>
              <w:drawing>
                <wp:inline distT="0" distB="0" distL="0" distR="0" wp14:anchorId="46894EF9" wp14:editId="2B9F2E99">
                  <wp:extent cx="1621790" cy="1463040"/>
                  <wp:effectExtent l="0" t="0" r="0" b="3810"/>
                  <wp:docPr id="1889938828" name="Gráfico 1889938828">
                    <a:extLst xmlns:a="http://schemas.openxmlformats.org/drawingml/2006/main">
                      <a:ext uri="{FF2B5EF4-FFF2-40B4-BE49-F238E27FC236}">
                        <a16:creationId xmlns:a16="http://schemas.microsoft.com/office/drawing/2014/main" id="{CD38443B-666E-446A-B10C-5BE0CE8CC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c>
          <w:tcPr>
            <w:tcW w:w="2844" w:type="dxa"/>
          </w:tcPr>
          <w:p w14:paraId="72C846B7" w14:textId="77777777" w:rsidR="00C36261" w:rsidRPr="00E55360" w:rsidRDefault="00C36261" w:rsidP="006A7377">
            <w:r>
              <w:rPr>
                <w:noProof/>
              </w:rPr>
              <w:drawing>
                <wp:inline distT="0" distB="0" distL="0" distR="0" wp14:anchorId="6375984F" wp14:editId="33D572FA">
                  <wp:extent cx="1621790" cy="1526651"/>
                  <wp:effectExtent l="0" t="0" r="0" b="0"/>
                  <wp:docPr id="1889938829" name="Gráfico 1889938829">
                    <a:extLst xmlns:a="http://schemas.openxmlformats.org/drawingml/2006/main">
                      <a:ext uri="{FF2B5EF4-FFF2-40B4-BE49-F238E27FC236}">
                        <a16:creationId xmlns:a16="http://schemas.microsoft.com/office/drawing/2014/main" id="{0B6BFB5D-32AC-44FD-8F7E-DDA6BF512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r>
      <w:tr w:rsidR="00C36261" w:rsidRPr="00E55360" w14:paraId="7F5D7D21" w14:textId="77777777" w:rsidTr="005105AC">
        <w:trPr>
          <w:trHeight w:val="53"/>
          <w:jc w:val="center"/>
        </w:trPr>
        <w:tc>
          <w:tcPr>
            <w:tcW w:w="8523" w:type="dxa"/>
            <w:gridSpan w:val="3"/>
          </w:tcPr>
          <w:p w14:paraId="297B6EFC" w14:textId="77777777" w:rsidR="00C36261" w:rsidRPr="00E55360" w:rsidRDefault="00C36261" w:rsidP="006A7377">
            <w:r w:rsidRPr="00A9717E">
              <w:rPr>
                <w:sz w:val="16"/>
                <w:szCs w:val="16"/>
              </w:rPr>
              <w:t>Fuente: Ministerio de Finanzas</w:t>
            </w:r>
          </w:p>
        </w:tc>
      </w:tr>
    </w:tbl>
    <w:p w14:paraId="4096550C" w14:textId="77777777" w:rsidR="00C36261" w:rsidRPr="005105AC" w:rsidRDefault="00C36261" w:rsidP="00C36261">
      <w:pPr>
        <w:rPr>
          <w:b/>
          <w:bCs/>
          <w:sz w:val="20"/>
          <w:szCs w:val="20"/>
        </w:rPr>
      </w:pPr>
    </w:p>
    <w:p w14:paraId="62498327" w14:textId="0AED256F" w:rsidR="00C36261" w:rsidRPr="00500861" w:rsidRDefault="00C36261" w:rsidP="00872FC6">
      <w:pPr>
        <w:jc w:val="both"/>
        <w:rPr>
          <w:b/>
          <w:bCs/>
        </w:rPr>
      </w:pPr>
      <w:bookmarkStart w:id="856" w:name="_Toc110522974"/>
      <w:r w:rsidRPr="00231157">
        <w:rPr>
          <w:bCs/>
        </w:rPr>
        <w:t>A continuación, se presenta un resumen del impacto económico y fiscal de los desastres descritos anteriormente.</w:t>
      </w:r>
      <w:r>
        <w:rPr>
          <w:bCs/>
        </w:rPr>
        <w:t xml:space="preserve"> Donde se observa el posible deterioro del espacio fiscal por la ocurrencia de algunos en el 2024 y su efecto posterior en el mediano plazo. Es importante resaltar que el daño de estos eventos no es homogéneo y suelen tener una alta dispersión dado que cada evento dependerá de su magnitud, ubicación geográfica, población e infraestructura cercana, entre otros.</w:t>
      </w:r>
    </w:p>
    <w:p w14:paraId="3939482F" w14:textId="77777777" w:rsidR="00C36261" w:rsidRPr="005105AC" w:rsidRDefault="00C36261" w:rsidP="00C36261">
      <w:pPr>
        <w:rPr>
          <w:sz w:val="20"/>
          <w:szCs w:val="20"/>
          <w:lang w:eastAsia="en-US"/>
        </w:rPr>
      </w:pPr>
    </w:p>
    <w:p w14:paraId="659304D2" w14:textId="13591430" w:rsidR="00C36261" w:rsidRPr="00A9717E" w:rsidRDefault="00A9717E" w:rsidP="00A9717E">
      <w:pPr>
        <w:pStyle w:val="Descripcin"/>
        <w:keepNext/>
      </w:pPr>
      <w:bookmarkStart w:id="857" w:name="_Toc143593557"/>
      <w:r w:rsidRPr="00A9717E">
        <w:rPr>
          <w:color w:val="auto"/>
        </w:rPr>
        <w:t xml:space="preserve">Tabla </w:t>
      </w:r>
      <w:r w:rsidRPr="00A9717E">
        <w:rPr>
          <w:color w:val="auto"/>
        </w:rPr>
        <w:fldChar w:fldCharType="begin"/>
      </w:r>
      <w:r w:rsidRPr="00A9717E">
        <w:rPr>
          <w:color w:val="auto"/>
        </w:rPr>
        <w:instrText xml:space="preserve"> SEQ Tabla \* ARABIC </w:instrText>
      </w:r>
      <w:r w:rsidRPr="00A9717E">
        <w:rPr>
          <w:color w:val="auto"/>
        </w:rPr>
        <w:fldChar w:fldCharType="separate"/>
      </w:r>
      <w:r w:rsidR="00A62AFA">
        <w:rPr>
          <w:noProof/>
          <w:color w:val="auto"/>
        </w:rPr>
        <w:t>55</w:t>
      </w:r>
      <w:r w:rsidRPr="00A9717E">
        <w:rPr>
          <w:color w:val="auto"/>
        </w:rPr>
        <w:fldChar w:fldCharType="end"/>
      </w:r>
      <w:r w:rsidRPr="00A9717E">
        <w:rPr>
          <w:color w:val="auto"/>
        </w:rPr>
        <w:t xml:space="preserve">.  </w:t>
      </w:r>
      <w:r w:rsidR="00C36261" w:rsidRPr="00A9717E">
        <w:rPr>
          <w:bCs/>
          <w:color w:val="auto"/>
        </w:rPr>
        <w:t>Resumen de los escenarios de desastre naturales</w:t>
      </w:r>
      <w:bookmarkEnd w:id="857"/>
    </w:p>
    <w:tbl>
      <w:tblPr>
        <w:tblW w:w="7332" w:type="dxa"/>
        <w:jc w:val="center"/>
        <w:tblCellMar>
          <w:left w:w="70" w:type="dxa"/>
          <w:right w:w="70" w:type="dxa"/>
        </w:tblCellMar>
        <w:tblLook w:val="04A0" w:firstRow="1" w:lastRow="0" w:firstColumn="1" w:lastColumn="0" w:noHBand="0" w:noVBand="1"/>
      </w:tblPr>
      <w:tblGrid>
        <w:gridCol w:w="2026"/>
        <w:gridCol w:w="781"/>
        <w:gridCol w:w="903"/>
        <w:gridCol w:w="903"/>
        <w:gridCol w:w="903"/>
        <w:gridCol w:w="903"/>
        <w:gridCol w:w="913"/>
      </w:tblGrid>
      <w:tr w:rsidR="00C36261" w:rsidRPr="001B0754" w14:paraId="57577729" w14:textId="77777777" w:rsidTr="005105AC">
        <w:trPr>
          <w:trHeight w:val="111"/>
          <w:jc w:val="center"/>
        </w:trPr>
        <w:tc>
          <w:tcPr>
            <w:tcW w:w="2026" w:type="dxa"/>
            <w:tcBorders>
              <w:top w:val="single" w:sz="4" w:space="0" w:color="auto"/>
              <w:left w:val="nil"/>
              <w:bottom w:val="double" w:sz="6" w:space="0" w:color="auto"/>
              <w:right w:val="nil"/>
            </w:tcBorders>
            <w:shd w:val="clear" w:color="auto" w:fill="auto"/>
            <w:noWrap/>
            <w:vAlign w:val="bottom"/>
            <w:hideMark/>
          </w:tcPr>
          <w:p w14:paraId="55B3C668" w14:textId="77777777" w:rsidR="00C36261" w:rsidRPr="001B0754" w:rsidRDefault="00C36261" w:rsidP="006A7377">
            <w:pPr>
              <w:jc w:val="center"/>
              <w:rPr>
                <w:color w:val="000000"/>
                <w:sz w:val="16"/>
                <w:szCs w:val="16"/>
              </w:rPr>
            </w:pPr>
          </w:p>
        </w:tc>
        <w:tc>
          <w:tcPr>
            <w:tcW w:w="781" w:type="dxa"/>
            <w:tcBorders>
              <w:top w:val="single" w:sz="4" w:space="0" w:color="auto"/>
              <w:left w:val="single" w:sz="4" w:space="0" w:color="auto"/>
              <w:bottom w:val="double" w:sz="6" w:space="0" w:color="auto"/>
              <w:right w:val="nil"/>
            </w:tcBorders>
            <w:shd w:val="clear" w:color="auto" w:fill="auto"/>
            <w:noWrap/>
            <w:vAlign w:val="bottom"/>
            <w:hideMark/>
          </w:tcPr>
          <w:p w14:paraId="6CCF7645" w14:textId="77777777" w:rsidR="00C36261" w:rsidRPr="001B0754" w:rsidRDefault="00C36261" w:rsidP="006A7377">
            <w:pPr>
              <w:jc w:val="center"/>
              <w:rPr>
                <w:b/>
                <w:bCs/>
                <w:color w:val="000000"/>
                <w:sz w:val="16"/>
                <w:szCs w:val="16"/>
              </w:rPr>
            </w:pPr>
            <w:r w:rsidRPr="001B0754">
              <w:rPr>
                <w:b/>
                <w:bCs/>
                <w:color w:val="000000"/>
                <w:sz w:val="16"/>
                <w:szCs w:val="16"/>
              </w:rPr>
              <w:t>2023</w:t>
            </w:r>
          </w:p>
        </w:tc>
        <w:tc>
          <w:tcPr>
            <w:tcW w:w="903" w:type="dxa"/>
            <w:tcBorders>
              <w:top w:val="single" w:sz="4" w:space="0" w:color="auto"/>
              <w:left w:val="nil"/>
              <w:bottom w:val="double" w:sz="6" w:space="0" w:color="auto"/>
              <w:right w:val="nil"/>
            </w:tcBorders>
            <w:shd w:val="clear" w:color="auto" w:fill="auto"/>
            <w:noWrap/>
            <w:vAlign w:val="bottom"/>
            <w:hideMark/>
          </w:tcPr>
          <w:p w14:paraId="6DF923E2" w14:textId="77777777" w:rsidR="00C36261" w:rsidRPr="001B0754" w:rsidRDefault="00C36261" w:rsidP="006A7377">
            <w:pPr>
              <w:jc w:val="center"/>
              <w:rPr>
                <w:b/>
                <w:bCs/>
                <w:color w:val="000000"/>
                <w:sz w:val="16"/>
                <w:szCs w:val="16"/>
              </w:rPr>
            </w:pPr>
            <w:r w:rsidRPr="001B0754">
              <w:rPr>
                <w:b/>
                <w:bCs/>
                <w:color w:val="000000"/>
                <w:sz w:val="16"/>
                <w:szCs w:val="16"/>
              </w:rPr>
              <w:t>2024</w:t>
            </w:r>
          </w:p>
        </w:tc>
        <w:tc>
          <w:tcPr>
            <w:tcW w:w="903" w:type="dxa"/>
            <w:tcBorders>
              <w:top w:val="single" w:sz="4" w:space="0" w:color="auto"/>
              <w:left w:val="nil"/>
              <w:bottom w:val="double" w:sz="6" w:space="0" w:color="auto"/>
              <w:right w:val="nil"/>
            </w:tcBorders>
            <w:shd w:val="clear" w:color="auto" w:fill="auto"/>
            <w:noWrap/>
            <w:vAlign w:val="bottom"/>
            <w:hideMark/>
          </w:tcPr>
          <w:p w14:paraId="09E287D2" w14:textId="77777777" w:rsidR="00C36261" w:rsidRPr="001B0754" w:rsidRDefault="00C36261" w:rsidP="006A7377">
            <w:pPr>
              <w:jc w:val="center"/>
              <w:rPr>
                <w:b/>
                <w:bCs/>
                <w:color w:val="000000"/>
                <w:sz w:val="16"/>
                <w:szCs w:val="16"/>
              </w:rPr>
            </w:pPr>
            <w:r w:rsidRPr="001B0754">
              <w:rPr>
                <w:b/>
                <w:bCs/>
                <w:color w:val="000000"/>
                <w:sz w:val="16"/>
                <w:szCs w:val="16"/>
              </w:rPr>
              <w:t>2025</w:t>
            </w:r>
          </w:p>
        </w:tc>
        <w:tc>
          <w:tcPr>
            <w:tcW w:w="903" w:type="dxa"/>
            <w:tcBorders>
              <w:top w:val="single" w:sz="4" w:space="0" w:color="auto"/>
              <w:left w:val="nil"/>
              <w:bottom w:val="double" w:sz="6" w:space="0" w:color="auto"/>
              <w:right w:val="nil"/>
            </w:tcBorders>
            <w:shd w:val="clear" w:color="auto" w:fill="auto"/>
            <w:noWrap/>
            <w:vAlign w:val="bottom"/>
            <w:hideMark/>
          </w:tcPr>
          <w:p w14:paraId="52813A5C" w14:textId="77777777" w:rsidR="00C36261" w:rsidRPr="001B0754" w:rsidRDefault="00C36261" w:rsidP="006A7377">
            <w:pPr>
              <w:jc w:val="center"/>
              <w:rPr>
                <w:b/>
                <w:bCs/>
                <w:color w:val="000000"/>
                <w:sz w:val="16"/>
                <w:szCs w:val="16"/>
              </w:rPr>
            </w:pPr>
            <w:r w:rsidRPr="001B0754">
              <w:rPr>
                <w:b/>
                <w:bCs/>
                <w:color w:val="000000"/>
                <w:sz w:val="16"/>
                <w:szCs w:val="16"/>
              </w:rPr>
              <w:t>2026</w:t>
            </w:r>
          </w:p>
        </w:tc>
        <w:tc>
          <w:tcPr>
            <w:tcW w:w="903" w:type="dxa"/>
            <w:tcBorders>
              <w:top w:val="single" w:sz="4" w:space="0" w:color="auto"/>
              <w:left w:val="nil"/>
              <w:bottom w:val="double" w:sz="6" w:space="0" w:color="auto"/>
              <w:right w:val="nil"/>
            </w:tcBorders>
            <w:shd w:val="clear" w:color="auto" w:fill="auto"/>
            <w:noWrap/>
            <w:vAlign w:val="bottom"/>
            <w:hideMark/>
          </w:tcPr>
          <w:p w14:paraId="42A8C8AB" w14:textId="77777777" w:rsidR="00C36261" w:rsidRPr="001B0754" w:rsidRDefault="00C36261" w:rsidP="006A7377">
            <w:pPr>
              <w:jc w:val="center"/>
              <w:rPr>
                <w:b/>
                <w:bCs/>
                <w:color w:val="000000"/>
                <w:sz w:val="16"/>
                <w:szCs w:val="16"/>
              </w:rPr>
            </w:pPr>
            <w:r w:rsidRPr="001B0754">
              <w:rPr>
                <w:b/>
                <w:bCs/>
                <w:color w:val="000000"/>
                <w:sz w:val="16"/>
                <w:szCs w:val="16"/>
              </w:rPr>
              <w:t>2027</w:t>
            </w:r>
          </w:p>
        </w:tc>
        <w:tc>
          <w:tcPr>
            <w:tcW w:w="910" w:type="dxa"/>
            <w:tcBorders>
              <w:top w:val="single" w:sz="4" w:space="0" w:color="auto"/>
              <w:left w:val="nil"/>
              <w:bottom w:val="double" w:sz="6" w:space="0" w:color="auto"/>
              <w:right w:val="nil"/>
            </w:tcBorders>
            <w:shd w:val="clear" w:color="auto" w:fill="auto"/>
            <w:noWrap/>
            <w:vAlign w:val="bottom"/>
            <w:hideMark/>
          </w:tcPr>
          <w:p w14:paraId="60271B84" w14:textId="77777777" w:rsidR="00C36261" w:rsidRPr="001B0754" w:rsidRDefault="00C36261" w:rsidP="006A7377">
            <w:pPr>
              <w:jc w:val="center"/>
              <w:rPr>
                <w:b/>
                <w:bCs/>
                <w:color w:val="000000"/>
                <w:sz w:val="16"/>
                <w:szCs w:val="16"/>
              </w:rPr>
            </w:pPr>
            <w:r w:rsidRPr="001B0754">
              <w:rPr>
                <w:b/>
                <w:bCs/>
                <w:color w:val="000000"/>
                <w:sz w:val="16"/>
                <w:szCs w:val="16"/>
              </w:rPr>
              <w:t>2028</w:t>
            </w:r>
          </w:p>
        </w:tc>
      </w:tr>
      <w:tr w:rsidR="00C36261" w:rsidRPr="001B0754" w14:paraId="6EA8A8CC" w14:textId="77777777" w:rsidTr="005105AC">
        <w:trPr>
          <w:trHeight w:val="35"/>
          <w:jc w:val="center"/>
        </w:trPr>
        <w:tc>
          <w:tcPr>
            <w:tcW w:w="2026" w:type="dxa"/>
            <w:tcBorders>
              <w:top w:val="nil"/>
              <w:left w:val="nil"/>
              <w:bottom w:val="nil"/>
              <w:right w:val="nil"/>
            </w:tcBorders>
            <w:shd w:val="clear" w:color="000000" w:fill="EDEDED"/>
            <w:noWrap/>
            <w:vAlign w:val="bottom"/>
            <w:hideMark/>
          </w:tcPr>
          <w:p w14:paraId="5183426D" w14:textId="77777777" w:rsidR="00C36261" w:rsidRPr="001B0754" w:rsidRDefault="00C36261" w:rsidP="006A7377">
            <w:pPr>
              <w:rPr>
                <w:b/>
                <w:bCs/>
                <w:color w:val="000000"/>
                <w:sz w:val="16"/>
                <w:szCs w:val="16"/>
              </w:rPr>
            </w:pPr>
            <w:r w:rsidRPr="001B0754">
              <w:rPr>
                <w:b/>
                <w:bCs/>
                <w:color w:val="000000"/>
                <w:sz w:val="16"/>
                <w:szCs w:val="16"/>
              </w:rPr>
              <w:t>Tormenta o huracán</w:t>
            </w:r>
          </w:p>
        </w:tc>
        <w:tc>
          <w:tcPr>
            <w:tcW w:w="5306" w:type="dxa"/>
            <w:gridSpan w:val="6"/>
            <w:tcBorders>
              <w:top w:val="nil"/>
              <w:left w:val="single" w:sz="4" w:space="0" w:color="auto"/>
              <w:bottom w:val="nil"/>
              <w:right w:val="nil"/>
            </w:tcBorders>
            <w:shd w:val="clear" w:color="000000" w:fill="EDEDED"/>
            <w:noWrap/>
            <w:vAlign w:val="bottom"/>
            <w:hideMark/>
          </w:tcPr>
          <w:p w14:paraId="339823F8" w14:textId="77777777" w:rsidR="00C36261" w:rsidRPr="001B0754" w:rsidRDefault="00C36261" w:rsidP="006A7377">
            <w:pPr>
              <w:jc w:val="center"/>
              <w:rPr>
                <w:b/>
                <w:bCs/>
                <w:color w:val="000000"/>
                <w:sz w:val="16"/>
                <w:szCs w:val="16"/>
              </w:rPr>
            </w:pPr>
            <w:r w:rsidRPr="001B0754">
              <w:rPr>
                <w:b/>
                <w:bCs/>
                <w:color w:val="000000"/>
                <w:sz w:val="16"/>
                <w:szCs w:val="16"/>
              </w:rPr>
              <w:t xml:space="preserve"> Daño de 2.3% con respecto al PIB</w:t>
            </w:r>
          </w:p>
        </w:tc>
      </w:tr>
      <w:tr w:rsidR="00866BDD" w:rsidRPr="001B0754" w14:paraId="4D7411DC" w14:textId="77777777" w:rsidTr="005105AC">
        <w:trPr>
          <w:trHeight w:val="98"/>
          <w:jc w:val="center"/>
        </w:trPr>
        <w:tc>
          <w:tcPr>
            <w:tcW w:w="2026" w:type="dxa"/>
            <w:tcBorders>
              <w:top w:val="nil"/>
              <w:left w:val="nil"/>
              <w:bottom w:val="nil"/>
              <w:right w:val="nil"/>
            </w:tcBorders>
            <w:shd w:val="clear" w:color="auto" w:fill="auto"/>
            <w:noWrap/>
            <w:vAlign w:val="bottom"/>
            <w:hideMark/>
          </w:tcPr>
          <w:p w14:paraId="576093CB" w14:textId="77777777" w:rsidR="00866BDD" w:rsidRPr="001B0754" w:rsidRDefault="00866BDD" w:rsidP="00866BDD">
            <w:pPr>
              <w:ind w:firstLineChars="100" w:firstLine="160"/>
              <w:rPr>
                <w:color w:val="000000"/>
                <w:sz w:val="16"/>
                <w:szCs w:val="16"/>
              </w:rPr>
            </w:pPr>
            <w:r w:rsidRPr="001B0754">
              <w:rPr>
                <w:color w:val="000000"/>
                <w:sz w:val="16"/>
                <w:szCs w:val="16"/>
              </w:rPr>
              <w:t xml:space="preserve">Crecimiento </w:t>
            </w:r>
          </w:p>
        </w:tc>
        <w:tc>
          <w:tcPr>
            <w:tcW w:w="781" w:type="dxa"/>
            <w:tcBorders>
              <w:top w:val="nil"/>
              <w:left w:val="single" w:sz="4" w:space="0" w:color="auto"/>
              <w:bottom w:val="nil"/>
              <w:right w:val="nil"/>
            </w:tcBorders>
            <w:shd w:val="clear" w:color="auto" w:fill="auto"/>
            <w:noWrap/>
            <w:hideMark/>
          </w:tcPr>
          <w:p w14:paraId="2F12ABFD" w14:textId="5B056291" w:rsidR="00866BDD" w:rsidRPr="001B0754" w:rsidRDefault="00866BDD" w:rsidP="00866BDD">
            <w:pPr>
              <w:jc w:val="center"/>
              <w:rPr>
                <w:color w:val="000000"/>
                <w:sz w:val="16"/>
                <w:szCs w:val="16"/>
              </w:rPr>
            </w:pPr>
            <w:r w:rsidRPr="001B0754">
              <w:rPr>
                <w:sz w:val="16"/>
                <w:szCs w:val="16"/>
              </w:rPr>
              <w:t>3.5</w:t>
            </w:r>
          </w:p>
        </w:tc>
        <w:tc>
          <w:tcPr>
            <w:tcW w:w="903" w:type="dxa"/>
            <w:tcBorders>
              <w:top w:val="nil"/>
              <w:left w:val="nil"/>
              <w:bottom w:val="nil"/>
              <w:right w:val="nil"/>
            </w:tcBorders>
            <w:shd w:val="clear" w:color="auto" w:fill="auto"/>
            <w:noWrap/>
            <w:hideMark/>
          </w:tcPr>
          <w:p w14:paraId="7A5CC932" w14:textId="268CF784" w:rsidR="00866BDD" w:rsidRPr="001B0754" w:rsidRDefault="00866BDD" w:rsidP="00866BDD">
            <w:pPr>
              <w:jc w:val="center"/>
              <w:rPr>
                <w:color w:val="000000"/>
                <w:sz w:val="16"/>
                <w:szCs w:val="16"/>
              </w:rPr>
            </w:pPr>
            <w:r w:rsidRPr="001B0754">
              <w:rPr>
                <w:sz w:val="16"/>
                <w:szCs w:val="16"/>
              </w:rPr>
              <w:t>2.1</w:t>
            </w:r>
          </w:p>
        </w:tc>
        <w:tc>
          <w:tcPr>
            <w:tcW w:w="903" w:type="dxa"/>
            <w:tcBorders>
              <w:top w:val="nil"/>
              <w:left w:val="nil"/>
              <w:bottom w:val="nil"/>
              <w:right w:val="nil"/>
            </w:tcBorders>
            <w:shd w:val="clear" w:color="auto" w:fill="auto"/>
            <w:noWrap/>
            <w:hideMark/>
          </w:tcPr>
          <w:p w14:paraId="549F7D85" w14:textId="6B5407AE" w:rsidR="00866BDD" w:rsidRPr="001B0754" w:rsidRDefault="00866BDD" w:rsidP="00866BDD">
            <w:pPr>
              <w:jc w:val="center"/>
              <w:rPr>
                <w:color w:val="000000"/>
                <w:sz w:val="16"/>
                <w:szCs w:val="16"/>
              </w:rPr>
            </w:pPr>
            <w:r w:rsidRPr="001B0754">
              <w:rPr>
                <w:sz w:val="16"/>
                <w:szCs w:val="16"/>
              </w:rPr>
              <w:t>2.6</w:t>
            </w:r>
          </w:p>
        </w:tc>
        <w:tc>
          <w:tcPr>
            <w:tcW w:w="903" w:type="dxa"/>
            <w:tcBorders>
              <w:top w:val="nil"/>
              <w:left w:val="nil"/>
              <w:bottom w:val="nil"/>
              <w:right w:val="nil"/>
            </w:tcBorders>
            <w:shd w:val="clear" w:color="auto" w:fill="auto"/>
            <w:noWrap/>
            <w:hideMark/>
          </w:tcPr>
          <w:p w14:paraId="059F48FD" w14:textId="473D5431" w:rsidR="00866BDD" w:rsidRPr="001B0754" w:rsidRDefault="00866BDD" w:rsidP="00866BDD">
            <w:pPr>
              <w:jc w:val="center"/>
              <w:rPr>
                <w:color w:val="000000"/>
                <w:sz w:val="16"/>
                <w:szCs w:val="16"/>
              </w:rPr>
            </w:pPr>
            <w:r w:rsidRPr="001B0754">
              <w:rPr>
                <w:sz w:val="16"/>
                <w:szCs w:val="16"/>
              </w:rPr>
              <w:t>2.7</w:t>
            </w:r>
          </w:p>
        </w:tc>
        <w:tc>
          <w:tcPr>
            <w:tcW w:w="903" w:type="dxa"/>
            <w:tcBorders>
              <w:top w:val="nil"/>
              <w:left w:val="nil"/>
              <w:bottom w:val="nil"/>
              <w:right w:val="nil"/>
            </w:tcBorders>
            <w:shd w:val="clear" w:color="auto" w:fill="auto"/>
            <w:noWrap/>
            <w:hideMark/>
          </w:tcPr>
          <w:p w14:paraId="4ABFB414" w14:textId="549E32B9" w:rsidR="00866BDD" w:rsidRPr="001B0754" w:rsidRDefault="00866BDD" w:rsidP="00866BDD">
            <w:pPr>
              <w:jc w:val="center"/>
              <w:rPr>
                <w:color w:val="000000"/>
                <w:sz w:val="16"/>
                <w:szCs w:val="16"/>
              </w:rPr>
            </w:pPr>
            <w:r w:rsidRPr="001B0754">
              <w:rPr>
                <w:sz w:val="16"/>
                <w:szCs w:val="16"/>
              </w:rPr>
              <w:t>2.7</w:t>
            </w:r>
          </w:p>
        </w:tc>
        <w:tc>
          <w:tcPr>
            <w:tcW w:w="910" w:type="dxa"/>
            <w:tcBorders>
              <w:top w:val="nil"/>
              <w:left w:val="nil"/>
              <w:bottom w:val="nil"/>
              <w:right w:val="nil"/>
            </w:tcBorders>
            <w:shd w:val="clear" w:color="auto" w:fill="auto"/>
            <w:noWrap/>
            <w:hideMark/>
          </w:tcPr>
          <w:p w14:paraId="376C3683" w14:textId="0667366D" w:rsidR="00866BDD" w:rsidRPr="001B0754" w:rsidRDefault="00866BDD" w:rsidP="00866BDD">
            <w:pPr>
              <w:jc w:val="center"/>
              <w:rPr>
                <w:color w:val="000000"/>
                <w:sz w:val="16"/>
                <w:szCs w:val="16"/>
              </w:rPr>
            </w:pPr>
            <w:r w:rsidRPr="001B0754">
              <w:rPr>
                <w:sz w:val="16"/>
                <w:szCs w:val="16"/>
              </w:rPr>
              <w:t>2.7</w:t>
            </w:r>
          </w:p>
        </w:tc>
      </w:tr>
      <w:tr w:rsidR="00866BDD" w:rsidRPr="001B0754" w14:paraId="2CBEA044" w14:textId="77777777" w:rsidTr="005105AC">
        <w:trPr>
          <w:trHeight w:val="98"/>
          <w:jc w:val="center"/>
        </w:trPr>
        <w:tc>
          <w:tcPr>
            <w:tcW w:w="2026" w:type="dxa"/>
            <w:tcBorders>
              <w:top w:val="nil"/>
              <w:left w:val="nil"/>
              <w:bottom w:val="nil"/>
              <w:right w:val="nil"/>
            </w:tcBorders>
            <w:shd w:val="clear" w:color="auto" w:fill="auto"/>
            <w:noWrap/>
            <w:vAlign w:val="bottom"/>
            <w:hideMark/>
          </w:tcPr>
          <w:p w14:paraId="78DE0FB1" w14:textId="77777777" w:rsidR="00866BDD" w:rsidRPr="001B0754" w:rsidRDefault="00866BDD" w:rsidP="00866BDD">
            <w:pPr>
              <w:ind w:firstLineChars="100" w:firstLine="160"/>
              <w:rPr>
                <w:color w:val="000000"/>
                <w:sz w:val="16"/>
                <w:szCs w:val="16"/>
              </w:rPr>
            </w:pPr>
            <w:r w:rsidRPr="001B0754">
              <w:rPr>
                <w:color w:val="000000"/>
                <w:sz w:val="16"/>
                <w:szCs w:val="16"/>
              </w:rPr>
              <w:t>Déficit (%PIB)</w:t>
            </w:r>
          </w:p>
        </w:tc>
        <w:tc>
          <w:tcPr>
            <w:tcW w:w="781" w:type="dxa"/>
            <w:tcBorders>
              <w:top w:val="nil"/>
              <w:left w:val="single" w:sz="4" w:space="0" w:color="auto"/>
              <w:bottom w:val="nil"/>
              <w:right w:val="nil"/>
            </w:tcBorders>
            <w:shd w:val="clear" w:color="auto" w:fill="auto"/>
            <w:noWrap/>
            <w:hideMark/>
          </w:tcPr>
          <w:p w14:paraId="7A0CF348" w14:textId="468904B5" w:rsidR="00866BDD" w:rsidRPr="001B0754" w:rsidRDefault="00866BDD" w:rsidP="00866BDD">
            <w:pPr>
              <w:jc w:val="center"/>
              <w:rPr>
                <w:color w:val="000000"/>
                <w:sz w:val="16"/>
                <w:szCs w:val="16"/>
              </w:rPr>
            </w:pPr>
            <w:r w:rsidRPr="001B0754">
              <w:rPr>
                <w:sz w:val="16"/>
                <w:szCs w:val="16"/>
              </w:rPr>
              <w:t>1.7</w:t>
            </w:r>
          </w:p>
        </w:tc>
        <w:tc>
          <w:tcPr>
            <w:tcW w:w="903" w:type="dxa"/>
            <w:tcBorders>
              <w:top w:val="nil"/>
              <w:left w:val="nil"/>
              <w:bottom w:val="nil"/>
              <w:right w:val="nil"/>
            </w:tcBorders>
            <w:shd w:val="clear" w:color="auto" w:fill="auto"/>
            <w:noWrap/>
            <w:hideMark/>
          </w:tcPr>
          <w:p w14:paraId="5DDE0645" w14:textId="6A9AAF3F" w:rsidR="00866BDD" w:rsidRPr="001B0754" w:rsidRDefault="00866BDD" w:rsidP="00866BDD">
            <w:pPr>
              <w:jc w:val="center"/>
              <w:rPr>
                <w:color w:val="000000"/>
                <w:sz w:val="16"/>
                <w:szCs w:val="16"/>
              </w:rPr>
            </w:pPr>
            <w:r w:rsidRPr="001B0754">
              <w:rPr>
                <w:sz w:val="16"/>
                <w:szCs w:val="16"/>
              </w:rPr>
              <w:t>1.9</w:t>
            </w:r>
          </w:p>
        </w:tc>
        <w:tc>
          <w:tcPr>
            <w:tcW w:w="903" w:type="dxa"/>
            <w:tcBorders>
              <w:top w:val="nil"/>
              <w:left w:val="nil"/>
              <w:bottom w:val="nil"/>
              <w:right w:val="nil"/>
            </w:tcBorders>
            <w:shd w:val="clear" w:color="auto" w:fill="auto"/>
            <w:noWrap/>
            <w:hideMark/>
          </w:tcPr>
          <w:p w14:paraId="29A35B50" w14:textId="3B09018B" w:rsidR="00866BDD" w:rsidRPr="001B0754" w:rsidRDefault="00866BDD" w:rsidP="00866BDD">
            <w:pPr>
              <w:jc w:val="center"/>
              <w:rPr>
                <w:color w:val="000000"/>
                <w:sz w:val="16"/>
                <w:szCs w:val="16"/>
              </w:rPr>
            </w:pPr>
            <w:r w:rsidRPr="001B0754">
              <w:rPr>
                <w:sz w:val="16"/>
                <w:szCs w:val="16"/>
              </w:rPr>
              <w:t>1.5</w:t>
            </w:r>
          </w:p>
        </w:tc>
        <w:tc>
          <w:tcPr>
            <w:tcW w:w="903" w:type="dxa"/>
            <w:tcBorders>
              <w:top w:val="nil"/>
              <w:left w:val="nil"/>
              <w:bottom w:val="nil"/>
              <w:right w:val="nil"/>
            </w:tcBorders>
            <w:shd w:val="clear" w:color="auto" w:fill="auto"/>
            <w:noWrap/>
            <w:hideMark/>
          </w:tcPr>
          <w:p w14:paraId="7AF2C228" w14:textId="31EDB6F6" w:rsidR="00866BDD" w:rsidRPr="001B0754" w:rsidRDefault="00866BDD" w:rsidP="00866BDD">
            <w:pPr>
              <w:jc w:val="center"/>
              <w:rPr>
                <w:color w:val="000000"/>
                <w:sz w:val="16"/>
                <w:szCs w:val="16"/>
              </w:rPr>
            </w:pPr>
            <w:r w:rsidRPr="001B0754">
              <w:rPr>
                <w:sz w:val="16"/>
                <w:szCs w:val="16"/>
              </w:rPr>
              <w:t>0.9</w:t>
            </w:r>
          </w:p>
        </w:tc>
        <w:tc>
          <w:tcPr>
            <w:tcW w:w="903" w:type="dxa"/>
            <w:tcBorders>
              <w:top w:val="nil"/>
              <w:left w:val="nil"/>
              <w:bottom w:val="nil"/>
              <w:right w:val="nil"/>
            </w:tcBorders>
            <w:shd w:val="clear" w:color="auto" w:fill="auto"/>
            <w:noWrap/>
            <w:hideMark/>
          </w:tcPr>
          <w:p w14:paraId="4E0F7E47" w14:textId="5AE2BD54" w:rsidR="00866BDD" w:rsidRPr="001B0754" w:rsidRDefault="00866BDD" w:rsidP="00866BDD">
            <w:pPr>
              <w:jc w:val="center"/>
              <w:rPr>
                <w:color w:val="000000"/>
                <w:sz w:val="16"/>
                <w:szCs w:val="16"/>
              </w:rPr>
            </w:pPr>
            <w:r w:rsidRPr="001B0754">
              <w:rPr>
                <w:sz w:val="16"/>
                <w:szCs w:val="16"/>
              </w:rPr>
              <w:t>0.4</w:t>
            </w:r>
          </w:p>
        </w:tc>
        <w:tc>
          <w:tcPr>
            <w:tcW w:w="910" w:type="dxa"/>
            <w:tcBorders>
              <w:top w:val="nil"/>
              <w:left w:val="nil"/>
              <w:bottom w:val="nil"/>
              <w:right w:val="nil"/>
            </w:tcBorders>
            <w:shd w:val="clear" w:color="auto" w:fill="auto"/>
            <w:noWrap/>
            <w:hideMark/>
          </w:tcPr>
          <w:p w14:paraId="436C4C79" w14:textId="0175C7FB" w:rsidR="00866BDD" w:rsidRPr="001B0754" w:rsidRDefault="00866BDD" w:rsidP="00866BDD">
            <w:pPr>
              <w:jc w:val="center"/>
              <w:rPr>
                <w:color w:val="000000"/>
                <w:sz w:val="16"/>
                <w:szCs w:val="16"/>
              </w:rPr>
            </w:pPr>
            <w:r w:rsidRPr="001B0754">
              <w:rPr>
                <w:sz w:val="16"/>
                <w:szCs w:val="16"/>
              </w:rPr>
              <w:t>0.0</w:t>
            </w:r>
          </w:p>
        </w:tc>
      </w:tr>
      <w:tr w:rsidR="00866BDD" w:rsidRPr="001B0754" w14:paraId="1CE9CAE1" w14:textId="77777777" w:rsidTr="005105AC">
        <w:trPr>
          <w:trHeight w:val="98"/>
          <w:jc w:val="center"/>
        </w:trPr>
        <w:tc>
          <w:tcPr>
            <w:tcW w:w="2026" w:type="dxa"/>
            <w:tcBorders>
              <w:top w:val="nil"/>
              <w:left w:val="nil"/>
              <w:bottom w:val="nil"/>
              <w:right w:val="nil"/>
            </w:tcBorders>
            <w:shd w:val="clear" w:color="auto" w:fill="auto"/>
            <w:noWrap/>
            <w:vAlign w:val="bottom"/>
            <w:hideMark/>
          </w:tcPr>
          <w:p w14:paraId="2817102B" w14:textId="77777777" w:rsidR="00866BDD" w:rsidRPr="001B0754" w:rsidRDefault="00866BDD" w:rsidP="00866BDD">
            <w:pPr>
              <w:ind w:firstLineChars="100" w:firstLine="160"/>
              <w:rPr>
                <w:color w:val="000000"/>
                <w:sz w:val="16"/>
                <w:szCs w:val="16"/>
              </w:rPr>
            </w:pPr>
            <w:r w:rsidRPr="001B0754">
              <w:rPr>
                <w:color w:val="000000"/>
                <w:sz w:val="16"/>
                <w:szCs w:val="16"/>
              </w:rPr>
              <w:t>Deuda (%PIB)</w:t>
            </w:r>
          </w:p>
        </w:tc>
        <w:tc>
          <w:tcPr>
            <w:tcW w:w="781" w:type="dxa"/>
            <w:tcBorders>
              <w:top w:val="nil"/>
              <w:left w:val="single" w:sz="4" w:space="0" w:color="auto"/>
              <w:bottom w:val="nil"/>
              <w:right w:val="nil"/>
            </w:tcBorders>
            <w:shd w:val="clear" w:color="auto" w:fill="auto"/>
            <w:noWrap/>
            <w:hideMark/>
          </w:tcPr>
          <w:p w14:paraId="17D415B2" w14:textId="0669974E" w:rsidR="00866BDD" w:rsidRPr="001B0754" w:rsidRDefault="00866BDD" w:rsidP="00866BDD">
            <w:pPr>
              <w:jc w:val="center"/>
              <w:rPr>
                <w:color w:val="000000"/>
                <w:sz w:val="16"/>
                <w:szCs w:val="16"/>
              </w:rPr>
            </w:pPr>
            <w:r w:rsidRPr="001B0754">
              <w:rPr>
                <w:sz w:val="16"/>
                <w:szCs w:val="16"/>
              </w:rPr>
              <w:t>28.4</w:t>
            </w:r>
          </w:p>
        </w:tc>
        <w:tc>
          <w:tcPr>
            <w:tcW w:w="903" w:type="dxa"/>
            <w:tcBorders>
              <w:top w:val="nil"/>
              <w:left w:val="nil"/>
              <w:bottom w:val="nil"/>
              <w:right w:val="nil"/>
            </w:tcBorders>
            <w:shd w:val="clear" w:color="auto" w:fill="auto"/>
            <w:noWrap/>
            <w:hideMark/>
          </w:tcPr>
          <w:p w14:paraId="3E50F97F" w14:textId="37F5B4FB" w:rsidR="00866BDD" w:rsidRPr="001B0754" w:rsidRDefault="00866BDD" w:rsidP="00866BDD">
            <w:pPr>
              <w:jc w:val="center"/>
              <w:rPr>
                <w:color w:val="000000"/>
                <w:sz w:val="16"/>
                <w:szCs w:val="16"/>
              </w:rPr>
            </w:pPr>
            <w:r w:rsidRPr="001B0754">
              <w:rPr>
                <w:sz w:val="16"/>
                <w:szCs w:val="16"/>
              </w:rPr>
              <w:t>28.2</w:t>
            </w:r>
          </w:p>
        </w:tc>
        <w:tc>
          <w:tcPr>
            <w:tcW w:w="903" w:type="dxa"/>
            <w:tcBorders>
              <w:top w:val="nil"/>
              <w:left w:val="nil"/>
              <w:bottom w:val="nil"/>
              <w:right w:val="nil"/>
            </w:tcBorders>
            <w:shd w:val="clear" w:color="auto" w:fill="auto"/>
            <w:noWrap/>
            <w:hideMark/>
          </w:tcPr>
          <w:p w14:paraId="438060F1" w14:textId="1B80BAE4" w:rsidR="00866BDD" w:rsidRPr="001B0754" w:rsidRDefault="00866BDD" w:rsidP="00866BDD">
            <w:pPr>
              <w:jc w:val="center"/>
              <w:rPr>
                <w:color w:val="000000"/>
                <w:sz w:val="16"/>
                <w:szCs w:val="16"/>
              </w:rPr>
            </w:pPr>
            <w:r w:rsidRPr="001B0754">
              <w:rPr>
                <w:sz w:val="16"/>
                <w:szCs w:val="16"/>
              </w:rPr>
              <w:t>28.1</w:t>
            </w:r>
          </w:p>
        </w:tc>
        <w:tc>
          <w:tcPr>
            <w:tcW w:w="903" w:type="dxa"/>
            <w:tcBorders>
              <w:top w:val="nil"/>
              <w:left w:val="nil"/>
              <w:bottom w:val="nil"/>
              <w:right w:val="nil"/>
            </w:tcBorders>
            <w:shd w:val="clear" w:color="auto" w:fill="auto"/>
            <w:noWrap/>
            <w:hideMark/>
          </w:tcPr>
          <w:p w14:paraId="2F13D54B" w14:textId="59151F62" w:rsidR="00866BDD" w:rsidRPr="001B0754" w:rsidRDefault="00866BDD" w:rsidP="00866BDD">
            <w:pPr>
              <w:jc w:val="center"/>
              <w:rPr>
                <w:color w:val="000000"/>
                <w:sz w:val="16"/>
                <w:szCs w:val="16"/>
              </w:rPr>
            </w:pPr>
            <w:r w:rsidRPr="001B0754">
              <w:rPr>
                <w:sz w:val="16"/>
                <w:szCs w:val="16"/>
              </w:rPr>
              <w:t>27.4</w:t>
            </w:r>
          </w:p>
        </w:tc>
        <w:tc>
          <w:tcPr>
            <w:tcW w:w="903" w:type="dxa"/>
            <w:tcBorders>
              <w:top w:val="nil"/>
              <w:left w:val="nil"/>
              <w:bottom w:val="nil"/>
              <w:right w:val="nil"/>
            </w:tcBorders>
            <w:shd w:val="clear" w:color="auto" w:fill="auto"/>
            <w:noWrap/>
            <w:hideMark/>
          </w:tcPr>
          <w:p w14:paraId="26EA6C9F" w14:textId="37E97A53" w:rsidR="00866BDD" w:rsidRPr="001B0754" w:rsidRDefault="00866BDD" w:rsidP="00866BDD">
            <w:pPr>
              <w:jc w:val="center"/>
              <w:rPr>
                <w:color w:val="000000"/>
                <w:sz w:val="16"/>
                <w:szCs w:val="16"/>
              </w:rPr>
            </w:pPr>
            <w:r w:rsidRPr="001B0754">
              <w:rPr>
                <w:sz w:val="16"/>
                <w:szCs w:val="16"/>
              </w:rPr>
              <w:t>26.1</w:t>
            </w:r>
          </w:p>
        </w:tc>
        <w:tc>
          <w:tcPr>
            <w:tcW w:w="910" w:type="dxa"/>
            <w:tcBorders>
              <w:top w:val="nil"/>
              <w:left w:val="nil"/>
              <w:bottom w:val="nil"/>
              <w:right w:val="nil"/>
            </w:tcBorders>
            <w:shd w:val="clear" w:color="auto" w:fill="auto"/>
            <w:noWrap/>
            <w:hideMark/>
          </w:tcPr>
          <w:p w14:paraId="0A55E974" w14:textId="7C3CD7BD" w:rsidR="00866BDD" w:rsidRPr="001B0754" w:rsidRDefault="00866BDD" w:rsidP="00866BDD">
            <w:pPr>
              <w:jc w:val="center"/>
              <w:rPr>
                <w:color w:val="000000"/>
                <w:sz w:val="16"/>
                <w:szCs w:val="16"/>
              </w:rPr>
            </w:pPr>
            <w:r w:rsidRPr="001B0754">
              <w:rPr>
                <w:sz w:val="16"/>
                <w:szCs w:val="16"/>
              </w:rPr>
              <w:t>24.5</w:t>
            </w:r>
          </w:p>
        </w:tc>
      </w:tr>
      <w:tr w:rsidR="00C36261" w:rsidRPr="001B0754" w14:paraId="04734CB1" w14:textId="77777777" w:rsidTr="005105AC">
        <w:trPr>
          <w:trHeight w:val="98"/>
          <w:jc w:val="center"/>
        </w:trPr>
        <w:tc>
          <w:tcPr>
            <w:tcW w:w="2026" w:type="dxa"/>
            <w:tcBorders>
              <w:top w:val="nil"/>
              <w:left w:val="nil"/>
              <w:bottom w:val="nil"/>
              <w:right w:val="nil"/>
            </w:tcBorders>
            <w:shd w:val="clear" w:color="000000" w:fill="EDEDED"/>
            <w:noWrap/>
            <w:vAlign w:val="bottom"/>
            <w:hideMark/>
          </w:tcPr>
          <w:p w14:paraId="5018D502" w14:textId="77777777" w:rsidR="00C36261" w:rsidRPr="001B0754" w:rsidRDefault="00C36261" w:rsidP="006A7377">
            <w:pPr>
              <w:rPr>
                <w:b/>
                <w:bCs/>
                <w:color w:val="000000"/>
                <w:sz w:val="16"/>
                <w:szCs w:val="16"/>
              </w:rPr>
            </w:pPr>
            <w:r w:rsidRPr="001B0754">
              <w:rPr>
                <w:b/>
                <w:bCs/>
                <w:color w:val="000000"/>
                <w:sz w:val="16"/>
                <w:szCs w:val="16"/>
              </w:rPr>
              <w:t>Terremoto</w:t>
            </w:r>
          </w:p>
        </w:tc>
        <w:tc>
          <w:tcPr>
            <w:tcW w:w="5306" w:type="dxa"/>
            <w:gridSpan w:val="6"/>
            <w:tcBorders>
              <w:top w:val="nil"/>
              <w:left w:val="single" w:sz="4" w:space="0" w:color="auto"/>
              <w:bottom w:val="nil"/>
              <w:right w:val="nil"/>
            </w:tcBorders>
            <w:shd w:val="clear" w:color="000000" w:fill="EDEDED"/>
            <w:noWrap/>
            <w:vAlign w:val="bottom"/>
            <w:hideMark/>
          </w:tcPr>
          <w:p w14:paraId="63B07B33" w14:textId="77777777" w:rsidR="00C36261" w:rsidRPr="001B0754" w:rsidRDefault="00C36261" w:rsidP="006A7377">
            <w:pPr>
              <w:jc w:val="center"/>
              <w:rPr>
                <w:b/>
                <w:bCs/>
                <w:color w:val="000000"/>
                <w:sz w:val="16"/>
                <w:szCs w:val="16"/>
              </w:rPr>
            </w:pPr>
            <w:r w:rsidRPr="001B0754">
              <w:rPr>
                <w:b/>
                <w:bCs/>
                <w:color w:val="000000"/>
                <w:sz w:val="16"/>
                <w:szCs w:val="16"/>
              </w:rPr>
              <w:t xml:space="preserve"> Daño de 9.3% con respecto al PIB</w:t>
            </w:r>
          </w:p>
        </w:tc>
      </w:tr>
      <w:tr w:rsidR="0052639C" w:rsidRPr="001B0754" w14:paraId="5821B3E7" w14:textId="77777777" w:rsidTr="005105AC">
        <w:trPr>
          <w:trHeight w:val="98"/>
          <w:jc w:val="center"/>
        </w:trPr>
        <w:tc>
          <w:tcPr>
            <w:tcW w:w="2026" w:type="dxa"/>
            <w:tcBorders>
              <w:top w:val="nil"/>
              <w:left w:val="nil"/>
              <w:bottom w:val="nil"/>
              <w:right w:val="nil"/>
            </w:tcBorders>
            <w:shd w:val="clear" w:color="auto" w:fill="auto"/>
            <w:noWrap/>
            <w:vAlign w:val="bottom"/>
            <w:hideMark/>
          </w:tcPr>
          <w:p w14:paraId="5651CAC3" w14:textId="77777777" w:rsidR="0052639C" w:rsidRPr="001B0754" w:rsidRDefault="0052639C" w:rsidP="0052639C">
            <w:pPr>
              <w:ind w:firstLineChars="100" w:firstLine="160"/>
              <w:rPr>
                <w:color w:val="000000"/>
                <w:sz w:val="16"/>
                <w:szCs w:val="16"/>
              </w:rPr>
            </w:pPr>
            <w:r w:rsidRPr="001B0754">
              <w:rPr>
                <w:color w:val="000000"/>
                <w:sz w:val="16"/>
                <w:szCs w:val="16"/>
              </w:rPr>
              <w:t xml:space="preserve">Crecimiento </w:t>
            </w:r>
          </w:p>
        </w:tc>
        <w:tc>
          <w:tcPr>
            <w:tcW w:w="781" w:type="dxa"/>
            <w:tcBorders>
              <w:top w:val="nil"/>
              <w:left w:val="single" w:sz="4" w:space="0" w:color="auto"/>
              <w:bottom w:val="nil"/>
              <w:right w:val="nil"/>
            </w:tcBorders>
            <w:shd w:val="clear" w:color="auto" w:fill="auto"/>
            <w:noWrap/>
            <w:hideMark/>
          </w:tcPr>
          <w:p w14:paraId="1ADC77FA" w14:textId="3C088C59" w:rsidR="0052639C" w:rsidRPr="001B0754" w:rsidRDefault="0052639C" w:rsidP="0052639C">
            <w:pPr>
              <w:jc w:val="center"/>
              <w:rPr>
                <w:color w:val="000000"/>
                <w:sz w:val="16"/>
                <w:szCs w:val="16"/>
              </w:rPr>
            </w:pPr>
            <w:r w:rsidRPr="001B0754">
              <w:rPr>
                <w:sz w:val="16"/>
                <w:szCs w:val="16"/>
              </w:rPr>
              <w:t>3.5</w:t>
            </w:r>
          </w:p>
        </w:tc>
        <w:tc>
          <w:tcPr>
            <w:tcW w:w="903" w:type="dxa"/>
            <w:tcBorders>
              <w:top w:val="nil"/>
              <w:left w:val="nil"/>
              <w:bottom w:val="nil"/>
              <w:right w:val="nil"/>
            </w:tcBorders>
            <w:shd w:val="clear" w:color="auto" w:fill="auto"/>
            <w:noWrap/>
            <w:hideMark/>
          </w:tcPr>
          <w:p w14:paraId="16F38332" w14:textId="3AF88A81" w:rsidR="0052639C" w:rsidRPr="001B0754" w:rsidRDefault="0052639C" w:rsidP="0052639C">
            <w:pPr>
              <w:jc w:val="center"/>
              <w:rPr>
                <w:color w:val="000000"/>
                <w:sz w:val="16"/>
                <w:szCs w:val="16"/>
              </w:rPr>
            </w:pPr>
            <w:r w:rsidRPr="001B0754">
              <w:rPr>
                <w:sz w:val="16"/>
                <w:szCs w:val="16"/>
              </w:rPr>
              <w:t>0.7</w:t>
            </w:r>
          </w:p>
        </w:tc>
        <w:tc>
          <w:tcPr>
            <w:tcW w:w="903" w:type="dxa"/>
            <w:tcBorders>
              <w:top w:val="nil"/>
              <w:left w:val="nil"/>
              <w:bottom w:val="nil"/>
              <w:right w:val="nil"/>
            </w:tcBorders>
            <w:shd w:val="clear" w:color="auto" w:fill="auto"/>
            <w:noWrap/>
            <w:hideMark/>
          </w:tcPr>
          <w:p w14:paraId="16FCD2AF" w14:textId="7F1D0AC4" w:rsidR="0052639C" w:rsidRPr="001B0754" w:rsidRDefault="0052639C" w:rsidP="0052639C">
            <w:pPr>
              <w:jc w:val="center"/>
              <w:rPr>
                <w:color w:val="000000"/>
                <w:sz w:val="16"/>
                <w:szCs w:val="16"/>
              </w:rPr>
            </w:pPr>
            <w:r w:rsidRPr="001B0754">
              <w:rPr>
                <w:sz w:val="16"/>
                <w:szCs w:val="16"/>
              </w:rPr>
              <w:t>2.7</w:t>
            </w:r>
          </w:p>
        </w:tc>
        <w:tc>
          <w:tcPr>
            <w:tcW w:w="903" w:type="dxa"/>
            <w:tcBorders>
              <w:top w:val="nil"/>
              <w:left w:val="nil"/>
              <w:bottom w:val="nil"/>
              <w:right w:val="nil"/>
            </w:tcBorders>
            <w:shd w:val="clear" w:color="auto" w:fill="auto"/>
            <w:noWrap/>
            <w:hideMark/>
          </w:tcPr>
          <w:p w14:paraId="7C2B3BEB" w14:textId="74A4E8BD" w:rsidR="0052639C" w:rsidRPr="001B0754" w:rsidRDefault="0052639C" w:rsidP="0052639C">
            <w:pPr>
              <w:jc w:val="center"/>
              <w:rPr>
                <w:color w:val="000000"/>
                <w:sz w:val="16"/>
                <w:szCs w:val="16"/>
              </w:rPr>
            </w:pPr>
            <w:r w:rsidRPr="001B0754">
              <w:rPr>
                <w:sz w:val="16"/>
                <w:szCs w:val="16"/>
              </w:rPr>
              <w:t>2.8</w:t>
            </w:r>
          </w:p>
        </w:tc>
        <w:tc>
          <w:tcPr>
            <w:tcW w:w="903" w:type="dxa"/>
            <w:tcBorders>
              <w:top w:val="nil"/>
              <w:left w:val="nil"/>
              <w:bottom w:val="nil"/>
              <w:right w:val="nil"/>
            </w:tcBorders>
            <w:shd w:val="clear" w:color="auto" w:fill="auto"/>
            <w:noWrap/>
            <w:hideMark/>
          </w:tcPr>
          <w:p w14:paraId="21A696FE" w14:textId="03CC33E7" w:rsidR="0052639C" w:rsidRPr="001B0754" w:rsidRDefault="0052639C" w:rsidP="0052639C">
            <w:pPr>
              <w:jc w:val="center"/>
              <w:rPr>
                <w:color w:val="000000"/>
                <w:sz w:val="16"/>
                <w:szCs w:val="16"/>
              </w:rPr>
            </w:pPr>
            <w:r w:rsidRPr="001B0754">
              <w:rPr>
                <w:sz w:val="16"/>
                <w:szCs w:val="16"/>
              </w:rPr>
              <w:t>2.8</w:t>
            </w:r>
          </w:p>
        </w:tc>
        <w:tc>
          <w:tcPr>
            <w:tcW w:w="910" w:type="dxa"/>
            <w:tcBorders>
              <w:top w:val="nil"/>
              <w:left w:val="nil"/>
              <w:bottom w:val="nil"/>
              <w:right w:val="nil"/>
            </w:tcBorders>
            <w:shd w:val="clear" w:color="auto" w:fill="auto"/>
            <w:noWrap/>
            <w:hideMark/>
          </w:tcPr>
          <w:p w14:paraId="0EFB420D" w14:textId="49A3FF81" w:rsidR="0052639C" w:rsidRPr="001B0754" w:rsidRDefault="0052639C" w:rsidP="0052639C">
            <w:pPr>
              <w:jc w:val="center"/>
              <w:rPr>
                <w:color w:val="000000"/>
                <w:sz w:val="16"/>
                <w:szCs w:val="16"/>
              </w:rPr>
            </w:pPr>
            <w:r w:rsidRPr="001B0754">
              <w:rPr>
                <w:sz w:val="16"/>
                <w:szCs w:val="16"/>
              </w:rPr>
              <w:t>2.8</w:t>
            </w:r>
          </w:p>
        </w:tc>
      </w:tr>
      <w:tr w:rsidR="0052639C" w:rsidRPr="001B0754" w14:paraId="2086A154" w14:textId="77777777" w:rsidTr="005105AC">
        <w:trPr>
          <w:trHeight w:val="101"/>
          <w:jc w:val="center"/>
        </w:trPr>
        <w:tc>
          <w:tcPr>
            <w:tcW w:w="2026" w:type="dxa"/>
            <w:tcBorders>
              <w:top w:val="nil"/>
              <w:left w:val="nil"/>
              <w:bottom w:val="nil"/>
              <w:right w:val="nil"/>
            </w:tcBorders>
            <w:shd w:val="clear" w:color="auto" w:fill="auto"/>
            <w:noWrap/>
            <w:vAlign w:val="bottom"/>
            <w:hideMark/>
          </w:tcPr>
          <w:p w14:paraId="1FFF9430" w14:textId="77777777" w:rsidR="0052639C" w:rsidRPr="001B0754" w:rsidRDefault="0052639C" w:rsidP="0052639C">
            <w:pPr>
              <w:ind w:firstLineChars="100" w:firstLine="160"/>
              <w:rPr>
                <w:color w:val="000000"/>
                <w:sz w:val="16"/>
                <w:szCs w:val="16"/>
              </w:rPr>
            </w:pPr>
            <w:r w:rsidRPr="001B0754">
              <w:rPr>
                <w:color w:val="000000"/>
                <w:sz w:val="16"/>
                <w:szCs w:val="16"/>
              </w:rPr>
              <w:t>Déficit (%PIB)</w:t>
            </w:r>
          </w:p>
        </w:tc>
        <w:tc>
          <w:tcPr>
            <w:tcW w:w="781" w:type="dxa"/>
            <w:tcBorders>
              <w:top w:val="nil"/>
              <w:left w:val="single" w:sz="4" w:space="0" w:color="auto"/>
              <w:bottom w:val="nil"/>
              <w:right w:val="nil"/>
            </w:tcBorders>
            <w:shd w:val="clear" w:color="auto" w:fill="auto"/>
            <w:noWrap/>
            <w:hideMark/>
          </w:tcPr>
          <w:p w14:paraId="2AE4C52A" w14:textId="620BFF90" w:rsidR="0052639C" w:rsidRPr="001B0754" w:rsidRDefault="0052639C" w:rsidP="0052639C">
            <w:pPr>
              <w:jc w:val="center"/>
              <w:rPr>
                <w:color w:val="000000"/>
                <w:sz w:val="16"/>
                <w:szCs w:val="16"/>
              </w:rPr>
            </w:pPr>
            <w:r w:rsidRPr="001B0754">
              <w:rPr>
                <w:sz w:val="16"/>
                <w:szCs w:val="16"/>
              </w:rPr>
              <w:t>1.7</w:t>
            </w:r>
          </w:p>
        </w:tc>
        <w:tc>
          <w:tcPr>
            <w:tcW w:w="903" w:type="dxa"/>
            <w:tcBorders>
              <w:top w:val="nil"/>
              <w:left w:val="nil"/>
              <w:bottom w:val="nil"/>
              <w:right w:val="nil"/>
            </w:tcBorders>
            <w:shd w:val="clear" w:color="auto" w:fill="auto"/>
            <w:noWrap/>
            <w:hideMark/>
          </w:tcPr>
          <w:p w14:paraId="256C99ED" w14:textId="2BD8C85B" w:rsidR="0052639C" w:rsidRPr="001B0754" w:rsidRDefault="0052639C" w:rsidP="0052639C">
            <w:pPr>
              <w:jc w:val="center"/>
              <w:rPr>
                <w:color w:val="000000"/>
                <w:sz w:val="16"/>
                <w:szCs w:val="16"/>
              </w:rPr>
            </w:pPr>
            <w:r w:rsidRPr="001B0754">
              <w:rPr>
                <w:sz w:val="16"/>
                <w:szCs w:val="16"/>
              </w:rPr>
              <w:t>2.8</w:t>
            </w:r>
          </w:p>
        </w:tc>
        <w:tc>
          <w:tcPr>
            <w:tcW w:w="903" w:type="dxa"/>
            <w:tcBorders>
              <w:top w:val="nil"/>
              <w:left w:val="nil"/>
              <w:bottom w:val="nil"/>
              <w:right w:val="nil"/>
            </w:tcBorders>
            <w:shd w:val="clear" w:color="auto" w:fill="auto"/>
            <w:noWrap/>
            <w:hideMark/>
          </w:tcPr>
          <w:p w14:paraId="5259DF61" w14:textId="12D42B94" w:rsidR="0052639C" w:rsidRPr="001B0754" w:rsidRDefault="0052639C" w:rsidP="0052639C">
            <w:pPr>
              <w:jc w:val="center"/>
              <w:rPr>
                <w:color w:val="000000"/>
                <w:sz w:val="16"/>
                <w:szCs w:val="16"/>
              </w:rPr>
            </w:pPr>
            <w:r w:rsidRPr="001B0754">
              <w:rPr>
                <w:sz w:val="16"/>
                <w:szCs w:val="16"/>
              </w:rPr>
              <w:t>2.3</w:t>
            </w:r>
          </w:p>
        </w:tc>
        <w:tc>
          <w:tcPr>
            <w:tcW w:w="903" w:type="dxa"/>
            <w:tcBorders>
              <w:top w:val="nil"/>
              <w:left w:val="nil"/>
              <w:bottom w:val="nil"/>
              <w:right w:val="nil"/>
            </w:tcBorders>
            <w:shd w:val="clear" w:color="auto" w:fill="auto"/>
            <w:noWrap/>
            <w:hideMark/>
          </w:tcPr>
          <w:p w14:paraId="5CDB749D" w14:textId="23F2CDEA" w:rsidR="0052639C" w:rsidRPr="001B0754" w:rsidRDefault="0052639C" w:rsidP="0052639C">
            <w:pPr>
              <w:jc w:val="center"/>
              <w:rPr>
                <w:color w:val="000000"/>
                <w:sz w:val="16"/>
                <w:szCs w:val="16"/>
              </w:rPr>
            </w:pPr>
            <w:r w:rsidRPr="001B0754">
              <w:rPr>
                <w:sz w:val="16"/>
                <w:szCs w:val="16"/>
              </w:rPr>
              <w:t>1.1</w:t>
            </w:r>
          </w:p>
        </w:tc>
        <w:tc>
          <w:tcPr>
            <w:tcW w:w="903" w:type="dxa"/>
            <w:tcBorders>
              <w:top w:val="nil"/>
              <w:left w:val="nil"/>
              <w:bottom w:val="nil"/>
              <w:right w:val="nil"/>
            </w:tcBorders>
            <w:shd w:val="clear" w:color="auto" w:fill="auto"/>
            <w:noWrap/>
            <w:hideMark/>
          </w:tcPr>
          <w:p w14:paraId="6A1585D9" w14:textId="049E20E8" w:rsidR="0052639C" w:rsidRPr="001B0754" w:rsidRDefault="0052639C" w:rsidP="0052639C">
            <w:pPr>
              <w:jc w:val="center"/>
              <w:rPr>
                <w:color w:val="000000"/>
                <w:sz w:val="16"/>
                <w:szCs w:val="16"/>
              </w:rPr>
            </w:pPr>
            <w:r w:rsidRPr="001B0754">
              <w:rPr>
                <w:sz w:val="16"/>
                <w:szCs w:val="16"/>
              </w:rPr>
              <w:t>0.6</w:t>
            </w:r>
          </w:p>
        </w:tc>
        <w:tc>
          <w:tcPr>
            <w:tcW w:w="910" w:type="dxa"/>
            <w:tcBorders>
              <w:top w:val="nil"/>
              <w:left w:val="nil"/>
              <w:bottom w:val="nil"/>
              <w:right w:val="nil"/>
            </w:tcBorders>
            <w:shd w:val="clear" w:color="auto" w:fill="auto"/>
            <w:noWrap/>
            <w:hideMark/>
          </w:tcPr>
          <w:p w14:paraId="56BCB55D" w14:textId="456EB86C" w:rsidR="0052639C" w:rsidRPr="001B0754" w:rsidRDefault="0052639C" w:rsidP="0052639C">
            <w:pPr>
              <w:jc w:val="center"/>
              <w:rPr>
                <w:color w:val="000000"/>
                <w:sz w:val="16"/>
                <w:szCs w:val="16"/>
              </w:rPr>
            </w:pPr>
            <w:r w:rsidRPr="001B0754">
              <w:rPr>
                <w:sz w:val="16"/>
                <w:szCs w:val="16"/>
              </w:rPr>
              <w:t>0.2</w:t>
            </w:r>
          </w:p>
        </w:tc>
      </w:tr>
      <w:tr w:rsidR="0052639C" w:rsidRPr="001B0754" w14:paraId="4F32EFCA" w14:textId="77777777" w:rsidTr="005105AC">
        <w:trPr>
          <w:trHeight w:val="98"/>
          <w:jc w:val="center"/>
        </w:trPr>
        <w:tc>
          <w:tcPr>
            <w:tcW w:w="2026" w:type="dxa"/>
            <w:tcBorders>
              <w:top w:val="nil"/>
              <w:left w:val="nil"/>
              <w:bottom w:val="nil"/>
              <w:right w:val="nil"/>
            </w:tcBorders>
            <w:shd w:val="clear" w:color="auto" w:fill="auto"/>
            <w:noWrap/>
            <w:vAlign w:val="bottom"/>
            <w:hideMark/>
          </w:tcPr>
          <w:p w14:paraId="67E7E69C" w14:textId="77777777" w:rsidR="0052639C" w:rsidRPr="001B0754" w:rsidRDefault="0052639C" w:rsidP="0052639C">
            <w:pPr>
              <w:ind w:firstLineChars="100" w:firstLine="160"/>
              <w:rPr>
                <w:color w:val="000000"/>
                <w:sz w:val="16"/>
                <w:szCs w:val="16"/>
              </w:rPr>
            </w:pPr>
            <w:r w:rsidRPr="001B0754">
              <w:rPr>
                <w:color w:val="000000"/>
                <w:sz w:val="16"/>
                <w:szCs w:val="16"/>
              </w:rPr>
              <w:t>Deuda (%PIB)</w:t>
            </w:r>
          </w:p>
        </w:tc>
        <w:tc>
          <w:tcPr>
            <w:tcW w:w="781" w:type="dxa"/>
            <w:tcBorders>
              <w:top w:val="nil"/>
              <w:left w:val="single" w:sz="4" w:space="0" w:color="auto"/>
              <w:bottom w:val="nil"/>
              <w:right w:val="nil"/>
            </w:tcBorders>
            <w:shd w:val="clear" w:color="auto" w:fill="auto"/>
            <w:noWrap/>
            <w:hideMark/>
          </w:tcPr>
          <w:p w14:paraId="4686D95F" w14:textId="50088CEF" w:rsidR="0052639C" w:rsidRPr="001B0754" w:rsidRDefault="0052639C" w:rsidP="0052639C">
            <w:pPr>
              <w:jc w:val="center"/>
              <w:rPr>
                <w:color w:val="000000"/>
                <w:sz w:val="16"/>
                <w:szCs w:val="16"/>
              </w:rPr>
            </w:pPr>
            <w:r w:rsidRPr="001B0754">
              <w:rPr>
                <w:sz w:val="16"/>
                <w:szCs w:val="16"/>
              </w:rPr>
              <w:t>28.4</w:t>
            </w:r>
          </w:p>
        </w:tc>
        <w:tc>
          <w:tcPr>
            <w:tcW w:w="903" w:type="dxa"/>
            <w:tcBorders>
              <w:top w:val="nil"/>
              <w:left w:val="nil"/>
              <w:bottom w:val="nil"/>
              <w:right w:val="nil"/>
            </w:tcBorders>
            <w:shd w:val="clear" w:color="auto" w:fill="auto"/>
            <w:noWrap/>
            <w:hideMark/>
          </w:tcPr>
          <w:p w14:paraId="3E4DDE2A" w14:textId="4E5302BE" w:rsidR="0052639C" w:rsidRPr="001B0754" w:rsidRDefault="0052639C" w:rsidP="0052639C">
            <w:pPr>
              <w:jc w:val="center"/>
              <w:rPr>
                <w:color w:val="000000"/>
                <w:sz w:val="16"/>
                <w:szCs w:val="16"/>
              </w:rPr>
            </w:pPr>
            <w:r w:rsidRPr="001B0754">
              <w:rPr>
                <w:sz w:val="16"/>
                <w:szCs w:val="16"/>
              </w:rPr>
              <w:t>29.6</w:t>
            </w:r>
          </w:p>
        </w:tc>
        <w:tc>
          <w:tcPr>
            <w:tcW w:w="903" w:type="dxa"/>
            <w:tcBorders>
              <w:top w:val="nil"/>
              <w:left w:val="nil"/>
              <w:bottom w:val="nil"/>
              <w:right w:val="nil"/>
            </w:tcBorders>
            <w:shd w:val="clear" w:color="auto" w:fill="auto"/>
            <w:noWrap/>
            <w:hideMark/>
          </w:tcPr>
          <w:p w14:paraId="4C50C421" w14:textId="5F70DE10" w:rsidR="0052639C" w:rsidRPr="001B0754" w:rsidRDefault="0052639C" w:rsidP="0052639C">
            <w:pPr>
              <w:jc w:val="center"/>
              <w:rPr>
                <w:color w:val="000000"/>
                <w:sz w:val="16"/>
                <w:szCs w:val="16"/>
              </w:rPr>
            </w:pPr>
            <w:r w:rsidRPr="001B0754">
              <w:rPr>
                <w:sz w:val="16"/>
                <w:szCs w:val="16"/>
              </w:rPr>
              <w:t>30.3</w:t>
            </w:r>
          </w:p>
        </w:tc>
        <w:tc>
          <w:tcPr>
            <w:tcW w:w="903" w:type="dxa"/>
            <w:tcBorders>
              <w:top w:val="nil"/>
              <w:left w:val="nil"/>
              <w:bottom w:val="nil"/>
              <w:right w:val="nil"/>
            </w:tcBorders>
            <w:shd w:val="clear" w:color="auto" w:fill="auto"/>
            <w:noWrap/>
            <w:hideMark/>
          </w:tcPr>
          <w:p w14:paraId="5180FBC8" w14:textId="18B64788" w:rsidR="0052639C" w:rsidRPr="001B0754" w:rsidRDefault="0052639C" w:rsidP="0052639C">
            <w:pPr>
              <w:jc w:val="center"/>
              <w:rPr>
                <w:color w:val="000000"/>
                <w:sz w:val="16"/>
                <w:szCs w:val="16"/>
              </w:rPr>
            </w:pPr>
            <w:r w:rsidRPr="001B0754">
              <w:rPr>
                <w:sz w:val="16"/>
                <w:szCs w:val="16"/>
              </w:rPr>
              <w:t>29.7</w:t>
            </w:r>
          </w:p>
        </w:tc>
        <w:tc>
          <w:tcPr>
            <w:tcW w:w="903" w:type="dxa"/>
            <w:tcBorders>
              <w:top w:val="nil"/>
              <w:left w:val="nil"/>
              <w:bottom w:val="nil"/>
              <w:right w:val="nil"/>
            </w:tcBorders>
            <w:shd w:val="clear" w:color="auto" w:fill="auto"/>
            <w:noWrap/>
            <w:hideMark/>
          </w:tcPr>
          <w:p w14:paraId="5C4800AB" w14:textId="547C92B3" w:rsidR="0052639C" w:rsidRPr="001B0754" w:rsidRDefault="0052639C" w:rsidP="0052639C">
            <w:pPr>
              <w:jc w:val="center"/>
              <w:rPr>
                <w:color w:val="000000"/>
                <w:sz w:val="16"/>
                <w:szCs w:val="16"/>
              </w:rPr>
            </w:pPr>
            <w:r w:rsidRPr="001B0754">
              <w:rPr>
                <w:sz w:val="16"/>
                <w:szCs w:val="16"/>
              </w:rPr>
              <w:t>28.6</w:t>
            </w:r>
          </w:p>
        </w:tc>
        <w:tc>
          <w:tcPr>
            <w:tcW w:w="910" w:type="dxa"/>
            <w:tcBorders>
              <w:top w:val="nil"/>
              <w:left w:val="nil"/>
              <w:bottom w:val="nil"/>
              <w:right w:val="nil"/>
            </w:tcBorders>
            <w:shd w:val="clear" w:color="auto" w:fill="auto"/>
            <w:noWrap/>
            <w:hideMark/>
          </w:tcPr>
          <w:p w14:paraId="514E983B" w14:textId="19B7DD4E" w:rsidR="0052639C" w:rsidRPr="001B0754" w:rsidRDefault="0052639C" w:rsidP="0052639C">
            <w:pPr>
              <w:jc w:val="center"/>
              <w:rPr>
                <w:color w:val="000000"/>
                <w:sz w:val="16"/>
                <w:szCs w:val="16"/>
              </w:rPr>
            </w:pPr>
            <w:r w:rsidRPr="001B0754">
              <w:rPr>
                <w:sz w:val="16"/>
                <w:szCs w:val="16"/>
              </w:rPr>
              <w:t>27.2</w:t>
            </w:r>
          </w:p>
        </w:tc>
      </w:tr>
      <w:tr w:rsidR="00C36261" w:rsidRPr="001B0754" w14:paraId="540BBB9B" w14:textId="77777777" w:rsidTr="005105AC">
        <w:trPr>
          <w:trHeight w:val="98"/>
          <w:jc w:val="center"/>
        </w:trPr>
        <w:tc>
          <w:tcPr>
            <w:tcW w:w="2026" w:type="dxa"/>
            <w:tcBorders>
              <w:top w:val="nil"/>
              <w:left w:val="nil"/>
              <w:bottom w:val="nil"/>
              <w:right w:val="nil"/>
            </w:tcBorders>
            <w:shd w:val="clear" w:color="000000" w:fill="EDEDED"/>
            <w:noWrap/>
            <w:vAlign w:val="bottom"/>
            <w:hideMark/>
          </w:tcPr>
          <w:p w14:paraId="702608D9" w14:textId="77777777" w:rsidR="00C36261" w:rsidRPr="001B0754" w:rsidRDefault="00C36261" w:rsidP="006A7377">
            <w:pPr>
              <w:rPr>
                <w:b/>
                <w:bCs/>
                <w:color w:val="000000"/>
                <w:sz w:val="16"/>
                <w:szCs w:val="16"/>
              </w:rPr>
            </w:pPr>
            <w:r w:rsidRPr="001B0754">
              <w:rPr>
                <w:b/>
                <w:bCs/>
                <w:color w:val="000000"/>
                <w:sz w:val="16"/>
                <w:szCs w:val="16"/>
              </w:rPr>
              <w:t>Volcán</w:t>
            </w:r>
          </w:p>
        </w:tc>
        <w:tc>
          <w:tcPr>
            <w:tcW w:w="5306" w:type="dxa"/>
            <w:gridSpan w:val="6"/>
            <w:tcBorders>
              <w:top w:val="nil"/>
              <w:left w:val="single" w:sz="4" w:space="0" w:color="auto"/>
              <w:bottom w:val="nil"/>
              <w:right w:val="nil"/>
            </w:tcBorders>
            <w:shd w:val="clear" w:color="000000" w:fill="EDEDED"/>
            <w:noWrap/>
            <w:vAlign w:val="bottom"/>
            <w:hideMark/>
          </w:tcPr>
          <w:p w14:paraId="7E2E5F52" w14:textId="77777777" w:rsidR="00C36261" w:rsidRPr="001B0754" w:rsidRDefault="00C36261" w:rsidP="006A7377">
            <w:pPr>
              <w:jc w:val="center"/>
              <w:rPr>
                <w:b/>
                <w:bCs/>
                <w:color w:val="000000"/>
                <w:sz w:val="16"/>
                <w:szCs w:val="16"/>
              </w:rPr>
            </w:pPr>
            <w:r w:rsidRPr="001B0754">
              <w:rPr>
                <w:b/>
                <w:bCs/>
                <w:color w:val="000000"/>
                <w:sz w:val="16"/>
                <w:szCs w:val="16"/>
              </w:rPr>
              <w:t xml:space="preserve"> Daño de 0.3% con respecto al PIB</w:t>
            </w:r>
          </w:p>
        </w:tc>
      </w:tr>
      <w:tr w:rsidR="00866BDD" w:rsidRPr="001B0754" w14:paraId="2E8EBBA2" w14:textId="77777777" w:rsidTr="005105AC">
        <w:trPr>
          <w:trHeight w:val="98"/>
          <w:jc w:val="center"/>
        </w:trPr>
        <w:tc>
          <w:tcPr>
            <w:tcW w:w="2026" w:type="dxa"/>
            <w:tcBorders>
              <w:top w:val="nil"/>
              <w:left w:val="nil"/>
              <w:bottom w:val="nil"/>
              <w:right w:val="nil"/>
            </w:tcBorders>
            <w:shd w:val="clear" w:color="auto" w:fill="auto"/>
            <w:noWrap/>
            <w:vAlign w:val="bottom"/>
            <w:hideMark/>
          </w:tcPr>
          <w:p w14:paraId="61291C06" w14:textId="77777777" w:rsidR="00866BDD" w:rsidRPr="001B0754" w:rsidRDefault="00866BDD" w:rsidP="00866BDD">
            <w:pPr>
              <w:ind w:firstLineChars="100" w:firstLine="160"/>
              <w:rPr>
                <w:color w:val="000000"/>
                <w:sz w:val="16"/>
                <w:szCs w:val="16"/>
              </w:rPr>
            </w:pPr>
            <w:r w:rsidRPr="001B0754">
              <w:rPr>
                <w:color w:val="000000"/>
                <w:sz w:val="16"/>
                <w:szCs w:val="16"/>
              </w:rPr>
              <w:t xml:space="preserve">Crecimiento </w:t>
            </w:r>
          </w:p>
        </w:tc>
        <w:tc>
          <w:tcPr>
            <w:tcW w:w="781" w:type="dxa"/>
            <w:tcBorders>
              <w:top w:val="nil"/>
              <w:left w:val="single" w:sz="4" w:space="0" w:color="auto"/>
              <w:bottom w:val="nil"/>
              <w:right w:val="nil"/>
            </w:tcBorders>
            <w:shd w:val="clear" w:color="auto" w:fill="auto"/>
            <w:noWrap/>
            <w:hideMark/>
          </w:tcPr>
          <w:p w14:paraId="0124EF8B" w14:textId="32D8358D" w:rsidR="00866BDD" w:rsidRPr="001B0754" w:rsidRDefault="00866BDD" w:rsidP="00866BDD">
            <w:pPr>
              <w:jc w:val="center"/>
              <w:rPr>
                <w:color w:val="000000"/>
                <w:sz w:val="16"/>
                <w:szCs w:val="16"/>
              </w:rPr>
            </w:pPr>
            <w:r w:rsidRPr="001B0754">
              <w:rPr>
                <w:sz w:val="16"/>
                <w:szCs w:val="16"/>
              </w:rPr>
              <w:t>3.5</w:t>
            </w:r>
          </w:p>
        </w:tc>
        <w:tc>
          <w:tcPr>
            <w:tcW w:w="903" w:type="dxa"/>
            <w:tcBorders>
              <w:top w:val="nil"/>
              <w:left w:val="nil"/>
              <w:bottom w:val="nil"/>
              <w:right w:val="nil"/>
            </w:tcBorders>
            <w:shd w:val="clear" w:color="auto" w:fill="auto"/>
            <w:noWrap/>
            <w:hideMark/>
          </w:tcPr>
          <w:p w14:paraId="0106676A" w14:textId="13983103" w:rsidR="00866BDD" w:rsidRPr="001B0754" w:rsidRDefault="00866BDD" w:rsidP="00866BDD">
            <w:pPr>
              <w:jc w:val="center"/>
              <w:rPr>
                <w:color w:val="000000"/>
                <w:sz w:val="16"/>
                <w:szCs w:val="16"/>
              </w:rPr>
            </w:pPr>
            <w:r w:rsidRPr="001B0754">
              <w:rPr>
                <w:sz w:val="16"/>
                <w:szCs w:val="16"/>
              </w:rPr>
              <w:t>2.4</w:t>
            </w:r>
          </w:p>
        </w:tc>
        <w:tc>
          <w:tcPr>
            <w:tcW w:w="903" w:type="dxa"/>
            <w:tcBorders>
              <w:top w:val="nil"/>
              <w:left w:val="nil"/>
              <w:bottom w:val="nil"/>
              <w:right w:val="nil"/>
            </w:tcBorders>
            <w:shd w:val="clear" w:color="auto" w:fill="auto"/>
            <w:noWrap/>
            <w:hideMark/>
          </w:tcPr>
          <w:p w14:paraId="6DB9FEA9" w14:textId="2F13A08A" w:rsidR="00866BDD" w:rsidRPr="001B0754" w:rsidRDefault="00866BDD" w:rsidP="00866BDD">
            <w:pPr>
              <w:jc w:val="center"/>
              <w:rPr>
                <w:color w:val="000000"/>
                <w:sz w:val="16"/>
                <w:szCs w:val="16"/>
              </w:rPr>
            </w:pPr>
            <w:r w:rsidRPr="001B0754">
              <w:rPr>
                <w:sz w:val="16"/>
                <w:szCs w:val="16"/>
              </w:rPr>
              <w:t>2.6</w:t>
            </w:r>
          </w:p>
        </w:tc>
        <w:tc>
          <w:tcPr>
            <w:tcW w:w="903" w:type="dxa"/>
            <w:tcBorders>
              <w:top w:val="nil"/>
              <w:left w:val="nil"/>
              <w:bottom w:val="nil"/>
              <w:right w:val="nil"/>
            </w:tcBorders>
            <w:shd w:val="clear" w:color="auto" w:fill="auto"/>
            <w:noWrap/>
            <w:hideMark/>
          </w:tcPr>
          <w:p w14:paraId="136B84BB" w14:textId="43A250C0" w:rsidR="00866BDD" w:rsidRPr="001B0754" w:rsidRDefault="00866BDD" w:rsidP="00866BDD">
            <w:pPr>
              <w:jc w:val="center"/>
              <w:rPr>
                <w:color w:val="000000"/>
                <w:sz w:val="16"/>
                <w:szCs w:val="16"/>
              </w:rPr>
            </w:pPr>
            <w:r w:rsidRPr="001B0754">
              <w:rPr>
                <w:sz w:val="16"/>
                <w:szCs w:val="16"/>
              </w:rPr>
              <w:t>2.7</w:t>
            </w:r>
          </w:p>
        </w:tc>
        <w:tc>
          <w:tcPr>
            <w:tcW w:w="903" w:type="dxa"/>
            <w:tcBorders>
              <w:top w:val="nil"/>
              <w:left w:val="nil"/>
              <w:bottom w:val="nil"/>
              <w:right w:val="nil"/>
            </w:tcBorders>
            <w:shd w:val="clear" w:color="auto" w:fill="auto"/>
            <w:noWrap/>
            <w:hideMark/>
          </w:tcPr>
          <w:p w14:paraId="1ECFB14F" w14:textId="465745C9" w:rsidR="00866BDD" w:rsidRPr="001B0754" w:rsidRDefault="00866BDD" w:rsidP="00866BDD">
            <w:pPr>
              <w:jc w:val="center"/>
              <w:rPr>
                <w:color w:val="000000"/>
                <w:sz w:val="16"/>
                <w:szCs w:val="16"/>
              </w:rPr>
            </w:pPr>
            <w:r w:rsidRPr="001B0754">
              <w:rPr>
                <w:sz w:val="16"/>
                <w:szCs w:val="16"/>
              </w:rPr>
              <w:t>2.7</w:t>
            </w:r>
          </w:p>
        </w:tc>
        <w:tc>
          <w:tcPr>
            <w:tcW w:w="910" w:type="dxa"/>
            <w:tcBorders>
              <w:top w:val="nil"/>
              <w:left w:val="nil"/>
              <w:bottom w:val="nil"/>
              <w:right w:val="nil"/>
            </w:tcBorders>
            <w:shd w:val="clear" w:color="auto" w:fill="auto"/>
            <w:noWrap/>
            <w:hideMark/>
          </w:tcPr>
          <w:p w14:paraId="20D1E018" w14:textId="7F3B0124" w:rsidR="00866BDD" w:rsidRPr="001B0754" w:rsidRDefault="00866BDD" w:rsidP="00866BDD">
            <w:pPr>
              <w:jc w:val="center"/>
              <w:rPr>
                <w:color w:val="000000"/>
                <w:sz w:val="16"/>
                <w:szCs w:val="16"/>
              </w:rPr>
            </w:pPr>
            <w:r w:rsidRPr="001B0754">
              <w:rPr>
                <w:sz w:val="16"/>
                <w:szCs w:val="16"/>
              </w:rPr>
              <w:t>2.7</w:t>
            </w:r>
          </w:p>
        </w:tc>
      </w:tr>
      <w:tr w:rsidR="00866BDD" w:rsidRPr="001B0754" w14:paraId="1D322A60" w14:textId="77777777" w:rsidTr="005105AC">
        <w:trPr>
          <w:trHeight w:val="98"/>
          <w:jc w:val="center"/>
        </w:trPr>
        <w:tc>
          <w:tcPr>
            <w:tcW w:w="2026" w:type="dxa"/>
            <w:tcBorders>
              <w:top w:val="nil"/>
              <w:left w:val="nil"/>
              <w:bottom w:val="nil"/>
              <w:right w:val="nil"/>
            </w:tcBorders>
            <w:shd w:val="clear" w:color="auto" w:fill="auto"/>
            <w:noWrap/>
            <w:vAlign w:val="bottom"/>
            <w:hideMark/>
          </w:tcPr>
          <w:p w14:paraId="34C0F132" w14:textId="77777777" w:rsidR="00866BDD" w:rsidRPr="001B0754" w:rsidRDefault="00866BDD" w:rsidP="00866BDD">
            <w:pPr>
              <w:ind w:firstLineChars="100" w:firstLine="160"/>
              <w:rPr>
                <w:color w:val="000000"/>
                <w:sz w:val="16"/>
                <w:szCs w:val="16"/>
              </w:rPr>
            </w:pPr>
            <w:r w:rsidRPr="001B0754">
              <w:rPr>
                <w:color w:val="000000"/>
                <w:sz w:val="16"/>
                <w:szCs w:val="16"/>
              </w:rPr>
              <w:t>Déficit (%PIB)</w:t>
            </w:r>
          </w:p>
        </w:tc>
        <w:tc>
          <w:tcPr>
            <w:tcW w:w="781" w:type="dxa"/>
            <w:tcBorders>
              <w:top w:val="nil"/>
              <w:left w:val="single" w:sz="4" w:space="0" w:color="auto"/>
              <w:bottom w:val="nil"/>
              <w:right w:val="nil"/>
            </w:tcBorders>
            <w:shd w:val="clear" w:color="auto" w:fill="auto"/>
            <w:noWrap/>
            <w:hideMark/>
          </w:tcPr>
          <w:p w14:paraId="68F1DF9B" w14:textId="5EC6E20F" w:rsidR="00866BDD" w:rsidRPr="001B0754" w:rsidRDefault="00866BDD" w:rsidP="00866BDD">
            <w:pPr>
              <w:jc w:val="center"/>
              <w:rPr>
                <w:color w:val="000000"/>
                <w:sz w:val="16"/>
                <w:szCs w:val="16"/>
              </w:rPr>
            </w:pPr>
            <w:r w:rsidRPr="001B0754">
              <w:rPr>
                <w:sz w:val="16"/>
                <w:szCs w:val="16"/>
              </w:rPr>
              <w:t>1.7</w:t>
            </w:r>
          </w:p>
        </w:tc>
        <w:tc>
          <w:tcPr>
            <w:tcW w:w="903" w:type="dxa"/>
            <w:tcBorders>
              <w:top w:val="nil"/>
              <w:left w:val="nil"/>
              <w:bottom w:val="nil"/>
              <w:right w:val="nil"/>
            </w:tcBorders>
            <w:shd w:val="clear" w:color="auto" w:fill="auto"/>
            <w:noWrap/>
            <w:hideMark/>
          </w:tcPr>
          <w:p w14:paraId="221C3259" w14:textId="0BD53DD7" w:rsidR="00866BDD" w:rsidRPr="001B0754" w:rsidRDefault="00866BDD" w:rsidP="00866BDD">
            <w:pPr>
              <w:jc w:val="center"/>
              <w:rPr>
                <w:color w:val="000000"/>
                <w:sz w:val="16"/>
                <w:szCs w:val="16"/>
              </w:rPr>
            </w:pPr>
            <w:r w:rsidRPr="001B0754">
              <w:rPr>
                <w:sz w:val="16"/>
                <w:szCs w:val="16"/>
              </w:rPr>
              <w:t>1.8</w:t>
            </w:r>
          </w:p>
        </w:tc>
        <w:tc>
          <w:tcPr>
            <w:tcW w:w="903" w:type="dxa"/>
            <w:tcBorders>
              <w:top w:val="nil"/>
              <w:left w:val="nil"/>
              <w:bottom w:val="nil"/>
              <w:right w:val="nil"/>
            </w:tcBorders>
            <w:shd w:val="clear" w:color="auto" w:fill="auto"/>
            <w:noWrap/>
            <w:hideMark/>
          </w:tcPr>
          <w:p w14:paraId="2EC44F88" w14:textId="625BF7D3" w:rsidR="00866BDD" w:rsidRPr="001B0754" w:rsidRDefault="00866BDD" w:rsidP="00866BDD">
            <w:pPr>
              <w:jc w:val="center"/>
              <w:rPr>
                <w:color w:val="000000"/>
                <w:sz w:val="16"/>
                <w:szCs w:val="16"/>
              </w:rPr>
            </w:pPr>
            <w:r w:rsidRPr="001B0754">
              <w:rPr>
                <w:sz w:val="16"/>
                <w:szCs w:val="16"/>
              </w:rPr>
              <w:t>1.3</w:t>
            </w:r>
          </w:p>
        </w:tc>
        <w:tc>
          <w:tcPr>
            <w:tcW w:w="903" w:type="dxa"/>
            <w:tcBorders>
              <w:top w:val="nil"/>
              <w:left w:val="nil"/>
              <w:bottom w:val="nil"/>
              <w:right w:val="nil"/>
            </w:tcBorders>
            <w:shd w:val="clear" w:color="auto" w:fill="auto"/>
            <w:noWrap/>
            <w:hideMark/>
          </w:tcPr>
          <w:p w14:paraId="3C2BEE05" w14:textId="7CFA96B1" w:rsidR="00866BDD" w:rsidRPr="001B0754" w:rsidRDefault="00866BDD" w:rsidP="00866BDD">
            <w:pPr>
              <w:jc w:val="center"/>
              <w:rPr>
                <w:color w:val="000000"/>
                <w:sz w:val="16"/>
                <w:szCs w:val="16"/>
              </w:rPr>
            </w:pPr>
            <w:r w:rsidRPr="001B0754">
              <w:rPr>
                <w:sz w:val="16"/>
                <w:szCs w:val="16"/>
              </w:rPr>
              <w:t>0.8</w:t>
            </w:r>
          </w:p>
        </w:tc>
        <w:tc>
          <w:tcPr>
            <w:tcW w:w="903" w:type="dxa"/>
            <w:tcBorders>
              <w:top w:val="nil"/>
              <w:left w:val="nil"/>
              <w:bottom w:val="nil"/>
              <w:right w:val="nil"/>
            </w:tcBorders>
            <w:shd w:val="clear" w:color="auto" w:fill="auto"/>
            <w:noWrap/>
            <w:hideMark/>
          </w:tcPr>
          <w:p w14:paraId="7C5718F1" w14:textId="6125A2E3" w:rsidR="00866BDD" w:rsidRPr="001B0754" w:rsidRDefault="00866BDD" w:rsidP="00866BDD">
            <w:pPr>
              <w:jc w:val="center"/>
              <w:rPr>
                <w:color w:val="000000"/>
                <w:sz w:val="16"/>
                <w:szCs w:val="16"/>
              </w:rPr>
            </w:pPr>
            <w:r w:rsidRPr="001B0754">
              <w:rPr>
                <w:sz w:val="16"/>
                <w:szCs w:val="16"/>
              </w:rPr>
              <w:t>0.3</w:t>
            </w:r>
          </w:p>
        </w:tc>
        <w:tc>
          <w:tcPr>
            <w:tcW w:w="910" w:type="dxa"/>
            <w:tcBorders>
              <w:top w:val="nil"/>
              <w:left w:val="nil"/>
              <w:bottom w:val="nil"/>
              <w:right w:val="nil"/>
            </w:tcBorders>
            <w:shd w:val="clear" w:color="auto" w:fill="auto"/>
            <w:noWrap/>
            <w:hideMark/>
          </w:tcPr>
          <w:p w14:paraId="3464E1AB" w14:textId="5D7B7708" w:rsidR="00866BDD" w:rsidRPr="001B0754" w:rsidRDefault="00866BDD" w:rsidP="00866BDD">
            <w:pPr>
              <w:jc w:val="center"/>
              <w:rPr>
                <w:color w:val="000000"/>
                <w:sz w:val="16"/>
                <w:szCs w:val="16"/>
              </w:rPr>
            </w:pPr>
            <w:r w:rsidRPr="001B0754">
              <w:rPr>
                <w:sz w:val="16"/>
                <w:szCs w:val="16"/>
              </w:rPr>
              <w:t>-0.1</w:t>
            </w:r>
          </w:p>
        </w:tc>
      </w:tr>
      <w:tr w:rsidR="00866BDD" w:rsidRPr="001B0754" w14:paraId="118E171A" w14:textId="77777777" w:rsidTr="005105AC">
        <w:trPr>
          <w:trHeight w:val="98"/>
          <w:jc w:val="center"/>
        </w:trPr>
        <w:tc>
          <w:tcPr>
            <w:tcW w:w="2026" w:type="dxa"/>
            <w:tcBorders>
              <w:top w:val="nil"/>
              <w:left w:val="nil"/>
              <w:bottom w:val="single" w:sz="4" w:space="0" w:color="auto"/>
              <w:right w:val="nil"/>
            </w:tcBorders>
            <w:shd w:val="clear" w:color="auto" w:fill="auto"/>
            <w:noWrap/>
            <w:vAlign w:val="bottom"/>
            <w:hideMark/>
          </w:tcPr>
          <w:p w14:paraId="289062C4" w14:textId="77777777" w:rsidR="00866BDD" w:rsidRPr="001B0754" w:rsidRDefault="00866BDD" w:rsidP="00866BDD">
            <w:pPr>
              <w:ind w:firstLineChars="100" w:firstLine="160"/>
              <w:rPr>
                <w:color w:val="000000"/>
                <w:sz w:val="16"/>
                <w:szCs w:val="16"/>
              </w:rPr>
            </w:pPr>
            <w:r w:rsidRPr="001B0754">
              <w:rPr>
                <w:color w:val="000000"/>
                <w:sz w:val="16"/>
                <w:szCs w:val="16"/>
              </w:rPr>
              <w:t>Deuda (%PIB)</w:t>
            </w:r>
          </w:p>
        </w:tc>
        <w:tc>
          <w:tcPr>
            <w:tcW w:w="781" w:type="dxa"/>
            <w:tcBorders>
              <w:top w:val="nil"/>
              <w:left w:val="single" w:sz="4" w:space="0" w:color="auto"/>
              <w:bottom w:val="single" w:sz="4" w:space="0" w:color="auto"/>
              <w:right w:val="nil"/>
            </w:tcBorders>
            <w:shd w:val="clear" w:color="auto" w:fill="auto"/>
            <w:noWrap/>
            <w:hideMark/>
          </w:tcPr>
          <w:p w14:paraId="4629D464" w14:textId="5DD3D9A8" w:rsidR="00866BDD" w:rsidRPr="001B0754" w:rsidRDefault="00866BDD" w:rsidP="00866BDD">
            <w:pPr>
              <w:jc w:val="center"/>
              <w:rPr>
                <w:color w:val="000000"/>
                <w:sz w:val="16"/>
                <w:szCs w:val="16"/>
              </w:rPr>
            </w:pPr>
            <w:r w:rsidRPr="001B0754">
              <w:rPr>
                <w:sz w:val="16"/>
                <w:szCs w:val="16"/>
              </w:rPr>
              <w:t>28.4</w:t>
            </w:r>
          </w:p>
        </w:tc>
        <w:tc>
          <w:tcPr>
            <w:tcW w:w="903" w:type="dxa"/>
            <w:tcBorders>
              <w:top w:val="nil"/>
              <w:left w:val="nil"/>
              <w:bottom w:val="single" w:sz="4" w:space="0" w:color="auto"/>
              <w:right w:val="nil"/>
            </w:tcBorders>
            <w:shd w:val="clear" w:color="auto" w:fill="auto"/>
            <w:noWrap/>
            <w:hideMark/>
          </w:tcPr>
          <w:p w14:paraId="4DC5DC57" w14:textId="18CE3045" w:rsidR="00866BDD" w:rsidRPr="001B0754" w:rsidRDefault="00866BDD" w:rsidP="00866BDD">
            <w:pPr>
              <w:jc w:val="center"/>
              <w:rPr>
                <w:color w:val="000000"/>
                <w:sz w:val="16"/>
                <w:szCs w:val="16"/>
              </w:rPr>
            </w:pPr>
            <w:r w:rsidRPr="001B0754">
              <w:rPr>
                <w:sz w:val="16"/>
                <w:szCs w:val="16"/>
              </w:rPr>
              <w:t>27.9</w:t>
            </w:r>
          </w:p>
        </w:tc>
        <w:tc>
          <w:tcPr>
            <w:tcW w:w="903" w:type="dxa"/>
            <w:tcBorders>
              <w:top w:val="nil"/>
              <w:left w:val="nil"/>
              <w:bottom w:val="single" w:sz="4" w:space="0" w:color="auto"/>
              <w:right w:val="nil"/>
            </w:tcBorders>
            <w:shd w:val="clear" w:color="auto" w:fill="auto"/>
            <w:noWrap/>
            <w:hideMark/>
          </w:tcPr>
          <w:p w14:paraId="3AA2D18B" w14:textId="628C29F1" w:rsidR="00866BDD" w:rsidRPr="001B0754" w:rsidRDefault="00866BDD" w:rsidP="00866BDD">
            <w:pPr>
              <w:jc w:val="center"/>
              <w:rPr>
                <w:color w:val="000000"/>
                <w:sz w:val="16"/>
                <w:szCs w:val="16"/>
              </w:rPr>
            </w:pPr>
            <w:r w:rsidRPr="001B0754">
              <w:rPr>
                <w:sz w:val="16"/>
                <w:szCs w:val="16"/>
              </w:rPr>
              <w:t>27.6</w:t>
            </w:r>
          </w:p>
        </w:tc>
        <w:tc>
          <w:tcPr>
            <w:tcW w:w="903" w:type="dxa"/>
            <w:tcBorders>
              <w:top w:val="nil"/>
              <w:left w:val="nil"/>
              <w:bottom w:val="single" w:sz="4" w:space="0" w:color="auto"/>
              <w:right w:val="nil"/>
            </w:tcBorders>
            <w:shd w:val="clear" w:color="auto" w:fill="auto"/>
            <w:noWrap/>
            <w:hideMark/>
          </w:tcPr>
          <w:p w14:paraId="134D9678" w14:textId="32DDAE9F" w:rsidR="00866BDD" w:rsidRPr="001B0754" w:rsidRDefault="00866BDD" w:rsidP="00866BDD">
            <w:pPr>
              <w:jc w:val="center"/>
              <w:rPr>
                <w:color w:val="000000"/>
                <w:sz w:val="16"/>
                <w:szCs w:val="16"/>
              </w:rPr>
            </w:pPr>
            <w:r w:rsidRPr="001B0754">
              <w:rPr>
                <w:sz w:val="16"/>
                <w:szCs w:val="16"/>
              </w:rPr>
              <w:t>26.7</w:t>
            </w:r>
          </w:p>
        </w:tc>
        <w:tc>
          <w:tcPr>
            <w:tcW w:w="903" w:type="dxa"/>
            <w:tcBorders>
              <w:top w:val="nil"/>
              <w:left w:val="nil"/>
              <w:bottom w:val="single" w:sz="4" w:space="0" w:color="auto"/>
              <w:right w:val="nil"/>
            </w:tcBorders>
            <w:shd w:val="clear" w:color="auto" w:fill="auto"/>
            <w:noWrap/>
            <w:hideMark/>
          </w:tcPr>
          <w:p w14:paraId="22922C53" w14:textId="51FC3B65" w:rsidR="00866BDD" w:rsidRPr="001B0754" w:rsidRDefault="00866BDD" w:rsidP="00866BDD">
            <w:pPr>
              <w:jc w:val="center"/>
              <w:rPr>
                <w:color w:val="000000"/>
                <w:sz w:val="16"/>
                <w:szCs w:val="16"/>
              </w:rPr>
            </w:pPr>
            <w:r w:rsidRPr="001B0754">
              <w:rPr>
                <w:sz w:val="16"/>
                <w:szCs w:val="16"/>
              </w:rPr>
              <w:t>25.4</w:t>
            </w:r>
          </w:p>
        </w:tc>
        <w:tc>
          <w:tcPr>
            <w:tcW w:w="910" w:type="dxa"/>
            <w:tcBorders>
              <w:top w:val="nil"/>
              <w:left w:val="nil"/>
              <w:bottom w:val="single" w:sz="4" w:space="0" w:color="auto"/>
              <w:right w:val="nil"/>
            </w:tcBorders>
            <w:shd w:val="clear" w:color="auto" w:fill="auto"/>
            <w:noWrap/>
            <w:hideMark/>
          </w:tcPr>
          <w:p w14:paraId="5CBB1E81" w14:textId="3A7D6D5A" w:rsidR="00866BDD" w:rsidRPr="001B0754" w:rsidRDefault="00866BDD" w:rsidP="00866BDD">
            <w:pPr>
              <w:jc w:val="center"/>
              <w:rPr>
                <w:color w:val="000000"/>
                <w:sz w:val="16"/>
                <w:szCs w:val="16"/>
              </w:rPr>
            </w:pPr>
            <w:r w:rsidRPr="001B0754">
              <w:rPr>
                <w:sz w:val="16"/>
                <w:szCs w:val="16"/>
              </w:rPr>
              <w:t>23.8</w:t>
            </w:r>
          </w:p>
        </w:tc>
      </w:tr>
    </w:tbl>
    <w:p w14:paraId="13190AED" w14:textId="7EF2D229" w:rsidR="00C36261" w:rsidRDefault="00A9717E" w:rsidP="00A9717E">
      <w:pPr>
        <w:rPr>
          <w:b/>
          <w:bCs/>
          <w:lang w:eastAsia="en-US"/>
        </w:rPr>
      </w:pPr>
      <w:r>
        <w:rPr>
          <w:sz w:val="16"/>
          <w:szCs w:val="16"/>
        </w:rPr>
        <w:t xml:space="preserve">                 </w:t>
      </w:r>
      <w:r w:rsidRPr="00A9717E">
        <w:rPr>
          <w:sz w:val="16"/>
          <w:szCs w:val="16"/>
        </w:rPr>
        <w:t>Fuente: Ministerio de Finanzas</w:t>
      </w:r>
    </w:p>
    <w:p w14:paraId="42C4EEB4" w14:textId="2310BC0C" w:rsidR="00C36261" w:rsidRPr="00447AA7" w:rsidRDefault="00C36261" w:rsidP="000E01EC">
      <w:pPr>
        <w:pStyle w:val="Ttulo2"/>
        <w:numPr>
          <w:ilvl w:val="1"/>
          <w:numId w:val="35"/>
        </w:numPr>
        <w:ind w:left="426" w:hanging="284"/>
        <w:rPr>
          <w:bCs/>
        </w:rPr>
      </w:pPr>
      <w:bookmarkStart w:id="858" w:name="_Toc144114476"/>
      <w:r w:rsidRPr="00447AA7">
        <w:rPr>
          <w:bCs/>
        </w:rPr>
        <w:lastRenderedPageBreak/>
        <w:t xml:space="preserve">Estrategia </w:t>
      </w:r>
      <w:r w:rsidR="002E7071">
        <w:rPr>
          <w:bCs/>
        </w:rPr>
        <w:t>f</w:t>
      </w:r>
      <w:r w:rsidRPr="00447AA7">
        <w:rPr>
          <w:bCs/>
        </w:rPr>
        <w:t>inanciera ante el riesgo de desastres</w:t>
      </w:r>
      <w:bookmarkEnd w:id="856"/>
      <w:r w:rsidRPr="00447AA7">
        <w:rPr>
          <w:bCs/>
        </w:rPr>
        <w:t xml:space="preserve"> -EFRD-</w:t>
      </w:r>
      <w:bookmarkEnd w:id="858"/>
    </w:p>
    <w:p w14:paraId="1806499B" w14:textId="77777777" w:rsidR="00C36261" w:rsidRDefault="00C36261" w:rsidP="00C36261">
      <w:pPr>
        <w:ind w:right="4"/>
        <w:jc w:val="both"/>
        <w:rPr>
          <w:lang w:val="es-ES"/>
        </w:rPr>
      </w:pPr>
    </w:p>
    <w:p w14:paraId="44428D75" w14:textId="77777777" w:rsidR="00C36261" w:rsidRDefault="00C36261" w:rsidP="00C36261">
      <w:pPr>
        <w:ind w:right="4"/>
        <w:jc w:val="both"/>
        <w:rPr>
          <w:lang w:val="es-ES"/>
        </w:rPr>
      </w:pPr>
      <w:r w:rsidRPr="00C5382D">
        <w:rPr>
          <w:lang w:val="es-ES"/>
        </w:rPr>
        <w:t>Siguiendo las mejores prácticas internacionales</w:t>
      </w:r>
      <w:r>
        <w:rPr>
          <w:lang w:val="es-ES"/>
        </w:rPr>
        <w:t xml:space="preserve"> para</w:t>
      </w:r>
      <w:r w:rsidRPr="00BF0FF9">
        <w:t xml:space="preserve"> </w:t>
      </w:r>
      <w:r w:rsidRPr="00BF0FF9">
        <w:rPr>
          <w:lang w:val="es-ES"/>
        </w:rPr>
        <w:t xml:space="preserve">administrar de manera eficiente y transparente los recursos financieros destinados a la gestión del riesgo de desastres </w:t>
      </w:r>
      <w:r>
        <w:rPr>
          <w:lang w:val="es-ES"/>
        </w:rPr>
        <w:t xml:space="preserve">provocados por fenómenos naturales, </w:t>
      </w:r>
      <w:r w:rsidRPr="00C5382D">
        <w:rPr>
          <w:lang w:val="es-ES"/>
        </w:rPr>
        <w:t>el 18 de abril de 2018, el M</w:t>
      </w:r>
      <w:r>
        <w:rPr>
          <w:lang w:val="es-ES"/>
        </w:rPr>
        <w:t>inisterio de Finanzas Públicas</w:t>
      </w:r>
      <w:r w:rsidRPr="00C5382D">
        <w:rPr>
          <w:lang w:val="es-ES"/>
        </w:rPr>
        <w:t xml:space="preserve"> aprobó una Estrategia Financiera ante el Riesgo de Desastres</w:t>
      </w:r>
      <w:r w:rsidRPr="001740C6">
        <w:rPr>
          <w:lang w:val="es-ES"/>
        </w:rPr>
        <w:t>, a través del Acuerdo Ministerial No. 206-2018. Esta estrategia aboga por la diversificación de los instrumentos financieros para responder a las emergencias y promueve la movilización eficiente</w:t>
      </w:r>
      <w:r>
        <w:rPr>
          <w:lang w:val="es-ES"/>
        </w:rPr>
        <w:t>,</w:t>
      </w:r>
      <w:r w:rsidRPr="001740C6">
        <w:rPr>
          <w:lang w:val="es-ES"/>
        </w:rPr>
        <w:t xml:space="preserve"> transparente y la ejecución de gastos relacionados con el riesgo de desastres. </w:t>
      </w:r>
    </w:p>
    <w:p w14:paraId="4839ACA7" w14:textId="77777777" w:rsidR="00C36261" w:rsidRDefault="00C36261" w:rsidP="00C36261">
      <w:pPr>
        <w:ind w:right="4"/>
        <w:jc w:val="both"/>
        <w:rPr>
          <w:lang w:val="es-ES"/>
        </w:rPr>
      </w:pPr>
    </w:p>
    <w:p w14:paraId="67A152C4" w14:textId="77777777" w:rsidR="00C36261" w:rsidRPr="00BF0FF9" w:rsidRDefault="00C36261" w:rsidP="00C36261">
      <w:pPr>
        <w:jc w:val="both"/>
        <w:rPr>
          <w:lang w:val="es-ES"/>
        </w:rPr>
      </w:pPr>
      <w:r w:rsidRPr="00BF0FF9">
        <w:rPr>
          <w:lang w:val="es-ES"/>
        </w:rPr>
        <w:t>Los instrumentos financieros pueden ser “ex ante” son lo que se establecen antes de un desastre los cuales buscan prevenir y mitigar o pueden ser “ex post” después de un desastre, se orientan a la respuesta, rehabilitación y reconstrucción.  Dichos instrumentos son;</w:t>
      </w:r>
    </w:p>
    <w:p w14:paraId="32F109B6" w14:textId="77777777" w:rsidR="00C36261" w:rsidRDefault="00C36261" w:rsidP="00C36261">
      <w:pPr>
        <w:jc w:val="both"/>
        <w:rPr>
          <w:rFonts w:asciiTheme="majorHAnsi" w:eastAsiaTheme="majorEastAsia" w:hAnsiTheme="majorHAnsi" w:cstheme="majorBidi"/>
          <w:spacing w:val="-10"/>
          <w:kern w:val="28"/>
        </w:rPr>
      </w:pPr>
    </w:p>
    <w:tbl>
      <w:tblPr>
        <w:tblStyle w:val="Tabladelista3-nfasis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3993"/>
        <w:gridCol w:w="3519"/>
      </w:tblGrid>
      <w:tr w:rsidR="00C36261" w14:paraId="4ADBC4DC" w14:textId="77777777" w:rsidTr="005105A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993" w:type="dxa"/>
            <w:tcBorders>
              <w:bottom w:val="none" w:sz="0" w:space="0" w:color="auto"/>
              <w:right w:val="none" w:sz="0" w:space="0" w:color="auto"/>
            </w:tcBorders>
            <w:shd w:val="clear" w:color="auto" w:fill="4472C4" w:themeFill="accent1"/>
            <w:vAlign w:val="center"/>
          </w:tcPr>
          <w:p w14:paraId="640E6328" w14:textId="77777777" w:rsidR="00C36261" w:rsidRPr="00583F1F" w:rsidRDefault="00C36261" w:rsidP="00785A3B">
            <w:pPr>
              <w:jc w:val="center"/>
              <w:rPr>
                <w:sz w:val="18"/>
                <w:szCs w:val="18"/>
                <w:lang w:val="es-ES"/>
              </w:rPr>
            </w:pPr>
            <w:r w:rsidRPr="00583F1F">
              <w:rPr>
                <w:sz w:val="18"/>
                <w:szCs w:val="18"/>
                <w:lang w:val="es-ES"/>
              </w:rPr>
              <w:t>EX ANTE</w:t>
            </w:r>
          </w:p>
        </w:tc>
        <w:tc>
          <w:tcPr>
            <w:cnfStyle w:val="000100001000" w:firstRow="0" w:lastRow="0" w:firstColumn="0" w:lastColumn="1" w:oddVBand="0" w:evenVBand="0" w:oddHBand="0" w:evenHBand="0" w:firstRowFirstColumn="0" w:firstRowLastColumn="1" w:lastRowFirstColumn="0" w:lastRowLastColumn="0"/>
            <w:tcW w:w="3519" w:type="dxa"/>
            <w:tcBorders>
              <w:left w:val="none" w:sz="0" w:space="0" w:color="auto"/>
              <w:bottom w:val="none" w:sz="0" w:space="0" w:color="auto"/>
            </w:tcBorders>
            <w:shd w:val="clear" w:color="auto" w:fill="4472C4" w:themeFill="accent1"/>
            <w:vAlign w:val="center"/>
          </w:tcPr>
          <w:p w14:paraId="16FEDFC8" w14:textId="77777777" w:rsidR="00C36261" w:rsidRPr="00583F1F" w:rsidRDefault="00C36261" w:rsidP="00785A3B">
            <w:pPr>
              <w:jc w:val="center"/>
              <w:rPr>
                <w:sz w:val="18"/>
                <w:szCs w:val="18"/>
                <w:lang w:val="es-ES"/>
              </w:rPr>
            </w:pPr>
            <w:r w:rsidRPr="00583F1F">
              <w:rPr>
                <w:sz w:val="18"/>
                <w:szCs w:val="18"/>
                <w:lang w:val="es-ES"/>
              </w:rPr>
              <w:t>EX POST</w:t>
            </w:r>
          </w:p>
        </w:tc>
      </w:tr>
      <w:tr w:rsidR="00C36261" w14:paraId="1AC31225" w14:textId="77777777" w:rsidTr="005105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bottom w:val="none" w:sz="0" w:space="0" w:color="auto"/>
              <w:right w:val="none" w:sz="0" w:space="0" w:color="auto"/>
            </w:tcBorders>
            <w:vAlign w:val="center"/>
          </w:tcPr>
          <w:p w14:paraId="6C1C1784" w14:textId="77777777" w:rsidR="00C36261" w:rsidRPr="00583F1F" w:rsidRDefault="00C36261" w:rsidP="00785A3B">
            <w:pPr>
              <w:jc w:val="center"/>
              <w:rPr>
                <w:b w:val="0"/>
                <w:bCs w:val="0"/>
                <w:sz w:val="18"/>
                <w:szCs w:val="18"/>
                <w:lang w:val="es-ES"/>
              </w:rPr>
            </w:pPr>
            <w:r w:rsidRPr="00583F1F">
              <w:rPr>
                <w:b w:val="0"/>
                <w:bCs w:val="0"/>
                <w:sz w:val="18"/>
                <w:szCs w:val="18"/>
                <w:lang w:val="es-ES"/>
              </w:rPr>
              <w:t>Fondos contingentes o asignaciones presupuestarias</w:t>
            </w:r>
          </w:p>
        </w:tc>
        <w:tc>
          <w:tcPr>
            <w:cnfStyle w:val="000100000000" w:firstRow="0" w:lastRow="0" w:firstColumn="0" w:lastColumn="1" w:oddVBand="0" w:evenVBand="0" w:oddHBand="0" w:evenHBand="0" w:firstRowFirstColumn="0" w:firstRowLastColumn="0" w:lastRowFirstColumn="0" w:lastRowLastColumn="0"/>
            <w:tcW w:w="3519" w:type="dxa"/>
            <w:tcBorders>
              <w:top w:val="none" w:sz="0" w:space="0" w:color="auto"/>
              <w:left w:val="none" w:sz="0" w:space="0" w:color="auto"/>
              <w:bottom w:val="none" w:sz="0" w:space="0" w:color="auto"/>
            </w:tcBorders>
            <w:vAlign w:val="center"/>
          </w:tcPr>
          <w:p w14:paraId="0CBF1CDD" w14:textId="77777777" w:rsidR="00C36261" w:rsidRPr="00583F1F" w:rsidRDefault="00C36261" w:rsidP="00785A3B">
            <w:pPr>
              <w:jc w:val="center"/>
              <w:rPr>
                <w:b w:val="0"/>
                <w:bCs w:val="0"/>
                <w:sz w:val="18"/>
                <w:szCs w:val="18"/>
                <w:lang w:val="es-ES"/>
              </w:rPr>
            </w:pPr>
            <w:r w:rsidRPr="00583F1F">
              <w:rPr>
                <w:b w:val="0"/>
                <w:bCs w:val="0"/>
                <w:sz w:val="18"/>
                <w:szCs w:val="18"/>
                <w:lang w:val="es-ES"/>
              </w:rPr>
              <w:t>Fondos para calamidades</w:t>
            </w:r>
          </w:p>
        </w:tc>
      </w:tr>
      <w:tr w:rsidR="00C36261" w14:paraId="7F0ABF8F" w14:textId="77777777" w:rsidTr="005105AC">
        <w:trPr>
          <w:jc w:val="center"/>
        </w:trPr>
        <w:tc>
          <w:tcPr>
            <w:cnfStyle w:val="001000000000" w:firstRow="0" w:lastRow="0" w:firstColumn="1" w:lastColumn="0" w:oddVBand="0" w:evenVBand="0" w:oddHBand="0" w:evenHBand="0" w:firstRowFirstColumn="0" w:firstRowLastColumn="0" w:lastRowFirstColumn="0" w:lastRowLastColumn="0"/>
            <w:tcW w:w="3993" w:type="dxa"/>
            <w:tcBorders>
              <w:right w:val="none" w:sz="0" w:space="0" w:color="auto"/>
            </w:tcBorders>
            <w:vAlign w:val="center"/>
          </w:tcPr>
          <w:p w14:paraId="489BD056" w14:textId="77777777" w:rsidR="00C36261" w:rsidRPr="00583F1F" w:rsidRDefault="00C36261" w:rsidP="00785A3B">
            <w:pPr>
              <w:jc w:val="center"/>
              <w:rPr>
                <w:b w:val="0"/>
                <w:bCs w:val="0"/>
                <w:sz w:val="18"/>
                <w:szCs w:val="18"/>
                <w:lang w:val="es-ES"/>
              </w:rPr>
            </w:pPr>
            <w:r w:rsidRPr="00583F1F">
              <w:rPr>
                <w:b w:val="0"/>
                <w:bCs w:val="0"/>
                <w:sz w:val="18"/>
                <w:szCs w:val="18"/>
                <w:lang w:val="es-ES"/>
              </w:rPr>
              <w:t>Líneas contingentes de crédito</w:t>
            </w:r>
          </w:p>
        </w:tc>
        <w:tc>
          <w:tcPr>
            <w:cnfStyle w:val="000100000000" w:firstRow="0" w:lastRow="0" w:firstColumn="0" w:lastColumn="1" w:oddVBand="0" w:evenVBand="0" w:oddHBand="0" w:evenHBand="0" w:firstRowFirstColumn="0" w:firstRowLastColumn="0" w:lastRowFirstColumn="0" w:lastRowLastColumn="0"/>
            <w:tcW w:w="3519" w:type="dxa"/>
            <w:tcBorders>
              <w:left w:val="none" w:sz="0" w:space="0" w:color="auto"/>
            </w:tcBorders>
            <w:vAlign w:val="center"/>
          </w:tcPr>
          <w:p w14:paraId="1C94443E" w14:textId="650F2D6F" w:rsidR="00C36261" w:rsidRPr="00583F1F" w:rsidRDefault="00C36261" w:rsidP="00785A3B">
            <w:pPr>
              <w:jc w:val="center"/>
              <w:rPr>
                <w:b w:val="0"/>
                <w:bCs w:val="0"/>
                <w:sz w:val="18"/>
                <w:szCs w:val="18"/>
                <w:lang w:val="es-ES"/>
              </w:rPr>
            </w:pPr>
            <w:r w:rsidRPr="00583F1F">
              <w:rPr>
                <w:b w:val="0"/>
                <w:bCs w:val="0"/>
                <w:sz w:val="18"/>
                <w:szCs w:val="18"/>
                <w:lang w:val="es-ES"/>
              </w:rPr>
              <w:t>Fondos para reservas</w:t>
            </w:r>
          </w:p>
        </w:tc>
      </w:tr>
      <w:tr w:rsidR="00C36261" w14:paraId="376A4A2C" w14:textId="77777777" w:rsidTr="005105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bottom w:val="none" w:sz="0" w:space="0" w:color="auto"/>
              <w:right w:val="none" w:sz="0" w:space="0" w:color="auto"/>
            </w:tcBorders>
            <w:vAlign w:val="center"/>
          </w:tcPr>
          <w:p w14:paraId="5A63C443" w14:textId="124EE0C8" w:rsidR="00C36261" w:rsidRPr="00583F1F" w:rsidRDefault="00C36261" w:rsidP="00785A3B">
            <w:pPr>
              <w:jc w:val="center"/>
              <w:rPr>
                <w:b w:val="0"/>
                <w:bCs w:val="0"/>
                <w:sz w:val="18"/>
                <w:szCs w:val="18"/>
                <w:lang w:val="es-ES"/>
              </w:rPr>
            </w:pPr>
            <w:r w:rsidRPr="00583F1F">
              <w:rPr>
                <w:b w:val="0"/>
                <w:bCs w:val="0"/>
                <w:sz w:val="18"/>
                <w:szCs w:val="18"/>
                <w:lang w:val="es-ES"/>
              </w:rPr>
              <w:t>Seguros y reaseguros tradicionales y paramétricos</w:t>
            </w:r>
          </w:p>
        </w:tc>
        <w:tc>
          <w:tcPr>
            <w:cnfStyle w:val="000100000000" w:firstRow="0" w:lastRow="0" w:firstColumn="0" w:lastColumn="1" w:oddVBand="0" w:evenVBand="0" w:oddHBand="0" w:evenHBand="0" w:firstRowFirstColumn="0" w:firstRowLastColumn="0" w:lastRowFirstColumn="0" w:lastRowLastColumn="0"/>
            <w:tcW w:w="3519" w:type="dxa"/>
            <w:tcBorders>
              <w:top w:val="none" w:sz="0" w:space="0" w:color="auto"/>
              <w:left w:val="none" w:sz="0" w:space="0" w:color="auto"/>
              <w:bottom w:val="none" w:sz="0" w:space="0" w:color="auto"/>
            </w:tcBorders>
            <w:vAlign w:val="center"/>
          </w:tcPr>
          <w:p w14:paraId="406D2D29" w14:textId="77777777" w:rsidR="00C36261" w:rsidRPr="00583F1F" w:rsidRDefault="00C36261" w:rsidP="00785A3B">
            <w:pPr>
              <w:jc w:val="center"/>
              <w:rPr>
                <w:b w:val="0"/>
                <w:bCs w:val="0"/>
                <w:sz w:val="18"/>
                <w:szCs w:val="18"/>
                <w:lang w:val="es-ES"/>
              </w:rPr>
            </w:pPr>
            <w:r w:rsidRPr="00583F1F">
              <w:rPr>
                <w:b w:val="0"/>
                <w:bCs w:val="0"/>
                <w:sz w:val="18"/>
                <w:szCs w:val="18"/>
                <w:lang w:val="es-ES"/>
              </w:rPr>
              <w:t>Créditos contingentes</w:t>
            </w:r>
          </w:p>
        </w:tc>
      </w:tr>
      <w:tr w:rsidR="00C36261" w14:paraId="4ACB1D92" w14:textId="77777777" w:rsidTr="005105AC">
        <w:trPr>
          <w:jc w:val="center"/>
        </w:trPr>
        <w:tc>
          <w:tcPr>
            <w:cnfStyle w:val="001000000000" w:firstRow="0" w:lastRow="0" w:firstColumn="1" w:lastColumn="0" w:oddVBand="0" w:evenVBand="0" w:oddHBand="0" w:evenHBand="0" w:firstRowFirstColumn="0" w:firstRowLastColumn="0" w:lastRowFirstColumn="0" w:lastRowLastColumn="0"/>
            <w:tcW w:w="3993" w:type="dxa"/>
            <w:tcBorders>
              <w:right w:val="none" w:sz="0" w:space="0" w:color="auto"/>
            </w:tcBorders>
            <w:vAlign w:val="center"/>
          </w:tcPr>
          <w:p w14:paraId="03AC5061" w14:textId="771209E2" w:rsidR="00C36261" w:rsidRPr="00583F1F" w:rsidRDefault="00C36261" w:rsidP="00785A3B">
            <w:pPr>
              <w:jc w:val="center"/>
              <w:rPr>
                <w:b w:val="0"/>
                <w:bCs w:val="0"/>
                <w:sz w:val="18"/>
                <w:szCs w:val="18"/>
                <w:lang w:val="es-ES"/>
              </w:rPr>
            </w:pPr>
            <w:r w:rsidRPr="00583F1F">
              <w:rPr>
                <w:b w:val="0"/>
                <w:bCs w:val="0"/>
                <w:sz w:val="18"/>
                <w:szCs w:val="18"/>
                <w:lang w:val="es-ES"/>
              </w:rPr>
              <w:t>Préstamos para prevención</w:t>
            </w:r>
          </w:p>
        </w:tc>
        <w:tc>
          <w:tcPr>
            <w:cnfStyle w:val="000100000000" w:firstRow="0" w:lastRow="0" w:firstColumn="0" w:lastColumn="1" w:oddVBand="0" w:evenVBand="0" w:oddHBand="0" w:evenHBand="0" w:firstRowFirstColumn="0" w:firstRowLastColumn="0" w:lastRowFirstColumn="0" w:lastRowLastColumn="0"/>
            <w:tcW w:w="3519" w:type="dxa"/>
            <w:tcBorders>
              <w:left w:val="none" w:sz="0" w:space="0" w:color="auto"/>
            </w:tcBorders>
            <w:vAlign w:val="center"/>
          </w:tcPr>
          <w:p w14:paraId="04945D47" w14:textId="77777777" w:rsidR="00C36261" w:rsidRPr="00583F1F" w:rsidRDefault="00C36261" w:rsidP="00785A3B">
            <w:pPr>
              <w:jc w:val="center"/>
              <w:rPr>
                <w:b w:val="0"/>
                <w:bCs w:val="0"/>
                <w:sz w:val="18"/>
                <w:szCs w:val="18"/>
                <w:lang w:val="es-ES"/>
              </w:rPr>
            </w:pPr>
            <w:r w:rsidRPr="00583F1F">
              <w:rPr>
                <w:b w:val="0"/>
                <w:bCs w:val="0"/>
                <w:sz w:val="18"/>
                <w:szCs w:val="18"/>
                <w:lang w:val="es-ES"/>
              </w:rPr>
              <w:t>Préstamos para reconstrucción</w:t>
            </w:r>
          </w:p>
        </w:tc>
      </w:tr>
      <w:tr w:rsidR="00C36261" w14:paraId="5B7E7DB9" w14:textId="77777777" w:rsidTr="005105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bottom w:val="none" w:sz="0" w:space="0" w:color="auto"/>
              <w:right w:val="none" w:sz="0" w:space="0" w:color="auto"/>
            </w:tcBorders>
            <w:vAlign w:val="center"/>
          </w:tcPr>
          <w:p w14:paraId="6D3A4D64" w14:textId="0A1209E8" w:rsidR="00C36261" w:rsidRPr="00583F1F" w:rsidRDefault="00C36261" w:rsidP="00785A3B">
            <w:pPr>
              <w:jc w:val="center"/>
              <w:rPr>
                <w:b w:val="0"/>
                <w:bCs w:val="0"/>
                <w:sz w:val="18"/>
                <w:szCs w:val="18"/>
                <w:lang w:val="es-ES"/>
              </w:rPr>
            </w:pPr>
            <w:r w:rsidRPr="00583F1F">
              <w:rPr>
                <w:b w:val="0"/>
                <w:bCs w:val="0"/>
                <w:sz w:val="18"/>
                <w:szCs w:val="18"/>
                <w:lang w:val="es-ES"/>
              </w:rPr>
              <w:t>Préstamos para inversión</w:t>
            </w:r>
          </w:p>
        </w:tc>
        <w:tc>
          <w:tcPr>
            <w:cnfStyle w:val="000100000000" w:firstRow="0" w:lastRow="0" w:firstColumn="0" w:lastColumn="1" w:oddVBand="0" w:evenVBand="0" w:oddHBand="0" w:evenHBand="0" w:firstRowFirstColumn="0" w:firstRowLastColumn="0" w:lastRowFirstColumn="0" w:lastRowLastColumn="0"/>
            <w:tcW w:w="3519" w:type="dxa"/>
            <w:tcBorders>
              <w:top w:val="none" w:sz="0" w:space="0" w:color="auto"/>
              <w:left w:val="none" w:sz="0" w:space="0" w:color="auto"/>
              <w:bottom w:val="none" w:sz="0" w:space="0" w:color="auto"/>
            </w:tcBorders>
            <w:vAlign w:val="center"/>
          </w:tcPr>
          <w:p w14:paraId="70B7EFFC" w14:textId="77777777" w:rsidR="00C36261" w:rsidRPr="00583F1F" w:rsidRDefault="00C36261" w:rsidP="00785A3B">
            <w:pPr>
              <w:jc w:val="center"/>
              <w:rPr>
                <w:b w:val="0"/>
                <w:bCs w:val="0"/>
                <w:sz w:val="18"/>
                <w:szCs w:val="18"/>
                <w:lang w:val="es-ES"/>
              </w:rPr>
            </w:pPr>
            <w:r w:rsidRPr="00583F1F">
              <w:rPr>
                <w:b w:val="0"/>
                <w:bCs w:val="0"/>
                <w:sz w:val="18"/>
                <w:szCs w:val="18"/>
                <w:lang w:val="es-ES"/>
              </w:rPr>
              <w:t>Asignación presupuestaria de emergencia</w:t>
            </w:r>
          </w:p>
        </w:tc>
      </w:tr>
    </w:tbl>
    <w:p w14:paraId="1EAA00B2" w14:textId="77777777" w:rsidR="00C36261" w:rsidRPr="00BF0FF9" w:rsidRDefault="00C36261" w:rsidP="00C36261">
      <w:pPr>
        <w:tabs>
          <w:tab w:val="left" w:pos="3615"/>
        </w:tabs>
        <w:jc w:val="both"/>
        <w:rPr>
          <w:sz w:val="20"/>
          <w:szCs w:val="20"/>
          <w:lang w:val="es-ES"/>
        </w:rPr>
      </w:pPr>
    </w:p>
    <w:p w14:paraId="7AE96202" w14:textId="77777777" w:rsidR="00C36261" w:rsidRPr="001740C6" w:rsidRDefault="00C36261" w:rsidP="00C36261">
      <w:pPr>
        <w:tabs>
          <w:tab w:val="left" w:pos="1635"/>
        </w:tabs>
        <w:contextualSpacing/>
        <w:jc w:val="both"/>
        <w:rPr>
          <w:lang w:val="es-ES"/>
        </w:rPr>
      </w:pPr>
      <w:r w:rsidRPr="00BF0FF9">
        <w:rPr>
          <w:lang w:val="es-ES"/>
        </w:rPr>
        <w:t xml:space="preserve">A nivel internacional el sector financiero ha permitido la creación de distintas alternativas para enfrentar las pérdidas causadas por fenómenos naturales como terremotos, huracanes, inundaciones, entre otros, lo que hace que los gobiernos tengan diferentes opciones para transferir el riesgo a través de distintas opciones financieras, reflejo de esto es </w:t>
      </w:r>
      <w:r>
        <w:rPr>
          <w:lang w:val="es-ES"/>
        </w:rPr>
        <w:t>que, d</w:t>
      </w:r>
      <w:r w:rsidRPr="001740C6">
        <w:rPr>
          <w:lang w:val="es-ES"/>
        </w:rPr>
        <w:t>entro del marco de la Estrategia Financiera</w:t>
      </w:r>
      <w:r>
        <w:rPr>
          <w:lang w:val="es-ES"/>
        </w:rPr>
        <w:t xml:space="preserve"> ante el Riesgo de Desastres</w:t>
      </w:r>
      <w:r w:rsidRPr="001740C6">
        <w:rPr>
          <w:lang w:val="es-ES"/>
        </w:rPr>
        <w:t xml:space="preserve">, actualmente se ha avanzado en la implementación del Plan Operativo en donde dentro de seis líneas estratégicas se establecen actividades, productos, responsables y plazos para la consecución de los objetivos establecidos. </w:t>
      </w:r>
    </w:p>
    <w:p w14:paraId="6661F384" w14:textId="77777777" w:rsidR="00C36261" w:rsidRPr="001740C6" w:rsidRDefault="00C36261" w:rsidP="00C36261">
      <w:pPr>
        <w:ind w:right="4"/>
        <w:jc w:val="both"/>
        <w:rPr>
          <w:lang w:val="es-ES"/>
        </w:rPr>
      </w:pPr>
    </w:p>
    <w:p w14:paraId="56C7F47B" w14:textId="77777777" w:rsidR="00C36261" w:rsidRPr="001740C6" w:rsidRDefault="00C36261" w:rsidP="00C36261">
      <w:pPr>
        <w:ind w:right="4"/>
        <w:jc w:val="both"/>
        <w:rPr>
          <w:lang w:val="es-ES"/>
        </w:rPr>
      </w:pPr>
      <w:r w:rsidRPr="001740C6">
        <w:rPr>
          <w:lang w:val="es-ES"/>
        </w:rPr>
        <w:t xml:space="preserve">Las seis líneas estratégicas tiene una relación directa para abordar de forma integral el tema de riesgos fiscales frente a desastres, siendo estas; LE1: Conocimiento sobre amenaza, vulnerabilidad, exposición y riesgo, LE2: Identificación de instrumentos como Fondos de Emergencia, Seguros y Créditos </w:t>
      </w:r>
      <w:r>
        <w:rPr>
          <w:lang w:val="es-ES"/>
        </w:rPr>
        <w:t>C</w:t>
      </w:r>
      <w:r w:rsidRPr="001740C6">
        <w:rPr>
          <w:lang w:val="es-ES"/>
        </w:rPr>
        <w:t>ontingentes, LE3: Seguros Catastróficos, pasivos contingentes del Estado, sector público y privado, LE4: Ejecución eficiente y transparente, clasificadores temáticos y mecanismos de compras y contrataciones eficiente</w:t>
      </w:r>
      <w:r>
        <w:rPr>
          <w:lang w:val="es-ES"/>
        </w:rPr>
        <w:t>s</w:t>
      </w:r>
      <w:r w:rsidRPr="001740C6">
        <w:rPr>
          <w:lang w:val="es-ES"/>
        </w:rPr>
        <w:t xml:space="preserve">, LE5: Gestión financiera en gestión de riesgo de desastres para Gobiernos Locales y LE6: Fortalecimiento institucional del Ministerio de Finanzas Públicas para la gestión fiscal y financiera del riesgo asociado a desastres provocados por fenómenos naturales. </w:t>
      </w:r>
    </w:p>
    <w:p w14:paraId="4FFAF13E" w14:textId="77777777" w:rsidR="00C36261" w:rsidRDefault="00C36261" w:rsidP="00C36261">
      <w:pPr>
        <w:tabs>
          <w:tab w:val="left" w:pos="3615"/>
        </w:tabs>
        <w:jc w:val="both"/>
        <w:rPr>
          <w:lang w:val="es-ES"/>
        </w:rPr>
      </w:pPr>
    </w:p>
    <w:p w14:paraId="6905BA34" w14:textId="77777777" w:rsidR="00C36261" w:rsidRPr="00DB4B9E" w:rsidRDefault="00C36261" w:rsidP="00C36261">
      <w:pPr>
        <w:tabs>
          <w:tab w:val="left" w:pos="3615"/>
        </w:tabs>
        <w:jc w:val="both"/>
        <w:rPr>
          <w:lang w:val="es-ES"/>
        </w:rPr>
      </w:pPr>
      <w:r w:rsidRPr="00DB4B9E">
        <w:rPr>
          <w:lang w:val="es-ES"/>
        </w:rPr>
        <w:t>En función de lo anterior, dentro de los aspectos importantes que actualmente está trabajando el Ministerio de Finanzas Públicas para contar con cobertura ante la ocurrencia de un determinado evento producido por un</w:t>
      </w:r>
      <w:r>
        <w:rPr>
          <w:lang w:val="es-ES"/>
        </w:rPr>
        <w:t xml:space="preserve"> desastre provocado por</w:t>
      </w:r>
      <w:r w:rsidRPr="00DB4B9E">
        <w:rPr>
          <w:lang w:val="es-ES"/>
        </w:rPr>
        <w:t xml:space="preserve"> fenómeno natural, se encuentran los siguientes:</w:t>
      </w:r>
    </w:p>
    <w:p w14:paraId="791646FD" w14:textId="60D66DA8" w:rsidR="00C36261" w:rsidRDefault="00C36261" w:rsidP="00C36261">
      <w:pPr>
        <w:tabs>
          <w:tab w:val="left" w:pos="3615"/>
        </w:tabs>
        <w:rPr>
          <w:lang w:val="es-ES"/>
        </w:rPr>
      </w:pPr>
    </w:p>
    <w:p w14:paraId="1D39C077" w14:textId="4B99676D" w:rsidR="005105AC" w:rsidRDefault="005105AC" w:rsidP="00C36261">
      <w:pPr>
        <w:tabs>
          <w:tab w:val="left" w:pos="3615"/>
        </w:tabs>
        <w:rPr>
          <w:lang w:val="es-ES"/>
        </w:rPr>
      </w:pPr>
    </w:p>
    <w:p w14:paraId="5721A467" w14:textId="0B726AC2" w:rsidR="005105AC" w:rsidRDefault="005105AC" w:rsidP="00C36261">
      <w:pPr>
        <w:tabs>
          <w:tab w:val="left" w:pos="3615"/>
        </w:tabs>
        <w:rPr>
          <w:lang w:val="es-ES"/>
        </w:rPr>
      </w:pPr>
    </w:p>
    <w:p w14:paraId="3F765836" w14:textId="77777777" w:rsidR="005105AC" w:rsidRDefault="005105AC" w:rsidP="00C36261">
      <w:pPr>
        <w:tabs>
          <w:tab w:val="left" w:pos="3615"/>
        </w:tabs>
        <w:rPr>
          <w:lang w:val="es-ES"/>
        </w:rPr>
      </w:pPr>
    </w:p>
    <w:p w14:paraId="66AE5257" w14:textId="5CC187AD" w:rsidR="00C36261" w:rsidRPr="00447AA7" w:rsidRDefault="00C36261" w:rsidP="000E01EC">
      <w:pPr>
        <w:pStyle w:val="Ttulo2"/>
        <w:numPr>
          <w:ilvl w:val="2"/>
          <w:numId w:val="35"/>
        </w:numPr>
        <w:tabs>
          <w:tab w:val="left" w:pos="993"/>
        </w:tabs>
        <w:ind w:left="567" w:hanging="283"/>
        <w:rPr>
          <w:bCs/>
        </w:rPr>
      </w:pPr>
      <w:bookmarkStart w:id="859" w:name="_Toc144114477"/>
      <w:r w:rsidRPr="00447AA7">
        <w:rPr>
          <w:bCs/>
        </w:rPr>
        <w:lastRenderedPageBreak/>
        <w:t xml:space="preserve">Operativización del </w:t>
      </w:r>
      <w:r w:rsidR="002E7071">
        <w:rPr>
          <w:bCs/>
        </w:rPr>
        <w:t>p</w:t>
      </w:r>
      <w:r w:rsidR="002E7071" w:rsidRPr="00447AA7">
        <w:rPr>
          <w:bCs/>
        </w:rPr>
        <w:t>lan operativo de la estrategia financiera ante el riesgo de desastres</w:t>
      </w:r>
      <w:bookmarkEnd w:id="859"/>
    </w:p>
    <w:p w14:paraId="4899CC51" w14:textId="77777777" w:rsidR="00C36261" w:rsidRDefault="00C36261" w:rsidP="00C36261">
      <w:pPr>
        <w:rPr>
          <w:b/>
          <w:lang w:val="es-ES"/>
        </w:rPr>
      </w:pPr>
    </w:p>
    <w:p w14:paraId="4F400ACE" w14:textId="77777777" w:rsidR="00C36261" w:rsidRDefault="00C36261" w:rsidP="00C36261">
      <w:pPr>
        <w:jc w:val="both"/>
        <w:rPr>
          <w:lang w:val="es-ES"/>
        </w:rPr>
      </w:pPr>
      <w:r w:rsidRPr="00083E00">
        <w:rPr>
          <w:lang w:val="es-ES"/>
        </w:rPr>
        <w:t>El Ministerio de Finanzas Públicas a través de la Dirección de Crédito Público</w:t>
      </w:r>
      <w:r>
        <w:rPr>
          <w:lang w:val="es-ES"/>
        </w:rPr>
        <w:t xml:space="preserve"> recibió la asistencia técnica por parte del Programa Mundial de Alimentos con el objetivo de dar seguimiento de la implementación del Plan Operativo de la Estrategia Financiera de Riego ante Desastres, así como la reactivación de los encales institucionales del Plan Operativo           -PO-. </w:t>
      </w:r>
    </w:p>
    <w:p w14:paraId="66EB5055" w14:textId="77777777" w:rsidR="00C36261" w:rsidRDefault="00C36261" w:rsidP="00C36261">
      <w:pPr>
        <w:jc w:val="both"/>
        <w:rPr>
          <w:lang w:val="es-ES"/>
        </w:rPr>
      </w:pPr>
    </w:p>
    <w:p w14:paraId="6C75C25D" w14:textId="77777777" w:rsidR="00C36261" w:rsidRPr="00083E00" w:rsidRDefault="00C36261" w:rsidP="00C36261">
      <w:pPr>
        <w:jc w:val="both"/>
        <w:rPr>
          <w:lang w:val="es-ES"/>
        </w:rPr>
      </w:pPr>
      <w:r>
        <w:rPr>
          <w:lang w:val="es-ES"/>
        </w:rPr>
        <w:t xml:space="preserve">La metodología utilizada consistió en una serie de reuniones y talleres contempladas con investigación de gabinete. Con los resultados de la consultoría se lograron identificar las actividades dentro del PO que tienen mayor avance, así como las que tienen mayor dificultad para su desarrollo e implementación, así mismo se identificaron obstáculos de diseño, estructura y comunicacionales para el existo de la Estrategia. Con lo anterior la Dirección de Crédito Público tiene elementos importantes para la mejora y actualización del PO con el objetivo de continuar fortaleciendo la resiliencia económica y fiscal del país, así como su capacidad de respuesta. </w:t>
      </w:r>
    </w:p>
    <w:p w14:paraId="7CAE62CA" w14:textId="77777777" w:rsidR="00C36261" w:rsidRPr="00DB4B9E" w:rsidRDefault="00C36261" w:rsidP="00C36261">
      <w:pPr>
        <w:tabs>
          <w:tab w:val="left" w:pos="3615"/>
        </w:tabs>
        <w:rPr>
          <w:lang w:val="es-ES"/>
        </w:rPr>
      </w:pPr>
    </w:p>
    <w:p w14:paraId="4910ED12" w14:textId="2A331C99" w:rsidR="00C36261" w:rsidRPr="00447AA7" w:rsidRDefault="00C36261" w:rsidP="000E01EC">
      <w:pPr>
        <w:pStyle w:val="Ttulo2"/>
        <w:numPr>
          <w:ilvl w:val="2"/>
          <w:numId w:val="35"/>
        </w:numPr>
        <w:tabs>
          <w:tab w:val="left" w:pos="993"/>
        </w:tabs>
        <w:ind w:left="567" w:hanging="283"/>
        <w:rPr>
          <w:bCs/>
        </w:rPr>
      </w:pPr>
      <w:bookmarkStart w:id="860" w:name="_Toc144114478"/>
      <w:r w:rsidRPr="00447AA7">
        <w:rPr>
          <w:bCs/>
        </w:rPr>
        <w:t xml:space="preserve">Mecanismo de </w:t>
      </w:r>
      <w:r w:rsidR="002E7071">
        <w:rPr>
          <w:bCs/>
        </w:rPr>
        <w:t>s</w:t>
      </w:r>
      <w:r w:rsidRPr="00447AA7">
        <w:rPr>
          <w:bCs/>
        </w:rPr>
        <w:t>eguro contra riesgos de catástrofes del caribe -CCRIF-</w:t>
      </w:r>
      <w:bookmarkEnd w:id="860"/>
    </w:p>
    <w:p w14:paraId="1DC3D833" w14:textId="77777777" w:rsidR="00583F1F" w:rsidRDefault="00583F1F" w:rsidP="00583F1F">
      <w:pPr>
        <w:rPr>
          <w:b/>
          <w:i/>
        </w:rPr>
      </w:pPr>
    </w:p>
    <w:p w14:paraId="02BF97EC" w14:textId="27DB0E47" w:rsidR="00C36261" w:rsidRPr="00583F1F" w:rsidRDefault="00C36261" w:rsidP="00583F1F">
      <w:pPr>
        <w:jc w:val="both"/>
        <w:rPr>
          <w:b/>
          <w:i/>
          <w:lang w:val="es-ES"/>
        </w:rPr>
      </w:pPr>
      <w:r w:rsidRPr="00602E3C">
        <w:rPr>
          <w:b/>
          <w:i/>
          <w:lang w:val="es-ES"/>
        </w:rPr>
        <w:t>Cobertura con seguro paramétrico contra exceso de lluvias</w:t>
      </w:r>
      <w:r w:rsidR="00583F1F">
        <w:rPr>
          <w:b/>
          <w:i/>
          <w:lang w:val="es-ES"/>
        </w:rPr>
        <w:t xml:space="preserve">.  </w:t>
      </w:r>
      <w:r w:rsidRPr="00602E3C">
        <w:rPr>
          <w:lang w:val="es-ES"/>
        </w:rPr>
        <w:t>Los seguros paramétricos son contratos de seguros, cuya indemnización se basa en la intensidad del evento (ej. velocidad de los vientos huracanados, intensidad del terremoto, volumen de las precipitaciones) y en el monto de la pérdida ocasionada por el evento, calculada por un modelo predeterminado. Por ende, también permite procesar con mayor celeridad los reclamos tras el siniestro. Acá se diferencia de los seguros tradicionales que demandan hacer un avalúo in situ de las pérdidas individuales antes de proceder con el pago de la indemnización.</w:t>
      </w:r>
    </w:p>
    <w:p w14:paraId="0B33F0DC" w14:textId="77777777" w:rsidR="00C36261" w:rsidRPr="00602E3C" w:rsidRDefault="00C36261" w:rsidP="00C36261">
      <w:pPr>
        <w:jc w:val="both"/>
        <w:rPr>
          <w:lang w:val="es-ES"/>
        </w:rPr>
      </w:pPr>
    </w:p>
    <w:p w14:paraId="62ABDD45" w14:textId="77777777" w:rsidR="00C36261" w:rsidRPr="00602E3C" w:rsidRDefault="00C36261" w:rsidP="00C36261">
      <w:pPr>
        <w:jc w:val="both"/>
        <w:rPr>
          <w:lang w:val="es-ES"/>
        </w:rPr>
      </w:pPr>
      <w:r w:rsidRPr="00602E3C">
        <w:rPr>
          <w:lang w:val="es-ES"/>
        </w:rPr>
        <w:t xml:space="preserve">El CCRIF SPC es un fondo sin fines de lucro constituida por los países caribeños. Ofrece seguros paramétricos diseñados para limitar el impacto financiero de devastadores huracanes, terremotos y lluvias extremas que afectan a gobiernos caribeños y, a partir del 2015, a </w:t>
      </w:r>
      <w:r>
        <w:rPr>
          <w:lang w:val="es-ES"/>
        </w:rPr>
        <w:t>C</w:t>
      </w:r>
      <w:r w:rsidRPr="00602E3C">
        <w:rPr>
          <w:lang w:val="es-ES"/>
        </w:rPr>
        <w:t>entroamericanos también, mediante el otorgamiento inmediato de recursos líquidos cuando se activa una póliza. Es el primer fondo regional de agrupación de riesgos catastróficos en el mundo que emite pólizas paramétricas y como tal les otorga a los estados miembros la oportunidad de adquirir cobertura contra desastres naturales a un precio mucho más favorable en comparación con el costo que los gobiernos miembros hubiesen pagado por separado.</w:t>
      </w:r>
    </w:p>
    <w:p w14:paraId="76549D7C" w14:textId="77777777" w:rsidR="00C36261" w:rsidRPr="00602E3C" w:rsidRDefault="00C36261" w:rsidP="00C36261">
      <w:pPr>
        <w:jc w:val="both"/>
        <w:rPr>
          <w:lang w:val="es-ES"/>
        </w:rPr>
      </w:pPr>
    </w:p>
    <w:p w14:paraId="272A9183" w14:textId="77777777" w:rsidR="00C36261" w:rsidRDefault="00C36261" w:rsidP="00C36261">
      <w:pPr>
        <w:jc w:val="both"/>
        <w:rPr>
          <w:lang w:val="es-ES"/>
        </w:rPr>
      </w:pPr>
      <w:r w:rsidRPr="00602E3C">
        <w:rPr>
          <w:lang w:val="es-ES"/>
        </w:rPr>
        <w:t>El Gobierno de Guatemala forma parte del mecanismo desde octubre 2019, como el tercer miembro centroamericano. Guatemala adquirió un seguro paramétrico para exceso de lluvia para el año de póliza 2019/2020 y ha renovado la póliza hasta el presente año. Las renovaciones han sido las siguientes:</w:t>
      </w:r>
    </w:p>
    <w:p w14:paraId="271D24FC" w14:textId="77777777" w:rsidR="00C36261" w:rsidRPr="00602E3C" w:rsidRDefault="00C36261" w:rsidP="00C36261">
      <w:pPr>
        <w:jc w:val="both"/>
        <w:rPr>
          <w:lang w:val="es-ES"/>
        </w:rPr>
      </w:pPr>
    </w:p>
    <w:p w14:paraId="24209B95" w14:textId="77777777" w:rsidR="00C36261" w:rsidRDefault="00C36261" w:rsidP="005105AC">
      <w:pPr>
        <w:pStyle w:val="Prrafodelista"/>
        <w:widowControl w:val="0"/>
        <w:numPr>
          <w:ilvl w:val="0"/>
          <w:numId w:val="32"/>
        </w:numPr>
        <w:ind w:left="567"/>
        <w:jc w:val="both"/>
        <w:rPr>
          <w:lang w:val="es-ES"/>
        </w:rPr>
      </w:pPr>
      <w:r>
        <w:rPr>
          <w:lang w:val="es-ES"/>
        </w:rPr>
        <w:t>Periodo 2019-2020: prima de US$ 500,000 con límite de cobertura de US$4,670,204</w:t>
      </w:r>
    </w:p>
    <w:p w14:paraId="11FD7A46" w14:textId="77777777" w:rsidR="00C36261" w:rsidRPr="00485FAF" w:rsidRDefault="00C36261" w:rsidP="005105AC">
      <w:pPr>
        <w:pStyle w:val="Prrafodelista"/>
        <w:widowControl w:val="0"/>
        <w:numPr>
          <w:ilvl w:val="0"/>
          <w:numId w:val="32"/>
        </w:numPr>
        <w:ind w:left="567"/>
        <w:rPr>
          <w:lang w:val="es-ES"/>
        </w:rPr>
      </w:pPr>
      <w:r w:rsidRPr="00485FAF">
        <w:rPr>
          <w:lang w:val="es-ES"/>
        </w:rPr>
        <w:t>Período 2020-2021: prima de US$ 500,000 con límite de cobertura de</w:t>
      </w:r>
      <w:r>
        <w:rPr>
          <w:lang w:val="es-ES"/>
        </w:rPr>
        <w:t xml:space="preserve"> </w:t>
      </w:r>
      <w:r w:rsidRPr="00485FAF">
        <w:rPr>
          <w:lang w:val="es-ES"/>
        </w:rPr>
        <w:t>US$4,670,204</w:t>
      </w:r>
    </w:p>
    <w:p w14:paraId="44488C6C" w14:textId="77777777" w:rsidR="00C36261" w:rsidRPr="00485FAF" w:rsidRDefault="00C36261" w:rsidP="005105AC">
      <w:pPr>
        <w:pStyle w:val="Prrafodelista"/>
        <w:widowControl w:val="0"/>
        <w:numPr>
          <w:ilvl w:val="0"/>
          <w:numId w:val="32"/>
        </w:numPr>
        <w:ind w:left="567"/>
        <w:jc w:val="both"/>
        <w:rPr>
          <w:lang w:val="es-ES"/>
        </w:rPr>
      </w:pPr>
      <w:r>
        <w:rPr>
          <w:lang w:val="es-ES"/>
        </w:rPr>
        <w:t>Periodo 2021-2022: prima de US$ 750,000 con límite de cobertura de US$6,986,760</w:t>
      </w:r>
    </w:p>
    <w:p w14:paraId="2E3FDF88" w14:textId="057F3F5F" w:rsidR="00C36261" w:rsidRPr="00485FAF" w:rsidRDefault="00C36261" w:rsidP="005105AC">
      <w:pPr>
        <w:pStyle w:val="Prrafodelista"/>
        <w:widowControl w:val="0"/>
        <w:numPr>
          <w:ilvl w:val="0"/>
          <w:numId w:val="32"/>
        </w:numPr>
        <w:ind w:left="567"/>
        <w:jc w:val="both"/>
        <w:rPr>
          <w:lang w:val="es-ES"/>
        </w:rPr>
      </w:pPr>
      <w:bookmarkStart w:id="861" w:name="_Hlk141694113"/>
      <w:r w:rsidRPr="00485FAF">
        <w:rPr>
          <w:lang w:val="es-ES"/>
        </w:rPr>
        <w:t xml:space="preserve">Período </w:t>
      </w:r>
      <w:r>
        <w:rPr>
          <w:lang w:val="es-ES"/>
        </w:rPr>
        <w:t>2022-2023: prima de US$761,248 con límite de cobertura de US$7,160,363</w:t>
      </w:r>
    </w:p>
    <w:bookmarkEnd w:id="861"/>
    <w:p w14:paraId="39F0D3E2" w14:textId="77777777" w:rsidR="00C36261" w:rsidRPr="00602E3C" w:rsidRDefault="00C36261" w:rsidP="00C36261">
      <w:pPr>
        <w:jc w:val="both"/>
        <w:rPr>
          <w:lang w:val="es-ES"/>
        </w:rPr>
      </w:pPr>
      <w:r w:rsidRPr="00602E3C">
        <w:rPr>
          <w:lang w:val="es-ES"/>
        </w:rPr>
        <w:lastRenderedPageBreak/>
        <w:t xml:space="preserve">Para la renovación del periodo junio 2023 – 2024 la </w:t>
      </w:r>
      <w:r>
        <w:rPr>
          <w:lang w:val="es-ES"/>
        </w:rPr>
        <w:t>p</w:t>
      </w:r>
      <w:r w:rsidRPr="00602E3C">
        <w:rPr>
          <w:lang w:val="es-ES"/>
        </w:rPr>
        <w:t>óliza incluye dos endosos adicionales que introducen la capacidad de detectar eventos de exceso de lluvia que ocurren cuando el suelo está saturado (desencadenante de la estación húmeda WST por sus siglas en inglés) y eventos localizados extremos (desencadenante de eventos localizados LET por sus siglas en inglés).</w:t>
      </w:r>
    </w:p>
    <w:p w14:paraId="66FD5DF7" w14:textId="77777777" w:rsidR="00C36261" w:rsidRPr="00602E3C" w:rsidRDefault="00C36261" w:rsidP="00C36261">
      <w:pPr>
        <w:jc w:val="both"/>
        <w:rPr>
          <w:lang w:val="es-ES"/>
        </w:rPr>
      </w:pPr>
    </w:p>
    <w:p w14:paraId="2D0F4BAC" w14:textId="277CED8C" w:rsidR="00C36261" w:rsidRPr="00583F1F" w:rsidRDefault="00C36261" w:rsidP="00C36261">
      <w:pPr>
        <w:jc w:val="both"/>
        <w:rPr>
          <w:u w:val="single"/>
          <w:lang w:val="es-ES"/>
        </w:rPr>
      </w:pPr>
      <w:r w:rsidRPr="00602E3C">
        <w:rPr>
          <w:u w:val="single"/>
          <w:lang w:val="es-ES"/>
        </w:rPr>
        <w:t>Disparador de estación húmeda WST</w:t>
      </w:r>
      <w:r w:rsidR="00583F1F">
        <w:rPr>
          <w:u w:val="single"/>
          <w:lang w:val="es-ES"/>
        </w:rPr>
        <w:t>.</w:t>
      </w:r>
      <w:r w:rsidR="00583F1F" w:rsidRPr="00583F1F">
        <w:rPr>
          <w:lang w:val="es-ES"/>
        </w:rPr>
        <w:t xml:space="preserve"> </w:t>
      </w:r>
      <w:r w:rsidRPr="00602E3C">
        <w:rPr>
          <w:lang w:val="es-ES"/>
        </w:rPr>
        <w:t>Cuando ocurre una precipitación tras un per</w:t>
      </w:r>
      <w:r>
        <w:rPr>
          <w:lang w:val="es-ES"/>
        </w:rPr>
        <w:t>í</w:t>
      </w:r>
      <w:r w:rsidRPr="00602E3C">
        <w:rPr>
          <w:lang w:val="es-ES"/>
        </w:rPr>
        <w:t>odo especialmente húmedo, su efecto se ve exacerbado por la saturación del suelo. Las inundaciones sobre suelos saturados pueden suponer un riesgo importante para las comunidades y la infraestructura, ya que suelen provocar una escorrentía rápida e inesperada y un aumento de la velocidad del caudal, causando daños generalizados.</w:t>
      </w:r>
    </w:p>
    <w:p w14:paraId="3ED6D8A8" w14:textId="77777777" w:rsidR="00C36261" w:rsidRPr="00602E3C" w:rsidRDefault="00C36261" w:rsidP="00C36261">
      <w:pPr>
        <w:jc w:val="both"/>
        <w:rPr>
          <w:u w:val="single"/>
          <w:lang w:val="es-ES"/>
        </w:rPr>
      </w:pPr>
    </w:p>
    <w:p w14:paraId="3EB98E2D" w14:textId="260C4EC5" w:rsidR="00C36261" w:rsidRPr="00583F1F" w:rsidRDefault="00C36261" w:rsidP="00C36261">
      <w:pPr>
        <w:jc w:val="both"/>
        <w:rPr>
          <w:u w:val="single"/>
          <w:lang w:val="es-ES"/>
        </w:rPr>
      </w:pPr>
      <w:r w:rsidRPr="00602E3C">
        <w:rPr>
          <w:u w:val="single"/>
          <w:lang w:val="es-ES"/>
        </w:rPr>
        <w:t>Disparador de evento localizado LET</w:t>
      </w:r>
      <w:r w:rsidR="00583F1F">
        <w:rPr>
          <w:u w:val="single"/>
          <w:lang w:val="es-ES"/>
        </w:rPr>
        <w:t>.</w:t>
      </w:r>
      <w:r w:rsidRPr="00583F1F">
        <w:rPr>
          <w:lang w:val="es-ES"/>
        </w:rPr>
        <w:t xml:space="preserve"> </w:t>
      </w:r>
      <w:r w:rsidRPr="00602E3C">
        <w:rPr>
          <w:lang w:val="es-ES"/>
        </w:rPr>
        <w:t>Para identificar y cubrir eventos que no causaron pérdidas muy grandes a escala nacional pero que afectan significativamente una parte relativamente pequeña del país. Se basa en el índice local, que es la relación entre la precipitación media en la zona y la precipitación media nacional.</w:t>
      </w:r>
    </w:p>
    <w:p w14:paraId="6F90269E" w14:textId="77777777" w:rsidR="00C36261" w:rsidRDefault="00C36261" w:rsidP="00C36261">
      <w:pPr>
        <w:jc w:val="both"/>
        <w:rPr>
          <w:sz w:val="16"/>
          <w:szCs w:val="16"/>
          <w:lang w:val="es-ES"/>
        </w:rPr>
      </w:pPr>
    </w:p>
    <w:p w14:paraId="442A79AE" w14:textId="77777777" w:rsidR="00C36261" w:rsidRPr="00602E3C" w:rsidRDefault="00C36261" w:rsidP="00C36261">
      <w:pPr>
        <w:jc w:val="both"/>
        <w:rPr>
          <w:sz w:val="16"/>
          <w:szCs w:val="16"/>
          <w:lang w:val="es-ES"/>
        </w:rPr>
      </w:pPr>
    </w:p>
    <w:p w14:paraId="2C8ADDEE" w14:textId="77777777" w:rsidR="00C36261" w:rsidRPr="00602E3C" w:rsidRDefault="00C36261" w:rsidP="00C36261">
      <w:pPr>
        <w:jc w:val="center"/>
        <w:rPr>
          <w:b/>
          <w:lang w:val="es-ES"/>
        </w:rPr>
      </w:pPr>
      <w:r w:rsidRPr="00602E3C">
        <w:rPr>
          <w:b/>
          <w:lang w:val="es-ES"/>
        </w:rPr>
        <w:t>Términos y condiciones póliza 2023</w:t>
      </w:r>
    </w:p>
    <w:tbl>
      <w:tblPr>
        <w:tblStyle w:val="Tabladecuadrcula4-nfasis11"/>
        <w:tblW w:w="2971" w:type="pct"/>
        <w:tblInd w:w="1413" w:type="dxa"/>
        <w:tblLayout w:type="fixed"/>
        <w:tblLook w:val="01E0" w:firstRow="1" w:lastRow="1" w:firstColumn="1" w:lastColumn="1" w:noHBand="0" w:noVBand="0"/>
      </w:tblPr>
      <w:tblGrid>
        <w:gridCol w:w="2836"/>
        <w:gridCol w:w="2410"/>
      </w:tblGrid>
      <w:tr w:rsidR="00C36261" w:rsidRPr="00602E3C" w14:paraId="0F55E219" w14:textId="77777777" w:rsidTr="005105A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246" w:type="dxa"/>
            <w:gridSpan w:val="2"/>
          </w:tcPr>
          <w:p w14:paraId="6670C581" w14:textId="77777777" w:rsidR="00C36261" w:rsidRPr="00602E3C" w:rsidRDefault="00C36261" w:rsidP="006A7377">
            <w:pPr>
              <w:pStyle w:val="TableParagraph"/>
              <w:spacing w:line="23" w:lineRule="atLeast"/>
              <w:contextualSpacing/>
              <w:jc w:val="center"/>
              <w:rPr>
                <w:rFonts w:ascii="Times New Roman" w:hAnsi="Times New Roman" w:cs="Times New Roman"/>
                <w:b w:val="0"/>
                <w:bCs w:val="0"/>
                <w:sz w:val="24"/>
                <w:szCs w:val="24"/>
                <w:lang w:val="es-ES"/>
              </w:rPr>
            </w:pPr>
            <w:r w:rsidRPr="00602E3C">
              <w:rPr>
                <w:rFonts w:ascii="Times New Roman" w:hAnsi="Times New Roman" w:cs="Times New Roman"/>
                <w:lang w:val="es-ES"/>
              </w:rPr>
              <w:t>Cobertura por Exceso de lluvia</w:t>
            </w:r>
          </w:p>
        </w:tc>
      </w:tr>
      <w:tr w:rsidR="00C36261" w:rsidRPr="00602E3C" w14:paraId="7BCE672F" w14:textId="77777777" w:rsidTr="005105AC">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836" w:type="dxa"/>
          </w:tcPr>
          <w:p w14:paraId="6CCF92B3" w14:textId="77777777" w:rsidR="00C36261" w:rsidRPr="00583F1F" w:rsidRDefault="00C36261" w:rsidP="006A7377">
            <w:pPr>
              <w:pStyle w:val="TableParagraph"/>
              <w:spacing w:line="23" w:lineRule="atLeast"/>
              <w:ind w:left="69"/>
              <w:contextualSpacing/>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Prima neta (US$)</w:t>
            </w:r>
          </w:p>
        </w:tc>
        <w:tc>
          <w:tcPr>
            <w:cnfStyle w:val="000100000000" w:firstRow="0" w:lastRow="0" w:firstColumn="0" w:lastColumn="1" w:oddVBand="0" w:evenVBand="0" w:oddHBand="0" w:evenHBand="0" w:firstRowFirstColumn="0" w:firstRowLastColumn="0" w:lastRowFirstColumn="0" w:lastRowLastColumn="0"/>
            <w:tcW w:w="2410" w:type="dxa"/>
          </w:tcPr>
          <w:p w14:paraId="723BD103" w14:textId="77777777" w:rsidR="00C36261" w:rsidRPr="00583F1F" w:rsidRDefault="00C36261" w:rsidP="006A7377">
            <w:pPr>
              <w:pStyle w:val="TableParagraph"/>
              <w:spacing w:line="23" w:lineRule="atLeast"/>
              <w:ind w:left="281" w:right="273"/>
              <w:contextualSpacing/>
              <w:jc w:val="center"/>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$831,113</w:t>
            </w:r>
          </w:p>
        </w:tc>
      </w:tr>
      <w:tr w:rsidR="00C36261" w:rsidRPr="00602E3C" w14:paraId="7BF6D17A" w14:textId="77777777" w:rsidTr="005105AC">
        <w:trPr>
          <w:trHeight w:val="129"/>
        </w:trPr>
        <w:tc>
          <w:tcPr>
            <w:cnfStyle w:val="001000000000" w:firstRow="0" w:lastRow="0" w:firstColumn="1" w:lastColumn="0" w:oddVBand="0" w:evenVBand="0" w:oddHBand="0" w:evenHBand="0" w:firstRowFirstColumn="0" w:firstRowLastColumn="0" w:lastRowFirstColumn="0" w:lastRowLastColumn="0"/>
            <w:tcW w:w="2836" w:type="dxa"/>
          </w:tcPr>
          <w:p w14:paraId="38596318" w14:textId="77777777" w:rsidR="00C36261" w:rsidRPr="00583F1F" w:rsidRDefault="00C36261" w:rsidP="006A7377">
            <w:pPr>
              <w:pStyle w:val="TableParagraph"/>
              <w:spacing w:line="23" w:lineRule="atLeast"/>
              <w:ind w:left="69"/>
              <w:contextualSpacing/>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Período de retorno (años)</w:t>
            </w:r>
          </w:p>
        </w:tc>
        <w:tc>
          <w:tcPr>
            <w:cnfStyle w:val="000100000000" w:firstRow="0" w:lastRow="0" w:firstColumn="0" w:lastColumn="1" w:oddVBand="0" w:evenVBand="0" w:oddHBand="0" w:evenHBand="0" w:firstRowFirstColumn="0" w:firstRowLastColumn="0" w:lastRowFirstColumn="0" w:lastRowLastColumn="0"/>
            <w:tcW w:w="2410" w:type="dxa"/>
          </w:tcPr>
          <w:p w14:paraId="583B74A5" w14:textId="77777777" w:rsidR="00C36261" w:rsidRPr="00583F1F" w:rsidRDefault="00C36261" w:rsidP="006A7377">
            <w:pPr>
              <w:pStyle w:val="TableParagraph"/>
              <w:spacing w:line="23" w:lineRule="atLeast"/>
              <w:ind w:left="6"/>
              <w:contextualSpacing/>
              <w:jc w:val="center"/>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5</w:t>
            </w:r>
          </w:p>
        </w:tc>
      </w:tr>
      <w:tr w:rsidR="00C36261" w:rsidRPr="00602E3C" w14:paraId="46AD67ED" w14:textId="77777777" w:rsidTr="005105AC">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836" w:type="dxa"/>
          </w:tcPr>
          <w:p w14:paraId="46CF38F8" w14:textId="77777777" w:rsidR="00C36261" w:rsidRPr="00583F1F" w:rsidRDefault="00C36261" w:rsidP="006A7377">
            <w:pPr>
              <w:pStyle w:val="TableParagraph"/>
              <w:spacing w:line="23" w:lineRule="atLeast"/>
              <w:ind w:left="69"/>
              <w:contextualSpacing/>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Límite de cobertura (US$)</w:t>
            </w:r>
          </w:p>
        </w:tc>
        <w:tc>
          <w:tcPr>
            <w:cnfStyle w:val="000100000000" w:firstRow="0" w:lastRow="0" w:firstColumn="0" w:lastColumn="1" w:oddVBand="0" w:evenVBand="0" w:oddHBand="0" w:evenHBand="0" w:firstRowFirstColumn="0" w:firstRowLastColumn="0" w:lastRowFirstColumn="0" w:lastRowLastColumn="0"/>
            <w:tcW w:w="2410" w:type="dxa"/>
          </w:tcPr>
          <w:p w14:paraId="16C9617B" w14:textId="77777777" w:rsidR="00C36261" w:rsidRPr="00583F1F" w:rsidRDefault="00C36261" w:rsidP="006A7377">
            <w:pPr>
              <w:pStyle w:val="TableParagraph"/>
              <w:spacing w:line="23" w:lineRule="atLeast"/>
              <w:ind w:left="281" w:right="275"/>
              <w:contextualSpacing/>
              <w:jc w:val="center"/>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$5,858,298</w:t>
            </w:r>
          </w:p>
        </w:tc>
      </w:tr>
      <w:tr w:rsidR="00C36261" w:rsidRPr="00602E3C" w14:paraId="0693C721" w14:textId="77777777" w:rsidTr="005105AC">
        <w:trPr>
          <w:trHeight w:val="206"/>
        </w:trPr>
        <w:tc>
          <w:tcPr>
            <w:cnfStyle w:val="001000000000" w:firstRow="0" w:lastRow="0" w:firstColumn="1" w:lastColumn="0" w:oddVBand="0" w:evenVBand="0" w:oddHBand="0" w:evenHBand="0" w:firstRowFirstColumn="0" w:firstRowLastColumn="0" w:lastRowFirstColumn="0" w:lastRowLastColumn="0"/>
            <w:tcW w:w="2836" w:type="dxa"/>
          </w:tcPr>
          <w:p w14:paraId="0578CA70" w14:textId="77777777" w:rsidR="00C36261" w:rsidRPr="00583F1F" w:rsidRDefault="00C36261" w:rsidP="006A7377">
            <w:pPr>
              <w:pStyle w:val="TableParagraph"/>
              <w:spacing w:line="23" w:lineRule="atLeast"/>
              <w:ind w:left="69"/>
              <w:contextualSpacing/>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Endoso LET pago (US$)</w:t>
            </w:r>
          </w:p>
        </w:tc>
        <w:tc>
          <w:tcPr>
            <w:cnfStyle w:val="000100000000" w:firstRow="0" w:lastRow="0" w:firstColumn="0" w:lastColumn="1" w:oddVBand="0" w:evenVBand="0" w:oddHBand="0" w:evenHBand="0" w:firstRowFirstColumn="0" w:firstRowLastColumn="0" w:lastRowFirstColumn="0" w:lastRowLastColumn="0"/>
            <w:tcW w:w="2410" w:type="dxa"/>
          </w:tcPr>
          <w:p w14:paraId="05FAEE47" w14:textId="77777777" w:rsidR="00C36261" w:rsidRPr="00583F1F" w:rsidRDefault="00C36261" w:rsidP="006A7377">
            <w:pPr>
              <w:pStyle w:val="TableParagraph"/>
              <w:spacing w:line="23" w:lineRule="atLeast"/>
              <w:ind w:left="281" w:right="275"/>
              <w:contextualSpacing/>
              <w:jc w:val="center"/>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$231,641</w:t>
            </w:r>
          </w:p>
        </w:tc>
      </w:tr>
      <w:tr w:rsidR="00C36261" w:rsidRPr="00334421" w14:paraId="4CDB7565" w14:textId="77777777" w:rsidTr="005105AC">
        <w:trPr>
          <w:cnfStyle w:val="010000000000" w:firstRow="0" w:lastRow="1"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836" w:type="dxa"/>
          </w:tcPr>
          <w:p w14:paraId="6E4AEC57" w14:textId="77777777" w:rsidR="00C36261" w:rsidRPr="00583F1F" w:rsidRDefault="00C36261" w:rsidP="006A7377">
            <w:pPr>
              <w:pStyle w:val="TableParagraph"/>
              <w:spacing w:line="23" w:lineRule="atLeast"/>
              <w:ind w:left="69"/>
              <w:contextualSpacing/>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Endoso WST pago (US$)</w:t>
            </w:r>
          </w:p>
        </w:tc>
        <w:tc>
          <w:tcPr>
            <w:cnfStyle w:val="000100000000" w:firstRow="0" w:lastRow="0" w:firstColumn="0" w:lastColumn="1" w:oddVBand="0" w:evenVBand="0" w:oddHBand="0" w:evenHBand="0" w:firstRowFirstColumn="0" w:firstRowLastColumn="0" w:lastRowFirstColumn="0" w:lastRowLastColumn="0"/>
            <w:tcW w:w="2410" w:type="dxa"/>
          </w:tcPr>
          <w:p w14:paraId="4B59BE04" w14:textId="77777777" w:rsidR="00C36261" w:rsidRPr="00583F1F" w:rsidRDefault="00C36261" w:rsidP="006A7377">
            <w:pPr>
              <w:pStyle w:val="TableParagraph"/>
              <w:spacing w:line="23" w:lineRule="atLeast"/>
              <w:ind w:left="281" w:right="275"/>
              <w:contextualSpacing/>
              <w:jc w:val="center"/>
              <w:rPr>
                <w:rFonts w:ascii="Times New Roman" w:hAnsi="Times New Roman" w:cs="Times New Roman"/>
                <w:b w:val="0"/>
                <w:bCs w:val="0"/>
                <w:sz w:val="20"/>
                <w:szCs w:val="20"/>
                <w:lang w:val="es-ES"/>
              </w:rPr>
            </w:pPr>
            <w:r w:rsidRPr="00583F1F">
              <w:rPr>
                <w:rFonts w:ascii="Times New Roman" w:hAnsi="Times New Roman" w:cs="Times New Roman"/>
                <w:b w:val="0"/>
                <w:bCs w:val="0"/>
                <w:sz w:val="20"/>
                <w:szCs w:val="20"/>
                <w:lang w:val="es-ES"/>
              </w:rPr>
              <w:t>$123,575</w:t>
            </w:r>
          </w:p>
        </w:tc>
      </w:tr>
    </w:tbl>
    <w:p w14:paraId="290206EF" w14:textId="30B0FA2F" w:rsidR="00CA5D00" w:rsidRDefault="005105AC" w:rsidP="005105AC">
      <w:pPr>
        <w:ind w:left="708" w:firstLine="708"/>
        <w:rPr>
          <w:sz w:val="20"/>
          <w:szCs w:val="20"/>
          <w:lang w:val="es-ES"/>
        </w:rPr>
      </w:pPr>
      <w:r w:rsidRPr="00A9717E">
        <w:rPr>
          <w:sz w:val="16"/>
          <w:szCs w:val="16"/>
        </w:rPr>
        <w:t>Fuente: Ministerio de Finanzas</w:t>
      </w:r>
    </w:p>
    <w:p w14:paraId="48FD18E6" w14:textId="77777777" w:rsidR="005105AC" w:rsidRPr="005105AC" w:rsidRDefault="005105AC" w:rsidP="005105AC">
      <w:pPr>
        <w:rPr>
          <w:lang w:val="es-ES"/>
        </w:rPr>
      </w:pPr>
    </w:p>
    <w:p w14:paraId="465AA572" w14:textId="77777777" w:rsidR="00C36261" w:rsidRPr="00447AA7" w:rsidRDefault="00C36261" w:rsidP="000E01EC">
      <w:pPr>
        <w:pStyle w:val="Ttulo2"/>
        <w:numPr>
          <w:ilvl w:val="2"/>
          <w:numId w:val="35"/>
        </w:numPr>
        <w:tabs>
          <w:tab w:val="left" w:pos="993"/>
        </w:tabs>
        <w:ind w:left="567" w:hanging="283"/>
        <w:rPr>
          <w:bCs/>
        </w:rPr>
      </w:pPr>
      <w:bookmarkStart w:id="862" w:name="_Toc144114479"/>
      <w:r w:rsidRPr="00447AA7">
        <w:rPr>
          <w:bCs/>
        </w:rPr>
        <w:t>Operaciones en gestión de préstamos contingentes</w:t>
      </w:r>
      <w:bookmarkEnd w:id="862"/>
      <w:r w:rsidRPr="00447AA7">
        <w:rPr>
          <w:bCs/>
        </w:rPr>
        <w:t xml:space="preserve"> </w:t>
      </w:r>
    </w:p>
    <w:p w14:paraId="1E89E786" w14:textId="77777777" w:rsidR="00C36261" w:rsidRPr="00A15B11" w:rsidRDefault="00C36261" w:rsidP="00C36261">
      <w:pPr>
        <w:jc w:val="both"/>
        <w:rPr>
          <w:lang w:val="es-ES"/>
        </w:rPr>
      </w:pPr>
    </w:p>
    <w:p w14:paraId="78D2BC4D" w14:textId="77777777" w:rsidR="00C36261" w:rsidRDefault="00C36261" w:rsidP="00583F1F">
      <w:pPr>
        <w:spacing w:after="200"/>
        <w:ind w:right="-448"/>
        <w:jc w:val="both"/>
        <w:rPr>
          <w:sz w:val="23"/>
          <w:szCs w:val="23"/>
        </w:rPr>
      </w:pPr>
      <w:r w:rsidRPr="00A15B11">
        <w:rPr>
          <w:b/>
          <w:bCs/>
          <w:lang w:val="es-ES"/>
        </w:rPr>
        <w:t xml:space="preserve">Banco Mundial – Tercer </w:t>
      </w:r>
      <w:r w:rsidRPr="00A15B11">
        <w:rPr>
          <w:b/>
        </w:rPr>
        <w:t>Préstamo para Políticas de Desarrollo sobre Gestión del Riesgo de Desastres con una Opción de Desembolso Diferido ante Catástrofes (CAT DDO por sus siglas en inglés).</w:t>
      </w:r>
      <w:r w:rsidRPr="00A15B11">
        <w:rPr>
          <w:sz w:val="23"/>
          <w:szCs w:val="23"/>
        </w:rPr>
        <w:t xml:space="preserve"> </w:t>
      </w:r>
    </w:p>
    <w:p w14:paraId="4BB025A2" w14:textId="2E48187F" w:rsidR="00C36261" w:rsidRDefault="00C36261" w:rsidP="00583F1F">
      <w:pPr>
        <w:spacing w:after="200"/>
        <w:ind w:right="-448"/>
        <w:jc w:val="both"/>
        <w:rPr>
          <w:sz w:val="23"/>
          <w:szCs w:val="23"/>
        </w:rPr>
      </w:pPr>
      <w:bookmarkStart w:id="863" w:name="_Hlk141695416"/>
      <w:r w:rsidRPr="00A5012B">
        <w:rPr>
          <w:lang w:val="es-ES"/>
        </w:rPr>
        <w:t xml:space="preserve">El Ministerio de Finanzas Públicas se encuentra gestionando ante el Banco Mundial la obtención de un Préstamo Contingente para Emergencias Causadas por Desastres Naturales hasta por US$190.0 millones.  </w:t>
      </w:r>
      <w:bookmarkEnd w:id="863"/>
      <w:r w:rsidR="00583F1F">
        <w:rPr>
          <w:sz w:val="23"/>
          <w:szCs w:val="23"/>
        </w:rPr>
        <w:t xml:space="preserve"> </w:t>
      </w:r>
      <w:r w:rsidRPr="00A5012B">
        <w:rPr>
          <w:lang w:val="es-ES"/>
        </w:rPr>
        <w:t>La primera y segunda operación de préstamo bajo la modalidad CAT DDO para Guatemala, fueron formalizadas en los años 2010 (Tormenta Agatha y Erupción Pacaya) y 2020 (Pandemia COVID-19), respectivamente y sus recursos. Entre los principales aspectos de la operación se encuentran:</w:t>
      </w:r>
    </w:p>
    <w:p w14:paraId="3FA086FA" w14:textId="77777777" w:rsidR="00C36261" w:rsidRDefault="00C36261" w:rsidP="00583F1F">
      <w:pPr>
        <w:spacing w:after="200"/>
        <w:ind w:right="-448"/>
        <w:jc w:val="both"/>
        <w:rPr>
          <w:lang w:val="es-ES"/>
        </w:rPr>
      </w:pPr>
      <w:r w:rsidRPr="00A5012B">
        <w:rPr>
          <w:b/>
          <w:lang w:val="es-ES"/>
        </w:rPr>
        <w:t>Tipo de instrumento.</w:t>
      </w:r>
      <w:r w:rsidRPr="00A5012B">
        <w:rPr>
          <w:lang w:val="es-ES"/>
        </w:rPr>
        <w:t xml:space="preserve"> El CAT DDO es una línea de financiamiento contingente que proporciona liquidez inmediata a los países elegibles del Banco Mundial para enfrentar las situaciones relacionadas con desastres naturales y/o eventos relacionados con la salud. Sirve como financiamiento inmediato mientras se movilizan fondos de otras fuentes de financiamiento disponibles.</w:t>
      </w:r>
    </w:p>
    <w:p w14:paraId="0C66F778" w14:textId="06EF395E" w:rsidR="00C36261" w:rsidRPr="00447AA7" w:rsidRDefault="00C36261" w:rsidP="000E01EC">
      <w:pPr>
        <w:pStyle w:val="Ttulo2"/>
        <w:numPr>
          <w:ilvl w:val="2"/>
          <w:numId w:val="35"/>
        </w:numPr>
        <w:tabs>
          <w:tab w:val="left" w:pos="993"/>
        </w:tabs>
        <w:ind w:left="567" w:hanging="283"/>
        <w:rPr>
          <w:bCs/>
        </w:rPr>
      </w:pPr>
      <w:bookmarkStart w:id="864" w:name="_Toc144114480"/>
      <w:r w:rsidRPr="00447AA7">
        <w:rPr>
          <w:bCs/>
        </w:rPr>
        <w:lastRenderedPageBreak/>
        <w:t xml:space="preserve">Fondo de </w:t>
      </w:r>
      <w:r w:rsidR="002E7071">
        <w:rPr>
          <w:bCs/>
        </w:rPr>
        <w:t>e</w:t>
      </w:r>
      <w:r w:rsidRPr="00447AA7">
        <w:rPr>
          <w:bCs/>
        </w:rPr>
        <w:t>mergencia</w:t>
      </w:r>
      <w:bookmarkEnd w:id="864"/>
    </w:p>
    <w:p w14:paraId="6530777B" w14:textId="77777777" w:rsidR="00C36261" w:rsidRPr="00715EB5" w:rsidRDefault="00C36261" w:rsidP="00C36261">
      <w:pPr>
        <w:pStyle w:val="NormalWeb"/>
        <w:shd w:val="clear" w:color="auto" w:fill="FFFFFF"/>
        <w:spacing w:after="150"/>
        <w:jc w:val="both"/>
        <w:rPr>
          <w:lang w:val="es-ES"/>
        </w:rPr>
      </w:pPr>
      <w:r w:rsidRPr="00715EB5">
        <w:rPr>
          <w:lang w:val="es-ES"/>
        </w:rPr>
        <w:t xml:space="preserve">El </w:t>
      </w:r>
      <w:r>
        <w:rPr>
          <w:lang w:val="es-ES"/>
        </w:rPr>
        <w:t>M</w:t>
      </w:r>
      <w:r w:rsidRPr="00715EB5">
        <w:rPr>
          <w:lang w:val="es-ES"/>
        </w:rPr>
        <w:t>inisterio de Finanzas Públicas, actualmente cuenta con una</w:t>
      </w:r>
      <w:r>
        <w:rPr>
          <w:lang w:val="es-ES"/>
        </w:rPr>
        <w:t xml:space="preserve"> </w:t>
      </w:r>
      <w:r w:rsidRPr="00715EB5">
        <w:rPr>
          <w:lang w:val="es-ES"/>
        </w:rPr>
        <w:t>asignación presupuestaria de para el Fondo de Emergencia, los</w:t>
      </w:r>
      <w:r>
        <w:rPr>
          <w:lang w:val="es-ES"/>
        </w:rPr>
        <w:t xml:space="preserve"> </w:t>
      </w:r>
      <w:r w:rsidRPr="00715EB5">
        <w:rPr>
          <w:lang w:val="es-ES"/>
        </w:rPr>
        <w:t>cuales están disponibles para atender cualquier desastre natural. Estos recursos se activan únicamente al momento de decretar un estado de</w:t>
      </w:r>
      <w:r>
        <w:rPr>
          <w:lang w:val="es-ES"/>
        </w:rPr>
        <w:t xml:space="preserve"> </w:t>
      </w:r>
      <w:r w:rsidRPr="00715EB5">
        <w:rPr>
          <w:lang w:val="es-ES"/>
        </w:rPr>
        <w:t>calamidad por el presidente de la República y ratificado por el Organismo</w:t>
      </w:r>
      <w:r>
        <w:rPr>
          <w:lang w:val="es-ES"/>
        </w:rPr>
        <w:t xml:space="preserve"> </w:t>
      </w:r>
      <w:r w:rsidRPr="00715EB5">
        <w:rPr>
          <w:lang w:val="es-ES"/>
        </w:rPr>
        <w:t>Legislativo</w:t>
      </w:r>
      <w:r>
        <w:rPr>
          <w:lang w:val="es-ES"/>
        </w:rPr>
        <w:t xml:space="preserve">. </w:t>
      </w:r>
    </w:p>
    <w:p w14:paraId="0F648F11" w14:textId="77777777" w:rsidR="00C36261" w:rsidRPr="00AF1FFC" w:rsidRDefault="00C36261" w:rsidP="00DD4546">
      <w:pPr>
        <w:pStyle w:val="NormalWeb"/>
        <w:shd w:val="clear" w:color="auto" w:fill="FFFFFF"/>
        <w:spacing w:before="0" w:beforeAutospacing="0" w:after="0" w:afterAutospacing="0"/>
        <w:jc w:val="both"/>
        <w:rPr>
          <w:lang w:val="es-ES"/>
        </w:rPr>
      </w:pPr>
      <w:r w:rsidRPr="00715EB5">
        <w:rPr>
          <w:lang w:val="es-ES"/>
        </w:rPr>
        <w:t>Anteriormente, para este tipo de eventualidades se realizaban reasignaciones presupuestaría de las economías de las diferentes instituciones dentro del presupuesto aprobado. Ahora se de</w:t>
      </w:r>
      <w:r>
        <w:rPr>
          <w:lang w:val="es-ES"/>
        </w:rPr>
        <w:t>ja</w:t>
      </w:r>
      <w:r w:rsidRPr="00715EB5">
        <w:rPr>
          <w:lang w:val="es-ES"/>
        </w:rPr>
        <w:t xml:space="preserve"> mediante la Ley del Presupuesto General de Ingresos y Egresos del Estado una previsión presupuestaria más una disponibilidad de caja acumulada</w:t>
      </w:r>
      <w:r>
        <w:rPr>
          <w:lang w:val="es-ES"/>
        </w:rPr>
        <w:t xml:space="preserve"> </w:t>
      </w:r>
      <w:r w:rsidRPr="00715EB5">
        <w:rPr>
          <w:lang w:val="es-ES"/>
        </w:rPr>
        <w:t>como parte de los mecanismos de resiliencia financiera ante una eventual necesidad de atención a la ocurrencia de desastres naturales en nuestro país.</w:t>
      </w:r>
    </w:p>
    <w:p w14:paraId="56AB9CD3" w14:textId="77777777" w:rsidR="00DD4546" w:rsidRDefault="00DD4546" w:rsidP="00DD4546">
      <w:pPr>
        <w:pStyle w:val="Descripcin"/>
      </w:pPr>
    </w:p>
    <w:p w14:paraId="1FD12970" w14:textId="6D61AB34" w:rsidR="00C36261" w:rsidRPr="00DD4546" w:rsidRDefault="00DD4546" w:rsidP="00DD4546">
      <w:pPr>
        <w:pStyle w:val="Descripcin"/>
        <w:rPr>
          <w:b w:val="0"/>
          <w:color w:val="auto"/>
          <w:lang w:val="es-ES"/>
        </w:rPr>
      </w:pPr>
      <w:bookmarkStart w:id="865" w:name="_Toc143593668"/>
      <w:r w:rsidRPr="00DD4546">
        <w:rPr>
          <w:color w:val="auto"/>
        </w:rPr>
        <w:t xml:space="preserve">Gráfico </w:t>
      </w:r>
      <w:r w:rsidRPr="00DD4546">
        <w:rPr>
          <w:color w:val="auto"/>
        </w:rPr>
        <w:fldChar w:fldCharType="begin"/>
      </w:r>
      <w:r w:rsidRPr="00DD4546">
        <w:rPr>
          <w:color w:val="auto"/>
        </w:rPr>
        <w:instrText xml:space="preserve"> SEQ Gráfico \* ARABIC </w:instrText>
      </w:r>
      <w:r w:rsidRPr="00DD4546">
        <w:rPr>
          <w:color w:val="auto"/>
        </w:rPr>
        <w:fldChar w:fldCharType="separate"/>
      </w:r>
      <w:r w:rsidR="00A62AFA">
        <w:rPr>
          <w:noProof/>
          <w:color w:val="auto"/>
        </w:rPr>
        <w:t>110</w:t>
      </w:r>
      <w:r w:rsidRPr="00DD4546">
        <w:rPr>
          <w:color w:val="auto"/>
        </w:rPr>
        <w:fldChar w:fldCharType="end"/>
      </w:r>
      <w:r w:rsidRPr="00DD4546">
        <w:rPr>
          <w:color w:val="auto"/>
        </w:rPr>
        <w:t>.  Distribución del Fondo de Emergencia</w:t>
      </w:r>
      <w:bookmarkEnd w:id="865"/>
    </w:p>
    <w:p w14:paraId="362F723F" w14:textId="2CC6AB8C" w:rsidR="00C36261" w:rsidRPr="00DD4546" w:rsidRDefault="00C36261" w:rsidP="00DD4546">
      <w:pPr>
        <w:shd w:val="clear" w:color="auto" w:fill="FFFFFF"/>
        <w:spacing w:line="120" w:lineRule="auto"/>
        <w:jc w:val="center"/>
        <w:rPr>
          <w:bCs/>
          <w:sz w:val="22"/>
          <w:szCs w:val="22"/>
          <w:lang w:val="es-ES"/>
        </w:rPr>
      </w:pPr>
      <w:r w:rsidRPr="00DD4546">
        <w:rPr>
          <w:bCs/>
          <w:lang w:val="es-ES"/>
        </w:rPr>
        <w:t>millones de quetzales</w:t>
      </w:r>
    </w:p>
    <w:p w14:paraId="553EBC71" w14:textId="51F12FE1" w:rsidR="00C36261" w:rsidRDefault="00C36261" w:rsidP="00C36261">
      <w:pPr>
        <w:pStyle w:val="NormalWeb"/>
        <w:shd w:val="clear" w:color="auto" w:fill="FFFFFF"/>
        <w:spacing w:before="0" w:beforeAutospacing="0" w:after="150" w:afterAutospacing="0"/>
        <w:jc w:val="center"/>
        <w:rPr>
          <w:rFonts w:ascii="Nunito" w:hAnsi="Nunito"/>
          <w:color w:val="333333"/>
          <w:sz w:val="21"/>
          <w:szCs w:val="21"/>
        </w:rPr>
      </w:pPr>
      <w:r>
        <w:rPr>
          <w:rFonts w:ascii="Nunito" w:hAnsi="Nunito"/>
          <w:noProof/>
          <w:color w:val="333333"/>
          <w:sz w:val="21"/>
          <w:szCs w:val="21"/>
        </w:rPr>
        <w:drawing>
          <wp:inline distT="0" distB="0" distL="0" distR="0" wp14:anchorId="73184A80" wp14:editId="15B72B8C">
            <wp:extent cx="5088255" cy="1781033"/>
            <wp:effectExtent l="0" t="0" r="0" b="0"/>
            <wp:docPr id="1889938830" name="Gráfico 1889938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62D027EB" w14:textId="77777777" w:rsidR="00C36261" w:rsidRDefault="00C36261" w:rsidP="00DD4546">
      <w:pPr>
        <w:ind w:firstLine="708"/>
        <w:rPr>
          <w:sz w:val="18"/>
          <w:szCs w:val="18"/>
        </w:rPr>
      </w:pPr>
      <w:r w:rsidRPr="00DD4546">
        <w:rPr>
          <w:sz w:val="16"/>
          <w:szCs w:val="16"/>
        </w:rPr>
        <w:t xml:space="preserve">Fuente: Dirección de Análisis y Política Fiscal </w:t>
      </w:r>
    </w:p>
    <w:p w14:paraId="66985FA6" w14:textId="77777777" w:rsidR="00C36261" w:rsidRPr="008F5AF9" w:rsidRDefault="00C36261" w:rsidP="00C36261">
      <w:pPr>
        <w:jc w:val="both"/>
        <w:rPr>
          <w:sz w:val="18"/>
          <w:szCs w:val="18"/>
        </w:rPr>
      </w:pPr>
    </w:p>
    <w:p w14:paraId="7E9A581D" w14:textId="77777777" w:rsidR="00C36261" w:rsidRPr="00715EB5" w:rsidRDefault="00C36261" w:rsidP="00C36261">
      <w:pPr>
        <w:jc w:val="both"/>
        <w:rPr>
          <w:lang w:val="es-ES"/>
        </w:rPr>
      </w:pPr>
      <w:r w:rsidRPr="00715EB5">
        <w:rPr>
          <w:lang w:val="es-ES"/>
        </w:rPr>
        <w:t xml:space="preserve">En decreto 50-2022 del </w:t>
      </w:r>
      <w:r>
        <w:rPr>
          <w:lang w:val="es-ES"/>
        </w:rPr>
        <w:t>C</w:t>
      </w:r>
      <w:r w:rsidRPr="00715EB5">
        <w:rPr>
          <w:lang w:val="es-ES"/>
        </w:rPr>
        <w:t xml:space="preserve">ongreso de la </w:t>
      </w:r>
      <w:r>
        <w:rPr>
          <w:lang w:val="es-ES"/>
        </w:rPr>
        <w:t>R</w:t>
      </w:r>
      <w:r w:rsidRPr="00715EB5">
        <w:rPr>
          <w:lang w:val="es-ES"/>
        </w:rPr>
        <w:t>epública de Guatemala derivado del Estado de Calamidad Pública, se autorizó la utilización del Fondo Emergente para atender los daños provocados por la época lluviosa y el Ciclón Tropical Julia.</w:t>
      </w:r>
    </w:p>
    <w:p w14:paraId="0233578F" w14:textId="77777777" w:rsidR="00C36261" w:rsidRPr="00715EB5" w:rsidRDefault="00C36261" w:rsidP="00C36261">
      <w:pPr>
        <w:jc w:val="both"/>
        <w:rPr>
          <w:lang w:val="es-ES"/>
        </w:rPr>
      </w:pPr>
    </w:p>
    <w:p w14:paraId="06B2C8B8" w14:textId="77777777" w:rsidR="00C36261" w:rsidRDefault="00C36261" w:rsidP="00C36261">
      <w:pPr>
        <w:jc w:val="both"/>
        <w:rPr>
          <w:lang w:val="es-ES"/>
        </w:rPr>
      </w:pPr>
      <w:r w:rsidRPr="00715EB5">
        <w:rPr>
          <w:lang w:val="es-ES"/>
        </w:rPr>
        <w:t>Según decreto 35-2022, se ratificó el Estado de Calamidad Pública por el paso de la depresión tropical Celia, con esta modificación se trasladan recursos del Ministerio de Salud Pública y Asistencia Social (hasta Q600 millones) y del Ministerio de Comunicaciones, Infraestructura y Vivienda (hasta Q400 millones) que serán parte del Fondo Emergente.</w:t>
      </w:r>
    </w:p>
    <w:p w14:paraId="250C8F4F" w14:textId="77777777" w:rsidR="00C36261" w:rsidRDefault="00C36261" w:rsidP="00C36261">
      <w:pPr>
        <w:jc w:val="both"/>
        <w:rPr>
          <w:lang w:val="es-ES"/>
        </w:rPr>
      </w:pPr>
    </w:p>
    <w:p w14:paraId="19105358" w14:textId="678DB258" w:rsidR="00C36261" w:rsidRPr="00DD4546" w:rsidRDefault="00DD4546" w:rsidP="00DD4546">
      <w:pPr>
        <w:pStyle w:val="Descripcin"/>
        <w:keepNext/>
        <w:rPr>
          <w:color w:val="auto"/>
        </w:rPr>
      </w:pPr>
      <w:bookmarkStart w:id="866" w:name="_Toc143593558"/>
      <w:r w:rsidRPr="00DD4546">
        <w:rPr>
          <w:color w:val="auto"/>
        </w:rPr>
        <w:t xml:space="preserve">Tabla </w:t>
      </w:r>
      <w:r w:rsidRPr="00DD4546">
        <w:rPr>
          <w:color w:val="auto"/>
        </w:rPr>
        <w:fldChar w:fldCharType="begin"/>
      </w:r>
      <w:r w:rsidRPr="00DD4546">
        <w:rPr>
          <w:color w:val="auto"/>
        </w:rPr>
        <w:instrText xml:space="preserve"> SEQ Tabla \* ARABIC </w:instrText>
      </w:r>
      <w:r w:rsidRPr="00DD4546">
        <w:rPr>
          <w:color w:val="auto"/>
        </w:rPr>
        <w:fldChar w:fldCharType="separate"/>
      </w:r>
      <w:r w:rsidR="00A62AFA">
        <w:rPr>
          <w:noProof/>
          <w:color w:val="auto"/>
        </w:rPr>
        <w:t>56</w:t>
      </w:r>
      <w:r w:rsidRPr="00DD4546">
        <w:rPr>
          <w:color w:val="auto"/>
        </w:rPr>
        <w:fldChar w:fldCharType="end"/>
      </w:r>
      <w:r w:rsidRPr="00DD4546">
        <w:rPr>
          <w:color w:val="auto"/>
        </w:rPr>
        <w:t xml:space="preserve">.  </w:t>
      </w:r>
      <w:r w:rsidR="00C36261" w:rsidRPr="00DD4546">
        <w:rPr>
          <w:color w:val="auto"/>
          <w:lang w:val="es-ES"/>
        </w:rPr>
        <w:t>Resumen instrumentos financieros</w:t>
      </w:r>
      <w:bookmarkEnd w:id="866"/>
    </w:p>
    <w:tbl>
      <w:tblPr>
        <w:tblStyle w:val="Tabladecuadrcula4-nfasis11"/>
        <w:tblW w:w="8784" w:type="dxa"/>
        <w:tblLook w:val="04A0" w:firstRow="1" w:lastRow="0" w:firstColumn="1" w:lastColumn="0" w:noHBand="0" w:noVBand="1"/>
      </w:tblPr>
      <w:tblGrid>
        <w:gridCol w:w="4248"/>
        <w:gridCol w:w="1559"/>
        <w:gridCol w:w="1069"/>
        <w:gridCol w:w="1061"/>
        <w:gridCol w:w="847"/>
      </w:tblGrid>
      <w:tr w:rsidR="00C36261" w:rsidRPr="005105AC" w14:paraId="26E005CD" w14:textId="77777777" w:rsidTr="00510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25A11CA" w14:textId="77777777" w:rsidR="00C36261" w:rsidRPr="005105AC" w:rsidRDefault="00C36261" w:rsidP="006A7377">
            <w:pPr>
              <w:jc w:val="center"/>
              <w:rPr>
                <w:sz w:val="18"/>
                <w:szCs w:val="18"/>
                <w:lang w:eastAsia="en-US"/>
              </w:rPr>
            </w:pPr>
            <w:r w:rsidRPr="005105AC">
              <w:rPr>
                <w:sz w:val="18"/>
                <w:szCs w:val="18"/>
                <w:lang w:eastAsia="en-US"/>
              </w:rPr>
              <w:t>Instrumento</w:t>
            </w:r>
          </w:p>
          <w:p w14:paraId="74693C69" w14:textId="77777777" w:rsidR="00C36261" w:rsidRPr="005105AC" w:rsidRDefault="00C36261" w:rsidP="006A7377">
            <w:pPr>
              <w:rPr>
                <w:sz w:val="18"/>
                <w:szCs w:val="18"/>
                <w:lang w:eastAsia="en-US"/>
              </w:rPr>
            </w:pPr>
          </w:p>
        </w:tc>
        <w:tc>
          <w:tcPr>
            <w:tcW w:w="1559" w:type="dxa"/>
          </w:tcPr>
          <w:p w14:paraId="043F73AC" w14:textId="77777777" w:rsidR="00C36261" w:rsidRPr="005105AC" w:rsidRDefault="00C36261" w:rsidP="006A7377">
            <w:pPr>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sidRPr="005105AC">
              <w:rPr>
                <w:sz w:val="18"/>
                <w:szCs w:val="18"/>
                <w:lang w:eastAsia="en-US"/>
              </w:rPr>
              <w:t xml:space="preserve">Cobertura        </w:t>
            </w:r>
            <w:proofErr w:type="gramStart"/>
            <w:r w:rsidRPr="005105AC">
              <w:rPr>
                <w:sz w:val="18"/>
                <w:szCs w:val="18"/>
                <w:lang w:eastAsia="en-US"/>
              </w:rPr>
              <w:t xml:space="preserve">   </w:t>
            </w:r>
            <w:r w:rsidRPr="005105AC">
              <w:rPr>
                <w:b w:val="0"/>
                <w:bCs w:val="0"/>
                <w:sz w:val="18"/>
                <w:szCs w:val="18"/>
                <w:lang w:eastAsia="en-US"/>
              </w:rPr>
              <w:t>(</w:t>
            </w:r>
            <w:proofErr w:type="gramEnd"/>
            <w:r w:rsidRPr="005105AC">
              <w:rPr>
                <w:b w:val="0"/>
                <w:bCs w:val="0"/>
                <w:sz w:val="18"/>
                <w:szCs w:val="18"/>
                <w:lang w:eastAsia="en-US"/>
              </w:rPr>
              <w:t xml:space="preserve"> Dólares)</w:t>
            </w:r>
          </w:p>
        </w:tc>
        <w:tc>
          <w:tcPr>
            <w:tcW w:w="2977" w:type="dxa"/>
            <w:gridSpan w:val="3"/>
          </w:tcPr>
          <w:p w14:paraId="114533C7" w14:textId="77777777" w:rsidR="00C36261" w:rsidRPr="005105AC" w:rsidRDefault="00C36261" w:rsidP="006A7377">
            <w:pPr>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sidRPr="005105AC">
              <w:rPr>
                <w:sz w:val="18"/>
                <w:szCs w:val="18"/>
                <w:lang w:eastAsia="en-US"/>
              </w:rPr>
              <w:t xml:space="preserve">Escenarios </w:t>
            </w:r>
            <w:proofErr w:type="gramStart"/>
            <w:r w:rsidRPr="005105AC">
              <w:rPr>
                <w:sz w:val="18"/>
                <w:szCs w:val="18"/>
                <w:lang w:eastAsia="en-US"/>
              </w:rPr>
              <w:t>2024  de</w:t>
            </w:r>
            <w:proofErr w:type="gramEnd"/>
            <w:r w:rsidRPr="005105AC">
              <w:rPr>
                <w:sz w:val="18"/>
                <w:szCs w:val="18"/>
                <w:lang w:eastAsia="en-US"/>
              </w:rPr>
              <w:t xml:space="preserve"> desastre naturales </w:t>
            </w:r>
            <w:r w:rsidRPr="005105AC">
              <w:rPr>
                <w:b w:val="0"/>
                <w:bCs w:val="0"/>
                <w:sz w:val="18"/>
                <w:szCs w:val="18"/>
                <w:lang w:eastAsia="en-US"/>
              </w:rPr>
              <w:t>(Déficit % PIB)</w:t>
            </w:r>
          </w:p>
        </w:tc>
      </w:tr>
      <w:tr w:rsidR="00C36261" w:rsidRPr="005105AC" w14:paraId="69E3891E" w14:textId="77777777" w:rsidTr="005105A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248" w:type="dxa"/>
            <w:vMerge w:val="restart"/>
          </w:tcPr>
          <w:p w14:paraId="7B4B5F43" w14:textId="77777777" w:rsidR="00C36261" w:rsidRPr="005105AC" w:rsidRDefault="00C36261" w:rsidP="006A7377">
            <w:pPr>
              <w:jc w:val="both"/>
              <w:rPr>
                <w:b w:val="0"/>
                <w:bCs w:val="0"/>
                <w:sz w:val="18"/>
                <w:szCs w:val="18"/>
                <w:lang w:val="es-ES"/>
              </w:rPr>
            </w:pPr>
            <w:r w:rsidRPr="005105AC">
              <w:rPr>
                <w:b w:val="0"/>
                <w:bCs w:val="0"/>
                <w:sz w:val="18"/>
                <w:szCs w:val="18"/>
                <w:lang w:val="es-ES"/>
              </w:rPr>
              <w:t>Mecanismo de Seguro contra riesgos de catástrofes del caribe -CCRIF- seguro paramétrico contra exceso de lluvias</w:t>
            </w:r>
          </w:p>
        </w:tc>
        <w:tc>
          <w:tcPr>
            <w:tcW w:w="1559" w:type="dxa"/>
            <w:vMerge w:val="restart"/>
          </w:tcPr>
          <w:p w14:paraId="15928CB9" w14:textId="77777777" w:rsidR="00C36261" w:rsidRPr="005105AC" w:rsidRDefault="00C36261" w:rsidP="006A7377">
            <w:pPr>
              <w:jc w:val="center"/>
              <w:cnfStyle w:val="000000100000" w:firstRow="0" w:lastRow="0" w:firstColumn="0" w:lastColumn="0" w:oddVBand="0" w:evenVBand="0" w:oddHBand="1" w:evenHBand="0" w:firstRowFirstColumn="0" w:firstRowLastColumn="0" w:lastRowFirstColumn="0" w:lastRowLastColumn="0"/>
              <w:rPr>
                <w:sz w:val="18"/>
                <w:szCs w:val="18"/>
                <w:lang w:val="es-ES"/>
              </w:rPr>
            </w:pPr>
            <w:r w:rsidRPr="005105AC">
              <w:rPr>
                <w:sz w:val="18"/>
                <w:szCs w:val="18"/>
                <w:lang w:val="es-ES"/>
              </w:rPr>
              <w:t>831,113</w:t>
            </w:r>
          </w:p>
        </w:tc>
        <w:tc>
          <w:tcPr>
            <w:tcW w:w="1069" w:type="dxa"/>
          </w:tcPr>
          <w:p w14:paraId="322D4097" w14:textId="77777777" w:rsidR="00C36261" w:rsidRPr="005105AC" w:rsidRDefault="00C36261" w:rsidP="006A7377">
            <w:pPr>
              <w:jc w:val="center"/>
              <w:cnfStyle w:val="000000100000" w:firstRow="0" w:lastRow="0" w:firstColumn="0" w:lastColumn="0" w:oddVBand="0" w:evenVBand="0" w:oddHBand="1" w:evenHBand="0" w:firstRowFirstColumn="0" w:firstRowLastColumn="0" w:lastRowFirstColumn="0" w:lastRowLastColumn="0"/>
              <w:rPr>
                <w:sz w:val="18"/>
                <w:szCs w:val="18"/>
                <w:lang w:val="es-ES"/>
              </w:rPr>
            </w:pPr>
            <w:r w:rsidRPr="005105AC">
              <w:rPr>
                <w:sz w:val="18"/>
                <w:szCs w:val="18"/>
                <w:lang w:val="es-ES"/>
              </w:rPr>
              <w:t>Tormenta o huracán</w:t>
            </w:r>
          </w:p>
        </w:tc>
        <w:tc>
          <w:tcPr>
            <w:tcW w:w="1061" w:type="dxa"/>
          </w:tcPr>
          <w:p w14:paraId="0D13C137" w14:textId="77777777" w:rsidR="00C36261" w:rsidRPr="005105AC" w:rsidRDefault="00C36261" w:rsidP="006A7377">
            <w:pPr>
              <w:jc w:val="center"/>
              <w:cnfStyle w:val="000000100000" w:firstRow="0" w:lastRow="0" w:firstColumn="0" w:lastColumn="0" w:oddVBand="0" w:evenVBand="0" w:oddHBand="1" w:evenHBand="0" w:firstRowFirstColumn="0" w:firstRowLastColumn="0" w:lastRowFirstColumn="0" w:lastRowLastColumn="0"/>
              <w:rPr>
                <w:sz w:val="18"/>
                <w:szCs w:val="18"/>
                <w:lang w:val="es-ES"/>
              </w:rPr>
            </w:pPr>
            <w:r w:rsidRPr="005105AC">
              <w:rPr>
                <w:sz w:val="18"/>
                <w:szCs w:val="18"/>
                <w:lang w:val="es-ES"/>
              </w:rPr>
              <w:t>Terremoto</w:t>
            </w:r>
          </w:p>
        </w:tc>
        <w:tc>
          <w:tcPr>
            <w:tcW w:w="847" w:type="dxa"/>
          </w:tcPr>
          <w:p w14:paraId="49E82516" w14:textId="77777777" w:rsidR="00C36261" w:rsidRPr="005105AC" w:rsidRDefault="00C36261" w:rsidP="006A7377">
            <w:pPr>
              <w:jc w:val="center"/>
              <w:cnfStyle w:val="000000100000" w:firstRow="0" w:lastRow="0" w:firstColumn="0" w:lastColumn="0" w:oddVBand="0" w:evenVBand="0" w:oddHBand="1" w:evenHBand="0" w:firstRowFirstColumn="0" w:firstRowLastColumn="0" w:lastRowFirstColumn="0" w:lastRowLastColumn="0"/>
              <w:rPr>
                <w:sz w:val="18"/>
                <w:szCs w:val="18"/>
                <w:lang w:val="es-ES"/>
              </w:rPr>
            </w:pPr>
            <w:r w:rsidRPr="005105AC">
              <w:rPr>
                <w:sz w:val="18"/>
                <w:szCs w:val="18"/>
                <w:lang w:val="es-ES"/>
              </w:rPr>
              <w:t>Volcán</w:t>
            </w:r>
          </w:p>
        </w:tc>
      </w:tr>
      <w:tr w:rsidR="00C36261" w:rsidRPr="005105AC" w14:paraId="51637F41" w14:textId="77777777" w:rsidTr="005105AC">
        <w:trPr>
          <w:trHeight w:val="253"/>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D9E2F3" w:themeFill="accent1" w:themeFillTint="33"/>
          </w:tcPr>
          <w:p w14:paraId="591032B7" w14:textId="77777777" w:rsidR="00C36261" w:rsidRPr="005105AC" w:rsidRDefault="00C36261" w:rsidP="006A7377">
            <w:pPr>
              <w:jc w:val="both"/>
              <w:rPr>
                <w:b w:val="0"/>
                <w:bCs w:val="0"/>
                <w:sz w:val="18"/>
                <w:szCs w:val="18"/>
                <w:lang w:val="es-ES"/>
              </w:rPr>
            </w:pPr>
          </w:p>
        </w:tc>
        <w:tc>
          <w:tcPr>
            <w:tcW w:w="1559" w:type="dxa"/>
            <w:vMerge/>
            <w:shd w:val="clear" w:color="auto" w:fill="D9E2F3" w:themeFill="accent1" w:themeFillTint="33"/>
          </w:tcPr>
          <w:p w14:paraId="5D76891F" w14:textId="77777777" w:rsidR="00C36261" w:rsidRPr="005105AC" w:rsidRDefault="00C36261" w:rsidP="006A7377">
            <w:pPr>
              <w:jc w:val="center"/>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1069" w:type="dxa"/>
            <w:vMerge w:val="restart"/>
            <w:shd w:val="clear" w:color="auto" w:fill="D9E2F3" w:themeFill="accent1" w:themeFillTint="33"/>
          </w:tcPr>
          <w:p w14:paraId="24F83111" w14:textId="77777777" w:rsidR="00C36261" w:rsidRPr="005105AC" w:rsidRDefault="00C36261" w:rsidP="005105AC">
            <w:pPr>
              <w:cnfStyle w:val="000000000000" w:firstRow="0" w:lastRow="0" w:firstColumn="0" w:lastColumn="0" w:oddVBand="0" w:evenVBand="0" w:oddHBand="0" w:evenHBand="0" w:firstRowFirstColumn="0" w:firstRowLastColumn="0" w:lastRowFirstColumn="0" w:lastRowLastColumn="0"/>
              <w:rPr>
                <w:sz w:val="18"/>
                <w:szCs w:val="18"/>
                <w:lang w:val="es-ES"/>
              </w:rPr>
            </w:pPr>
          </w:p>
          <w:p w14:paraId="607F3051" w14:textId="77777777" w:rsidR="00C36261" w:rsidRPr="005105AC" w:rsidRDefault="00C36261" w:rsidP="006A7377">
            <w:pPr>
              <w:jc w:val="center"/>
              <w:cnfStyle w:val="000000000000" w:firstRow="0" w:lastRow="0" w:firstColumn="0" w:lastColumn="0" w:oddVBand="0" w:evenVBand="0" w:oddHBand="0" w:evenHBand="0" w:firstRowFirstColumn="0" w:firstRowLastColumn="0" w:lastRowFirstColumn="0" w:lastRowLastColumn="0"/>
              <w:rPr>
                <w:sz w:val="18"/>
                <w:szCs w:val="18"/>
                <w:lang w:val="es-ES"/>
              </w:rPr>
            </w:pPr>
          </w:p>
          <w:p w14:paraId="0A6D76C9" w14:textId="77777777" w:rsidR="00C36261" w:rsidRPr="005105AC" w:rsidRDefault="00C36261" w:rsidP="006A7377">
            <w:pPr>
              <w:jc w:val="center"/>
              <w:cnfStyle w:val="000000000000" w:firstRow="0" w:lastRow="0" w:firstColumn="0" w:lastColumn="0" w:oddVBand="0" w:evenVBand="0" w:oddHBand="0" w:evenHBand="0" w:firstRowFirstColumn="0" w:firstRowLastColumn="0" w:lastRowFirstColumn="0" w:lastRowLastColumn="0"/>
              <w:rPr>
                <w:sz w:val="18"/>
                <w:szCs w:val="18"/>
                <w:lang w:val="es-ES"/>
              </w:rPr>
            </w:pPr>
            <w:r w:rsidRPr="005105AC">
              <w:rPr>
                <w:sz w:val="18"/>
                <w:szCs w:val="18"/>
                <w:lang w:val="es-ES"/>
              </w:rPr>
              <w:t>2.2</w:t>
            </w:r>
          </w:p>
        </w:tc>
        <w:tc>
          <w:tcPr>
            <w:tcW w:w="1061" w:type="dxa"/>
            <w:vMerge w:val="restart"/>
            <w:shd w:val="clear" w:color="auto" w:fill="D9E2F3" w:themeFill="accent1" w:themeFillTint="33"/>
          </w:tcPr>
          <w:p w14:paraId="699547AD" w14:textId="24714764" w:rsidR="00C36261" w:rsidRDefault="00C36261" w:rsidP="005105AC">
            <w:pPr>
              <w:cnfStyle w:val="000000000000" w:firstRow="0" w:lastRow="0" w:firstColumn="0" w:lastColumn="0" w:oddVBand="0" w:evenVBand="0" w:oddHBand="0" w:evenHBand="0" w:firstRowFirstColumn="0" w:firstRowLastColumn="0" w:lastRowFirstColumn="0" w:lastRowLastColumn="0"/>
              <w:rPr>
                <w:sz w:val="18"/>
                <w:szCs w:val="18"/>
                <w:lang w:val="es-ES"/>
              </w:rPr>
            </w:pPr>
          </w:p>
          <w:p w14:paraId="28CC7CE7" w14:textId="77777777" w:rsidR="005105AC" w:rsidRPr="005105AC" w:rsidRDefault="005105AC" w:rsidP="005105AC">
            <w:pPr>
              <w:cnfStyle w:val="000000000000" w:firstRow="0" w:lastRow="0" w:firstColumn="0" w:lastColumn="0" w:oddVBand="0" w:evenVBand="0" w:oddHBand="0" w:evenHBand="0" w:firstRowFirstColumn="0" w:firstRowLastColumn="0" w:lastRowFirstColumn="0" w:lastRowLastColumn="0"/>
              <w:rPr>
                <w:sz w:val="18"/>
                <w:szCs w:val="18"/>
                <w:lang w:val="es-ES"/>
              </w:rPr>
            </w:pPr>
          </w:p>
          <w:p w14:paraId="1EEBB714" w14:textId="77777777" w:rsidR="00C36261" w:rsidRPr="005105AC" w:rsidRDefault="00C36261" w:rsidP="006A7377">
            <w:pPr>
              <w:jc w:val="center"/>
              <w:cnfStyle w:val="000000000000" w:firstRow="0" w:lastRow="0" w:firstColumn="0" w:lastColumn="0" w:oddVBand="0" w:evenVBand="0" w:oddHBand="0" w:evenHBand="0" w:firstRowFirstColumn="0" w:firstRowLastColumn="0" w:lastRowFirstColumn="0" w:lastRowLastColumn="0"/>
              <w:rPr>
                <w:sz w:val="18"/>
                <w:szCs w:val="18"/>
                <w:lang w:val="es-ES"/>
              </w:rPr>
            </w:pPr>
            <w:r w:rsidRPr="005105AC">
              <w:rPr>
                <w:sz w:val="18"/>
                <w:szCs w:val="18"/>
                <w:lang w:val="es-ES"/>
              </w:rPr>
              <w:t>3.1</w:t>
            </w:r>
          </w:p>
        </w:tc>
        <w:tc>
          <w:tcPr>
            <w:tcW w:w="847" w:type="dxa"/>
            <w:vMerge w:val="restart"/>
            <w:shd w:val="clear" w:color="auto" w:fill="D9E2F3" w:themeFill="accent1" w:themeFillTint="33"/>
          </w:tcPr>
          <w:p w14:paraId="53DB3E13" w14:textId="77777777" w:rsidR="00C36261" w:rsidRPr="005105AC" w:rsidRDefault="00C36261" w:rsidP="006A7377">
            <w:pPr>
              <w:jc w:val="center"/>
              <w:cnfStyle w:val="000000000000" w:firstRow="0" w:lastRow="0" w:firstColumn="0" w:lastColumn="0" w:oddVBand="0" w:evenVBand="0" w:oddHBand="0" w:evenHBand="0" w:firstRowFirstColumn="0" w:firstRowLastColumn="0" w:lastRowFirstColumn="0" w:lastRowLastColumn="0"/>
              <w:rPr>
                <w:sz w:val="18"/>
                <w:szCs w:val="18"/>
                <w:lang w:val="es-ES"/>
              </w:rPr>
            </w:pPr>
          </w:p>
          <w:p w14:paraId="3C68E938" w14:textId="77777777" w:rsidR="00C36261" w:rsidRPr="005105AC" w:rsidRDefault="00C36261" w:rsidP="005105AC">
            <w:pPr>
              <w:cnfStyle w:val="000000000000" w:firstRow="0" w:lastRow="0" w:firstColumn="0" w:lastColumn="0" w:oddVBand="0" w:evenVBand="0" w:oddHBand="0" w:evenHBand="0" w:firstRowFirstColumn="0" w:firstRowLastColumn="0" w:lastRowFirstColumn="0" w:lastRowLastColumn="0"/>
              <w:rPr>
                <w:sz w:val="18"/>
                <w:szCs w:val="18"/>
                <w:lang w:val="es-ES"/>
              </w:rPr>
            </w:pPr>
          </w:p>
          <w:p w14:paraId="1FC7DC84" w14:textId="77777777" w:rsidR="00C36261" w:rsidRPr="005105AC" w:rsidRDefault="00C36261" w:rsidP="006A7377">
            <w:pPr>
              <w:jc w:val="center"/>
              <w:cnfStyle w:val="000000000000" w:firstRow="0" w:lastRow="0" w:firstColumn="0" w:lastColumn="0" w:oddVBand="0" w:evenVBand="0" w:oddHBand="0" w:evenHBand="0" w:firstRowFirstColumn="0" w:firstRowLastColumn="0" w:lastRowFirstColumn="0" w:lastRowLastColumn="0"/>
              <w:rPr>
                <w:sz w:val="18"/>
                <w:szCs w:val="18"/>
                <w:lang w:val="es-ES"/>
              </w:rPr>
            </w:pPr>
            <w:r w:rsidRPr="005105AC">
              <w:rPr>
                <w:sz w:val="18"/>
                <w:szCs w:val="18"/>
                <w:lang w:val="es-ES"/>
              </w:rPr>
              <w:t>2.0</w:t>
            </w:r>
          </w:p>
        </w:tc>
      </w:tr>
      <w:tr w:rsidR="00C36261" w:rsidRPr="005105AC" w14:paraId="1C10ED33" w14:textId="77777777" w:rsidTr="0051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115CF81" w14:textId="77777777" w:rsidR="00C36261" w:rsidRPr="005105AC" w:rsidRDefault="00C36261" w:rsidP="006A7377">
            <w:pPr>
              <w:jc w:val="both"/>
              <w:rPr>
                <w:b w:val="0"/>
                <w:bCs w:val="0"/>
                <w:sz w:val="18"/>
                <w:szCs w:val="18"/>
                <w:lang w:val="es-ES"/>
              </w:rPr>
            </w:pPr>
            <w:r w:rsidRPr="005105AC">
              <w:rPr>
                <w:b w:val="0"/>
                <w:bCs w:val="0"/>
                <w:sz w:val="18"/>
                <w:szCs w:val="18"/>
                <w:lang w:val="es-ES"/>
              </w:rPr>
              <w:t>Tercer Préstamo para Políticas de Desarrollo sobre Gestión del Riesgo de Desastres con una Opción de Desembolso Diferido ante Catástrofes (CAT DDO)</w:t>
            </w:r>
          </w:p>
        </w:tc>
        <w:tc>
          <w:tcPr>
            <w:tcW w:w="1559" w:type="dxa"/>
          </w:tcPr>
          <w:p w14:paraId="6CC68178" w14:textId="77777777" w:rsidR="00C36261" w:rsidRPr="005105AC" w:rsidRDefault="00C36261" w:rsidP="006A7377">
            <w:pPr>
              <w:jc w:val="center"/>
              <w:cnfStyle w:val="000000100000" w:firstRow="0" w:lastRow="0" w:firstColumn="0" w:lastColumn="0" w:oddVBand="0" w:evenVBand="0" w:oddHBand="1" w:evenHBand="0" w:firstRowFirstColumn="0" w:firstRowLastColumn="0" w:lastRowFirstColumn="0" w:lastRowLastColumn="0"/>
              <w:rPr>
                <w:sz w:val="18"/>
                <w:szCs w:val="18"/>
                <w:lang w:val="es-ES"/>
              </w:rPr>
            </w:pPr>
            <w:r w:rsidRPr="005105AC">
              <w:rPr>
                <w:sz w:val="18"/>
                <w:szCs w:val="18"/>
                <w:lang w:val="es-ES"/>
              </w:rPr>
              <w:t>190 (millones)</w:t>
            </w:r>
          </w:p>
        </w:tc>
        <w:tc>
          <w:tcPr>
            <w:tcW w:w="1069" w:type="dxa"/>
            <w:vMerge/>
          </w:tcPr>
          <w:p w14:paraId="1661D14E" w14:textId="77777777" w:rsidR="00C36261" w:rsidRPr="005105AC" w:rsidRDefault="00C36261" w:rsidP="006A7377">
            <w:pPr>
              <w:jc w:val="both"/>
              <w:cnfStyle w:val="000000100000" w:firstRow="0" w:lastRow="0" w:firstColumn="0" w:lastColumn="0" w:oddVBand="0" w:evenVBand="0" w:oddHBand="1" w:evenHBand="0" w:firstRowFirstColumn="0" w:firstRowLastColumn="0" w:lastRowFirstColumn="0" w:lastRowLastColumn="0"/>
              <w:rPr>
                <w:sz w:val="18"/>
                <w:szCs w:val="18"/>
                <w:lang w:val="es-ES"/>
              </w:rPr>
            </w:pPr>
          </w:p>
        </w:tc>
        <w:tc>
          <w:tcPr>
            <w:tcW w:w="1061" w:type="dxa"/>
            <w:vMerge/>
          </w:tcPr>
          <w:p w14:paraId="41A768CA" w14:textId="77777777" w:rsidR="00C36261" w:rsidRPr="005105AC" w:rsidRDefault="00C36261" w:rsidP="006A7377">
            <w:pPr>
              <w:jc w:val="both"/>
              <w:cnfStyle w:val="000000100000" w:firstRow="0" w:lastRow="0" w:firstColumn="0" w:lastColumn="0" w:oddVBand="0" w:evenVBand="0" w:oddHBand="1" w:evenHBand="0" w:firstRowFirstColumn="0" w:firstRowLastColumn="0" w:lastRowFirstColumn="0" w:lastRowLastColumn="0"/>
              <w:rPr>
                <w:sz w:val="18"/>
                <w:szCs w:val="18"/>
                <w:lang w:val="es-ES"/>
              </w:rPr>
            </w:pPr>
          </w:p>
        </w:tc>
        <w:tc>
          <w:tcPr>
            <w:tcW w:w="847" w:type="dxa"/>
            <w:vMerge/>
          </w:tcPr>
          <w:p w14:paraId="4E6BE3D9" w14:textId="77777777" w:rsidR="00C36261" w:rsidRPr="005105AC" w:rsidRDefault="00C36261" w:rsidP="006A7377">
            <w:pPr>
              <w:jc w:val="both"/>
              <w:cnfStyle w:val="000000100000" w:firstRow="0" w:lastRow="0" w:firstColumn="0" w:lastColumn="0" w:oddVBand="0" w:evenVBand="0" w:oddHBand="1" w:evenHBand="0" w:firstRowFirstColumn="0" w:firstRowLastColumn="0" w:lastRowFirstColumn="0" w:lastRowLastColumn="0"/>
              <w:rPr>
                <w:sz w:val="18"/>
                <w:szCs w:val="18"/>
                <w:lang w:val="es-ES"/>
              </w:rPr>
            </w:pPr>
          </w:p>
        </w:tc>
      </w:tr>
      <w:tr w:rsidR="00C36261" w:rsidRPr="005105AC" w14:paraId="20E3568B" w14:textId="77777777" w:rsidTr="005105AC">
        <w:trPr>
          <w:trHeight w:val="60"/>
        </w:trPr>
        <w:tc>
          <w:tcPr>
            <w:cnfStyle w:val="001000000000" w:firstRow="0" w:lastRow="0" w:firstColumn="1" w:lastColumn="0" w:oddVBand="0" w:evenVBand="0" w:oddHBand="0" w:evenHBand="0" w:firstRowFirstColumn="0" w:firstRowLastColumn="0" w:lastRowFirstColumn="0" w:lastRowLastColumn="0"/>
            <w:tcW w:w="4248" w:type="dxa"/>
          </w:tcPr>
          <w:p w14:paraId="5068908C" w14:textId="77777777" w:rsidR="00C36261" w:rsidRPr="005105AC" w:rsidRDefault="00C36261" w:rsidP="006A7377">
            <w:pPr>
              <w:jc w:val="both"/>
              <w:rPr>
                <w:b w:val="0"/>
                <w:bCs w:val="0"/>
                <w:sz w:val="18"/>
                <w:szCs w:val="18"/>
                <w:lang w:val="es-ES"/>
              </w:rPr>
            </w:pPr>
            <w:r w:rsidRPr="005105AC">
              <w:rPr>
                <w:b w:val="0"/>
                <w:bCs w:val="0"/>
                <w:sz w:val="18"/>
                <w:szCs w:val="18"/>
                <w:lang w:val="es-ES"/>
              </w:rPr>
              <w:t>Fondo de Emergencia</w:t>
            </w:r>
          </w:p>
        </w:tc>
        <w:tc>
          <w:tcPr>
            <w:tcW w:w="1559" w:type="dxa"/>
          </w:tcPr>
          <w:p w14:paraId="567E2E96" w14:textId="77777777" w:rsidR="00C36261" w:rsidRPr="005105AC" w:rsidRDefault="00C36261" w:rsidP="006A7377">
            <w:pPr>
              <w:jc w:val="center"/>
              <w:cnfStyle w:val="000000000000" w:firstRow="0" w:lastRow="0" w:firstColumn="0" w:lastColumn="0" w:oddVBand="0" w:evenVBand="0" w:oddHBand="0" w:evenHBand="0" w:firstRowFirstColumn="0" w:firstRowLastColumn="0" w:lastRowFirstColumn="0" w:lastRowLastColumn="0"/>
              <w:rPr>
                <w:sz w:val="18"/>
                <w:szCs w:val="18"/>
                <w:lang w:val="es-ES"/>
              </w:rPr>
            </w:pPr>
            <w:r w:rsidRPr="005105AC">
              <w:rPr>
                <w:sz w:val="18"/>
                <w:szCs w:val="18"/>
                <w:lang w:val="es-ES"/>
              </w:rPr>
              <w:t>85.17 (millones)</w:t>
            </w:r>
          </w:p>
        </w:tc>
        <w:tc>
          <w:tcPr>
            <w:tcW w:w="1069" w:type="dxa"/>
            <w:vMerge/>
          </w:tcPr>
          <w:p w14:paraId="41CE27A1" w14:textId="77777777" w:rsidR="00C36261" w:rsidRPr="005105AC" w:rsidRDefault="00C36261" w:rsidP="006A7377">
            <w:pPr>
              <w:jc w:val="both"/>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1061" w:type="dxa"/>
            <w:vMerge/>
          </w:tcPr>
          <w:p w14:paraId="1CD31DFD" w14:textId="77777777" w:rsidR="00C36261" w:rsidRPr="005105AC" w:rsidRDefault="00C36261" w:rsidP="006A7377">
            <w:pPr>
              <w:jc w:val="both"/>
              <w:cnfStyle w:val="000000000000" w:firstRow="0" w:lastRow="0" w:firstColumn="0" w:lastColumn="0" w:oddVBand="0" w:evenVBand="0" w:oddHBand="0" w:evenHBand="0" w:firstRowFirstColumn="0" w:firstRowLastColumn="0" w:lastRowFirstColumn="0" w:lastRowLastColumn="0"/>
              <w:rPr>
                <w:sz w:val="18"/>
                <w:szCs w:val="18"/>
                <w:lang w:val="es-ES"/>
              </w:rPr>
            </w:pPr>
          </w:p>
        </w:tc>
        <w:tc>
          <w:tcPr>
            <w:tcW w:w="847" w:type="dxa"/>
            <w:vMerge/>
          </w:tcPr>
          <w:p w14:paraId="6A3225DC" w14:textId="77777777" w:rsidR="00C36261" w:rsidRPr="005105AC" w:rsidRDefault="00C36261" w:rsidP="006A7377">
            <w:pPr>
              <w:jc w:val="both"/>
              <w:cnfStyle w:val="000000000000" w:firstRow="0" w:lastRow="0" w:firstColumn="0" w:lastColumn="0" w:oddVBand="0" w:evenVBand="0" w:oddHBand="0" w:evenHBand="0" w:firstRowFirstColumn="0" w:firstRowLastColumn="0" w:lastRowFirstColumn="0" w:lastRowLastColumn="0"/>
              <w:rPr>
                <w:sz w:val="18"/>
                <w:szCs w:val="18"/>
                <w:lang w:val="es-ES"/>
              </w:rPr>
            </w:pPr>
          </w:p>
        </w:tc>
      </w:tr>
      <w:tr w:rsidR="00C36261" w:rsidRPr="005105AC" w14:paraId="08F82612" w14:textId="77777777" w:rsidTr="005105A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248" w:type="dxa"/>
          </w:tcPr>
          <w:p w14:paraId="4C7BE25F" w14:textId="77777777" w:rsidR="00C36261" w:rsidRPr="005105AC" w:rsidRDefault="00C36261" w:rsidP="00DD4546">
            <w:pPr>
              <w:jc w:val="right"/>
              <w:rPr>
                <w:sz w:val="18"/>
                <w:szCs w:val="18"/>
                <w:lang w:val="es-ES"/>
              </w:rPr>
            </w:pPr>
            <w:r w:rsidRPr="005105AC">
              <w:rPr>
                <w:sz w:val="18"/>
                <w:szCs w:val="18"/>
                <w:lang w:val="es-ES"/>
              </w:rPr>
              <w:t xml:space="preserve">Total </w:t>
            </w:r>
          </w:p>
        </w:tc>
        <w:tc>
          <w:tcPr>
            <w:tcW w:w="1559" w:type="dxa"/>
          </w:tcPr>
          <w:p w14:paraId="47A8221D" w14:textId="77777777" w:rsidR="00C36261" w:rsidRPr="005105AC" w:rsidRDefault="00C36261" w:rsidP="006A7377">
            <w:pPr>
              <w:jc w:val="center"/>
              <w:cnfStyle w:val="000000100000" w:firstRow="0" w:lastRow="0" w:firstColumn="0" w:lastColumn="0" w:oddVBand="0" w:evenVBand="0" w:oddHBand="1" w:evenHBand="0" w:firstRowFirstColumn="0" w:firstRowLastColumn="0" w:lastRowFirstColumn="0" w:lastRowLastColumn="0"/>
              <w:rPr>
                <w:b/>
                <w:bCs/>
                <w:sz w:val="18"/>
                <w:szCs w:val="18"/>
                <w:lang w:val="es-ES"/>
              </w:rPr>
            </w:pPr>
            <w:r w:rsidRPr="005105AC">
              <w:rPr>
                <w:b/>
                <w:bCs/>
                <w:sz w:val="18"/>
                <w:szCs w:val="18"/>
                <w:lang w:val="es-ES"/>
              </w:rPr>
              <w:t>276 (millones)</w:t>
            </w:r>
          </w:p>
        </w:tc>
        <w:tc>
          <w:tcPr>
            <w:tcW w:w="1069" w:type="dxa"/>
          </w:tcPr>
          <w:p w14:paraId="183196F1" w14:textId="77777777" w:rsidR="00C36261" w:rsidRPr="005105AC" w:rsidRDefault="00C36261" w:rsidP="006A7377">
            <w:pPr>
              <w:jc w:val="both"/>
              <w:cnfStyle w:val="000000100000" w:firstRow="0" w:lastRow="0" w:firstColumn="0" w:lastColumn="0" w:oddVBand="0" w:evenVBand="0" w:oddHBand="1" w:evenHBand="0" w:firstRowFirstColumn="0" w:firstRowLastColumn="0" w:lastRowFirstColumn="0" w:lastRowLastColumn="0"/>
              <w:rPr>
                <w:sz w:val="18"/>
                <w:szCs w:val="18"/>
                <w:lang w:val="es-ES"/>
              </w:rPr>
            </w:pPr>
          </w:p>
        </w:tc>
        <w:tc>
          <w:tcPr>
            <w:tcW w:w="1061" w:type="dxa"/>
          </w:tcPr>
          <w:p w14:paraId="41785E50" w14:textId="77777777" w:rsidR="00C36261" w:rsidRPr="005105AC" w:rsidRDefault="00C36261" w:rsidP="006A7377">
            <w:pPr>
              <w:jc w:val="both"/>
              <w:cnfStyle w:val="000000100000" w:firstRow="0" w:lastRow="0" w:firstColumn="0" w:lastColumn="0" w:oddVBand="0" w:evenVBand="0" w:oddHBand="1" w:evenHBand="0" w:firstRowFirstColumn="0" w:firstRowLastColumn="0" w:lastRowFirstColumn="0" w:lastRowLastColumn="0"/>
              <w:rPr>
                <w:sz w:val="18"/>
                <w:szCs w:val="18"/>
                <w:lang w:val="es-ES"/>
              </w:rPr>
            </w:pPr>
          </w:p>
        </w:tc>
        <w:tc>
          <w:tcPr>
            <w:tcW w:w="847" w:type="dxa"/>
          </w:tcPr>
          <w:p w14:paraId="41C6F6D5" w14:textId="77777777" w:rsidR="00C36261" w:rsidRPr="005105AC" w:rsidRDefault="00C36261" w:rsidP="006A7377">
            <w:pPr>
              <w:jc w:val="both"/>
              <w:cnfStyle w:val="000000100000" w:firstRow="0" w:lastRow="0" w:firstColumn="0" w:lastColumn="0" w:oddVBand="0" w:evenVBand="0" w:oddHBand="1" w:evenHBand="0" w:firstRowFirstColumn="0" w:firstRowLastColumn="0" w:lastRowFirstColumn="0" w:lastRowLastColumn="0"/>
              <w:rPr>
                <w:sz w:val="18"/>
                <w:szCs w:val="18"/>
                <w:lang w:val="es-ES"/>
              </w:rPr>
            </w:pPr>
          </w:p>
        </w:tc>
      </w:tr>
    </w:tbl>
    <w:p w14:paraId="32D9281A" w14:textId="77777777" w:rsidR="00C36261" w:rsidRPr="00DD4546" w:rsidRDefault="00C36261" w:rsidP="00C36261">
      <w:pPr>
        <w:jc w:val="both"/>
        <w:rPr>
          <w:sz w:val="16"/>
          <w:szCs w:val="16"/>
        </w:rPr>
      </w:pPr>
      <w:r w:rsidRPr="00DD4546">
        <w:rPr>
          <w:sz w:val="16"/>
          <w:szCs w:val="16"/>
        </w:rPr>
        <w:t xml:space="preserve">Fuente: Dirección Análisis y Política Fiscal </w:t>
      </w:r>
    </w:p>
    <w:p w14:paraId="03059367" w14:textId="77777777" w:rsidR="00C36261" w:rsidRPr="00447AA7" w:rsidRDefault="00C36261" w:rsidP="000E01EC">
      <w:pPr>
        <w:pStyle w:val="Ttulo2"/>
        <w:numPr>
          <w:ilvl w:val="2"/>
          <w:numId w:val="35"/>
        </w:numPr>
        <w:tabs>
          <w:tab w:val="left" w:pos="993"/>
        </w:tabs>
        <w:ind w:left="567" w:hanging="283"/>
        <w:rPr>
          <w:bCs/>
        </w:rPr>
      </w:pPr>
      <w:bookmarkStart w:id="867" w:name="_Toc144114481"/>
      <w:r w:rsidRPr="00447AA7">
        <w:rPr>
          <w:bCs/>
        </w:rPr>
        <w:lastRenderedPageBreak/>
        <w:t>Otros</w:t>
      </w:r>
      <w:bookmarkEnd w:id="867"/>
    </w:p>
    <w:p w14:paraId="07F48F71" w14:textId="77777777" w:rsidR="00C36261" w:rsidRDefault="00C36261" w:rsidP="00C36261">
      <w:pPr>
        <w:pStyle w:val="Prrafodelista"/>
        <w:ind w:left="360"/>
        <w:rPr>
          <w:b/>
          <w:bCs/>
          <w:szCs w:val="22"/>
          <w:lang w:val="es-ES"/>
        </w:rPr>
      </w:pPr>
    </w:p>
    <w:p w14:paraId="44B96235" w14:textId="45C77DB1" w:rsidR="00C36261" w:rsidRPr="00DD4546" w:rsidRDefault="00C36261" w:rsidP="00DD4546">
      <w:pPr>
        <w:jc w:val="both"/>
        <w:rPr>
          <w:b/>
          <w:bCs/>
          <w:szCs w:val="22"/>
          <w:lang w:val="es-ES"/>
        </w:rPr>
      </w:pPr>
      <w:r w:rsidRPr="00183E98">
        <w:rPr>
          <w:b/>
          <w:bCs/>
          <w:szCs w:val="22"/>
          <w:lang w:val="es-ES"/>
        </w:rPr>
        <w:t xml:space="preserve">Emisión de Bonos de Carbono </w:t>
      </w:r>
      <w:r w:rsidRPr="00FB448F">
        <w:rPr>
          <w:szCs w:val="22"/>
          <w:lang w:val="es-ES"/>
        </w:rPr>
        <w:t>(Estrategia Nacional de Reducción de Emisiones conocida como REDD plus (REDD+)</w:t>
      </w:r>
      <w:r w:rsidR="00DD4546">
        <w:rPr>
          <w:szCs w:val="22"/>
          <w:lang w:val="es-ES"/>
        </w:rPr>
        <w:t>.</w:t>
      </w:r>
      <w:r w:rsidR="00DD4546">
        <w:rPr>
          <w:b/>
          <w:bCs/>
          <w:szCs w:val="22"/>
          <w:lang w:val="es-ES"/>
        </w:rPr>
        <w:t xml:space="preserve">  </w:t>
      </w:r>
      <w:r>
        <w:t>La Estrategia de Guatemala para Reducir las Emisiones por Deforestación y Degradación Forestal (REDD+) se enfoca en el fortalecimiento de la gobernanza forestal, la implementación integrada de políticas intersectoriales, programas y proyectos, así como el fortalecimiento de capacidades de los múltiples involucrados en el sector de la agricultura, silvicultura y cambio en el uso de la tierra.</w:t>
      </w:r>
    </w:p>
    <w:p w14:paraId="16F95D9A" w14:textId="77777777" w:rsidR="00C36261" w:rsidRPr="00DD4546" w:rsidRDefault="00C36261" w:rsidP="00C36261">
      <w:pPr>
        <w:jc w:val="both"/>
      </w:pPr>
      <w:r w:rsidRPr="00DD4546">
        <w:t xml:space="preserve"> </w:t>
      </w:r>
    </w:p>
    <w:p w14:paraId="7788A852" w14:textId="77777777" w:rsidR="00C36261" w:rsidRPr="00DD4546" w:rsidRDefault="00C36261" w:rsidP="00C36261">
      <w:pPr>
        <w:jc w:val="both"/>
      </w:pPr>
      <w:r w:rsidRPr="00DD4546">
        <w:t xml:space="preserve">El Ministerio de Finanzas Públicas (MINFIN) es la Entidad de Programa, y el Instituto Nacional Forestal (INAB) es la Unidad Ejecutora. MINFIN e INAB trabajarán en estrecha coordinación con el Ministerio de Medio Ambiente y Recursos Naturales (MARN), el Ministerio de Agricultura y Alimentación. (MAGA) y el Consejo Nacional de Áreas Protegidas (CONAP). Guatemala podrá tener acceso a comprar y vender hasta 10.5 millones de toneladas de dióxido de carbono (CO2), en un periodo de hasta cinco años, lo que significa que el país podría obtener unos US$50 millones si reduce las emisiones de gases de efecto invernadero (GEI) al frenar la deforestación y degradación de bosques. </w:t>
      </w:r>
    </w:p>
    <w:p w14:paraId="50AE47A7" w14:textId="77777777" w:rsidR="00C36261" w:rsidRPr="00DD4546" w:rsidRDefault="00C36261" w:rsidP="00C36261">
      <w:pPr>
        <w:jc w:val="both"/>
      </w:pPr>
    </w:p>
    <w:p w14:paraId="5A997225" w14:textId="112DC373" w:rsidR="00C36261" w:rsidRPr="00DD4546" w:rsidRDefault="00C36261" w:rsidP="00DD4546">
      <w:pPr>
        <w:jc w:val="both"/>
      </w:pPr>
      <w:r w:rsidRPr="00DD4546">
        <w:t xml:space="preserve">La emisión de bonos de carbono son un mecanismo de importancia para combatir el cambio climático y por ende reducir los riesgos asociados a desastres provocados por fenómenos naturales ya que al proteger y conservar los ecosistemas forestales se aumenta la capacidad de disminuir el efecto invernadero a través de la fijación o captura de carbono y la reducción de emisiones debidas a la deforestación y degradación forestal. </w:t>
      </w:r>
    </w:p>
    <w:p w14:paraId="5C797C40" w14:textId="4E9295AA" w:rsidR="00C36261" w:rsidRPr="000D77CC" w:rsidRDefault="00C36261" w:rsidP="000D77CC">
      <w:pPr>
        <w:pStyle w:val="Ttulo1"/>
        <w:rPr>
          <w:bCs/>
          <w:sz w:val="24"/>
          <w:lang w:val="es-ES"/>
        </w:rPr>
      </w:pPr>
      <w:bookmarkStart w:id="868" w:name="_Toc144114034"/>
      <w:bookmarkStart w:id="869" w:name="_Toc144114482"/>
      <w:r w:rsidRPr="00624091">
        <w:rPr>
          <w:bCs/>
          <w:sz w:val="24"/>
          <w:lang w:val="es-ES"/>
        </w:rPr>
        <w:t>Anexo</w:t>
      </w:r>
      <w:bookmarkStart w:id="870" w:name="_Toc144114035"/>
      <w:bookmarkEnd w:id="868"/>
      <w:r w:rsidR="000D77CC">
        <w:rPr>
          <w:bCs/>
          <w:sz w:val="24"/>
          <w:lang w:val="es-ES"/>
        </w:rPr>
        <w:t xml:space="preserve">.  </w:t>
      </w:r>
      <w:r w:rsidRPr="00624091">
        <w:rPr>
          <w:bCs/>
          <w:sz w:val="24"/>
        </w:rPr>
        <w:t>Licencias de explotación mineras Guatemala</w:t>
      </w:r>
      <w:bookmarkEnd w:id="869"/>
      <w:bookmarkEnd w:id="870"/>
    </w:p>
    <w:p w14:paraId="3BA08615" w14:textId="77777777" w:rsidR="00C36261" w:rsidRPr="00A57ABC" w:rsidRDefault="00C36261" w:rsidP="00C36261">
      <w:pPr>
        <w:widowControl w:val="0"/>
        <w:jc w:val="both"/>
        <w:rPr>
          <w:rFonts w:eastAsiaTheme="minorHAnsi"/>
          <w:lang w:eastAsia="en-US"/>
        </w:rPr>
      </w:pPr>
    </w:p>
    <w:tbl>
      <w:tblPr>
        <w:tblStyle w:val="TableNormal"/>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410"/>
        <w:gridCol w:w="1081"/>
        <w:gridCol w:w="1103"/>
        <w:gridCol w:w="540"/>
        <w:gridCol w:w="1382"/>
        <w:gridCol w:w="1039"/>
        <w:gridCol w:w="1263"/>
      </w:tblGrid>
      <w:tr w:rsidR="00C36261" w:rsidRPr="00A57ABC" w14:paraId="3505E9F5" w14:textId="77777777" w:rsidTr="005105AC">
        <w:trPr>
          <w:trHeight w:val="285"/>
          <w:jc w:val="center"/>
        </w:trPr>
        <w:tc>
          <w:tcPr>
            <w:tcW w:w="1367" w:type="pct"/>
            <w:shd w:val="clear" w:color="auto" w:fill="C4D69B"/>
            <w:vAlign w:val="center"/>
          </w:tcPr>
          <w:p w14:paraId="18449D83" w14:textId="77777777" w:rsidR="00C36261" w:rsidRPr="00A57ABC" w:rsidRDefault="00C36261" w:rsidP="00624091">
            <w:pPr>
              <w:widowControl w:val="0"/>
              <w:ind w:left="22"/>
              <w:jc w:val="center"/>
              <w:rPr>
                <w:rFonts w:eastAsiaTheme="minorHAnsi"/>
                <w:b/>
                <w:sz w:val="14"/>
                <w:szCs w:val="20"/>
                <w:lang w:eastAsia="en-US"/>
              </w:rPr>
            </w:pPr>
            <w:r w:rsidRPr="00A57ABC">
              <w:rPr>
                <w:rFonts w:eastAsiaTheme="minorHAnsi"/>
                <w:b/>
                <w:sz w:val="14"/>
                <w:szCs w:val="20"/>
                <w:lang w:eastAsia="en-US"/>
              </w:rPr>
              <w:t>NOMBRE</w:t>
            </w:r>
          </w:p>
        </w:tc>
        <w:tc>
          <w:tcPr>
            <w:tcW w:w="613" w:type="pct"/>
            <w:shd w:val="clear" w:color="auto" w:fill="C4D69B"/>
            <w:vAlign w:val="center"/>
          </w:tcPr>
          <w:p w14:paraId="1B5B61D1" w14:textId="77777777" w:rsidR="00C36261" w:rsidRPr="00A57ABC" w:rsidRDefault="00C36261" w:rsidP="00624091">
            <w:pPr>
              <w:widowControl w:val="0"/>
              <w:ind w:left="29" w:right="2"/>
              <w:jc w:val="center"/>
              <w:rPr>
                <w:rFonts w:eastAsiaTheme="minorHAnsi"/>
                <w:b/>
                <w:sz w:val="14"/>
                <w:szCs w:val="20"/>
                <w:lang w:eastAsia="en-US"/>
              </w:rPr>
            </w:pPr>
            <w:r w:rsidRPr="00A57ABC">
              <w:rPr>
                <w:rFonts w:eastAsiaTheme="minorHAnsi"/>
                <w:b/>
                <w:sz w:val="14"/>
                <w:szCs w:val="20"/>
                <w:lang w:eastAsia="en-US"/>
              </w:rPr>
              <w:t>FECHA</w:t>
            </w:r>
            <w:r w:rsidRPr="00A57ABC">
              <w:rPr>
                <w:rFonts w:eastAsiaTheme="minorHAnsi"/>
                <w:b/>
                <w:spacing w:val="-1"/>
                <w:sz w:val="14"/>
                <w:szCs w:val="20"/>
                <w:lang w:eastAsia="en-US"/>
              </w:rPr>
              <w:t xml:space="preserve"> </w:t>
            </w:r>
            <w:r w:rsidRPr="00A57ABC">
              <w:rPr>
                <w:rFonts w:eastAsiaTheme="minorHAnsi"/>
                <w:b/>
                <w:sz w:val="14"/>
                <w:szCs w:val="20"/>
                <w:lang w:eastAsia="en-US"/>
              </w:rPr>
              <w:t>DE INICIO</w:t>
            </w:r>
          </w:p>
        </w:tc>
        <w:tc>
          <w:tcPr>
            <w:tcW w:w="625" w:type="pct"/>
            <w:shd w:val="clear" w:color="auto" w:fill="C4D69B"/>
            <w:vAlign w:val="center"/>
          </w:tcPr>
          <w:p w14:paraId="1BC43D62" w14:textId="77777777" w:rsidR="00C36261" w:rsidRPr="00A57ABC" w:rsidRDefault="00C36261" w:rsidP="00624091">
            <w:pPr>
              <w:widowControl w:val="0"/>
              <w:ind w:left="31" w:right="2"/>
              <w:jc w:val="center"/>
              <w:rPr>
                <w:rFonts w:eastAsiaTheme="minorHAnsi"/>
                <w:b/>
                <w:sz w:val="14"/>
                <w:szCs w:val="20"/>
                <w:lang w:eastAsia="en-US"/>
              </w:rPr>
            </w:pPr>
            <w:r w:rsidRPr="00A57ABC">
              <w:rPr>
                <w:rFonts w:eastAsiaTheme="minorHAnsi"/>
                <w:b/>
                <w:sz w:val="14"/>
                <w:szCs w:val="20"/>
                <w:lang w:eastAsia="en-US"/>
              </w:rPr>
              <w:t>FECHA</w:t>
            </w:r>
            <w:r w:rsidRPr="00A57ABC">
              <w:rPr>
                <w:rFonts w:eastAsiaTheme="minorHAnsi"/>
                <w:b/>
                <w:spacing w:val="-1"/>
                <w:sz w:val="14"/>
                <w:szCs w:val="20"/>
                <w:lang w:eastAsia="en-US"/>
              </w:rPr>
              <w:t xml:space="preserve"> </w:t>
            </w:r>
            <w:r w:rsidRPr="00A57ABC">
              <w:rPr>
                <w:rFonts w:eastAsiaTheme="minorHAnsi"/>
                <w:b/>
                <w:sz w:val="14"/>
                <w:szCs w:val="20"/>
                <w:lang w:eastAsia="en-US"/>
              </w:rPr>
              <w:t>DE</w:t>
            </w:r>
          </w:p>
          <w:p w14:paraId="5273A3C1" w14:textId="77777777" w:rsidR="00C36261" w:rsidRPr="00A57ABC" w:rsidRDefault="00C36261" w:rsidP="00624091">
            <w:pPr>
              <w:widowControl w:val="0"/>
              <w:ind w:left="30" w:right="2"/>
              <w:jc w:val="center"/>
              <w:rPr>
                <w:rFonts w:eastAsiaTheme="minorHAnsi"/>
                <w:b/>
                <w:sz w:val="14"/>
                <w:szCs w:val="20"/>
                <w:lang w:eastAsia="en-US"/>
              </w:rPr>
            </w:pPr>
            <w:r w:rsidRPr="00A57ABC">
              <w:rPr>
                <w:rFonts w:eastAsiaTheme="minorHAnsi"/>
                <w:b/>
                <w:sz w:val="14"/>
                <w:szCs w:val="20"/>
                <w:lang w:eastAsia="en-US"/>
              </w:rPr>
              <w:t>FINALIZACION</w:t>
            </w:r>
          </w:p>
        </w:tc>
        <w:tc>
          <w:tcPr>
            <w:tcW w:w="306" w:type="pct"/>
            <w:shd w:val="clear" w:color="auto" w:fill="C4D69B"/>
            <w:vAlign w:val="center"/>
          </w:tcPr>
          <w:p w14:paraId="395E0412" w14:textId="77777777" w:rsidR="00C36261" w:rsidRPr="00A57ABC" w:rsidRDefault="00C36261" w:rsidP="00624091">
            <w:pPr>
              <w:widowControl w:val="0"/>
              <w:ind w:left="35" w:right="2"/>
              <w:jc w:val="center"/>
              <w:rPr>
                <w:rFonts w:eastAsiaTheme="minorHAnsi"/>
                <w:b/>
                <w:sz w:val="14"/>
                <w:szCs w:val="20"/>
                <w:lang w:eastAsia="en-US"/>
              </w:rPr>
            </w:pPr>
            <w:r w:rsidRPr="00A57ABC">
              <w:rPr>
                <w:rFonts w:eastAsiaTheme="minorHAnsi"/>
                <w:b/>
                <w:sz w:val="14"/>
                <w:szCs w:val="20"/>
                <w:lang w:eastAsia="en-US"/>
              </w:rPr>
              <w:t>PLAZO</w:t>
            </w:r>
          </w:p>
        </w:tc>
        <w:tc>
          <w:tcPr>
            <w:tcW w:w="784" w:type="pct"/>
            <w:shd w:val="clear" w:color="auto" w:fill="C4D69B"/>
            <w:vAlign w:val="center"/>
          </w:tcPr>
          <w:p w14:paraId="66CF0206" w14:textId="77777777" w:rsidR="00C36261" w:rsidRPr="00A57ABC" w:rsidRDefault="00C36261" w:rsidP="00624091">
            <w:pPr>
              <w:widowControl w:val="0"/>
              <w:ind w:left="32"/>
              <w:jc w:val="center"/>
              <w:rPr>
                <w:rFonts w:eastAsiaTheme="minorHAnsi"/>
                <w:b/>
                <w:sz w:val="14"/>
                <w:szCs w:val="20"/>
                <w:lang w:eastAsia="en-US"/>
              </w:rPr>
            </w:pPr>
            <w:r w:rsidRPr="00A57ABC">
              <w:rPr>
                <w:rFonts w:eastAsiaTheme="minorHAnsi"/>
                <w:b/>
                <w:sz w:val="14"/>
                <w:szCs w:val="20"/>
                <w:lang w:eastAsia="en-US"/>
              </w:rPr>
              <w:t>MINERAL</w:t>
            </w:r>
          </w:p>
        </w:tc>
        <w:tc>
          <w:tcPr>
            <w:tcW w:w="589" w:type="pct"/>
            <w:shd w:val="clear" w:color="auto" w:fill="C4D69B"/>
            <w:vAlign w:val="center"/>
          </w:tcPr>
          <w:p w14:paraId="2E8D9811" w14:textId="77777777" w:rsidR="00C36261" w:rsidRPr="00A57ABC" w:rsidRDefault="00C36261" w:rsidP="00624091">
            <w:pPr>
              <w:widowControl w:val="0"/>
              <w:ind w:left="35" w:right="2"/>
              <w:jc w:val="center"/>
              <w:rPr>
                <w:rFonts w:eastAsiaTheme="minorHAnsi"/>
                <w:b/>
                <w:sz w:val="14"/>
                <w:szCs w:val="20"/>
                <w:lang w:eastAsia="en-US"/>
              </w:rPr>
            </w:pPr>
            <w:r w:rsidRPr="00A57ABC">
              <w:rPr>
                <w:rFonts w:eastAsiaTheme="minorHAnsi"/>
                <w:b/>
                <w:sz w:val="14"/>
                <w:szCs w:val="20"/>
                <w:lang w:eastAsia="en-US"/>
              </w:rPr>
              <w:t>MUNICIPIOS</w:t>
            </w:r>
          </w:p>
        </w:tc>
        <w:tc>
          <w:tcPr>
            <w:tcW w:w="716" w:type="pct"/>
            <w:shd w:val="clear" w:color="auto" w:fill="C4D69B"/>
            <w:vAlign w:val="center"/>
          </w:tcPr>
          <w:p w14:paraId="090F8FA2" w14:textId="77777777" w:rsidR="00C36261" w:rsidRPr="00A57ABC" w:rsidRDefault="00C36261" w:rsidP="00624091">
            <w:pPr>
              <w:widowControl w:val="0"/>
              <w:ind w:left="37"/>
              <w:jc w:val="center"/>
              <w:rPr>
                <w:rFonts w:eastAsiaTheme="minorHAnsi"/>
                <w:b/>
                <w:sz w:val="14"/>
                <w:szCs w:val="20"/>
                <w:lang w:eastAsia="en-US"/>
              </w:rPr>
            </w:pPr>
            <w:r w:rsidRPr="00A57ABC">
              <w:rPr>
                <w:rFonts w:eastAsiaTheme="minorHAnsi"/>
                <w:b/>
                <w:sz w:val="14"/>
                <w:szCs w:val="20"/>
                <w:lang w:eastAsia="en-US"/>
              </w:rPr>
              <w:t>DEPARTAMENTO</w:t>
            </w:r>
          </w:p>
        </w:tc>
      </w:tr>
      <w:tr w:rsidR="00C36261" w:rsidRPr="00A57ABC" w14:paraId="32423791" w14:textId="77777777" w:rsidTr="005105AC">
        <w:trPr>
          <w:trHeight w:val="233"/>
          <w:jc w:val="center"/>
        </w:trPr>
        <w:tc>
          <w:tcPr>
            <w:tcW w:w="1367" w:type="pct"/>
            <w:vAlign w:val="center"/>
          </w:tcPr>
          <w:p w14:paraId="3EED2702" w14:textId="77777777" w:rsidR="00C36261" w:rsidRPr="00A57ABC" w:rsidRDefault="00C36261" w:rsidP="00624091">
            <w:pPr>
              <w:widowControl w:val="0"/>
              <w:ind w:left="118" w:right="91" w:firstLine="2"/>
              <w:jc w:val="center"/>
              <w:rPr>
                <w:rFonts w:eastAsiaTheme="minorHAnsi"/>
                <w:sz w:val="14"/>
                <w:szCs w:val="14"/>
                <w:lang w:val="es-GT" w:eastAsia="en-US"/>
              </w:rPr>
            </w:pPr>
            <w:r w:rsidRPr="00A57ABC">
              <w:rPr>
                <w:rFonts w:eastAsiaTheme="minorHAnsi"/>
                <w:sz w:val="14"/>
                <w:szCs w:val="14"/>
                <w:lang w:val="es-GT" w:eastAsia="en-US"/>
              </w:rPr>
              <w:t>BANCO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MATERIALES LA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ISLA</w:t>
            </w:r>
          </w:p>
        </w:tc>
        <w:tc>
          <w:tcPr>
            <w:tcW w:w="613" w:type="pct"/>
            <w:vAlign w:val="center"/>
          </w:tcPr>
          <w:p w14:paraId="7886651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28/01/2006</w:t>
            </w:r>
          </w:p>
        </w:tc>
        <w:tc>
          <w:tcPr>
            <w:tcW w:w="625" w:type="pct"/>
            <w:vAlign w:val="center"/>
          </w:tcPr>
          <w:p w14:paraId="3740992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27/01/2031</w:t>
            </w:r>
          </w:p>
        </w:tc>
        <w:tc>
          <w:tcPr>
            <w:tcW w:w="306" w:type="pct"/>
            <w:vAlign w:val="center"/>
          </w:tcPr>
          <w:p w14:paraId="5074FF8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C27D409"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CALIZA</w:t>
            </w:r>
          </w:p>
        </w:tc>
        <w:tc>
          <w:tcPr>
            <w:tcW w:w="589" w:type="pct"/>
            <w:vAlign w:val="center"/>
          </w:tcPr>
          <w:p w14:paraId="5ABD1186" w14:textId="77777777" w:rsidR="00C36261" w:rsidRPr="00A57ABC" w:rsidRDefault="00C36261" w:rsidP="00624091">
            <w:pPr>
              <w:widowControl w:val="0"/>
              <w:ind w:left="336" w:right="171" w:hanging="116"/>
              <w:jc w:val="center"/>
              <w:rPr>
                <w:rFonts w:eastAsiaTheme="minorHAnsi"/>
                <w:sz w:val="14"/>
                <w:szCs w:val="14"/>
                <w:lang w:eastAsia="en-US"/>
              </w:rPr>
            </w:pPr>
            <w:r w:rsidRPr="00A57ABC">
              <w:rPr>
                <w:rFonts w:eastAsiaTheme="minorHAnsi"/>
                <w:sz w:val="14"/>
                <w:szCs w:val="14"/>
                <w:lang w:eastAsia="en-US"/>
              </w:rPr>
              <w:t>Santa Cruz</w:t>
            </w:r>
            <w:r w:rsidRPr="00A57ABC">
              <w:rPr>
                <w:rFonts w:eastAsiaTheme="minorHAnsi"/>
                <w:spacing w:val="-34"/>
                <w:sz w:val="14"/>
                <w:szCs w:val="14"/>
                <w:lang w:eastAsia="en-US"/>
              </w:rPr>
              <w:t xml:space="preserve"> </w:t>
            </w:r>
            <w:r w:rsidRPr="00A57ABC">
              <w:rPr>
                <w:rFonts w:eastAsiaTheme="minorHAnsi"/>
                <w:sz w:val="14"/>
                <w:szCs w:val="14"/>
                <w:lang w:eastAsia="en-US"/>
              </w:rPr>
              <w:t>Verapaz</w:t>
            </w:r>
          </w:p>
        </w:tc>
        <w:tc>
          <w:tcPr>
            <w:tcW w:w="716" w:type="pct"/>
            <w:vAlign w:val="center"/>
          </w:tcPr>
          <w:p w14:paraId="5BFA7408"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Alta Verapaz</w:t>
            </w:r>
          </w:p>
        </w:tc>
      </w:tr>
      <w:tr w:rsidR="00C36261" w:rsidRPr="00A57ABC" w14:paraId="078F1A27" w14:textId="77777777" w:rsidTr="005105AC">
        <w:trPr>
          <w:trHeight w:val="309"/>
          <w:jc w:val="center"/>
        </w:trPr>
        <w:tc>
          <w:tcPr>
            <w:tcW w:w="1367" w:type="pct"/>
            <w:vAlign w:val="center"/>
          </w:tcPr>
          <w:p w14:paraId="315A754B" w14:textId="77777777" w:rsidR="00C36261" w:rsidRPr="00A57ABC" w:rsidRDefault="00C36261" w:rsidP="00624091">
            <w:pPr>
              <w:widowControl w:val="0"/>
              <w:ind w:left="216" w:right="177" w:firstLine="72"/>
              <w:jc w:val="center"/>
              <w:rPr>
                <w:rFonts w:eastAsiaTheme="minorHAnsi"/>
                <w:sz w:val="14"/>
                <w:szCs w:val="14"/>
                <w:lang w:eastAsia="en-US"/>
              </w:rPr>
            </w:pPr>
            <w:r w:rsidRPr="00A57ABC">
              <w:rPr>
                <w:rFonts w:eastAsiaTheme="minorHAnsi"/>
                <w:sz w:val="14"/>
                <w:szCs w:val="14"/>
                <w:lang w:eastAsia="en-US"/>
              </w:rPr>
              <w:t>BANCO DE</w:t>
            </w:r>
            <w:r w:rsidRPr="00A57ABC">
              <w:rPr>
                <w:rFonts w:eastAsiaTheme="minorHAnsi"/>
                <w:spacing w:val="1"/>
                <w:sz w:val="14"/>
                <w:szCs w:val="14"/>
                <w:lang w:eastAsia="en-US"/>
              </w:rPr>
              <w:t xml:space="preserve"> </w:t>
            </w:r>
            <w:r w:rsidRPr="00A57ABC">
              <w:rPr>
                <w:rFonts w:eastAsiaTheme="minorHAnsi"/>
                <w:sz w:val="14"/>
                <w:szCs w:val="14"/>
                <w:lang w:eastAsia="en-US"/>
              </w:rPr>
              <w:t>MATERIALES</w:t>
            </w:r>
          </w:p>
          <w:p w14:paraId="765279E3" w14:textId="77777777" w:rsidR="00C36261" w:rsidRPr="00A57ABC" w:rsidRDefault="00C36261" w:rsidP="00624091">
            <w:pPr>
              <w:widowControl w:val="0"/>
              <w:ind w:left="264"/>
              <w:jc w:val="center"/>
              <w:rPr>
                <w:rFonts w:eastAsiaTheme="minorHAnsi"/>
                <w:sz w:val="14"/>
                <w:szCs w:val="14"/>
                <w:lang w:eastAsia="en-US"/>
              </w:rPr>
            </w:pPr>
            <w:r w:rsidRPr="00A57ABC">
              <w:rPr>
                <w:rFonts w:eastAsiaTheme="minorHAnsi"/>
                <w:sz w:val="14"/>
                <w:szCs w:val="14"/>
                <w:lang w:eastAsia="en-US"/>
              </w:rPr>
              <w:t>ROCARENA</w:t>
            </w:r>
          </w:p>
        </w:tc>
        <w:tc>
          <w:tcPr>
            <w:tcW w:w="613" w:type="pct"/>
            <w:vAlign w:val="center"/>
          </w:tcPr>
          <w:p w14:paraId="0487824A"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13/12/2012</w:t>
            </w:r>
          </w:p>
        </w:tc>
        <w:tc>
          <w:tcPr>
            <w:tcW w:w="625" w:type="pct"/>
            <w:vAlign w:val="center"/>
          </w:tcPr>
          <w:p w14:paraId="11C6B2D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12/12/2037</w:t>
            </w:r>
          </w:p>
        </w:tc>
        <w:tc>
          <w:tcPr>
            <w:tcW w:w="306" w:type="pct"/>
            <w:vAlign w:val="center"/>
          </w:tcPr>
          <w:p w14:paraId="25DA1B8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B5E7C1B" w14:textId="77777777" w:rsidR="00C36261" w:rsidRPr="00A57ABC" w:rsidRDefault="00C36261" w:rsidP="00624091">
            <w:pPr>
              <w:widowControl w:val="0"/>
              <w:ind w:left="312" w:right="258" w:firstLine="38"/>
              <w:jc w:val="center"/>
              <w:rPr>
                <w:rFonts w:eastAsiaTheme="minorHAnsi"/>
                <w:sz w:val="14"/>
                <w:szCs w:val="14"/>
                <w:lang w:eastAsia="en-US"/>
              </w:rPr>
            </w:pPr>
            <w:r w:rsidRPr="00A57ABC">
              <w:rPr>
                <w:rFonts w:eastAsiaTheme="minorHAnsi"/>
                <w:sz w:val="14"/>
                <w:szCs w:val="14"/>
                <w:lang w:eastAsia="en-US"/>
              </w:rPr>
              <w:t>CALIZA Y</w:t>
            </w:r>
            <w:r w:rsidRPr="00A57ABC">
              <w:rPr>
                <w:rFonts w:eastAsiaTheme="minorHAnsi"/>
                <w:spacing w:val="1"/>
                <w:sz w:val="14"/>
                <w:szCs w:val="14"/>
                <w:lang w:eastAsia="en-US"/>
              </w:rPr>
              <w:t xml:space="preserve"> </w:t>
            </w:r>
            <w:r w:rsidRPr="00A57ABC">
              <w:rPr>
                <w:rFonts w:eastAsiaTheme="minorHAnsi"/>
                <w:sz w:val="14"/>
                <w:szCs w:val="14"/>
                <w:lang w:eastAsia="en-US"/>
              </w:rPr>
              <w:t>DOLOMIA</w:t>
            </w:r>
          </w:p>
        </w:tc>
        <w:tc>
          <w:tcPr>
            <w:tcW w:w="589" w:type="pct"/>
            <w:vAlign w:val="center"/>
          </w:tcPr>
          <w:p w14:paraId="32CBF9E4" w14:textId="77777777" w:rsidR="00C36261" w:rsidRPr="00A57ABC" w:rsidRDefault="00C36261" w:rsidP="00624091">
            <w:pPr>
              <w:widowControl w:val="0"/>
              <w:ind w:left="336" w:right="72" w:hanging="214"/>
              <w:jc w:val="center"/>
              <w:rPr>
                <w:rFonts w:eastAsiaTheme="minorHAnsi"/>
                <w:sz w:val="14"/>
                <w:szCs w:val="14"/>
                <w:lang w:eastAsia="en-US"/>
              </w:rPr>
            </w:pPr>
            <w:r w:rsidRPr="00A57ABC">
              <w:rPr>
                <w:rFonts w:eastAsiaTheme="minorHAnsi"/>
                <w:sz w:val="14"/>
                <w:szCs w:val="14"/>
                <w:lang w:eastAsia="en-US"/>
              </w:rPr>
              <w:t>San Cristobal</w:t>
            </w:r>
            <w:r w:rsidRPr="00A57ABC">
              <w:rPr>
                <w:rFonts w:eastAsiaTheme="minorHAnsi"/>
                <w:spacing w:val="-34"/>
                <w:sz w:val="14"/>
                <w:szCs w:val="14"/>
                <w:lang w:eastAsia="en-US"/>
              </w:rPr>
              <w:t xml:space="preserve"> </w:t>
            </w:r>
            <w:r w:rsidRPr="00A57ABC">
              <w:rPr>
                <w:rFonts w:eastAsiaTheme="minorHAnsi"/>
                <w:sz w:val="14"/>
                <w:szCs w:val="14"/>
                <w:lang w:eastAsia="en-US"/>
              </w:rPr>
              <w:t>Verapaz</w:t>
            </w:r>
          </w:p>
        </w:tc>
        <w:tc>
          <w:tcPr>
            <w:tcW w:w="716" w:type="pct"/>
            <w:vAlign w:val="center"/>
          </w:tcPr>
          <w:p w14:paraId="3478562F"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Alta Verapaz</w:t>
            </w:r>
          </w:p>
        </w:tc>
      </w:tr>
      <w:tr w:rsidR="00C36261" w:rsidRPr="00A57ABC" w14:paraId="51789016" w14:textId="77777777" w:rsidTr="005105AC">
        <w:trPr>
          <w:trHeight w:val="176"/>
          <w:jc w:val="center"/>
        </w:trPr>
        <w:tc>
          <w:tcPr>
            <w:tcW w:w="1367" w:type="pct"/>
            <w:vAlign w:val="center"/>
          </w:tcPr>
          <w:p w14:paraId="17EAEBD0" w14:textId="77777777" w:rsidR="00C36261" w:rsidRPr="00A57ABC" w:rsidRDefault="00C36261" w:rsidP="00624091">
            <w:pPr>
              <w:widowControl w:val="0"/>
              <w:ind w:left="401" w:right="130" w:hanging="236"/>
              <w:jc w:val="center"/>
              <w:rPr>
                <w:rFonts w:eastAsiaTheme="minorHAnsi"/>
                <w:sz w:val="14"/>
                <w:szCs w:val="14"/>
                <w:lang w:eastAsia="en-US"/>
              </w:rPr>
            </w:pPr>
            <w:r w:rsidRPr="00A57ABC">
              <w:rPr>
                <w:rFonts w:eastAsiaTheme="minorHAnsi"/>
                <w:sz w:val="14"/>
                <w:szCs w:val="14"/>
                <w:lang w:eastAsia="en-US"/>
              </w:rPr>
              <w:t>CANTERA SAN</w:t>
            </w:r>
            <w:r w:rsidRPr="00A57ABC">
              <w:rPr>
                <w:rFonts w:eastAsiaTheme="minorHAnsi"/>
                <w:spacing w:val="-34"/>
                <w:sz w:val="14"/>
                <w:szCs w:val="14"/>
                <w:lang w:eastAsia="en-US"/>
              </w:rPr>
              <w:t xml:space="preserve"> </w:t>
            </w:r>
            <w:r w:rsidRPr="00A57ABC">
              <w:rPr>
                <w:rFonts w:eastAsiaTheme="minorHAnsi"/>
                <w:sz w:val="14"/>
                <w:szCs w:val="14"/>
                <w:lang w:eastAsia="en-US"/>
              </w:rPr>
              <w:t>JULIAN</w:t>
            </w:r>
          </w:p>
        </w:tc>
        <w:tc>
          <w:tcPr>
            <w:tcW w:w="613" w:type="pct"/>
            <w:vAlign w:val="center"/>
          </w:tcPr>
          <w:p w14:paraId="0C3D1273"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16/03/2007</w:t>
            </w:r>
          </w:p>
        </w:tc>
        <w:tc>
          <w:tcPr>
            <w:tcW w:w="625" w:type="pct"/>
            <w:vAlign w:val="center"/>
          </w:tcPr>
          <w:p w14:paraId="08D28B9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15/03/2032</w:t>
            </w:r>
          </w:p>
        </w:tc>
        <w:tc>
          <w:tcPr>
            <w:tcW w:w="306" w:type="pct"/>
            <w:vAlign w:val="center"/>
          </w:tcPr>
          <w:p w14:paraId="454A389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B6A233E" w14:textId="77777777" w:rsidR="00C36261" w:rsidRPr="00A57ABC" w:rsidRDefault="00C36261" w:rsidP="00624091">
            <w:pPr>
              <w:widowControl w:val="0"/>
              <w:ind w:left="177" w:right="129" w:firstLine="168"/>
              <w:jc w:val="center"/>
              <w:rPr>
                <w:rFonts w:eastAsiaTheme="minorHAnsi"/>
                <w:sz w:val="14"/>
                <w:szCs w:val="14"/>
                <w:lang w:eastAsia="en-US"/>
              </w:rPr>
            </w:pPr>
            <w:r w:rsidRPr="00A57ABC">
              <w:rPr>
                <w:rFonts w:eastAsiaTheme="minorHAnsi"/>
                <w:sz w:val="14"/>
                <w:szCs w:val="14"/>
                <w:lang w:eastAsia="en-US"/>
              </w:rPr>
              <w:t>CLASTOS</w:t>
            </w:r>
            <w:r w:rsidRPr="00A57ABC">
              <w:rPr>
                <w:rFonts w:eastAsiaTheme="minorHAnsi"/>
                <w:spacing w:val="1"/>
                <w:sz w:val="14"/>
                <w:szCs w:val="14"/>
                <w:lang w:eastAsia="en-US"/>
              </w:rPr>
              <w:t xml:space="preserve"> </w:t>
            </w:r>
            <w:r w:rsidRPr="00A57ABC">
              <w:rPr>
                <w:rFonts w:eastAsiaTheme="minorHAnsi"/>
                <w:sz w:val="14"/>
                <w:szCs w:val="14"/>
                <w:lang w:eastAsia="en-US"/>
              </w:rPr>
              <w:t>CARBONATOS</w:t>
            </w:r>
          </w:p>
        </w:tc>
        <w:tc>
          <w:tcPr>
            <w:tcW w:w="589" w:type="pct"/>
            <w:vAlign w:val="center"/>
          </w:tcPr>
          <w:p w14:paraId="6AF50D18"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Tactic</w:t>
            </w:r>
          </w:p>
        </w:tc>
        <w:tc>
          <w:tcPr>
            <w:tcW w:w="716" w:type="pct"/>
            <w:vAlign w:val="center"/>
          </w:tcPr>
          <w:p w14:paraId="7A2751C3"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Alta Verapaz</w:t>
            </w:r>
          </w:p>
        </w:tc>
      </w:tr>
      <w:tr w:rsidR="00C36261" w:rsidRPr="00A57ABC" w14:paraId="1B94A757" w14:textId="77777777" w:rsidTr="005105AC">
        <w:trPr>
          <w:trHeight w:val="253"/>
          <w:jc w:val="center"/>
        </w:trPr>
        <w:tc>
          <w:tcPr>
            <w:tcW w:w="1367" w:type="pct"/>
            <w:vAlign w:val="center"/>
          </w:tcPr>
          <w:p w14:paraId="42C8984A"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EL DIAMANTE</w:t>
            </w:r>
          </w:p>
        </w:tc>
        <w:tc>
          <w:tcPr>
            <w:tcW w:w="613" w:type="pct"/>
            <w:vAlign w:val="center"/>
          </w:tcPr>
          <w:p w14:paraId="6E046BF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13/03/2003</w:t>
            </w:r>
          </w:p>
        </w:tc>
        <w:tc>
          <w:tcPr>
            <w:tcW w:w="625" w:type="pct"/>
            <w:vAlign w:val="center"/>
          </w:tcPr>
          <w:p w14:paraId="6147C7F3"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12/03/2028</w:t>
            </w:r>
          </w:p>
        </w:tc>
        <w:tc>
          <w:tcPr>
            <w:tcW w:w="306" w:type="pct"/>
            <w:vAlign w:val="center"/>
          </w:tcPr>
          <w:p w14:paraId="27EA3A5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0D767DF"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ARENA</w:t>
            </w:r>
          </w:p>
        </w:tc>
        <w:tc>
          <w:tcPr>
            <w:tcW w:w="589" w:type="pct"/>
            <w:vAlign w:val="center"/>
          </w:tcPr>
          <w:p w14:paraId="52B896E6" w14:textId="77777777" w:rsidR="00C36261" w:rsidRPr="00A57ABC" w:rsidRDefault="00C36261" w:rsidP="00624091">
            <w:pPr>
              <w:widowControl w:val="0"/>
              <w:ind w:left="36" w:right="2" w:firstLine="3"/>
              <w:jc w:val="center"/>
              <w:rPr>
                <w:rFonts w:eastAsiaTheme="minorHAnsi"/>
                <w:sz w:val="14"/>
                <w:szCs w:val="14"/>
                <w:lang w:val="es-GT" w:eastAsia="en-US"/>
              </w:rPr>
            </w:pPr>
            <w:r w:rsidRPr="00A57ABC">
              <w:rPr>
                <w:rFonts w:eastAsiaTheme="minorHAnsi"/>
                <w:sz w:val="14"/>
                <w:szCs w:val="14"/>
                <w:lang w:val="es-GT" w:eastAsia="en-US"/>
              </w:rPr>
              <w:t>San Cristóbal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Verapaz Y Santa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Cruz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Verapaz</w:t>
            </w:r>
          </w:p>
        </w:tc>
        <w:tc>
          <w:tcPr>
            <w:tcW w:w="716" w:type="pct"/>
            <w:vAlign w:val="center"/>
          </w:tcPr>
          <w:p w14:paraId="26B8D373"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Alta Verapaz</w:t>
            </w:r>
          </w:p>
        </w:tc>
      </w:tr>
      <w:tr w:rsidR="00C36261" w:rsidRPr="00A57ABC" w14:paraId="6BD335C8" w14:textId="77777777" w:rsidTr="005105AC">
        <w:trPr>
          <w:trHeight w:val="330"/>
          <w:jc w:val="center"/>
        </w:trPr>
        <w:tc>
          <w:tcPr>
            <w:tcW w:w="1367" w:type="pct"/>
            <w:vAlign w:val="center"/>
          </w:tcPr>
          <w:p w14:paraId="46A1D1FB"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LA PALMA</w:t>
            </w:r>
          </w:p>
        </w:tc>
        <w:tc>
          <w:tcPr>
            <w:tcW w:w="613" w:type="pct"/>
            <w:vAlign w:val="center"/>
          </w:tcPr>
          <w:p w14:paraId="54F6F0E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22/07/2003</w:t>
            </w:r>
          </w:p>
        </w:tc>
        <w:tc>
          <w:tcPr>
            <w:tcW w:w="625" w:type="pct"/>
            <w:vAlign w:val="center"/>
          </w:tcPr>
          <w:p w14:paraId="11AAA7D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21/07/2028</w:t>
            </w:r>
          </w:p>
        </w:tc>
        <w:tc>
          <w:tcPr>
            <w:tcW w:w="306" w:type="pct"/>
            <w:vAlign w:val="center"/>
          </w:tcPr>
          <w:p w14:paraId="7399C53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E87E40C"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YESO</w:t>
            </w:r>
          </w:p>
        </w:tc>
        <w:tc>
          <w:tcPr>
            <w:tcW w:w="589" w:type="pct"/>
            <w:vAlign w:val="center"/>
          </w:tcPr>
          <w:p w14:paraId="4E4479E6" w14:textId="77777777" w:rsidR="00C36261" w:rsidRPr="00A57ABC" w:rsidRDefault="00C36261" w:rsidP="00624091">
            <w:pPr>
              <w:widowControl w:val="0"/>
              <w:ind w:left="336" w:right="72" w:hanging="214"/>
              <w:jc w:val="center"/>
              <w:rPr>
                <w:rFonts w:eastAsiaTheme="minorHAnsi"/>
                <w:sz w:val="14"/>
                <w:szCs w:val="14"/>
                <w:lang w:eastAsia="en-US"/>
              </w:rPr>
            </w:pPr>
            <w:r w:rsidRPr="00A57ABC">
              <w:rPr>
                <w:rFonts w:eastAsiaTheme="minorHAnsi"/>
                <w:sz w:val="14"/>
                <w:szCs w:val="14"/>
                <w:lang w:eastAsia="en-US"/>
              </w:rPr>
              <w:t>San Cristobal</w:t>
            </w:r>
            <w:r w:rsidRPr="00A57ABC">
              <w:rPr>
                <w:rFonts w:eastAsiaTheme="minorHAnsi"/>
                <w:spacing w:val="-34"/>
                <w:sz w:val="14"/>
                <w:szCs w:val="14"/>
                <w:lang w:eastAsia="en-US"/>
              </w:rPr>
              <w:t xml:space="preserve"> </w:t>
            </w:r>
            <w:r w:rsidRPr="00A57ABC">
              <w:rPr>
                <w:rFonts w:eastAsiaTheme="minorHAnsi"/>
                <w:sz w:val="14"/>
                <w:szCs w:val="14"/>
                <w:lang w:eastAsia="en-US"/>
              </w:rPr>
              <w:t>Verapaz</w:t>
            </w:r>
          </w:p>
        </w:tc>
        <w:tc>
          <w:tcPr>
            <w:tcW w:w="716" w:type="pct"/>
            <w:vAlign w:val="center"/>
          </w:tcPr>
          <w:p w14:paraId="49C37E5B"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Alta Verapaz</w:t>
            </w:r>
          </w:p>
        </w:tc>
      </w:tr>
      <w:tr w:rsidR="00C36261" w:rsidRPr="00A57ABC" w14:paraId="61ED4DAD" w14:textId="77777777" w:rsidTr="005105AC">
        <w:trPr>
          <w:trHeight w:val="345"/>
          <w:jc w:val="center"/>
        </w:trPr>
        <w:tc>
          <w:tcPr>
            <w:tcW w:w="1367" w:type="pct"/>
            <w:vAlign w:val="center"/>
          </w:tcPr>
          <w:p w14:paraId="7C8F7EAA"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PIEDRA ANGULAR</w:t>
            </w:r>
          </w:p>
        </w:tc>
        <w:tc>
          <w:tcPr>
            <w:tcW w:w="613" w:type="pct"/>
            <w:vAlign w:val="center"/>
          </w:tcPr>
          <w:p w14:paraId="6DCBA6E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12/05/2004</w:t>
            </w:r>
          </w:p>
        </w:tc>
        <w:tc>
          <w:tcPr>
            <w:tcW w:w="625" w:type="pct"/>
            <w:vAlign w:val="center"/>
          </w:tcPr>
          <w:p w14:paraId="234BC0F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11/05/2029</w:t>
            </w:r>
          </w:p>
        </w:tc>
        <w:tc>
          <w:tcPr>
            <w:tcW w:w="306" w:type="pct"/>
            <w:vAlign w:val="center"/>
          </w:tcPr>
          <w:p w14:paraId="57B21320"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5949AEC" w14:textId="77777777" w:rsidR="00C36261" w:rsidRPr="00A57ABC" w:rsidRDefault="00C36261" w:rsidP="00624091">
            <w:pPr>
              <w:widowControl w:val="0"/>
              <w:ind w:left="34"/>
              <w:jc w:val="center"/>
              <w:rPr>
                <w:rFonts w:eastAsiaTheme="minorHAnsi"/>
                <w:sz w:val="14"/>
                <w:szCs w:val="14"/>
                <w:lang w:val="es-GT" w:eastAsia="en-US"/>
              </w:rPr>
            </w:pPr>
            <w:r w:rsidRPr="00A57ABC">
              <w:rPr>
                <w:rFonts w:eastAsiaTheme="minorHAnsi"/>
                <w:sz w:val="14"/>
                <w:szCs w:val="14"/>
                <w:lang w:val="es-GT" w:eastAsia="en-US"/>
              </w:rPr>
              <w:t>ARENA DE RIO,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CATACLASTICA</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Y</w:t>
            </w:r>
          </w:p>
          <w:p w14:paraId="110849F2"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CALIZA</w:t>
            </w:r>
          </w:p>
        </w:tc>
        <w:tc>
          <w:tcPr>
            <w:tcW w:w="589" w:type="pct"/>
            <w:vAlign w:val="center"/>
          </w:tcPr>
          <w:p w14:paraId="366E690F" w14:textId="77777777" w:rsidR="00C36261" w:rsidRPr="00A57ABC" w:rsidRDefault="00C36261" w:rsidP="00624091">
            <w:pPr>
              <w:widowControl w:val="0"/>
              <w:ind w:left="336" w:right="72" w:hanging="214"/>
              <w:jc w:val="center"/>
              <w:rPr>
                <w:rFonts w:eastAsiaTheme="minorHAnsi"/>
                <w:sz w:val="14"/>
                <w:szCs w:val="14"/>
                <w:lang w:eastAsia="en-US"/>
              </w:rPr>
            </w:pPr>
            <w:r w:rsidRPr="00A57ABC">
              <w:rPr>
                <w:rFonts w:eastAsiaTheme="minorHAnsi"/>
                <w:sz w:val="14"/>
                <w:szCs w:val="14"/>
                <w:lang w:eastAsia="en-US"/>
              </w:rPr>
              <w:t>San Cristobal</w:t>
            </w:r>
            <w:r w:rsidRPr="00A57ABC">
              <w:rPr>
                <w:rFonts w:eastAsiaTheme="minorHAnsi"/>
                <w:spacing w:val="-34"/>
                <w:sz w:val="14"/>
                <w:szCs w:val="14"/>
                <w:lang w:eastAsia="en-US"/>
              </w:rPr>
              <w:t xml:space="preserve"> </w:t>
            </w:r>
            <w:r w:rsidRPr="00A57ABC">
              <w:rPr>
                <w:rFonts w:eastAsiaTheme="minorHAnsi"/>
                <w:sz w:val="14"/>
                <w:szCs w:val="14"/>
                <w:lang w:eastAsia="en-US"/>
              </w:rPr>
              <w:t>Verapaz</w:t>
            </w:r>
          </w:p>
        </w:tc>
        <w:tc>
          <w:tcPr>
            <w:tcW w:w="716" w:type="pct"/>
            <w:vAlign w:val="center"/>
          </w:tcPr>
          <w:p w14:paraId="4403D41E"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Alta Verapaz</w:t>
            </w:r>
          </w:p>
        </w:tc>
      </w:tr>
      <w:tr w:rsidR="00C36261" w:rsidRPr="00A57ABC" w14:paraId="2990549E" w14:textId="77777777" w:rsidTr="005105AC">
        <w:trPr>
          <w:trHeight w:val="241"/>
          <w:jc w:val="center"/>
        </w:trPr>
        <w:tc>
          <w:tcPr>
            <w:tcW w:w="1367" w:type="pct"/>
            <w:vAlign w:val="center"/>
          </w:tcPr>
          <w:p w14:paraId="4363C23F" w14:textId="77777777" w:rsidR="00C36261" w:rsidRPr="00A57ABC" w:rsidRDefault="00C36261" w:rsidP="00624091">
            <w:pPr>
              <w:widowControl w:val="0"/>
              <w:ind w:left="87" w:right="59" w:firstLine="1"/>
              <w:jc w:val="center"/>
              <w:rPr>
                <w:rFonts w:eastAsiaTheme="minorHAnsi"/>
                <w:sz w:val="14"/>
                <w:szCs w:val="14"/>
                <w:lang w:val="es-GT" w:eastAsia="en-US"/>
              </w:rPr>
            </w:pPr>
            <w:r w:rsidRPr="00A57ABC">
              <w:rPr>
                <w:rFonts w:eastAsiaTheme="minorHAnsi"/>
                <w:sz w:val="14"/>
                <w:szCs w:val="14"/>
                <w:lang w:val="es-GT" w:eastAsia="en-US"/>
              </w:rPr>
              <w:t>PROYECTO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EXTRACCION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MINERA</w:t>
            </w:r>
            <w:r w:rsidRPr="00A57ABC">
              <w:rPr>
                <w:rFonts w:eastAsiaTheme="minorHAnsi"/>
                <w:spacing w:val="-8"/>
                <w:sz w:val="14"/>
                <w:szCs w:val="14"/>
                <w:lang w:val="es-GT" w:eastAsia="en-US"/>
              </w:rPr>
              <w:t xml:space="preserve"> </w:t>
            </w:r>
            <w:r w:rsidRPr="00A57ABC">
              <w:rPr>
                <w:rFonts w:eastAsiaTheme="minorHAnsi"/>
                <w:sz w:val="14"/>
                <w:szCs w:val="14"/>
                <w:lang w:val="es-GT" w:eastAsia="en-US"/>
              </w:rPr>
              <w:t>SECHOL</w:t>
            </w:r>
          </w:p>
        </w:tc>
        <w:tc>
          <w:tcPr>
            <w:tcW w:w="613" w:type="pct"/>
            <w:vAlign w:val="center"/>
          </w:tcPr>
          <w:p w14:paraId="651FBA89" w14:textId="77777777" w:rsidR="00C36261" w:rsidRPr="00A57ABC" w:rsidRDefault="00C36261" w:rsidP="00624091">
            <w:pPr>
              <w:widowControl w:val="0"/>
              <w:jc w:val="center"/>
              <w:rPr>
                <w:rFonts w:eastAsiaTheme="minorHAnsi"/>
                <w:b/>
                <w:sz w:val="14"/>
                <w:szCs w:val="14"/>
                <w:lang w:val="es-GT" w:eastAsia="en-US"/>
              </w:rPr>
            </w:pPr>
          </w:p>
          <w:p w14:paraId="036113C9"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9/07/2013</w:t>
            </w:r>
          </w:p>
        </w:tc>
        <w:tc>
          <w:tcPr>
            <w:tcW w:w="625" w:type="pct"/>
            <w:vAlign w:val="center"/>
          </w:tcPr>
          <w:p w14:paraId="3E40C7A8" w14:textId="77777777" w:rsidR="00C36261" w:rsidRPr="00A57ABC" w:rsidRDefault="00C36261" w:rsidP="00624091">
            <w:pPr>
              <w:widowControl w:val="0"/>
              <w:jc w:val="center"/>
              <w:rPr>
                <w:rFonts w:eastAsiaTheme="minorHAnsi"/>
                <w:b/>
                <w:sz w:val="14"/>
                <w:szCs w:val="14"/>
                <w:lang w:eastAsia="en-US"/>
              </w:rPr>
            </w:pPr>
          </w:p>
          <w:p w14:paraId="4A5621E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8/07/2038</w:t>
            </w:r>
          </w:p>
        </w:tc>
        <w:tc>
          <w:tcPr>
            <w:tcW w:w="306" w:type="pct"/>
            <w:vAlign w:val="center"/>
          </w:tcPr>
          <w:p w14:paraId="4E5258E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82932D7" w14:textId="77777777" w:rsidR="00C36261" w:rsidRPr="00A57ABC" w:rsidRDefault="00C36261" w:rsidP="00624091">
            <w:pPr>
              <w:widowControl w:val="0"/>
              <w:ind w:left="77" w:right="42"/>
              <w:jc w:val="center"/>
              <w:rPr>
                <w:rFonts w:eastAsiaTheme="minorHAnsi"/>
                <w:sz w:val="14"/>
                <w:szCs w:val="14"/>
                <w:lang w:val="es-GT" w:eastAsia="en-US"/>
              </w:rPr>
            </w:pPr>
            <w:r w:rsidRPr="00A57ABC">
              <w:rPr>
                <w:rFonts w:eastAsiaTheme="minorHAnsi"/>
                <w:sz w:val="14"/>
                <w:szCs w:val="14"/>
                <w:lang w:val="es-GT" w:eastAsia="en-US"/>
              </w:rPr>
              <w:t>NIQUEL,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COBALTO,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HIERRO, CROMO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MAGNESIO.</w:t>
            </w:r>
          </w:p>
        </w:tc>
        <w:tc>
          <w:tcPr>
            <w:tcW w:w="589" w:type="pct"/>
            <w:vAlign w:val="center"/>
          </w:tcPr>
          <w:p w14:paraId="0BFF3D17" w14:textId="77777777" w:rsidR="00C36261" w:rsidRPr="00A57ABC" w:rsidRDefault="00C36261" w:rsidP="00624091">
            <w:pPr>
              <w:widowControl w:val="0"/>
              <w:ind w:left="367" w:right="254" w:hanging="68"/>
              <w:jc w:val="center"/>
              <w:rPr>
                <w:rFonts w:eastAsiaTheme="minorHAnsi"/>
                <w:sz w:val="14"/>
                <w:szCs w:val="14"/>
                <w:lang w:eastAsia="en-US"/>
              </w:rPr>
            </w:pPr>
            <w:proofErr w:type="spellStart"/>
            <w:r w:rsidRPr="00A57ABC">
              <w:rPr>
                <w:rFonts w:eastAsiaTheme="minorHAnsi"/>
                <w:sz w:val="14"/>
                <w:szCs w:val="14"/>
                <w:lang w:eastAsia="en-US"/>
              </w:rPr>
              <w:t>Senahu</w:t>
            </w:r>
            <w:proofErr w:type="spellEnd"/>
            <w:r w:rsidRPr="00A57ABC">
              <w:rPr>
                <w:rFonts w:eastAsiaTheme="minorHAnsi"/>
                <w:sz w:val="14"/>
                <w:szCs w:val="14"/>
                <w:lang w:eastAsia="en-US"/>
              </w:rPr>
              <w:t xml:space="preserve"> Y</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Panzos</w:t>
            </w:r>
            <w:proofErr w:type="spellEnd"/>
          </w:p>
        </w:tc>
        <w:tc>
          <w:tcPr>
            <w:tcW w:w="716" w:type="pct"/>
            <w:vAlign w:val="center"/>
          </w:tcPr>
          <w:p w14:paraId="59D7458A" w14:textId="77777777" w:rsidR="00C36261" w:rsidRPr="00A57ABC" w:rsidRDefault="00C36261" w:rsidP="00624091">
            <w:pPr>
              <w:widowControl w:val="0"/>
              <w:jc w:val="center"/>
              <w:rPr>
                <w:rFonts w:eastAsiaTheme="minorHAnsi"/>
                <w:b/>
                <w:sz w:val="14"/>
                <w:szCs w:val="14"/>
                <w:lang w:eastAsia="en-US"/>
              </w:rPr>
            </w:pPr>
          </w:p>
          <w:p w14:paraId="64E468AB"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Alta Verapaz</w:t>
            </w:r>
          </w:p>
        </w:tc>
      </w:tr>
      <w:tr w:rsidR="00C36261" w:rsidRPr="00A57ABC" w14:paraId="2E00ADA1" w14:textId="77777777" w:rsidTr="005105AC">
        <w:trPr>
          <w:trHeight w:val="291"/>
          <w:jc w:val="center"/>
        </w:trPr>
        <w:tc>
          <w:tcPr>
            <w:tcW w:w="1367" w:type="pct"/>
            <w:vAlign w:val="center"/>
          </w:tcPr>
          <w:p w14:paraId="3FD1F3CC" w14:textId="77777777" w:rsidR="00C36261" w:rsidRPr="00A57ABC" w:rsidRDefault="00C36261" w:rsidP="00624091">
            <w:pPr>
              <w:widowControl w:val="0"/>
              <w:ind w:left="151" w:right="122" w:firstLine="57"/>
              <w:jc w:val="center"/>
              <w:rPr>
                <w:rFonts w:eastAsiaTheme="minorHAnsi"/>
                <w:sz w:val="14"/>
                <w:szCs w:val="14"/>
                <w:lang w:eastAsia="en-US"/>
              </w:rPr>
            </w:pPr>
            <w:r w:rsidRPr="00A57ABC">
              <w:rPr>
                <w:rFonts w:eastAsiaTheme="minorHAnsi"/>
                <w:sz w:val="14"/>
                <w:szCs w:val="14"/>
                <w:lang w:eastAsia="en-US"/>
              </w:rPr>
              <w:t>EXTRACCION</w:t>
            </w:r>
            <w:r w:rsidRPr="00A57ABC">
              <w:rPr>
                <w:rFonts w:eastAsiaTheme="minorHAnsi"/>
                <w:spacing w:val="1"/>
                <w:sz w:val="14"/>
                <w:szCs w:val="14"/>
                <w:lang w:eastAsia="en-US"/>
              </w:rPr>
              <w:t xml:space="preserve"> </w:t>
            </w:r>
            <w:r w:rsidRPr="00A57ABC">
              <w:rPr>
                <w:rFonts w:eastAsiaTheme="minorHAnsi"/>
                <w:sz w:val="14"/>
                <w:szCs w:val="14"/>
                <w:lang w:eastAsia="en-US"/>
              </w:rPr>
              <w:t>MINERA</w:t>
            </w:r>
            <w:r w:rsidRPr="00A57ABC">
              <w:rPr>
                <w:rFonts w:eastAsiaTheme="minorHAnsi"/>
                <w:spacing w:val="-8"/>
                <w:sz w:val="14"/>
                <w:szCs w:val="14"/>
                <w:lang w:eastAsia="en-US"/>
              </w:rPr>
              <w:t xml:space="preserve"> </w:t>
            </w:r>
            <w:r w:rsidRPr="00A57ABC">
              <w:rPr>
                <w:rFonts w:eastAsiaTheme="minorHAnsi"/>
                <w:sz w:val="14"/>
                <w:szCs w:val="14"/>
                <w:lang w:eastAsia="en-US"/>
              </w:rPr>
              <w:t>FENIX</w:t>
            </w:r>
          </w:p>
        </w:tc>
        <w:tc>
          <w:tcPr>
            <w:tcW w:w="613" w:type="pct"/>
            <w:vAlign w:val="center"/>
          </w:tcPr>
          <w:p w14:paraId="7482B7E4" w14:textId="77777777" w:rsidR="00C36261" w:rsidRPr="00A57ABC" w:rsidRDefault="00C36261" w:rsidP="00624091">
            <w:pPr>
              <w:widowControl w:val="0"/>
              <w:jc w:val="center"/>
              <w:rPr>
                <w:rFonts w:eastAsiaTheme="minorHAnsi"/>
                <w:b/>
                <w:sz w:val="14"/>
                <w:szCs w:val="14"/>
                <w:lang w:eastAsia="en-US"/>
              </w:rPr>
            </w:pPr>
          </w:p>
          <w:p w14:paraId="7F04C17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18/04/2006</w:t>
            </w:r>
          </w:p>
        </w:tc>
        <w:tc>
          <w:tcPr>
            <w:tcW w:w="625" w:type="pct"/>
            <w:vAlign w:val="center"/>
          </w:tcPr>
          <w:p w14:paraId="747E3FBA" w14:textId="77777777" w:rsidR="00C36261" w:rsidRPr="00A57ABC" w:rsidRDefault="00C36261" w:rsidP="00624091">
            <w:pPr>
              <w:widowControl w:val="0"/>
              <w:jc w:val="center"/>
              <w:rPr>
                <w:rFonts w:eastAsiaTheme="minorHAnsi"/>
                <w:b/>
                <w:sz w:val="14"/>
                <w:szCs w:val="14"/>
                <w:lang w:eastAsia="en-US"/>
              </w:rPr>
            </w:pPr>
          </w:p>
          <w:p w14:paraId="3453139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17/04/2031</w:t>
            </w:r>
          </w:p>
        </w:tc>
        <w:tc>
          <w:tcPr>
            <w:tcW w:w="306" w:type="pct"/>
            <w:vAlign w:val="center"/>
          </w:tcPr>
          <w:p w14:paraId="72242FD2" w14:textId="77777777" w:rsidR="00C36261" w:rsidRPr="00A57ABC" w:rsidRDefault="00C36261" w:rsidP="00624091">
            <w:pPr>
              <w:widowControl w:val="0"/>
              <w:jc w:val="center"/>
              <w:rPr>
                <w:rFonts w:eastAsiaTheme="minorHAnsi"/>
                <w:b/>
                <w:sz w:val="14"/>
                <w:szCs w:val="14"/>
                <w:lang w:eastAsia="en-US"/>
              </w:rPr>
            </w:pPr>
          </w:p>
          <w:p w14:paraId="773694E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3FBF1D6" w14:textId="77777777" w:rsidR="00C36261" w:rsidRPr="00A57ABC" w:rsidRDefault="00C36261" w:rsidP="00624091">
            <w:pPr>
              <w:widowControl w:val="0"/>
              <w:ind w:left="77" w:right="42"/>
              <w:jc w:val="center"/>
              <w:rPr>
                <w:rFonts w:eastAsiaTheme="minorHAnsi"/>
                <w:sz w:val="14"/>
                <w:szCs w:val="14"/>
                <w:lang w:val="es-GT" w:eastAsia="en-US"/>
              </w:rPr>
            </w:pPr>
            <w:r w:rsidRPr="00A57ABC">
              <w:rPr>
                <w:rFonts w:eastAsiaTheme="minorHAnsi"/>
                <w:sz w:val="14"/>
                <w:szCs w:val="14"/>
                <w:lang w:val="es-GT" w:eastAsia="en-US"/>
              </w:rPr>
              <w:t>NIQUEL,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COBALTO,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HIERRO, CROMO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MAGNESIO</w:t>
            </w:r>
          </w:p>
        </w:tc>
        <w:tc>
          <w:tcPr>
            <w:tcW w:w="589" w:type="pct"/>
            <w:vAlign w:val="center"/>
          </w:tcPr>
          <w:p w14:paraId="1156B461" w14:textId="77777777" w:rsidR="00C36261" w:rsidRPr="00A57ABC" w:rsidRDefault="00C36261" w:rsidP="00624091">
            <w:pPr>
              <w:widowControl w:val="0"/>
              <w:ind w:left="39" w:right="2"/>
              <w:jc w:val="center"/>
              <w:rPr>
                <w:rFonts w:eastAsiaTheme="minorHAnsi"/>
                <w:sz w:val="14"/>
                <w:szCs w:val="14"/>
                <w:lang w:val="es-GT" w:eastAsia="en-US"/>
              </w:rPr>
            </w:pPr>
            <w:proofErr w:type="spellStart"/>
            <w:r w:rsidRPr="00A57ABC">
              <w:rPr>
                <w:rFonts w:eastAsiaTheme="minorHAnsi"/>
                <w:sz w:val="14"/>
                <w:szCs w:val="14"/>
                <w:lang w:val="es-GT" w:eastAsia="en-US"/>
              </w:rPr>
              <w:t>Cahabon</w:t>
            </w:r>
            <w:proofErr w:type="spellEnd"/>
            <w:r w:rsidRPr="00A57ABC">
              <w:rPr>
                <w:rFonts w:eastAsiaTheme="minorHAnsi"/>
                <w:sz w:val="14"/>
                <w:szCs w:val="14"/>
                <w:lang w:val="es-GT" w:eastAsia="en-US"/>
              </w:rPr>
              <w:t>,</w:t>
            </w:r>
            <w:r w:rsidRPr="00A57ABC">
              <w:rPr>
                <w:rFonts w:eastAsiaTheme="minorHAnsi"/>
                <w:spacing w:val="1"/>
                <w:sz w:val="14"/>
                <w:szCs w:val="14"/>
                <w:lang w:val="es-GT" w:eastAsia="en-US"/>
              </w:rPr>
              <w:t xml:space="preserve"> </w:t>
            </w:r>
            <w:proofErr w:type="spellStart"/>
            <w:r w:rsidRPr="00A57ABC">
              <w:rPr>
                <w:rFonts w:eastAsiaTheme="minorHAnsi"/>
                <w:sz w:val="14"/>
                <w:szCs w:val="14"/>
                <w:lang w:val="es-GT" w:eastAsia="en-US"/>
              </w:rPr>
              <w:t>Senahu</w:t>
            </w:r>
            <w:proofErr w:type="spellEnd"/>
            <w:r w:rsidRPr="00A57ABC">
              <w:rPr>
                <w:rFonts w:eastAsiaTheme="minorHAnsi"/>
                <w:sz w:val="14"/>
                <w:szCs w:val="14"/>
                <w:lang w:val="es-GT" w:eastAsia="en-US"/>
              </w:rPr>
              <w:t xml:space="preserve">, </w:t>
            </w:r>
            <w:proofErr w:type="spellStart"/>
            <w:r w:rsidRPr="00A57ABC">
              <w:rPr>
                <w:rFonts w:eastAsiaTheme="minorHAnsi"/>
                <w:sz w:val="14"/>
                <w:szCs w:val="14"/>
                <w:lang w:val="es-GT" w:eastAsia="en-US"/>
              </w:rPr>
              <w:t>Panzos</w:t>
            </w:r>
            <w:proofErr w:type="spellEnd"/>
            <w:r w:rsidRPr="00A57ABC">
              <w:rPr>
                <w:rFonts w:eastAsiaTheme="minorHAnsi"/>
                <w:spacing w:val="-34"/>
                <w:sz w:val="14"/>
                <w:szCs w:val="14"/>
                <w:lang w:val="es-GT" w:eastAsia="en-US"/>
              </w:rPr>
              <w:t xml:space="preserve"> </w:t>
            </w:r>
            <w:r w:rsidRPr="00A57ABC">
              <w:rPr>
                <w:rFonts w:eastAsiaTheme="minorHAnsi"/>
                <w:sz w:val="14"/>
                <w:szCs w:val="14"/>
                <w:lang w:val="es-GT" w:eastAsia="en-US"/>
              </w:rPr>
              <w:t>Y El Estor</w:t>
            </w:r>
          </w:p>
        </w:tc>
        <w:tc>
          <w:tcPr>
            <w:tcW w:w="716" w:type="pct"/>
            <w:vAlign w:val="center"/>
          </w:tcPr>
          <w:p w14:paraId="6CC3C8F1" w14:textId="77777777" w:rsidR="00C36261" w:rsidRPr="00A57ABC" w:rsidRDefault="00C36261" w:rsidP="00624091">
            <w:pPr>
              <w:widowControl w:val="0"/>
              <w:ind w:left="456" w:right="94" w:hanging="317"/>
              <w:jc w:val="center"/>
              <w:rPr>
                <w:rFonts w:eastAsiaTheme="minorHAnsi"/>
                <w:sz w:val="14"/>
                <w:szCs w:val="14"/>
                <w:lang w:eastAsia="en-US"/>
              </w:rPr>
            </w:pPr>
            <w:r w:rsidRPr="00A57ABC">
              <w:rPr>
                <w:rFonts w:eastAsiaTheme="minorHAnsi"/>
                <w:sz w:val="14"/>
                <w:szCs w:val="14"/>
                <w:lang w:eastAsia="en-US"/>
              </w:rPr>
              <w:t>Alta Verapaz E</w:t>
            </w:r>
            <w:r w:rsidRPr="00A57ABC">
              <w:rPr>
                <w:rFonts w:eastAsiaTheme="minorHAnsi"/>
                <w:spacing w:val="-34"/>
                <w:sz w:val="14"/>
                <w:szCs w:val="14"/>
                <w:lang w:eastAsia="en-US"/>
              </w:rPr>
              <w:t xml:space="preserve"> </w:t>
            </w:r>
            <w:r w:rsidRPr="00A57ABC">
              <w:rPr>
                <w:rFonts w:eastAsiaTheme="minorHAnsi"/>
                <w:sz w:val="14"/>
                <w:szCs w:val="14"/>
                <w:lang w:eastAsia="en-US"/>
              </w:rPr>
              <w:t>Izabal</w:t>
            </w:r>
          </w:p>
        </w:tc>
      </w:tr>
      <w:tr w:rsidR="00C36261" w:rsidRPr="00A57ABC" w14:paraId="669D3C17" w14:textId="77777777" w:rsidTr="005105AC">
        <w:trPr>
          <w:trHeight w:val="227"/>
          <w:jc w:val="center"/>
        </w:trPr>
        <w:tc>
          <w:tcPr>
            <w:tcW w:w="1367" w:type="pct"/>
            <w:vAlign w:val="center"/>
          </w:tcPr>
          <w:p w14:paraId="6B11B880"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LA MECA-I</w:t>
            </w:r>
          </w:p>
        </w:tc>
        <w:tc>
          <w:tcPr>
            <w:tcW w:w="613" w:type="pct"/>
            <w:vAlign w:val="center"/>
          </w:tcPr>
          <w:p w14:paraId="21DFFD7D"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5/02/1994</w:t>
            </w:r>
          </w:p>
        </w:tc>
        <w:tc>
          <w:tcPr>
            <w:tcW w:w="625" w:type="pct"/>
            <w:vAlign w:val="center"/>
          </w:tcPr>
          <w:p w14:paraId="290C68F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18/02/2034</w:t>
            </w:r>
          </w:p>
        </w:tc>
        <w:tc>
          <w:tcPr>
            <w:tcW w:w="306" w:type="pct"/>
            <w:vAlign w:val="center"/>
          </w:tcPr>
          <w:p w14:paraId="5C23D3A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40 AÑOS</w:t>
            </w:r>
          </w:p>
        </w:tc>
        <w:tc>
          <w:tcPr>
            <w:tcW w:w="784" w:type="pct"/>
            <w:vAlign w:val="center"/>
          </w:tcPr>
          <w:p w14:paraId="657B742C" w14:textId="00F94714"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PLOMO,</w:t>
            </w:r>
            <w:r w:rsidR="005105AC">
              <w:rPr>
                <w:rFonts w:eastAsiaTheme="minorHAnsi"/>
                <w:sz w:val="14"/>
                <w:szCs w:val="14"/>
                <w:lang w:eastAsia="en-US"/>
              </w:rPr>
              <w:t xml:space="preserve"> </w:t>
            </w:r>
            <w:r w:rsidRPr="00A57ABC">
              <w:rPr>
                <w:rFonts w:eastAsiaTheme="minorHAnsi"/>
                <w:sz w:val="14"/>
                <w:szCs w:val="14"/>
                <w:lang w:eastAsia="en-US"/>
              </w:rPr>
              <w:t>ZINC</w:t>
            </w:r>
            <w:r w:rsidRPr="00A57ABC">
              <w:rPr>
                <w:rFonts w:eastAsiaTheme="minorHAnsi"/>
                <w:spacing w:val="-1"/>
                <w:sz w:val="14"/>
                <w:szCs w:val="14"/>
                <w:lang w:eastAsia="en-US"/>
              </w:rPr>
              <w:t xml:space="preserve"> </w:t>
            </w:r>
            <w:r w:rsidRPr="00A57ABC">
              <w:rPr>
                <w:rFonts w:eastAsiaTheme="minorHAnsi"/>
                <w:sz w:val="14"/>
                <w:szCs w:val="14"/>
                <w:lang w:eastAsia="en-US"/>
              </w:rPr>
              <w:t>Y</w:t>
            </w:r>
          </w:p>
          <w:p w14:paraId="4C24B944"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PLATA</w:t>
            </w:r>
          </w:p>
        </w:tc>
        <w:tc>
          <w:tcPr>
            <w:tcW w:w="589" w:type="pct"/>
            <w:vAlign w:val="center"/>
          </w:tcPr>
          <w:p w14:paraId="37E43427" w14:textId="77777777" w:rsidR="00C36261" w:rsidRPr="00A57ABC" w:rsidRDefault="00C36261" w:rsidP="00624091">
            <w:pPr>
              <w:widowControl w:val="0"/>
              <w:ind w:left="297"/>
              <w:jc w:val="center"/>
              <w:rPr>
                <w:rFonts w:eastAsiaTheme="minorHAnsi"/>
                <w:sz w:val="14"/>
                <w:szCs w:val="14"/>
                <w:lang w:eastAsia="en-US"/>
              </w:rPr>
            </w:pPr>
            <w:proofErr w:type="spellStart"/>
            <w:r w:rsidRPr="00A57ABC">
              <w:rPr>
                <w:rFonts w:eastAsiaTheme="minorHAnsi"/>
                <w:sz w:val="14"/>
                <w:szCs w:val="14"/>
                <w:lang w:eastAsia="en-US"/>
              </w:rPr>
              <w:t>Tucurú</w:t>
            </w:r>
            <w:proofErr w:type="spellEnd"/>
            <w:r w:rsidRPr="00A57ABC">
              <w:rPr>
                <w:rFonts w:eastAsiaTheme="minorHAnsi"/>
                <w:spacing w:val="2"/>
                <w:sz w:val="14"/>
                <w:szCs w:val="14"/>
                <w:lang w:eastAsia="en-US"/>
              </w:rPr>
              <w:t xml:space="preserve"> </w:t>
            </w:r>
            <w:r w:rsidRPr="00A57ABC">
              <w:rPr>
                <w:rFonts w:eastAsiaTheme="minorHAnsi"/>
                <w:sz w:val="14"/>
                <w:szCs w:val="14"/>
                <w:lang w:eastAsia="en-US"/>
              </w:rPr>
              <w:t>Y</w:t>
            </w:r>
          </w:p>
          <w:p w14:paraId="48B19CD3" w14:textId="77777777" w:rsidR="00C36261" w:rsidRPr="00A57ABC" w:rsidRDefault="00C36261" w:rsidP="00624091">
            <w:pPr>
              <w:widowControl w:val="0"/>
              <w:ind w:left="317"/>
              <w:jc w:val="center"/>
              <w:rPr>
                <w:rFonts w:eastAsiaTheme="minorHAnsi"/>
                <w:sz w:val="14"/>
                <w:szCs w:val="14"/>
                <w:lang w:eastAsia="en-US"/>
              </w:rPr>
            </w:pPr>
            <w:proofErr w:type="spellStart"/>
            <w:r w:rsidRPr="00A57ABC">
              <w:rPr>
                <w:rFonts w:eastAsiaTheme="minorHAnsi"/>
                <w:sz w:val="14"/>
                <w:szCs w:val="14"/>
                <w:lang w:eastAsia="en-US"/>
              </w:rPr>
              <w:t>Purulha</w:t>
            </w:r>
            <w:proofErr w:type="spellEnd"/>
          </w:p>
        </w:tc>
        <w:tc>
          <w:tcPr>
            <w:tcW w:w="716" w:type="pct"/>
            <w:vAlign w:val="center"/>
          </w:tcPr>
          <w:p w14:paraId="60DA30A1" w14:textId="77777777" w:rsidR="00C36261" w:rsidRPr="00A57ABC" w:rsidRDefault="00C36261" w:rsidP="00624091">
            <w:pPr>
              <w:widowControl w:val="0"/>
              <w:ind w:left="140"/>
              <w:jc w:val="center"/>
              <w:rPr>
                <w:rFonts w:eastAsiaTheme="minorHAnsi"/>
                <w:sz w:val="14"/>
                <w:szCs w:val="14"/>
                <w:lang w:val="es-GT" w:eastAsia="en-US"/>
              </w:rPr>
            </w:pPr>
            <w:r w:rsidRPr="00A57ABC">
              <w:rPr>
                <w:rFonts w:eastAsiaTheme="minorHAnsi"/>
                <w:sz w:val="14"/>
                <w:szCs w:val="14"/>
                <w:lang w:val="es-GT" w:eastAsia="en-US"/>
              </w:rPr>
              <w:t>Alta Verapaz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p>
          <w:p w14:paraId="2D88727F" w14:textId="77777777" w:rsidR="00C36261" w:rsidRPr="00A57ABC" w:rsidRDefault="00C36261" w:rsidP="00624091">
            <w:pPr>
              <w:widowControl w:val="0"/>
              <w:ind w:left="202"/>
              <w:jc w:val="center"/>
              <w:rPr>
                <w:rFonts w:eastAsiaTheme="minorHAnsi"/>
                <w:sz w:val="14"/>
                <w:szCs w:val="14"/>
                <w:lang w:val="es-GT" w:eastAsia="en-US"/>
              </w:rPr>
            </w:pPr>
            <w:r w:rsidRPr="00A57ABC">
              <w:rPr>
                <w:rFonts w:eastAsiaTheme="minorHAnsi"/>
                <w:sz w:val="14"/>
                <w:szCs w:val="14"/>
                <w:lang w:val="es-GT" w:eastAsia="en-US"/>
              </w:rPr>
              <w:t>Baja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Verapaz</w:t>
            </w:r>
          </w:p>
        </w:tc>
      </w:tr>
      <w:tr w:rsidR="00C36261" w:rsidRPr="00A57ABC" w14:paraId="1C0A6E91" w14:textId="77777777" w:rsidTr="005105AC">
        <w:trPr>
          <w:trHeight w:val="265"/>
          <w:jc w:val="center"/>
        </w:trPr>
        <w:tc>
          <w:tcPr>
            <w:tcW w:w="1367" w:type="pct"/>
            <w:vAlign w:val="center"/>
          </w:tcPr>
          <w:p w14:paraId="391722E9" w14:textId="77777777" w:rsidR="00C36261" w:rsidRPr="00A57ABC" w:rsidRDefault="00C36261" w:rsidP="00624091">
            <w:pPr>
              <w:widowControl w:val="0"/>
              <w:ind w:left="132" w:right="93" w:firstLine="60"/>
              <w:rPr>
                <w:rFonts w:eastAsiaTheme="minorHAnsi"/>
                <w:sz w:val="14"/>
                <w:szCs w:val="14"/>
                <w:lang w:eastAsia="en-US"/>
              </w:rPr>
            </w:pPr>
            <w:r w:rsidRPr="00A57ABC">
              <w:rPr>
                <w:rFonts w:eastAsiaTheme="minorHAnsi"/>
                <w:sz w:val="14"/>
                <w:szCs w:val="14"/>
                <w:lang w:eastAsia="en-US"/>
              </w:rPr>
              <w:t>CANTERAS EL</w:t>
            </w:r>
            <w:r w:rsidRPr="00A57ABC">
              <w:rPr>
                <w:rFonts w:eastAsiaTheme="minorHAnsi"/>
                <w:spacing w:val="1"/>
                <w:sz w:val="14"/>
                <w:szCs w:val="14"/>
                <w:lang w:eastAsia="en-US"/>
              </w:rPr>
              <w:t xml:space="preserve"> </w:t>
            </w:r>
            <w:r w:rsidRPr="00A57ABC">
              <w:rPr>
                <w:rFonts w:eastAsiaTheme="minorHAnsi"/>
                <w:sz w:val="14"/>
                <w:szCs w:val="14"/>
                <w:lang w:eastAsia="en-US"/>
              </w:rPr>
              <w:t>CAMPAMENTO</w:t>
            </w:r>
          </w:p>
        </w:tc>
        <w:tc>
          <w:tcPr>
            <w:tcW w:w="613" w:type="pct"/>
            <w:vAlign w:val="center"/>
          </w:tcPr>
          <w:p w14:paraId="56769C7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27/12/2003</w:t>
            </w:r>
          </w:p>
        </w:tc>
        <w:tc>
          <w:tcPr>
            <w:tcW w:w="625" w:type="pct"/>
            <w:vAlign w:val="center"/>
          </w:tcPr>
          <w:p w14:paraId="0A037B4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26/12/2028</w:t>
            </w:r>
          </w:p>
        </w:tc>
        <w:tc>
          <w:tcPr>
            <w:tcW w:w="306" w:type="pct"/>
            <w:vAlign w:val="center"/>
          </w:tcPr>
          <w:p w14:paraId="2D4E5B38"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54188F5"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YESO</w:t>
            </w:r>
          </w:p>
        </w:tc>
        <w:tc>
          <w:tcPr>
            <w:tcW w:w="589" w:type="pct"/>
            <w:vAlign w:val="center"/>
          </w:tcPr>
          <w:p w14:paraId="1E300D13" w14:textId="77777777" w:rsidR="00C36261" w:rsidRPr="00A57ABC" w:rsidRDefault="00C36261" w:rsidP="00624091">
            <w:pPr>
              <w:widowControl w:val="0"/>
              <w:ind w:left="37" w:right="2"/>
              <w:jc w:val="center"/>
              <w:rPr>
                <w:rFonts w:eastAsiaTheme="minorHAnsi"/>
                <w:sz w:val="14"/>
                <w:szCs w:val="14"/>
                <w:lang w:val="es-GT" w:eastAsia="en-US"/>
              </w:rPr>
            </w:pPr>
            <w:r w:rsidRPr="00A57ABC">
              <w:rPr>
                <w:rFonts w:eastAsiaTheme="minorHAnsi"/>
                <w:sz w:val="14"/>
                <w:szCs w:val="14"/>
                <w:lang w:val="es-GT" w:eastAsia="en-US"/>
              </w:rPr>
              <w:t>San Cristóbal</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Verapaz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p>
          <w:p w14:paraId="34726539" w14:textId="77777777" w:rsidR="00C36261" w:rsidRPr="00A57ABC" w:rsidRDefault="00C36261" w:rsidP="00624091">
            <w:pPr>
              <w:widowControl w:val="0"/>
              <w:ind w:left="35" w:right="2"/>
              <w:jc w:val="center"/>
              <w:rPr>
                <w:rFonts w:eastAsiaTheme="minorHAnsi"/>
                <w:sz w:val="14"/>
                <w:szCs w:val="14"/>
                <w:lang w:val="es-GT" w:eastAsia="en-US"/>
              </w:rPr>
            </w:pPr>
            <w:r w:rsidRPr="00A57ABC">
              <w:rPr>
                <w:rFonts w:eastAsiaTheme="minorHAnsi"/>
                <w:sz w:val="14"/>
                <w:szCs w:val="14"/>
                <w:lang w:val="es-GT" w:eastAsia="en-US"/>
              </w:rPr>
              <w:t>Chicamán</w:t>
            </w:r>
          </w:p>
        </w:tc>
        <w:tc>
          <w:tcPr>
            <w:tcW w:w="716" w:type="pct"/>
            <w:vAlign w:val="center"/>
          </w:tcPr>
          <w:p w14:paraId="23A214F3" w14:textId="77777777" w:rsidR="00C36261" w:rsidRPr="00A57ABC" w:rsidRDefault="00C36261" w:rsidP="00624091">
            <w:pPr>
              <w:widowControl w:val="0"/>
              <w:ind w:left="425" w:right="94" w:hanging="286"/>
              <w:jc w:val="center"/>
              <w:rPr>
                <w:rFonts w:eastAsiaTheme="minorHAnsi"/>
                <w:sz w:val="14"/>
                <w:szCs w:val="14"/>
                <w:lang w:eastAsia="en-US"/>
              </w:rPr>
            </w:pPr>
            <w:r w:rsidRPr="00A57ABC">
              <w:rPr>
                <w:rFonts w:eastAsiaTheme="minorHAnsi"/>
                <w:sz w:val="14"/>
                <w:szCs w:val="14"/>
                <w:lang w:eastAsia="en-US"/>
              </w:rPr>
              <w:t>Alta Verapaz Y</w:t>
            </w:r>
            <w:r w:rsidRPr="00A57ABC">
              <w:rPr>
                <w:rFonts w:eastAsiaTheme="minorHAnsi"/>
                <w:spacing w:val="-34"/>
                <w:sz w:val="14"/>
                <w:szCs w:val="14"/>
                <w:lang w:eastAsia="en-US"/>
              </w:rPr>
              <w:t xml:space="preserve"> </w:t>
            </w:r>
            <w:r w:rsidRPr="00A57ABC">
              <w:rPr>
                <w:rFonts w:eastAsiaTheme="minorHAnsi"/>
                <w:sz w:val="14"/>
                <w:szCs w:val="14"/>
                <w:lang w:eastAsia="en-US"/>
              </w:rPr>
              <w:t>Quiché</w:t>
            </w:r>
          </w:p>
        </w:tc>
      </w:tr>
      <w:tr w:rsidR="00C36261" w:rsidRPr="00A57ABC" w14:paraId="01F83D3D" w14:textId="77777777" w:rsidTr="005105AC">
        <w:trPr>
          <w:trHeight w:val="50"/>
          <w:jc w:val="center"/>
        </w:trPr>
        <w:tc>
          <w:tcPr>
            <w:tcW w:w="1367" w:type="pct"/>
            <w:vAlign w:val="center"/>
          </w:tcPr>
          <w:p w14:paraId="612E85B6"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BOCA</w:t>
            </w:r>
            <w:r w:rsidRPr="00A57ABC">
              <w:rPr>
                <w:rFonts w:eastAsiaTheme="minorHAnsi"/>
                <w:spacing w:val="-1"/>
                <w:sz w:val="14"/>
                <w:szCs w:val="14"/>
                <w:lang w:eastAsia="en-US"/>
              </w:rPr>
              <w:t xml:space="preserve"> </w:t>
            </w:r>
            <w:r w:rsidRPr="00A57ABC">
              <w:rPr>
                <w:rFonts w:eastAsiaTheme="minorHAnsi"/>
                <w:sz w:val="14"/>
                <w:szCs w:val="14"/>
                <w:lang w:eastAsia="en-US"/>
              </w:rPr>
              <w:t>DE HORNO</w:t>
            </w:r>
          </w:p>
        </w:tc>
        <w:tc>
          <w:tcPr>
            <w:tcW w:w="613" w:type="pct"/>
            <w:vAlign w:val="center"/>
          </w:tcPr>
          <w:p w14:paraId="5032A05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22/05/1981</w:t>
            </w:r>
          </w:p>
        </w:tc>
        <w:tc>
          <w:tcPr>
            <w:tcW w:w="625" w:type="pct"/>
            <w:vAlign w:val="center"/>
          </w:tcPr>
          <w:p w14:paraId="2464BE8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21/05/2021</w:t>
            </w:r>
          </w:p>
        </w:tc>
        <w:tc>
          <w:tcPr>
            <w:tcW w:w="306" w:type="pct"/>
            <w:vAlign w:val="center"/>
          </w:tcPr>
          <w:p w14:paraId="7433963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40 AÑOS</w:t>
            </w:r>
          </w:p>
        </w:tc>
        <w:tc>
          <w:tcPr>
            <w:tcW w:w="784" w:type="pct"/>
            <w:vAlign w:val="center"/>
          </w:tcPr>
          <w:p w14:paraId="68940A1F"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BARITA</w:t>
            </w:r>
          </w:p>
        </w:tc>
        <w:tc>
          <w:tcPr>
            <w:tcW w:w="589" w:type="pct"/>
            <w:vAlign w:val="center"/>
          </w:tcPr>
          <w:p w14:paraId="67FD6771" w14:textId="77777777" w:rsidR="00C36261" w:rsidRPr="00A57ABC" w:rsidRDefault="00C36261" w:rsidP="00624091">
            <w:pPr>
              <w:widowControl w:val="0"/>
              <w:ind w:right="313"/>
              <w:jc w:val="center"/>
              <w:rPr>
                <w:rFonts w:eastAsiaTheme="minorHAnsi"/>
                <w:sz w:val="14"/>
                <w:szCs w:val="14"/>
                <w:lang w:eastAsia="en-US"/>
              </w:rPr>
            </w:pPr>
            <w:proofErr w:type="spellStart"/>
            <w:r w:rsidRPr="00A57ABC">
              <w:rPr>
                <w:rFonts w:eastAsiaTheme="minorHAnsi"/>
                <w:sz w:val="14"/>
                <w:szCs w:val="14"/>
                <w:lang w:eastAsia="en-US"/>
              </w:rPr>
              <w:t>Rabinal</w:t>
            </w:r>
            <w:proofErr w:type="spellEnd"/>
          </w:p>
        </w:tc>
        <w:tc>
          <w:tcPr>
            <w:tcW w:w="716" w:type="pct"/>
            <w:vAlign w:val="center"/>
          </w:tcPr>
          <w:p w14:paraId="7757E4FA"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Baja</w:t>
            </w:r>
            <w:r w:rsidRPr="00A57ABC">
              <w:rPr>
                <w:rFonts w:eastAsiaTheme="minorHAnsi"/>
                <w:spacing w:val="-1"/>
                <w:sz w:val="14"/>
                <w:szCs w:val="14"/>
                <w:lang w:eastAsia="en-US"/>
              </w:rPr>
              <w:t xml:space="preserve"> </w:t>
            </w:r>
            <w:r w:rsidRPr="00A57ABC">
              <w:rPr>
                <w:rFonts w:eastAsiaTheme="minorHAnsi"/>
                <w:sz w:val="14"/>
                <w:szCs w:val="14"/>
                <w:lang w:eastAsia="en-US"/>
              </w:rPr>
              <w:t>Verapaz</w:t>
            </w:r>
          </w:p>
        </w:tc>
      </w:tr>
      <w:tr w:rsidR="00C36261" w:rsidRPr="00A57ABC" w14:paraId="4D9456A3" w14:textId="77777777" w:rsidTr="005105AC">
        <w:trPr>
          <w:trHeight w:val="50"/>
          <w:jc w:val="center"/>
        </w:trPr>
        <w:tc>
          <w:tcPr>
            <w:tcW w:w="1367" w:type="pct"/>
            <w:vAlign w:val="center"/>
          </w:tcPr>
          <w:p w14:paraId="060BA694"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LA</w:t>
            </w:r>
            <w:r w:rsidRPr="00A57ABC">
              <w:rPr>
                <w:rFonts w:eastAsiaTheme="minorHAnsi"/>
                <w:spacing w:val="-1"/>
                <w:sz w:val="14"/>
                <w:szCs w:val="14"/>
                <w:lang w:eastAsia="en-US"/>
              </w:rPr>
              <w:t xml:space="preserve"> </w:t>
            </w:r>
            <w:r w:rsidRPr="00A57ABC">
              <w:rPr>
                <w:rFonts w:eastAsiaTheme="minorHAnsi"/>
                <w:sz w:val="14"/>
                <w:szCs w:val="14"/>
                <w:lang w:eastAsia="en-US"/>
              </w:rPr>
              <w:t>CUMBRE</w:t>
            </w:r>
            <w:r w:rsidRPr="00A57ABC">
              <w:rPr>
                <w:rFonts w:eastAsiaTheme="minorHAnsi"/>
                <w:spacing w:val="-1"/>
                <w:sz w:val="14"/>
                <w:szCs w:val="14"/>
                <w:lang w:eastAsia="en-US"/>
              </w:rPr>
              <w:t xml:space="preserve"> </w:t>
            </w:r>
            <w:r w:rsidRPr="00A57ABC">
              <w:rPr>
                <w:rFonts w:eastAsiaTheme="minorHAnsi"/>
                <w:sz w:val="14"/>
                <w:szCs w:val="14"/>
                <w:lang w:eastAsia="en-US"/>
              </w:rPr>
              <w:t>No.1</w:t>
            </w:r>
          </w:p>
        </w:tc>
        <w:tc>
          <w:tcPr>
            <w:tcW w:w="613" w:type="pct"/>
            <w:vAlign w:val="center"/>
          </w:tcPr>
          <w:p w14:paraId="591CF533"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8/08/2001</w:t>
            </w:r>
          </w:p>
        </w:tc>
        <w:tc>
          <w:tcPr>
            <w:tcW w:w="625" w:type="pct"/>
            <w:vAlign w:val="center"/>
          </w:tcPr>
          <w:p w14:paraId="2225909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7/08/2026</w:t>
            </w:r>
          </w:p>
        </w:tc>
        <w:tc>
          <w:tcPr>
            <w:tcW w:w="306" w:type="pct"/>
            <w:vAlign w:val="center"/>
          </w:tcPr>
          <w:p w14:paraId="1481C19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B00F50A"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BARITA</w:t>
            </w:r>
          </w:p>
        </w:tc>
        <w:tc>
          <w:tcPr>
            <w:tcW w:w="589" w:type="pct"/>
            <w:vAlign w:val="center"/>
          </w:tcPr>
          <w:p w14:paraId="4EF9C182" w14:textId="77777777" w:rsidR="00C36261" w:rsidRPr="00A57ABC" w:rsidRDefault="00C36261" w:rsidP="00624091">
            <w:pPr>
              <w:widowControl w:val="0"/>
              <w:ind w:right="278"/>
              <w:jc w:val="center"/>
              <w:rPr>
                <w:rFonts w:eastAsiaTheme="minorHAnsi"/>
                <w:sz w:val="14"/>
                <w:szCs w:val="14"/>
                <w:lang w:eastAsia="en-US"/>
              </w:rPr>
            </w:pPr>
            <w:proofErr w:type="spellStart"/>
            <w:r w:rsidRPr="00A57ABC">
              <w:rPr>
                <w:rFonts w:eastAsiaTheme="minorHAnsi"/>
                <w:sz w:val="14"/>
                <w:szCs w:val="14"/>
                <w:lang w:eastAsia="en-US"/>
              </w:rPr>
              <w:t>Cubulco</w:t>
            </w:r>
            <w:proofErr w:type="spellEnd"/>
          </w:p>
        </w:tc>
        <w:tc>
          <w:tcPr>
            <w:tcW w:w="716" w:type="pct"/>
            <w:vAlign w:val="center"/>
          </w:tcPr>
          <w:p w14:paraId="256C7A16"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Baja</w:t>
            </w:r>
            <w:r w:rsidRPr="00A57ABC">
              <w:rPr>
                <w:rFonts w:eastAsiaTheme="minorHAnsi"/>
                <w:spacing w:val="-1"/>
                <w:sz w:val="14"/>
                <w:szCs w:val="14"/>
                <w:lang w:eastAsia="en-US"/>
              </w:rPr>
              <w:t xml:space="preserve"> </w:t>
            </w:r>
            <w:r w:rsidRPr="00A57ABC">
              <w:rPr>
                <w:rFonts w:eastAsiaTheme="minorHAnsi"/>
                <w:sz w:val="14"/>
                <w:szCs w:val="14"/>
                <w:lang w:eastAsia="en-US"/>
              </w:rPr>
              <w:t>Verapaz</w:t>
            </w:r>
          </w:p>
        </w:tc>
      </w:tr>
      <w:tr w:rsidR="00C36261" w:rsidRPr="00A57ABC" w14:paraId="48D6F0AF" w14:textId="77777777" w:rsidTr="005105AC">
        <w:trPr>
          <w:trHeight w:val="224"/>
          <w:jc w:val="center"/>
        </w:trPr>
        <w:tc>
          <w:tcPr>
            <w:tcW w:w="1367" w:type="pct"/>
            <w:vAlign w:val="center"/>
          </w:tcPr>
          <w:p w14:paraId="4ECC9157" w14:textId="77777777" w:rsidR="00C36261" w:rsidRPr="00A57ABC" w:rsidRDefault="00C36261" w:rsidP="00624091">
            <w:pPr>
              <w:widowControl w:val="0"/>
              <w:jc w:val="center"/>
              <w:rPr>
                <w:rFonts w:eastAsiaTheme="minorHAnsi"/>
                <w:sz w:val="14"/>
                <w:szCs w:val="14"/>
                <w:lang w:eastAsia="en-US"/>
              </w:rPr>
            </w:pPr>
            <w:r w:rsidRPr="00A57ABC">
              <w:rPr>
                <w:rFonts w:eastAsiaTheme="minorHAnsi"/>
                <w:sz w:val="14"/>
                <w:szCs w:val="14"/>
                <w:lang w:eastAsia="en-US"/>
              </w:rPr>
              <w:t>LA LIBERTAD</w:t>
            </w:r>
            <w:r w:rsidRPr="00A57ABC">
              <w:rPr>
                <w:rFonts w:eastAsiaTheme="minorHAnsi"/>
                <w:spacing w:val="-1"/>
                <w:sz w:val="14"/>
                <w:szCs w:val="14"/>
                <w:lang w:eastAsia="en-US"/>
              </w:rPr>
              <w:t xml:space="preserve"> </w:t>
            </w:r>
            <w:r w:rsidRPr="00A57ABC">
              <w:rPr>
                <w:rFonts w:eastAsiaTheme="minorHAnsi"/>
                <w:sz w:val="14"/>
                <w:szCs w:val="14"/>
                <w:lang w:eastAsia="en-US"/>
              </w:rPr>
              <w:t>I</w:t>
            </w:r>
          </w:p>
        </w:tc>
        <w:tc>
          <w:tcPr>
            <w:tcW w:w="613" w:type="pct"/>
            <w:vAlign w:val="center"/>
          </w:tcPr>
          <w:p w14:paraId="18F0A68D"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17/06/2003</w:t>
            </w:r>
          </w:p>
        </w:tc>
        <w:tc>
          <w:tcPr>
            <w:tcW w:w="625" w:type="pct"/>
            <w:vAlign w:val="center"/>
          </w:tcPr>
          <w:p w14:paraId="633230EF"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16/06/2028</w:t>
            </w:r>
          </w:p>
        </w:tc>
        <w:tc>
          <w:tcPr>
            <w:tcW w:w="306" w:type="pct"/>
            <w:vAlign w:val="center"/>
          </w:tcPr>
          <w:p w14:paraId="178C2621"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 xml:space="preserve">25 </w:t>
            </w:r>
            <w:r w:rsidRPr="00A57ABC">
              <w:rPr>
                <w:rFonts w:eastAsiaTheme="minorHAnsi"/>
                <w:sz w:val="14"/>
                <w:szCs w:val="14"/>
                <w:lang w:eastAsia="en-US"/>
              </w:rPr>
              <w:lastRenderedPageBreak/>
              <w:t>AÑOS</w:t>
            </w:r>
          </w:p>
        </w:tc>
        <w:tc>
          <w:tcPr>
            <w:tcW w:w="784" w:type="pct"/>
            <w:vAlign w:val="center"/>
          </w:tcPr>
          <w:p w14:paraId="769F89A4" w14:textId="77777777" w:rsidR="00C36261" w:rsidRPr="00A57ABC" w:rsidRDefault="00C36261" w:rsidP="00624091">
            <w:pPr>
              <w:widowControl w:val="0"/>
              <w:jc w:val="center"/>
              <w:rPr>
                <w:rFonts w:eastAsiaTheme="minorHAnsi"/>
                <w:sz w:val="14"/>
                <w:szCs w:val="14"/>
                <w:lang w:eastAsia="en-US"/>
              </w:rPr>
            </w:pPr>
            <w:r w:rsidRPr="00A57ABC">
              <w:rPr>
                <w:rFonts w:eastAsiaTheme="minorHAnsi"/>
                <w:sz w:val="14"/>
                <w:szCs w:val="14"/>
                <w:lang w:eastAsia="en-US"/>
              </w:rPr>
              <w:lastRenderedPageBreak/>
              <w:t>MAGNESITA</w:t>
            </w:r>
          </w:p>
        </w:tc>
        <w:tc>
          <w:tcPr>
            <w:tcW w:w="589" w:type="pct"/>
            <w:vAlign w:val="center"/>
          </w:tcPr>
          <w:p w14:paraId="6170479F" w14:textId="77777777" w:rsidR="00C36261" w:rsidRPr="00A57ABC" w:rsidRDefault="00C36261" w:rsidP="00624091">
            <w:pPr>
              <w:widowControl w:val="0"/>
              <w:ind w:right="278"/>
              <w:jc w:val="center"/>
              <w:rPr>
                <w:rFonts w:eastAsiaTheme="minorHAnsi"/>
                <w:sz w:val="14"/>
                <w:szCs w:val="14"/>
                <w:lang w:eastAsia="en-US"/>
              </w:rPr>
            </w:pPr>
            <w:proofErr w:type="spellStart"/>
            <w:r w:rsidRPr="00A57ABC">
              <w:rPr>
                <w:rFonts w:eastAsiaTheme="minorHAnsi"/>
                <w:sz w:val="14"/>
                <w:szCs w:val="14"/>
                <w:lang w:eastAsia="en-US"/>
              </w:rPr>
              <w:t>Cubulco</w:t>
            </w:r>
            <w:proofErr w:type="spellEnd"/>
          </w:p>
        </w:tc>
        <w:tc>
          <w:tcPr>
            <w:tcW w:w="716" w:type="pct"/>
            <w:vAlign w:val="center"/>
          </w:tcPr>
          <w:p w14:paraId="2B788018" w14:textId="77777777" w:rsidR="00C36261" w:rsidRPr="00A57ABC" w:rsidRDefault="00C36261" w:rsidP="00624091">
            <w:pPr>
              <w:widowControl w:val="0"/>
              <w:jc w:val="center"/>
              <w:rPr>
                <w:rFonts w:eastAsiaTheme="minorHAnsi"/>
                <w:sz w:val="14"/>
                <w:szCs w:val="14"/>
                <w:lang w:eastAsia="en-US"/>
              </w:rPr>
            </w:pPr>
            <w:r w:rsidRPr="00A57ABC">
              <w:rPr>
                <w:rFonts w:eastAsiaTheme="minorHAnsi"/>
                <w:sz w:val="14"/>
                <w:szCs w:val="14"/>
                <w:lang w:eastAsia="en-US"/>
              </w:rPr>
              <w:t>Baja</w:t>
            </w:r>
            <w:r w:rsidRPr="00A57ABC">
              <w:rPr>
                <w:rFonts w:eastAsiaTheme="minorHAnsi"/>
                <w:spacing w:val="-1"/>
                <w:sz w:val="14"/>
                <w:szCs w:val="14"/>
                <w:lang w:eastAsia="en-US"/>
              </w:rPr>
              <w:t xml:space="preserve"> </w:t>
            </w:r>
            <w:r w:rsidRPr="00A57ABC">
              <w:rPr>
                <w:rFonts w:eastAsiaTheme="minorHAnsi"/>
                <w:sz w:val="14"/>
                <w:szCs w:val="14"/>
                <w:lang w:eastAsia="en-US"/>
              </w:rPr>
              <w:t>Verapaz</w:t>
            </w:r>
          </w:p>
        </w:tc>
      </w:tr>
      <w:tr w:rsidR="00C36261" w:rsidRPr="00A57ABC" w14:paraId="526591B5" w14:textId="77777777" w:rsidTr="005105AC">
        <w:trPr>
          <w:trHeight w:val="148"/>
          <w:jc w:val="center"/>
        </w:trPr>
        <w:tc>
          <w:tcPr>
            <w:tcW w:w="1367" w:type="pct"/>
            <w:vAlign w:val="center"/>
          </w:tcPr>
          <w:p w14:paraId="78DC4CDA"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LAS</w:t>
            </w:r>
            <w:r w:rsidRPr="00A57ABC">
              <w:rPr>
                <w:rFonts w:eastAsiaTheme="minorHAnsi"/>
                <w:spacing w:val="-1"/>
                <w:sz w:val="14"/>
                <w:szCs w:val="14"/>
                <w:lang w:eastAsia="en-US"/>
              </w:rPr>
              <w:t xml:space="preserve"> </w:t>
            </w:r>
            <w:r w:rsidRPr="00A57ABC">
              <w:rPr>
                <w:rFonts w:eastAsiaTheme="minorHAnsi"/>
                <w:sz w:val="14"/>
                <w:szCs w:val="14"/>
                <w:lang w:eastAsia="en-US"/>
              </w:rPr>
              <w:t>ANONAS</w:t>
            </w:r>
          </w:p>
        </w:tc>
        <w:tc>
          <w:tcPr>
            <w:tcW w:w="613" w:type="pct"/>
            <w:vAlign w:val="center"/>
          </w:tcPr>
          <w:p w14:paraId="367D3AE3"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26/05/2000</w:t>
            </w:r>
          </w:p>
        </w:tc>
        <w:tc>
          <w:tcPr>
            <w:tcW w:w="625" w:type="pct"/>
            <w:vAlign w:val="center"/>
          </w:tcPr>
          <w:p w14:paraId="7D48DB5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25/05/2025</w:t>
            </w:r>
          </w:p>
        </w:tc>
        <w:tc>
          <w:tcPr>
            <w:tcW w:w="306" w:type="pct"/>
            <w:vAlign w:val="center"/>
          </w:tcPr>
          <w:p w14:paraId="6F12D63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0B0FEE1" w14:textId="77777777" w:rsidR="00C36261" w:rsidRPr="00A57ABC" w:rsidRDefault="00C36261" w:rsidP="00624091">
            <w:pPr>
              <w:widowControl w:val="0"/>
              <w:ind w:left="31"/>
              <w:jc w:val="center"/>
              <w:rPr>
                <w:rFonts w:eastAsiaTheme="minorHAnsi"/>
                <w:sz w:val="14"/>
                <w:szCs w:val="14"/>
                <w:lang w:eastAsia="en-US"/>
              </w:rPr>
            </w:pPr>
            <w:r w:rsidRPr="00A57ABC">
              <w:rPr>
                <w:rFonts w:eastAsiaTheme="minorHAnsi"/>
                <w:sz w:val="14"/>
                <w:szCs w:val="14"/>
                <w:lang w:eastAsia="en-US"/>
              </w:rPr>
              <w:t>FILITA</w:t>
            </w:r>
          </w:p>
        </w:tc>
        <w:tc>
          <w:tcPr>
            <w:tcW w:w="589" w:type="pct"/>
            <w:vAlign w:val="center"/>
          </w:tcPr>
          <w:p w14:paraId="612EE42A" w14:textId="77777777" w:rsidR="00C36261" w:rsidRPr="00A57ABC" w:rsidRDefault="00C36261" w:rsidP="00624091">
            <w:pPr>
              <w:widowControl w:val="0"/>
              <w:ind w:right="320"/>
              <w:jc w:val="center"/>
              <w:rPr>
                <w:rFonts w:eastAsiaTheme="minorHAnsi"/>
                <w:sz w:val="14"/>
                <w:szCs w:val="14"/>
                <w:lang w:eastAsia="en-US"/>
              </w:rPr>
            </w:pPr>
            <w:r w:rsidRPr="00A57ABC">
              <w:rPr>
                <w:rFonts w:eastAsiaTheme="minorHAnsi"/>
                <w:sz w:val="14"/>
                <w:szCs w:val="14"/>
                <w:lang w:eastAsia="en-US"/>
              </w:rPr>
              <w:t>Salama</w:t>
            </w:r>
          </w:p>
        </w:tc>
        <w:tc>
          <w:tcPr>
            <w:tcW w:w="716" w:type="pct"/>
            <w:vAlign w:val="center"/>
          </w:tcPr>
          <w:p w14:paraId="5EF404B6"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Baja</w:t>
            </w:r>
            <w:r w:rsidRPr="00A57ABC">
              <w:rPr>
                <w:rFonts w:eastAsiaTheme="minorHAnsi"/>
                <w:spacing w:val="-1"/>
                <w:sz w:val="14"/>
                <w:szCs w:val="14"/>
                <w:lang w:eastAsia="en-US"/>
              </w:rPr>
              <w:t xml:space="preserve"> </w:t>
            </w:r>
            <w:r w:rsidRPr="00A57ABC">
              <w:rPr>
                <w:rFonts w:eastAsiaTheme="minorHAnsi"/>
                <w:sz w:val="14"/>
                <w:szCs w:val="14"/>
                <w:lang w:eastAsia="en-US"/>
              </w:rPr>
              <w:t>Verapaz</w:t>
            </w:r>
          </w:p>
        </w:tc>
      </w:tr>
      <w:tr w:rsidR="00C36261" w:rsidRPr="00A57ABC" w14:paraId="33D3592D" w14:textId="77777777" w:rsidTr="005105AC">
        <w:trPr>
          <w:trHeight w:val="462"/>
          <w:jc w:val="center"/>
        </w:trPr>
        <w:tc>
          <w:tcPr>
            <w:tcW w:w="1367" w:type="pct"/>
            <w:vAlign w:val="center"/>
          </w:tcPr>
          <w:p w14:paraId="59BE214D" w14:textId="77777777" w:rsidR="00C36261" w:rsidRPr="00A57ABC" w:rsidRDefault="00C36261" w:rsidP="00624091">
            <w:pPr>
              <w:widowControl w:val="0"/>
              <w:ind w:left="348"/>
              <w:jc w:val="center"/>
              <w:rPr>
                <w:rFonts w:eastAsiaTheme="minorHAnsi"/>
                <w:sz w:val="14"/>
                <w:szCs w:val="14"/>
                <w:lang w:eastAsia="en-US"/>
              </w:rPr>
            </w:pPr>
            <w:r w:rsidRPr="00A57ABC">
              <w:rPr>
                <w:rFonts w:eastAsiaTheme="minorHAnsi"/>
                <w:sz w:val="14"/>
                <w:szCs w:val="14"/>
                <w:lang w:eastAsia="en-US"/>
              </w:rPr>
              <w:t>XOAXAN</w:t>
            </w:r>
          </w:p>
        </w:tc>
        <w:tc>
          <w:tcPr>
            <w:tcW w:w="613" w:type="pct"/>
            <w:vAlign w:val="center"/>
          </w:tcPr>
          <w:p w14:paraId="6DD00689"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7/03/1996</w:t>
            </w:r>
          </w:p>
        </w:tc>
        <w:tc>
          <w:tcPr>
            <w:tcW w:w="625" w:type="pct"/>
            <w:vAlign w:val="center"/>
          </w:tcPr>
          <w:p w14:paraId="661BD4C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6/03/2021</w:t>
            </w:r>
          </w:p>
        </w:tc>
        <w:tc>
          <w:tcPr>
            <w:tcW w:w="306" w:type="pct"/>
            <w:vAlign w:val="center"/>
          </w:tcPr>
          <w:p w14:paraId="54BEEEEC" w14:textId="77777777" w:rsidR="00C36261" w:rsidRPr="00A57ABC" w:rsidRDefault="00C36261" w:rsidP="00624091">
            <w:pPr>
              <w:widowControl w:val="0"/>
              <w:jc w:val="center"/>
              <w:rPr>
                <w:rFonts w:eastAsiaTheme="minorHAnsi"/>
                <w:b/>
                <w:sz w:val="14"/>
                <w:szCs w:val="14"/>
                <w:lang w:eastAsia="en-US"/>
              </w:rPr>
            </w:pPr>
          </w:p>
          <w:p w14:paraId="357291F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755C630" w14:textId="77777777" w:rsidR="00C36261" w:rsidRPr="00A57ABC" w:rsidRDefault="00C36261" w:rsidP="00624091">
            <w:pPr>
              <w:widowControl w:val="0"/>
              <w:ind w:left="105" w:right="70" w:hanging="1"/>
              <w:jc w:val="center"/>
              <w:rPr>
                <w:rFonts w:eastAsiaTheme="minorHAnsi"/>
                <w:sz w:val="14"/>
                <w:szCs w:val="14"/>
                <w:lang w:val="es-GT" w:eastAsia="en-US"/>
              </w:rPr>
            </w:pPr>
            <w:r w:rsidRPr="00A57ABC">
              <w:rPr>
                <w:rFonts w:eastAsiaTheme="minorHAnsi"/>
                <w:sz w:val="14"/>
                <w:szCs w:val="14"/>
                <w:lang w:val="es-GT" w:eastAsia="en-US"/>
              </w:rPr>
              <w:t>CALCOPIRITA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SULFUROS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POLIMETALICOS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COBRE,</w:t>
            </w:r>
          </w:p>
          <w:p w14:paraId="00A0C7AE"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HIERRO</w:t>
            </w:r>
            <w:r w:rsidRPr="00A57ABC">
              <w:rPr>
                <w:rFonts w:eastAsiaTheme="minorHAnsi"/>
                <w:spacing w:val="-1"/>
                <w:sz w:val="14"/>
                <w:szCs w:val="14"/>
                <w:lang w:eastAsia="en-US"/>
              </w:rPr>
              <w:t xml:space="preserve"> </w:t>
            </w:r>
            <w:r w:rsidRPr="00A57ABC">
              <w:rPr>
                <w:rFonts w:eastAsiaTheme="minorHAnsi"/>
                <w:sz w:val="14"/>
                <w:szCs w:val="14"/>
                <w:lang w:eastAsia="en-US"/>
              </w:rPr>
              <w:t>Y ZINC</w:t>
            </w:r>
          </w:p>
        </w:tc>
        <w:tc>
          <w:tcPr>
            <w:tcW w:w="589" w:type="pct"/>
            <w:vAlign w:val="center"/>
          </w:tcPr>
          <w:p w14:paraId="5E3F3741" w14:textId="77777777" w:rsidR="00C36261" w:rsidRPr="00A57ABC" w:rsidRDefault="00C36261" w:rsidP="00624091">
            <w:pPr>
              <w:widowControl w:val="0"/>
              <w:ind w:left="38" w:right="2"/>
              <w:jc w:val="center"/>
              <w:rPr>
                <w:rFonts w:eastAsiaTheme="minorHAnsi"/>
                <w:sz w:val="14"/>
                <w:szCs w:val="14"/>
                <w:lang w:eastAsia="en-US"/>
              </w:rPr>
            </w:pPr>
            <w:proofErr w:type="spellStart"/>
            <w:r w:rsidRPr="00A57ABC">
              <w:rPr>
                <w:rFonts w:eastAsiaTheme="minorHAnsi"/>
                <w:sz w:val="14"/>
                <w:szCs w:val="14"/>
                <w:lang w:eastAsia="en-US"/>
              </w:rPr>
              <w:t>Cubulco</w:t>
            </w:r>
            <w:proofErr w:type="spellEnd"/>
          </w:p>
        </w:tc>
        <w:tc>
          <w:tcPr>
            <w:tcW w:w="716" w:type="pct"/>
            <w:vAlign w:val="center"/>
          </w:tcPr>
          <w:p w14:paraId="576E0C1B"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Baja</w:t>
            </w:r>
            <w:r w:rsidRPr="00A57ABC">
              <w:rPr>
                <w:rFonts w:eastAsiaTheme="minorHAnsi"/>
                <w:spacing w:val="-1"/>
                <w:sz w:val="14"/>
                <w:szCs w:val="14"/>
                <w:lang w:eastAsia="en-US"/>
              </w:rPr>
              <w:t xml:space="preserve"> </w:t>
            </w:r>
            <w:r w:rsidRPr="00A57ABC">
              <w:rPr>
                <w:rFonts w:eastAsiaTheme="minorHAnsi"/>
                <w:sz w:val="14"/>
                <w:szCs w:val="14"/>
                <w:lang w:eastAsia="en-US"/>
              </w:rPr>
              <w:t>Verapaz</w:t>
            </w:r>
          </w:p>
        </w:tc>
      </w:tr>
      <w:tr w:rsidR="00C36261" w:rsidRPr="00A57ABC" w14:paraId="72B78390" w14:textId="77777777" w:rsidTr="005105AC">
        <w:trPr>
          <w:trHeight w:val="428"/>
          <w:jc w:val="center"/>
        </w:trPr>
        <w:tc>
          <w:tcPr>
            <w:tcW w:w="1367" w:type="pct"/>
            <w:vAlign w:val="center"/>
          </w:tcPr>
          <w:p w14:paraId="796287E0" w14:textId="77777777" w:rsidR="00C36261" w:rsidRPr="00A57ABC" w:rsidRDefault="00C36261" w:rsidP="00624091">
            <w:pPr>
              <w:widowControl w:val="0"/>
              <w:ind w:left="240" w:right="198" w:firstLine="81"/>
              <w:jc w:val="center"/>
              <w:rPr>
                <w:rFonts w:eastAsiaTheme="minorHAnsi"/>
                <w:sz w:val="14"/>
                <w:szCs w:val="14"/>
                <w:lang w:eastAsia="en-US"/>
              </w:rPr>
            </w:pPr>
            <w:r w:rsidRPr="00A57ABC">
              <w:rPr>
                <w:rFonts w:eastAsiaTheme="minorHAnsi"/>
                <w:sz w:val="14"/>
                <w:szCs w:val="14"/>
                <w:lang w:eastAsia="en-US"/>
              </w:rPr>
              <w:t>CANTERA</w:t>
            </w:r>
            <w:r w:rsidRPr="00A57ABC">
              <w:rPr>
                <w:rFonts w:eastAsiaTheme="minorHAnsi"/>
                <w:spacing w:val="1"/>
                <w:sz w:val="14"/>
                <w:szCs w:val="14"/>
                <w:lang w:eastAsia="en-US"/>
              </w:rPr>
              <w:t xml:space="preserve"> </w:t>
            </w:r>
            <w:r w:rsidRPr="00A57ABC">
              <w:rPr>
                <w:rFonts w:eastAsiaTheme="minorHAnsi"/>
                <w:sz w:val="14"/>
                <w:szCs w:val="14"/>
                <w:lang w:eastAsia="en-US"/>
              </w:rPr>
              <w:t>MONTUFAR</w:t>
            </w:r>
          </w:p>
        </w:tc>
        <w:tc>
          <w:tcPr>
            <w:tcW w:w="613" w:type="pct"/>
            <w:vAlign w:val="center"/>
          </w:tcPr>
          <w:p w14:paraId="283EDB3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20/02/2004</w:t>
            </w:r>
          </w:p>
        </w:tc>
        <w:tc>
          <w:tcPr>
            <w:tcW w:w="625" w:type="pct"/>
            <w:vAlign w:val="center"/>
          </w:tcPr>
          <w:p w14:paraId="1809D5B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19/02/2029</w:t>
            </w:r>
          </w:p>
        </w:tc>
        <w:tc>
          <w:tcPr>
            <w:tcW w:w="306" w:type="pct"/>
            <w:vAlign w:val="center"/>
          </w:tcPr>
          <w:p w14:paraId="2134A91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54E7629" w14:textId="77777777" w:rsidR="00C36261" w:rsidRPr="00A57ABC" w:rsidRDefault="00C36261" w:rsidP="00624091">
            <w:pPr>
              <w:widowControl w:val="0"/>
              <w:ind w:left="235" w:right="187" w:firstLine="100"/>
              <w:jc w:val="center"/>
              <w:rPr>
                <w:rFonts w:eastAsiaTheme="minorHAnsi"/>
                <w:sz w:val="14"/>
                <w:szCs w:val="14"/>
                <w:lang w:eastAsia="en-US"/>
              </w:rPr>
            </w:pPr>
            <w:r w:rsidRPr="00A57ABC">
              <w:rPr>
                <w:rFonts w:eastAsiaTheme="minorHAnsi"/>
                <w:sz w:val="14"/>
                <w:szCs w:val="14"/>
                <w:lang w:eastAsia="en-US"/>
              </w:rPr>
              <w:t>BASALTO</w:t>
            </w:r>
            <w:r w:rsidRPr="00A57ABC">
              <w:rPr>
                <w:rFonts w:eastAsiaTheme="minorHAnsi"/>
                <w:spacing w:val="1"/>
                <w:sz w:val="14"/>
                <w:szCs w:val="14"/>
                <w:lang w:eastAsia="en-US"/>
              </w:rPr>
              <w:t xml:space="preserve"> </w:t>
            </w:r>
            <w:r w:rsidRPr="00A57ABC">
              <w:rPr>
                <w:rFonts w:eastAsiaTheme="minorHAnsi"/>
                <w:sz w:val="14"/>
                <w:szCs w:val="14"/>
                <w:lang w:eastAsia="en-US"/>
              </w:rPr>
              <w:t>ANDESITICO</w:t>
            </w:r>
          </w:p>
        </w:tc>
        <w:tc>
          <w:tcPr>
            <w:tcW w:w="589" w:type="pct"/>
            <w:vAlign w:val="center"/>
          </w:tcPr>
          <w:p w14:paraId="3E17D9E3" w14:textId="44F8AA87" w:rsidR="00C36261" w:rsidRPr="00A57ABC" w:rsidRDefault="00C36261" w:rsidP="00624091">
            <w:pPr>
              <w:widowControl w:val="0"/>
              <w:ind w:left="41" w:right="3" w:firstLine="2"/>
              <w:jc w:val="center"/>
              <w:rPr>
                <w:rFonts w:eastAsiaTheme="minorHAnsi"/>
                <w:sz w:val="14"/>
                <w:szCs w:val="14"/>
                <w:lang w:eastAsia="en-US"/>
              </w:rPr>
            </w:pPr>
            <w:r w:rsidRPr="00A57ABC">
              <w:rPr>
                <w:rFonts w:eastAsiaTheme="minorHAnsi"/>
                <w:sz w:val="14"/>
                <w:szCs w:val="14"/>
                <w:lang w:eastAsia="en-US"/>
              </w:rPr>
              <w:t>San Martin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Jil</w:t>
            </w:r>
            <w:r w:rsidR="00F0645D">
              <w:rPr>
                <w:rFonts w:eastAsiaTheme="minorHAnsi"/>
                <w:sz w:val="14"/>
                <w:szCs w:val="14"/>
                <w:lang w:eastAsia="en-US"/>
              </w:rPr>
              <w:t>o</w:t>
            </w:r>
            <w:r w:rsidRPr="00A57ABC">
              <w:rPr>
                <w:rFonts w:eastAsiaTheme="minorHAnsi"/>
                <w:sz w:val="14"/>
                <w:szCs w:val="14"/>
                <w:lang w:eastAsia="en-US"/>
              </w:rPr>
              <w:t>tepeque</w:t>
            </w:r>
            <w:proofErr w:type="spellEnd"/>
            <w:r w:rsidRPr="00A57ABC">
              <w:rPr>
                <w:rFonts w:eastAsiaTheme="minorHAnsi"/>
                <w:sz w:val="14"/>
                <w:szCs w:val="14"/>
                <w:lang w:eastAsia="en-US"/>
              </w:rPr>
              <w:t xml:space="preserve"> Y</w:t>
            </w:r>
            <w:r w:rsidRPr="00A57ABC">
              <w:rPr>
                <w:rFonts w:eastAsiaTheme="minorHAnsi"/>
                <w:spacing w:val="1"/>
                <w:sz w:val="14"/>
                <w:szCs w:val="14"/>
                <w:lang w:eastAsia="en-US"/>
              </w:rPr>
              <w:t xml:space="preserve"> </w:t>
            </w:r>
            <w:r w:rsidRPr="00A57ABC">
              <w:rPr>
                <w:rFonts w:eastAsiaTheme="minorHAnsi"/>
                <w:sz w:val="14"/>
                <w:szCs w:val="14"/>
                <w:lang w:eastAsia="en-US"/>
              </w:rPr>
              <w:t>Chimaltenango</w:t>
            </w:r>
          </w:p>
        </w:tc>
        <w:tc>
          <w:tcPr>
            <w:tcW w:w="716" w:type="pct"/>
            <w:vAlign w:val="center"/>
          </w:tcPr>
          <w:p w14:paraId="3257F0A4" w14:textId="77777777" w:rsidR="00C36261" w:rsidRPr="00A57ABC" w:rsidRDefault="00C36261" w:rsidP="00624091">
            <w:pPr>
              <w:widowControl w:val="0"/>
              <w:ind w:left="37"/>
              <w:jc w:val="center"/>
              <w:rPr>
                <w:rFonts w:eastAsiaTheme="minorHAnsi"/>
                <w:sz w:val="14"/>
                <w:szCs w:val="14"/>
                <w:lang w:eastAsia="en-US"/>
              </w:rPr>
            </w:pPr>
            <w:r w:rsidRPr="00A57ABC">
              <w:rPr>
                <w:rFonts w:eastAsiaTheme="minorHAnsi"/>
                <w:sz w:val="14"/>
                <w:szCs w:val="14"/>
                <w:lang w:eastAsia="en-US"/>
              </w:rPr>
              <w:t>Chimaltenango</w:t>
            </w:r>
          </w:p>
        </w:tc>
      </w:tr>
      <w:tr w:rsidR="00C36261" w:rsidRPr="00A57ABC" w14:paraId="3B874E02" w14:textId="77777777" w:rsidTr="005105AC">
        <w:trPr>
          <w:trHeight w:val="454"/>
          <w:jc w:val="center"/>
        </w:trPr>
        <w:tc>
          <w:tcPr>
            <w:tcW w:w="1367" w:type="pct"/>
            <w:vAlign w:val="center"/>
          </w:tcPr>
          <w:p w14:paraId="581AB09B" w14:textId="77777777" w:rsidR="00C36261" w:rsidRPr="00A57ABC" w:rsidRDefault="00C36261" w:rsidP="00624091">
            <w:pPr>
              <w:widowControl w:val="0"/>
              <w:jc w:val="center"/>
              <w:rPr>
                <w:rFonts w:eastAsiaTheme="minorHAnsi"/>
                <w:sz w:val="14"/>
                <w:szCs w:val="14"/>
                <w:lang w:eastAsia="en-US"/>
              </w:rPr>
            </w:pPr>
            <w:r w:rsidRPr="00A57ABC">
              <w:rPr>
                <w:rFonts w:eastAsiaTheme="minorHAnsi"/>
                <w:sz w:val="14"/>
                <w:szCs w:val="14"/>
                <w:lang w:eastAsia="en-US"/>
              </w:rPr>
              <w:t>POCHUTA</w:t>
            </w:r>
          </w:p>
        </w:tc>
        <w:tc>
          <w:tcPr>
            <w:tcW w:w="613" w:type="pct"/>
            <w:vAlign w:val="center"/>
          </w:tcPr>
          <w:p w14:paraId="04296A8C" w14:textId="77777777" w:rsidR="00C36261" w:rsidRPr="00A57ABC" w:rsidRDefault="00C36261" w:rsidP="00624091">
            <w:pPr>
              <w:widowControl w:val="0"/>
              <w:jc w:val="center"/>
              <w:rPr>
                <w:rFonts w:eastAsiaTheme="minorHAnsi"/>
                <w:sz w:val="14"/>
                <w:szCs w:val="14"/>
                <w:lang w:eastAsia="en-US"/>
              </w:rPr>
            </w:pPr>
            <w:r w:rsidRPr="00A57ABC">
              <w:rPr>
                <w:rFonts w:eastAsiaTheme="minorHAnsi"/>
                <w:sz w:val="14"/>
                <w:szCs w:val="14"/>
                <w:lang w:eastAsia="en-US"/>
              </w:rPr>
              <w:t>30/04/1975</w:t>
            </w:r>
            <w:r w:rsidRPr="00A57ABC">
              <w:rPr>
                <w:rFonts w:eastAsiaTheme="minorHAnsi"/>
                <w:spacing w:val="1"/>
                <w:sz w:val="14"/>
                <w:szCs w:val="14"/>
                <w:lang w:eastAsia="en-US"/>
              </w:rPr>
              <w:t xml:space="preserve"> </w:t>
            </w:r>
            <w:r w:rsidRPr="00A57ABC">
              <w:rPr>
                <w:rFonts w:eastAsiaTheme="minorHAnsi"/>
                <w:sz w:val="14"/>
                <w:szCs w:val="14"/>
                <w:lang w:eastAsia="en-US"/>
              </w:rPr>
              <w:t>AL</w:t>
            </w:r>
          </w:p>
          <w:p w14:paraId="43E939C7" w14:textId="77777777" w:rsidR="00C36261" w:rsidRPr="00A57ABC" w:rsidRDefault="00C36261" w:rsidP="00624091">
            <w:pPr>
              <w:widowControl w:val="0"/>
              <w:ind w:left="213"/>
              <w:jc w:val="center"/>
              <w:rPr>
                <w:rFonts w:eastAsiaTheme="minorHAnsi"/>
                <w:sz w:val="14"/>
                <w:szCs w:val="14"/>
                <w:lang w:eastAsia="en-US"/>
              </w:rPr>
            </w:pPr>
            <w:r w:rsidRPr="00A57ABC">
              <w:rPr>
                <w:rFonts w:eastAsiaTheme="minorHAnsi"/>
                <w:sz w:val="14"/>
                <w:szCs w:val="14"/>
                <w:lang w:eastAsia="en-US"/>
              </w:rPr>
              <w:t>29/04/2015/</w:t>
            </w:r>
          </w:p>
          <w:p w14:paraId="655A549E" w14:textId="77777777" w:rsidR="00C36261" w:rsidRPr="00A57ABC" w:rsidRDefault="00C36261" w:rsidP="00624091">
            <w:pPr>
              <w:widowControl w:val="0"/>
              <w:ind w:left="244"/>
              <w:jc w:val="center"/>
              <w:rPr>
                <w:rFonts w:eastAsiaTheme="minorHAnsi"/>
                <w:sz w:val="14"/>
                <w:szCs w:val="14"/>
                <w:lang w:eastAsia="en-US"/>
              </w:rPr>
            </w:pPr>
            <w:r w:rsidRPr="00A57ABC">
              <w:rPr>
                <w:rFonts w:eastAsiaTheme="minorHAnsi"/>
                <w:sz w:val="14"/>
                <w:szCs w:val="14"/>
                <w:lang w:eastAsia="en-US"/>
              </w:rPr>
              <w:t>30/04/2040</w:t>
            </w:r>
          </w:p>
        </w:tc>
        <w:tc>
          <w:tcPr>
            <w:tcW w:w="625" w:type="pct"/>
            <w:vAlign w:val="center"/>
          </w:tcPr>
          <w:p w14:paraId="6D115F66"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29/04/2040</w:t>
            </w:r>
          </w:p>
        </w:tc>
        <w:tc>
          <w:tcPr>
            <w:tcW w:w="306" w:type="pct"/>
            <w:vAlign w:val="center"/>
          </w:tcPr>
          <w:p w14:paraId="44B2CAC6"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A19D530" w14:textId="77777777" w:rsidR="00C36261" w:rsidRPr="00A57ABC" w:rsidRDefault="00C36261" w:rsidP="00624091">
            <w:pPr>
              <w:widowControl w:val="0"/>
              <w:ind w:right="126"/>
              <w:jc w:val="center"/>
              <w:rPr>
                <w:rFonts w:eastAsiaTheme="minorHAnsi"/>
                <w:sz w:val="14"/>
                <w:szCs w:val="14"/>
                <w:lang w:val="es-GT" w:eastAsia="en-US"/>
              </w:rPr>
            </w:pPr>
            <w:r w:rsidRPr="00A57ABC">
              <w:rPr>
                <w:rFonts w:eastAsiaTheme="minorHAnsi"/>
                <w:sz w:val="14"/>
                <w:szCs w:val="14"/>
                <w:lang w:val="es-GT" w:eastAsia="en-US"/>
              </w:rPr>
              <w:t>SILICE,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FELDESPATO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MINERALES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ASOCIADOS</w:t>
            </w:r>
          </w:p>
        </w:tc>
        <w:tc>
          <w:tcPr>
            <w:tcW w:w="589" w:type="pct"/>
            <w:vAlign w:val="center"/>
          </w:tcPr>
          <w:p w14:paraId="2731F83D" w14:textId="77777777" w:rsidR="00C36261" w:rsidRPr="00A57ABC" w:rsidRDefault="00C36261" w:rsidP="00624091">
            <w:pPr>
              <w:widowControl w:val="0"/>
              <w:ind w:right="2"/>
              <w:jc w:val="center"/>
              <w:rPr>
                <w:rFonts w:eastAsiaTheme="minorHAnsi"/>
                <w:sz w:val="14"/>
                <w:szCs w:val="14"/>
                <w:lang w:eastAsia="en-US"/>
              </w:rPr>
            </w:pPr>
            <w:proofErr w:type="spellStart"/>
            <w:r w:rsidRPr="00A57ABC">
              <w:rPr>
                <w:rFonts w:eastAsiaTheme="minorHAnsi"/>
                <w:sz w:val="14"/>
                <w:szCs w:val="14"/>
                <w:lang w:eastAsia="en-US"/>
              </w:rPr>
              <w:t>Pochuta</w:t>
            </w:r>
            <w:proofErr w:type="spellEnd"/>
          </w:p>
        </w:tc>
        <w:tc>
          <w:tcPr>
            <w:tcW w:w="716" w:type="pct"/>
            <w:vAlign w:val="center"/>
          </w:tcPr>
          <w:p w14:paraId="7135E461" w14:textId="77777777" w:rsidR="00C36261" w:rsidRPr="00A57ABC" w:rsidRDefault="00C36261" w:rsidP="00624091">
            <w:pPr>
              <w:widowControl w:val="0"/>
              <w:jc w:val="center"/>
              <w:rPr>
                <w:rFonts w:eastAsiaTheme="minorHAnsi"/>
                <w:sz w:val="14"/>
                <w:szCs w:val="14"/>
                <w:lang w:eastAsia="en-US"/>
              </w:rPr>
            </w:pPr>
            <w:r w:rsidRPr="00A57ABC">
              <w:rPr>
                <w:rFonts w:eastAsiaTheme="minorHAnsi"/>
                <w:sz w:val="14"/>
                <w:szCs w:val="14"/>
                <w:lang w:eastAsia="en-US"/>
              </w:rPr>
              <w:t>Chimaltenango</w:t>
            </w:r>
          </w:p>
        </w:tc>
      </w:tr>
      <w:tr w:rsidR="00C36261" w:rsidRPr="00A57ABC" w14:paraId="6BE902AF" w14:textId="77777777" w:rsidTr="005105AC">
        <w:trPr>
          <w:trHeight w:val="556"/>
          <w:jc w:val="center"/>
        </w:trPr>
        <w:tc>
          <w:tcPr>
            <w:tcW w:w="1367" w:type="pct"/>
            <w:vAlign w:val="center"/>
          </w:tcPr>
          <w:p w14:paraId="57D336ED" w14:textId="77777777" w:rsidR="00C36261" w:rsidRPr="00A57ABC" w:rsidRDefault="00C36261" w:rsidP="00624091">
            <w:pPr>
              <w:widowControl w:val="0"/>
              <w:ind w:right="151"/>
              <w:jc w:val="center"/>
              <w:rPr>
                <w:rFonts w:eastAsiaTheme="minorHAnsi"/>
                <w:sz w:val="14"/>
                <w:szCs w:val="14"/>
                <w:lang w:eastAsia="en-US"/>
              </w:rPr>
            </w:pPr>
            <w:r w:rsidRPr="00A57ABC">
              <w:rPr>
                <w:rFonts w:eastAsiaTheme="minorHAnsi"/>
                <w:sz w:val="14"/>
                <w:szCs w:val="14"/>
                <w:lang w:eastAsia="en-US"/>
              </w:rPr>
              <w:t>SANTA CLARA</w:t>
            </w:r>
          </w:p>
        </w:tc>
        <w:tc>
          <w:tcPr>
            <w:tcW w:w="613" w:type="pct"/>
            <w:vAlign w:val="center"/>
          </w:tcPr>
          <w:p w14:paraId="4D5F9B5E"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10/01/2007</w:t>
            </w:r>
          </w:p>
        </w:tc>
        <w:tc>
          <w:tcPr>
            <w:tcW w:w="625" w:type="pct"/>
            <w:vAlign w:val="center"/>
          </w:tcPr>
          <w:p w14:paraId="1DCB68B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9/01/2032</w:t>
            </w:r>
          </w:p>
        </w:tc>
        <w:tc>
          <w:tcPr>
            <w:tcW w:w="306" w:type="pct"/>
            <w:vAlign w:val="center"/>
          </w:tcPr>
          <w:p w14:paraId="0852290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2FD339B" w14:textId="77777777" w:rsidR="00C36261" w:rsidRPr="00A57ABC" w:rsidRDefault="00C36261" w:rsidP="00624091">
            <w:pPr>
              <w:widowControl w:val="0"/>
              <w:ind w:left="50" w:right="18" w:hanging="1"/>
              <w:jc w:val="center"/>
              <w:rPr>
                <w:rFonts w:eastAsiaTheme="minorHAnsi"/>
                <w:sz w:val="14"/>
                <w:szCs w:val="14"/>
                <w:lang w:val="es-GT" w:eastAsia="en-US"/>
              </w:rPr>
            </w:pPr>
            <w:r w:rsidRPr="00A57ABC">
              <w:rPr>
                <w:rFonts w:eastAsiaTheme="minorHAnsi"/>
                <w:sz w:val="14"/>
                <w:szCs w:val="14"/>
                <w:lang w:val="es-GT" w:eastAsia="en-US"/>
              </w:rPr>
              <w:t>PIEDRA CALIZA,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DOLOMITA.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DARCITA, RIOLITA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ARCILLA</w:t>
            </w:r>
          </w:p>
        </w:tc>
        <w:tc>
          <w:tcPr>
            <w:tcW w:w="589" w:type="pct"/>
            <w:vAlign w:val="center"/>
          </w:tcPr>
          <w:p w14:paraId="196F8E91" w14:textId="77777777" w:rsidR="00C36261" w:rsidRPr="00A57ABC" w:rsidRDefault="00C36261" w:rsidP="00624091">
            <w:pPr>
              <w:widowControl w:val="0"/>
              <w:ind w:left="31"/>
              <w:jc w:val="center"/>
              <w:rPr>
                <w:rFonts w:eastAsiaTheme="minorHAnsi"/>
                <w:sz w:val="14"/>
                <w:szCs w:val="14"/>
                <w:lang w:eastAsia="en-US"/>
              </w:rPr>
            </w:pPr>
            <w:r w:rsidRPr="00A57ABC">
              <w:rPr>
                <w:rFonts w:eastAsiaTheme="minorHAnsi"/>
                <w:sz w:val="14"/>
                <w:szCs w:val="14"/>
                <w:lang w:eastAsia="en-US"/>
              </w:rPr>
              <w:t>Santa</w:t>
            </w:r>
            <w:r w:rsidRPr="00A57ABC">
              <w:rPr>
                <w:rFonts w:eastAsiaTheme="minorHAnsi"/>
                <w:spacing w:val="-1"/>
                <w:sz w:val="14"/>
                <w:szCs w:val="14"/>
                <w:lang w:eastAsia="en-US"/>
              </w:rPr>
              <w:t xml:space="preserve"> </w:t>
            </w:r>
            <w:r w:rsidRPr="00A57ABC">
              <w:rPr>
                <w:rFonts w:eastAsiaTheme="minorHAnsi"/>
                <w:sz w:val="14"/>
                <w:szCs w:val="14"/>
                <w:lang w:eastAsia="en-US"/>
              </w:rPr>
              <w:t>Apolonia</w:t>
            </w:r>
          </w:p>
        </w:tc>
        <w:tc>
          <w:tcPr>
            <w:tcW w:w="716" w:type="pct"/>
            <w:vAlign w:val="center"/>
          </w:tcPr>
          <w:p w14:paraId="21B3058F" w14:textId="77777777" w:rsidR="00C36261" w:rsidRPr="00A57ABC" w:rsidRDefault="00C36261" w:rsidP="00624091">
            <w:pPr>
              <w:widowControl w:val="0"/>
              <w:ind w:left="37"/>
              <w:jc w:val="center"/>
              <w:rPr>
                <w:rFonts w:eastAsiaTheme="minorHAnsi"/>
                <w:sz w:val="14"/>
                <w:szCs w:val="14"/>
                <w:lang w:eastAsia="en-US"/>
              </w:rPr>
            </w:pPr>
            <w:r w:rsidRPr="00A57ABC">
              <w:rPr>
                <w:rFonts w:eastAsiaTheme="minorHAnsi"/>
                <w:sz w:val="14"/>
                <w:szCs w:val="14"/>
                <w:lang w:eastAsia="en-US"/>
              </w:rPr>
              <w:t>Chimaltenango</w:t>
            </w:r>
          </w:p>
        </w:tc>
      </w:tr>
      <w:tr w:rsidR="00C36261" w:rsidRPr="00A57ABC" w14:paraId="68AB3DD6" w14:textId="77777777" w:rsidTr="005105AC">
        <w:trPr>
          <w:trHeight w:val="687"/>
          <w:jc w:val="center"/>
        </w:trPr>
        <w:tc>
          <w:tcPr>
            <w:tcW w:w="1367" w:type="pct"/>
            <w:vAlign w:val="center"/>
          </w:tcPr>
          <w:p w14:paraId="26A8FB9A" w14:textId="77777777" w:rsidR="00C36261" w:rsidRPr="00A57ABC" w:rsidRDefault="00C36261" w:rsidP="00624091">
            <w:pPr>
              <w:widowControl w:val="0"/>
              <w:ind w:left="341"/>
              <w:jc w:val="center"/>
              <w:rPr>
                <w:rFonts w:eastAsiaTheme="minorHAnsi"/>
                <w:sz w:val="14"/>
                <w:szCs w:val="14"/>
                <w:lang w:eastAsia="en-US"/>
              </w:rPr>
            </w:pPr>
            <w:r w:rsidRPr="00A57ABC">
              <w:rPr>
                <w:rFonts w:eastAsiaTheme="minorHAnsi"/>
                <w:sz w:val="14"/>
                <w:szCs w:val="14"/>
                <w:lang w:eastAsia="en-US"/>
              </w:rPr>
              <w:t>CONCUA</w:t>
            </w:r>
          </w:p>
        </w:tc>
        <w:tc>
          <w:tcPr>
            <w:tcW w:w="613" w:type="pct"/>
            <w:vAlign w:val="center"/>
          </w:tcPr>
          <w:p w14:paraId="2463FDC7"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8/04/2000</w:t>
            </w:r>
          </w:p>
        </w:tc>
        <w:tc>
          <w:tcPr>
            <w:tcW w:w="625" w:type="pct"/>
            <w:vAlign w:val="center"/>
          </w:tcPr>
          <w:p w14:paraId="609C6BF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7/04/2025</w:t>
            </w:r>
          </w:p>
        </w:tc>
        <w:tc>
          <w:tcPr>
            <w:tcW w:w="306" w:type="pct"/>
            <w:vAlign w:val="center"/>
          </w:tcPr>
          <w:p w14:paraId="576323D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1622288" w14:textId="77777777" w:rsidR="00C36261" w:rsidRPr="00A57ABC" w:rsidRDefault="00C36261" w:rsidP="00624091">
            <w:pPr>
              <w:widowControl w:val="0"/>
              <w:ind w:left="62" w:right="27" w:firstLine="2"/>
              <w:jc w:val="center"/>
              <w:rPr>
                <w:rFonts w:eastAsiaTheme="minorHAnsi"/>
                <w:sz w:val="14"/>
                <w:szCs w:val="14"/>
                <w:lang w:val="es-GT" w:eastAsia="en-US"/>
              </w:rPr>
            </w:pPr>
            <w:r w:rsidRPr="00A57ABC">
              <w:rPr>
                <w:rFonts w:eastAsiaTheme="minorHAnsi"/>
                <w:sz w:val="14"/>
                <w:szCs w:val="14"/>
                <w:lang w:val="es-GT" w:eastAsia="en-US"/>
              </w:rPr>
              <w:t>ARENA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ALUVION, GRAVA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7CD37CD1" w14:textId="77777777" w:rsidR="00C36261" w:rsidRPr="00A57ABC" w:rsidRDefault="00C36261" w:rsidP="00624091">
            <w:pPr>
              <w:widowControl w:val="0"/>
              <w:ind w:left="37" w:right="2"/>
              <w:jc w:val="center"/>
              <w:rPr>
                <w:rFonts w:eastAsiaTheme="minorHAnsi"/>
                <w:sz w:val="14"/>
                <w:szCs w:val="14"/>
                <w:lang w:val="es-GT" w:eastAsia="en-US"/>
              </w:rPr>
            </w:pPr>
            <w:r w:rsidRPr="00A57ABC">
              <w:rPr>
                <w:rFonts w:eastAsiaTheme="minorHAnsi"/>
                <w:sz w:val="14"/>
                <w:szCs w:val="14"/>
                <w:lang w:val="es-GT" w:eastAsia="en-US"/>
              </w:rPr>
              <w:t>San Martin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Jilotepeque,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Granados Y San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Juan</w:t>
            </w:r>
          </w:p>
          <w:p w14:paraId="58684DB8"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Sacatepéquez</w:t>
            </w:r>
          </w:p>
        </w:tc>
        <w:tc>
          <w:tcPr>
            <w:tcW w:w="716" w:type="pct"/>
            <w:vAlign w:val="center"/>
          </w:tcPr>
          <w:p w14:paraId="56A73BBA" w14:textId="77777777" w:rsidR="00C36261" w:rsidRPr="00A57ABC" w:rsidRDefault="00C36261" w:rsidP="00624091">
            <w:pPr>
              <w:widowControl w:val="0"/>
              <w:ind w:left="36"/>
              <w:jc w:val="center"/>
              <w:rPr>
                <w:rFonts w:eastAsiaTheme="minorHAnsi"/>
                <w:sz w:val="14"/>
                <w:szCs w:val="14"/>
                <w:lang w:val="es-GT" w:eastAsia="en-US"/>
              </w:rPr>
            </w:pPr>
            <w:r w:rsidRPr="00A57ABC">
              <w:rPr>
                <w:rFonts w:eastAsiaTheme="minorHAnsi"/>
                <w:sz w:val="14"/>
                <w:szCs w:val="14"/>
                <w:lang w:val="es-GT" w:eastAsia="en-US"/>
              </w:rPr>
              <w:t>Chimaltenango,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Baja Verapaz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Guatemala</w:t>
            </w:r>
          </w:p>
        </w:tc>
      </w:tr>
      <w:tr w:rsidR="00C36261" w:rsidRPr="00A57ABC" w14:paraId="249B89C6" w14:textId="77777777" w:rsidTr="005105AC">
        <w:trPr>
          <w:trHeight w:val="287"/>
          <w:jc w:val="center"/>
        </w:trPr>
        <w:tc>
          <w:tcPr>
            <w:tcW w:w="1367" w:type="pct"/>
            <w:vAlign w:val="center"/>
          </w:tcPr>
          <w:p w14:paraId="0C7030D5" w14:textId="77777777" w:rsidR="00C36261" w:rsidRPr="00A57ABC" w:rsidRDefault="00C36261" w:rsidP="00624091">
            <w:pPr>
              <w:widowControl w:val="0"/>
              <w:ind w:left="293" w:right="191" w:hanging="65"/>
              <w:rPr>
                <w:rFonts w:eastAsiaTheme="minorHAnsi"/>
                <w:sz w:val="14"/>
                <w:szCs w:val="14"/>
                <w:lang w:eastAsia="en-US"/>
              </w:rPr>
            </w:pPr>
            <w:r w:rsidRPr="00A57ABC">
              <w:rPr>
                <w:rFonts w:eastAsiaTheme="minorHAnsi"/>
                <w:sz w:val="14"/>
                <w:szCs w:val="14"/>
                <w:lang w:eastAsia="en-US"/>
              </w:rPr>
              <w:t>CANTERA EL</w:t>
            </w:r>
            <w:r w:rsidRPr="00A57ABC">
              <w:rPr>
                <w:rFonts w:eastAsiaTheme="minorHAnsi"/>
                <w:spacing w:val="-34"/>
                <w:sz w:val="14"/>
                <w:szCs w:val="14"/>
                <w:lang w:eastAsia="en-US"/>
              </w:rPr>
              <w:t xml:space="preserve"> </w:t>
            </w:r>
            <w:r w:rsidRPr="00A57ABC">
              <w:rPr>
                <w:rFonts w:eastAsiaTheme="minorHAnsi"/>
                <w:sz w:val="14"/>
                <w:szCs w:val="14"/>
                <w:lang w:eastAsia="en-US"/>
              </w:rPr>
              <w:t>PORVENIR</w:t>
            </w:r>
          </w:p>
        </w:tc>
        <w:tc>
          <w:tcPr>
            <w:tcW w:w="613" w:type="pct"/>
            <w:vAlign w:val="center"/>
          </w:tcPr>
          <w:p w14:paraId="02E3A7A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27/06/2008</w:t>
            </w:r>
          </w:p>
        </w:tc>
        <w:tc>
          <w:tcPr>
            <w:tcW w:w="625" w:type="pct"/>
            <w:vAlign w:val="center"/>
          </w:tcPr>
          <w:p w14:paraId="781A397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26/06/2033</w:t>
            </w:r>
          </w:p>
        </w:tc>
        <w:tc>
          <w:tcPr>
            <w:tcW w:w="306" w:type="pct"/>
            <w:vAlign w:val="center"/>
          </w:tcPr>
          <w:p w14:paraId="25EB6D4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3CBC6D5" w14:textId="45422339" w:rsidR="00C36261" w:rsidRPr="00A57ABC" w:rsidRDefault="00C36261" w:rsidP="00624091">
            <w:pPr>
              <w:widowControl w:val="0"/>
              <w:ind w:left="280" w:right="3" w:hanging="228"/>
              <w:jc w:val="center"/>
              <w:rPr>
                <w:rFonts w:eastAsiaTheme="minorHAnsi"/>
                <w:sz w:val="14"/>
                <w:szCs w:val="14"/>
                <w:lang w:val="es-GT" w:eastAsia="en-US"/>
              </w:rPr>
            </w:pPr>
            <w:r w:rsidRPr="00A57ABC">
              <w:rPr>
                <w:rFonts w:eastAsiaTheme="minorHAnsi"/>
                <w:sz w:val="14"/>
                <w:szCs w:val="14"/>
                <w:lang w:val="es-GT" w:eastAsia="en-US"/>
              </w:rPr>
              <w:t xml:space="preserve">GRAFITO Y </w:t>
            </w:r>
            <w:r w:rsidR="00624091" w:rsidRPr="00A57ABC">
              <w:rPr>
                <w:rFonts w:eastAsiaTheme="minorHAnsi"/>
                <w:sz w:val="14"/>
                <w:szCs w:val="14"/>
                <w:lang w:val="es-GT" w:eastAsia="en-US"/>
              </w:rPr>
              <w:t>OXIDO</w:t>
            </w:r>
            <w:r w:rsidR="00624091">
              <w:rPr>
                <w:rFonts w:eastAsiaTheme="minorHAnsi"/>
                <w:sz w:val="14"/>
                <w:szCs w:val="14"/>
                <w:lang w:val="es-GT" w:eastAsia="en-US"/>
              </w:rPr>
              <w:t xml:space="preserve"> </w:t>
            </w:r>
            <w:r w:rsidR="00624091" w:rsidRPr="00A57ABC">
              <w:rPr>
                <w:rFonts w:eastAsiaTheme="minorHAnsi"/>
                <w:spacing w:val="-34"/>
                <w:sz w:val="14"/>
                <w:szCs w:val="14"/>
                <w:lang w:val="es-GT" w:eastAsia="en-US"/>
              </w:rPr>
              <w:t>DE</w:t>
            </w:r>
            <w:r w:rsidRPr="00A57ABC">
              <w:rPr>
                <w:rFonts w:eastAsiaTheme="minorHAnsi"/>
                <w:sz w:val="14"/>
                <w:szCs w:val="14"/>
                <w:lang w:val="es-GT" w:eastAsia="en-US"/>
              </w:rPr>
              <w:t xml:space="preserve"> HIERRO</w:t>
            </w:r>
          </w:p>
        </w:tc>
        <w:tc>
          <w:tcPr>
            <w:tcW w:w="589" w:type="pct"/>
            <w:vAlign w:val="center"/>
          </w:tcPr>
          <w:p w14:paraId="17B76684" w14:textId="77777777" w:rsidR="00C36261" w:rsidRPr="00A57ABC" w:rsidRDefault="00C36261" w:rsidP="00624091">
            <w:pPr>
              <w:widowControl w:val="0"/>
              <w:ind w:left="35" w:right="2"/>
              <w:jc w:val="center"/>
              <w:rPr>
                <w:rFonts w:eastAsiaTheme="minorHAnsi"/>
                <w:sz w:val="14"/>
                <w:szCs w:val="14"/>
                <w:lang w:eastAsia="en-US"/>
              </w:rPr>
            </w:pPr>
            <w:proofErr w:type="spellStart"/>
            <w:r w:rsidRPr="00A57ABC">
              <w:rPr>
                <w:rFonts w:eastAsiaTheme="minorHAnsi"/>
                <w:sz w:val="14"/>
                <w:szCs w:val="14"/>
                <w:lang w:eastAsia="en-US"/>
              </w:rPr>
              <w:t>Camotan</w:t>
            </w:r>
            <w:proofErr w:type="spellEnd"/>
          </w:p>
        </w:tc>
        <w:tc>
          <w:tcPr>
            <w:tcW w:w="716" w:type="pct"/>
            <w:vAlign w:val="center"/>
          </w:tcPr>
          <w:p w14:paraId="692DFEF9"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Chiquimula</w:t>
            </w:r>
          </w:p>
        </w:tc>
      </w:tr>
      <w:tr w:rsidR="00C36261" w:rsidRPr="00A57ABC" w14:paraId="5A69A291" w14:textId="77777777" w:rsidTr="005105AC">
        <w:trPr>
          <w:trHeight w:val="221"/>
          <w:jc w:val="center"/>
        </w:trPr>
        <w:tc>
          <w:tcPr>
            <w:tcW w:w="1367" w:type="pct"/>
            <w:vAlign w:val="center"/>
          </w:tcPr>
          <w:p w14:paraId="10007760" w14:textId="77777777" w:rsidR="00C36261" w:rsidRPr="00A57ABC" w:rsidRDefault="00C36261" w:rsidP="00624091">
            <w:pPr>
              <w:widowControl w:val="0"/>
              <w:ind w:left="149" w:right="110" w:firstLine="31"/>
              <w:rPr>
                <w:rFonts w:eastAsiaTheme="minorHAnsi"/>
                <w:sz w:val="14"/>
                <w:szCs w:val="14"/>
                <w:lang w:eastAsia="en-US"/>
              </w:rPr>
            </w:pPr>
            <w:r w:rsidRPr="00A57ABC">
              <w:rPr>
                <w:rFonts w:eastAsiaTheme="minorHAnsi"/>
                <w:sz w:val="14"/>
                <w:szCs w:val="14"/>
                <w:lang w:eastAsia="en-US"/>
              </w:rPr>
              <w:t>CANTERA LOS</w:t>
            </w:r>
            <w:r w:rsidRPr="00A57ABC">
              <w:rPr>
                <w:rFonts w:eastAsiaTheme="minorHAnsi"/>
                <w:spacing w:val="1"/>
                <w:sz w:val="14"/>
                <w:szCs w:val="14"/>
                <w:lang w:eastAsia="en-US"/>
              </w:rPr>
              <w:t xml:space="preserve"> </w:t>
            </w:r>
            <w:r w:rsidRPr="00A57ABC">
              <w:rPr>
                <w:rFonts w:eastAsiaTheme="minorHAnsi"/>
                <w:sz w:val="14"/>
                <w:szCs w:val="14"/>
                <w:lang w:eastAsia="en-US"/>
              </w:rPr>
              <w:t>MANANTIALES</w:t>
            </w:r>
          </w:p>
        </w:tc>
        <w:tc>
          <w:tcPr>
            <w:tcW w:w="613" w:type="pct"/>
            <w:vAlign w:val="center"/>
          </w:tcPr>
          <w:p w14:paraId="2A8A7A13"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28/07/2012</w:t>
            </w:r>
          </w:p>
        </w:tc>
        <w:tc>
          <w:tcPr>
            <w:tcW w:w="625" w:type="pct"/>
            <w:vAlign w:val="center"/>
          </w:tcPr>
          <w:p w14:paraId="6C96446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27/07/2037</w:t>
            </w:r>
          </w:p>
        </w:tc>
        <w:tc>
          <w:tcPr>
            <w:tcW w:w="306" w:type="pct"/>
            <w:vAlign w:val="center"/>
          </w:tcPr>
          <w:p w14:paraId="7CBFFA7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6A4CAE9" w14:textId="77777777" w:rsidR="00C36261" w:rsidRPr="00A57ABC" w:rsidRDefault="00C36261" w:rsidP="005105AC">
            <w:pPr>
              <w:widowControl w:val="0"/>
              <w:ind w:left="34"/>
              <w:jc w:val="center"/>
              <w:rPr>
                <w:rFonts w:eastAsiaTheme="minorHAnsi"/>
                <w:sz w:val="14"/>
                <w:szCs w:val="14"/>
                <w:lang w:eastAsia="en-US"/>
              </w:rPr>
            </w:pPr>
            <w:r w:rsidRPr="00A57ABC">
              <w:rPr>
                <w:rFonts w:eastAsiaTheme="minorHAnsi"/>
                <w:sz w:val="14"/>
                <w:szCs w:val="14"/>
                <w:lang w:eastAsia="en-US"/>
              </w:rPr>
              <w:t>ANTIMONIO.</w:t>
            </w:r>
          </w:p>
        </w:tc>
        <w:tc>
          <w:tcPr>
            <w:tcW w:w="589" w:type="pct"/>
            <w:vAlign w:val="center"/>
          </w:tcPr>
          <w:p w14:paraId="595B319D" w14:textId="77777777" w:rsidR="00C36261" w:rsidRPr="00A57ABC" w:rsidRDefault="00C36261" w:rsidP="005105AC">
            <w:pPr>
              <w:widowControl w:val="0"/>
              <w:ind w:right="175"/>
              <w:jc w:val="center"/>
              <w:rPr>
                <w:rFonts w:eastAsiaTheme="minorHAnsi"/>
                <w:sz w:val="14"/>
                <w:szCs w:val="14"/>
                <w:lang w:eastAsia="en-US"/>
              </w:rPr>
            </w:pPr>
            <w:proofErr w:type="spellStart"/>
            <w:r w:rsidRPr="00A57ABC">
              <w:rPr>
                <w:rFonts w:eastAsiaTheme="minorHAnsi"/>
                <w:sz w:val="14"/>
                <w:szCs w:val="14"/>
                <w:lang w:eastAsia="en-US"/>
              </w:rPr>
              <w:t>Olopa</w:t>
            </w:r>
            <w:proofErr w:type="spellEnd"/>
            <w:r w:rsidRPr="00A57ABC">
              <w:rPr>
                <w:rFonts w:eastAsiaTheme="minorHAnsi"/>
                <w:sz w:val="14"/>
                <w:szCs w:val="14"/>
                <w:lang w:eastAsia="en-US"/>
              </w:rPr>
              <w:t xml:space="preserve"> Y</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Esquipulas</w:t>
            </w:r>
            <w:proofErr w:type="spellEnd"/>
          </w:p>
        </w:tc>
        <w:tc>
          <w:tcPr>
            <w:tcW w:w="716" w:type="pct"/>
            <w:vAlign w:val="center"/>
          </w:tcPr>
          <w:p w14:paraId="6ACD20A1"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Chiquimula</w:t>
            </w:r>
          </w:p>
        </w:tc>
      </w:tr>
      <w:tr w:rsidR="00C36261" w:rsidRPr="00A57ABC" w14:paraId="039E8A68" w14:textId="77777777" w:rsidTr="005105AC">
        <w:trPr>
          <w:trHeight w:val="310"/>
          <w:jc w:val="center"/>
        </w:trPr>
        <w:tc>
          <w:tcPr>
            <w:tcW w:w="1367" w:type="pct"/>
            <w:vAlign w:val="center"/>
          </w:tcPr>
          <w:p w14:paraId="749F1CAB"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CARMELO</w:t>
            </w:r>
          </w:p>
        </w:tc>
        <w:tc>
          <w:tcPr>
            <w:tcW w:w="613" w:type="pct"/>
            <w:vAlign w:val="center"/>
          </w:tcPr>
          <w:p w14:paraId="1E8BF425"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1/12/1999</w:t>
            </w:r>
          </w:p>
        </w:tc>
        <w:tc>
          <w:tcPr>
            <w:tcW w:w="625" w:type="pct"/>
            <w:vAlign w:val="center"/>
          </w:tcPr>
          <w:p w14:paraId="04C2983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30/11/2024</w:t>
            </w:r>
          </w:p>
        </w:tc>
        <w:tc>
          <w:tcPr>
            <w:tcW w:w="306" w:type="pct"/>
            <w:vAlign w:val="center"/>
          </w:tcPr>
          <w:p w14:paraId="017DD52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79E6ECC" w14:textId="77777777" w:rsidR="00C36261" w:rsidRPr="00A57ABC" w:rsidRDefault="00C36261" w:rsidP="005105AC">
            <w:pPr>
              <w:widowControl w:val="0"/>
              <w:ind w:left="31"/>
              <w:jc w:val="center"/>
              <w:rPr>
                <w:rFonts w:eastAsiaTheme="minorHAnsi"/>
                <w:sz w:val="14"/>
                <w:szCs w:val="14"/>
                <w:lang w:eastAsia="en-US"/>
              </w:rPr>
            </w:pPr>
            <w:r w:rsidRPr="00A57ABC">
              <w:rPr>
                <w:rFonts w:eastAsiaTheme="minorHAnsi"/>
                <w:sz w:val="14"/>
                <w:szCs w:val="14"/>
                <w:lang w:eastAsia="en-US"/>
              </w:rPr>
              <w:t>BENTONITA</w:t>
            </w:r>
          </w:p>
        </w:tc>
        <w:tc>
          <w:tcPr>
            <w:tcW w:w="589" w:type="pct"/>
            <w:vAlign w:val="center"/>
          </w:tcPr>
          <w:p w14:paraId="43A0F45A" w14:textId="09656249" w:rsidR="00C36261" w:rsidRPr="00A57ABC" w:rsidRDefault="00C36261" w:rsidP="005105AC">
            <w:pPr>
              <w:widowControl w:val="0"/>
              <w:ind w:right="258"/>
              <w:jc w:val="center"/>
              <w:rPr>
                <w:rFonts w:eastAsiaTheme="minorHAnsi"/>
                <w:sz w:val="14"/>
                <w:szCs w:val="14"/>
                <w:lang w:eastAsia="en-US"/>
              </w:rPr>
            </w:pPr>
            <w:r w:rsidRPr="00A57ABC">
              <w:rPr>
                <w:rFonts w:eastAsiaTheme="minorHAnsi"/>
                <w:spacing w:val="-1"/>
                <w:sz w:val="14"/>
                <w:szCs w:val="14"/>
                <w:lang w:eastAsia="en-US"/>
              </w:rPr>
              <w:t>San</w:t>
            </w:r>
            <w:r w:rsidR="005105AC">
              <w:rPr>
                <w:rFonts w:eastAsiaTheme="minorHAnsi"/>
                <w:spacing w:val="-1"/>
                <w:sz w:val="14"/>
                <w:szCs w:val="14"/>
                <w:lang w:eastAsia="en-US"/>
              </w:rPr>
              <w:t xml:space="preserve"> </w:t>
            </w:r>
            <w:r w:rsidRPr="00A57ABC">
              <w:rPr>
                <w:rFonts w:eastAsiaTheme="minorHAnsi"/>
                <w:sz w:val="14"/>
                <w:szCs w:val="14"/>
                <w:lang w:eastAsia="en-US"/>
              </w:rPr>
              <w:t>Juan</w:t>
            </w:r>
            <w:r w:rsidR="005105AC">
              <w:rPr>
                <w:rFonts w:eastAsiaTheme="minorHAnsi"/>
                <w:spacing w:val="-34"/>
                <w:sz w:val="14"/>
                <w:szCs w:val="14"/>
                <w:lang w:eastAsia="en-US"/>
              </w:rPr>
              <w:t xml:space="preserve"> </w:t>
            </w:r>
            <w:r w:rsidRPr="00A57ABC">
              <w:rPr>
                <w:rFonts w:eastAsiaTheme="minorHAnsi"/>
                <w:sz w:val="14"/>
                <w:szCs w:val="14"/>
                <w:lang w:eastAsia="en-US"/>
              </w:rPr>
              <w:t>Ermita</w:t>
            </w:r>
          </w:p>
        </w:tc>
        <w:tc>
          <w:tcPr>
            <w:tcW w:w="716" w:type="pct"/>
            <w:vAlign w:val="center"/>
          </w:tcPr>
          <w:p w14:paraId="539E8699"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Chiquimula</w:t>
            </w:r>
          </w:p>
        </w:tc>
      </w:tr>
      <w:tr w:rsidR="00C36261" w:rsidRPr="00A57ABC" w14:paraId="665B92BE" w14:textId="77777777" w:rsidTr="005105AC">
        <w:trPr>
          <w:trHeight w:val="252"/>
          <w:jc w:val="center"/>
        </w:trPr>
        <w:tc>
          <w:tcPr>
            <w:tcW w:w="1367" w:type="pct"/>
            <w:vAlign w:val="center"/>
          </w:tcPr>
          <w:p w14:paraId="7E874C0E"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DIMACO</w:t>
            </w:r>
          </w:p>
        </w:tc>
        <w:tc>
          <w:tcPr>
            <w:tcW w:w="613" w:type="pct"/>
            <w:vAlign w:val="center"/>
          </w:tcPr>
          <w:p w14:paraId="195F0F23"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17/06/2016</w:t>
            </w:r>
          </w:p>
        </w:tc>
        <w:tc>
          <w:tcPr>
            <w:tcW w:w="625" w:type="pct"/>
            <w:vAlign w:val="center"/>
          </w:tcPr>
          <w:p w14:paraId="6715252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16/06/2041</w:t>
            </w:r>
          </w:p>
        </w:tc>
        <w:tc>
          <w:tcPr>
            <w:tcW w:w="306" w:type="pct"/>
            <w:vAlign w:val="center"/>
          </w:tcPr>
          <w:p w14:paraId="42F70EE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7D10F22"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Y GRAVA</w:t>
            </w:r>
          </w:p>
        </w:tc>
        <w:tc>
          <w:tcPr>
            <w:tcW w:w="589" w:type="pct"/>
            <w:vAlign w:val="center"/>
          </w:tcPr>
          <w:p w14:paraId="179750A6"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Chiquimula</w:t>
            </w:r>
          </w:p>
        </w:tc>
        <w:tc>
          <w:tcPr>
            <w:tcW w:w="716" w:type="pct"/>
            <w:vAlign w:val="center"/>
          </w:tcPr>
          <w:p w14:paraId="767E4CF7"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Chiquimula</w:t>
            </w:r>
          </w:p>
        </w:tc>
      </w:tr>
      <w:tr w:rsidR="00C36261" w:rsidRPr="00A57ABC" w14:paraId="507E5C42" w14:textId="77777777" w:rsidTr="005105AC">
        <w:trPr>
          <w:trHeight w:val="414"/>
          <w:jc w:val="center"/>
        </w:trPr>
        <w:tc>
          <w:tcPr>
            <w:tcW w:w="1367" w:type="pct"/>
            <w:vAlign w:val="center"/>
          </w:tcPr>
          <w:p w14:paraId="62197C55"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EL ACEITUNO</w:t>
            </w:r>
          </w:p>
        </w:tc>
        <w:tc>
          <w:tcPr>
            <w:tcW w:w="613" w:type="pct"/>
            <w:vAlign w:val="center"/>
          </w:tcPr>
          <w:p w14:paraId="06C3A5A5"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6/02/2007</w:t>
            </w:r>
          </w:p>
        </w:tc>
        <w:tc>
          <w:tcPr>
            <w:tcW w:w="625" w:type="pct"/>
            <w:vAlign w:val="center"/>
          </w:tcPr>
          <w:p w14:paraId="1AB6597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5/02/2032</w:t>
            </w:r>
          </w:p>
        </w:tc>
        <w:tc>
          <w:tcPr>
            <w:tcW w:w="306" w:type="pct"/>
            <w:vAlign w:val="center"/>
          </w:tcPr>
          <w:p w14:paraId="6093491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D67611B"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TOBA</w:t>
            </w:r>
          </w:p>
          <w:p w14:paraId="5204FE4E"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CAOLINIZADA</w:t>
            </w:r>
          </w:p>
        </w:tc>
        <w:tc>
          <w:tcPr>
            <w:tcW w:w="589" w:type="pct"/>
            <w:vAlign w:val="center"/>
          </w:tcPr>
          <w:p w14:paraId="249CEAB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San</w:t>
            </w:r>
            <w:r w:rsidRPr="00A57ABC">
              <w:rPr>
                <w:rFonts w:eastAsiaTheme="minorHAnsi"/>
                <w:spacing w:val="-2"/>
                <w:sz w:val="14"/>
                <w:szCs w:val="14"/>
                <w:lang w:eastAsia="en-US"/>
              </w:rPr>
              <w:t xml:space="preserve"> </w:t>
            </w:r>
            <w:r w:rsidRPr="00A57ABC">
              <w:rPr>
                <w:rFonts w:eastAsiaTheme="minorHAnsi"/>
                <w:sz w:val="14"/>
                <w:szCs w:val="14"/>
                <w:lang w:eastAsia="en-US"/>
              </w:rPr>
              <w:t>Jose La</w:t>
            </w:r>
          </w:p>
          <w:p w14:paraId="32E4B23D"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Arada</w:t>
            </w:r>
            <w:proofErr w:type="spellEnd"/>
          </w:p>
        </w:tc>
        <w:tc>
          <w:tcPr>
            <w:tcW w:w="716" w:type="pct"/>
            <w:vAlign w:val="center"/>
          </w:tcPr>
          <w:p w14:paraId="0A96A681"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Chiquimula</w:t>
            </w:r>
          </w:p>
        </w:tc>
      </w:tr>
      <w:tr w:rsidR="00C36261" w:rsidRPr="00A57ABC" w14:paraId="5CEEF611" w14:textId="77777777" w:rsidTr="005105AC">
        <w:trPr>
          <w:trHeight w:val="528"/>
          <w:jc w:val="center"/>
        </w:trPr>
        <w:tc>
          <w:tcPr>
            <w:tcW w:w="1367" w:type="pct"/>
            <w:vAlign w:val="center"/>
          </w:tcPr>
          <w:p w14:paraId="563842F3"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ESQUIPULAS</w:t>
            </w:r>
          </w:p>
        </w:tc>
        <w:tc>
          <w:tcPr>
            <w:tcW w:w="613" w:type="pct"/>
            <w:vAlign w:val="center"/>
          </w:tcPr>
          <w:p w14:paraId="3EE33A8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28/08/2002</w:t>
            </w:r>
          </w:p>
        </w:tc>
        <w:tc>
          <w:tcPr>
            <w:tcW w:w="625" w:type="pct"/>
            <w:vAlign w:val="center"/>
          </w:tcPr>
          <w:p w14:paraId="2240F391"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27/08/2027</w:t>
            </w:r>
          </w:p>
        </w:tc>
        <w:tc>
          <w:tcPr>
            <w:tcW w:w="306" w:type="pct"/>
            <w:vAlign w:val="center"/>
          </w:tcPr>
          <w:p w14:paraId="6F171DD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4DFF5BA" w14:textId="77777777" w:rsidR="00C36261" w:rsidRPr="00A57ABC" w:rsidRDefault="00C36261" w:rsidP="00624091">
            <w:pPr>
              <w:widowControl w:val="0"/>
              <w:ind w:left="34"/>
              <w:jc w:val="center"/>
              <w:rPr>
                <w:rFonts w:eastAsiaTheme="minorHAnsi"/>
                <w:sz w:val="14"/>
                <w:szCs w:val="14"/>
                <w:lang w:val="es-GT" w:eastAsia="en-US"/>
              </w:rPr>
            </w:pPr>
            <w:r w:rsidRPr="00A57ABC">
              <w:rPr>
                <w:rFonts w:eastAsiaTheme="minorHAnsi"/>
                <w:sz w:val="14"/>
                <w:szCs w:val="14"/>
                <w:lang w:val="es-GT" w:eastAsia="en-US"/>
              </w:rPr>
              <w:t>MINERALES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ARCILLA (GRUPOS</w:t>
            </w:r>
            <w:r w:rsidRPr="00A57ABC">
              <w:rPr>
                <w:rFonts w:eastAsiaTheme="minorHAnsi"/>
                <w:spacing w:val="-33"/>
                <w:sz w:val="14"/>
                <w:szCs w:val="14"/>
                <w:lang w:val="es-GT" w:eastAsia="en-US"/>
              </w:rPr>
              <w:t xml:space="preserve"> </w:t>
            </w:r>
            <w:r w:rsidRPr="00A57ABC">
              <w:rPr>
                <w:rFonts w:eastAsiaTheme="minorHAnsi"/>
                <w:sz w:val="14"/>
                <w:szCs w:val="14"/>
                <w:lang w:val="es-GT" w:eastAsia="en-US"/>
              </w:rPr>
              <w:t>DE LA CAOLINITA,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ILLITA,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MONTMORILLONI</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TA)</w:t>
            </w:r>
          </w:p>
        </w:tc>
        <w:tc>
          <w:tcPr>
            <w:tcW w:w="589" w:type="pct"/>
            <w:vAlign w:val="center"/>
          </w:tcPr>
          <w:p w14:paraId="49515728" w14:textId="77777777" w:rsidR="00C36261" w:rsidRPr="00A57ABC" w:rsidRDefault="00C36261" w:rsidP="00624091">
            <w:pPr>
              <w:widowControl w:val="0"/>
              <w:ind w:left="60" w:right="24" w:firstLine="3"/>
              <w:jc w:val="center"/>
              <w:rPr>
                <w:rFonts w:eastAsiaTheme="minorHAnsi"/>
                <w:sz w:val="14"/>
                <w:szCs w:val="14"/>
                <w:lang w:val="es-GT" w:eastAsia="en-US"/>
              </w:rPr>
            </w:pPr>
            <w:r w:rsidRPr="00A57ABC">
              <w:rPr>
                <w:rFonts w:eastAsiaTheme="minorHAnsi"/>
                <w:sz w:val="14"/>
                <w:szCs w:val="14"/>
                <w:lang w:val="es-GT" w:eastAsia="en-US"/>
              </w:rPr>
              <w:t>Esquipulas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Concepción Las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Minas</w:t>
            </w:r>
          </w:p>
        </w:tc>
        <w:tc>
          <w:tcPr>
            <w:tcW w:w="716" w:type="pct"/>
            <w:vAlign w:val="center"/>
          </w:tcPr>
          <w:p w14:paraId="289450DD"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Chiquimula</w:t>
            </w:r>
          </w:p>
        </w:tc>
      </w:tr>
      <w:tr w:rsidR="00C36261" w:rsidRPr="00A57ABC" w14:paraId="33AA39BF" w14:textId="77777777" w:rsidTr="005105AC">
        <w:trPr>
          <w:trHeight w:val="245"/>
          <w:jc w:val="center"/>
        </w:trPr>
        <w:tc>
          <w:tcPr>
            <w:tcW w:w="1367" w:type="pct"/>
            <w:vAlign w:val="center"/>
          </w:tcPr>
          <w:p w14:paraId="5662C477"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SIETE CUEROS</w:t>
            </w:r>
          </w:p>
        </w:tc>
        <w:tc>
          <w:tcPr>
            <w:tcW w:w="613" w:type="pct"/>
            <w:vAlign w:val="center"/>
          </w:tcPr>
          <w:p w14:paraId="2617DE5A"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18/08/1993</w:t>
            </w:r>
          </w:p>
        </w:tc>
        <w:tc>
          <w:tcPr>
            <w:tcW w:w="625" w:type="pct"/>
            <w:vAlign w:val="center"/>
          </w:tcPr>
          <w:p w14:paraId="7CB9E35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17/08/2038</w:t>
            </w:r>
          </w:p>
        </w:tc>
        <w:tc>
          <w:tcPr>
            <w:tcW w:w="306" w:type="pct"/>
            <w:vAlign w:val="center"/>
          </w:tcPr>
          <w:p w14:paraId="025410E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E18FE53"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TOBA</w:t>
            </w:r>
          </w:p>
          <w:p w14:paraId="4FE1ADE4"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CAOLINITICA</w:t>
            </w:r>
          </w:p>
        </w:tc>
        <w:tc>
          <w:tcPr>
            <w:tcW w:w="589" w:type="pct"/>
            <w:vAlign w:val="center"/>
          </w:tcPr>
          <w:p w14:paraId="1FD8D86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San</w:t>
            </w:r>
            <w:r w:rsidRPr="00A57ABC">
              <w:rPr>
                <w:rFonts w:eastAsiaTheme="minorHAnsi"/>
                <w:spacing w:val="-2"/>
                <w:sz w:val="14"/>
                <w:szCs w:val="14"/>
                <w:lang w:eastAsia="en-US"/>
              </w:rPr>
              <w:t xml:space="preserve"> </w:t>
            </w:r>
            <w:r w:rsidRPr="00A57ABC">
              <w:rPr>
                <w:rFonts w:eastAsiaTheme="minorHAnsi"/>
                <w:sz w:val="14"/>
                <w:szCs w:val="14"/>
                <w:lang w:eastAsia="en-US"/>
              </w:rPr>
              <w:t>Jose La</w:t>
            </w:r>
          </w:p>
          <w:p w14:paraId="5CF383D8"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Arada</w:t>
            </w:r>
            <w:proofErr w:type="spellEnd"/>
          </w:p>
        </w:tc>
        <w:tc>
          <w:tcPr>
            <w:tcW w:w="716" w:type="pct"/>
            <w:vAlign w:val="center"/>
          </w:tcPr>
          <w:p w14:paraId="0515E2CB"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Chiquimula</w:t>
            </w:r>
          </w:p>
        </w:tc>
      </w:tr>
      <w:tr w:rsidR="00C36261" w:rsidRPr="00A57ABC" w14:paraId="6F4C8B93" w14:textId="77777777" w:rsidTr="005105AC">
        <w:trPr>
          <w:trHeight w:val="417"/>
          <w:jc w:val="center"/>
        </w:trPr>
        <w:tc>
          <w:tcPr>
            <w:tcW w:w="1367" w:type="pct"/>
            <w:vAlign w:val="center"/>
          </w:tcPr>
          <w:p w14:paraId="652E74DC" w14:textId="77777777" w:rsidR="00C36261" w:rsidRPr="00A57ABC" w:rsidRDefault="00C36261" w:rsidP="005105AC">
            <w:pPr>
              <w:widowControl w:val="0"/>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SALTO</w:t>
            </w:r>
          </w:p>
        </w:tc>
        <w:tc>
          <w:tcPr>
            <w:tcW w:w="613" w:type="pct"/>
            <w:vAlign w:val="center"/>
          </w:tcPr>
          <w:p w14:paraId="1558D8D2"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23/02/2007</w:t>
            </w:r>
          </w:p>
        </w:tc>
        <w:tc>
          <w:tcPr>
            <w:tcW w:w="625" w:type="pct"/>
            <w:vAlign w:val="center"/>
          </w:tcPr>
          <w:p w14:paraId="0A1F2FE6"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22/02/2032</w:t>
            </w:r>
          </w:p>
        </w:tc>
        <w:tc>
          <w:tcPr>
            <w:tcW w:w="306" w:type="pct"/>
            <w:vAlign w:val="center"/>
          </w:tcPr>
          <w:p w14:paraId="02BC21DC"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D054D42" w14:textId="77777777" w:rsidR="00C36261" w:rsidRPr="00A57ABC" w:rsidRDefault="00C36261" w:rsidP="00624091">
            <w:pPr>
              <w:widowControl w:val="0"/>
              <w:jc w:val="center"/>
              <w:rPr>
                <w:rFonts w:eastAsiaTheme="minorHAnsi"/>
                <w:sz w:val="14"/>
                <w:szCs w:val="14"/>
                <w:lang w:eastAsia="en-US"/>
              </w:rPr>
            </w:pPr>
            <w:r w:rsidRPr="00A57ABC">
              <w:rPr>
                <w:rFonts w:eastAsiaTheme="minorHAnsi"/>
                <w:sz w:val="14"/>
                <w:szCs w:val="14"/>
                <w:lang w:eastAsia="en-US"/>
              </w:rPr>
              <w:t>BENTONITA</w:t>
            </w:r>
          </w:p>
        </w:tc>
        <w:tc>
          <w:tcPr>
            <w:tcW w:w="589" w:type="pct"/>
            <w:vAlign w:val="center"/>
          </w:tcPr>
          <w:p w14:paraId="7F71D3CD" w14:textId="77777777" w:rsidR="00C36261" w:rsidRPr="00A57ABC" w:rsidRDefault="00C36261" w:rsidP="00624091">
            <w:pPr>
              <w:widowControl w:val="0"/>
              <w:ind w:right="2"/>
              <w:jc w:val="center"/>
              <w:rPr>
                <w:rFonts w:eastAsiaTheme="minorHAnsi"/>
                <w:sz w:val="14"/>
                <w:szCs w:val="14"/>
                <w:lang w:val="es-GT" w:eastAsia="en-US"/>
              </w:rPr>
            </w:pPr>
            <w:r w:rsidRPr="00A57ABC">
              <w:rPr>
                <w:rFonts w:eastAsiaTheme="minorHAnsi"/>
                <w:sz w:val="14"/>
                <w:szCs w:val="14"/>
                <w:lang w:val="es-GT" w:eastAsia="en-US"/>
              </w:rPr>
              <w:t>San Jose 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Arada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36"/>
                <w:sz w:val="14"/>
                <w:szCs w:val="14"/>
                <w:lang w:val="es-GT" w:eastAsia="en-US"/>
              </w:rPr>
              <w:t xml:space="preserve"> </w:t>
            </w:r>
            <w:r w:rsidRPr="00A57ABC">
              <w:rPr>
                <w:rFonts w:eastAsiaTheme="minorHAnsi"/>
                <w:sz w:val="14"/>
                <w:szCs w:val="14"/>
                <w:lang w:val="es-GT" w:eastAsia="en-US"/>
              </w:rPr>
              <w:t>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Luis</w:t>
            </w:r>
            <w:r w:rsidRPr="00A57ABC">
              <w:rPr>
                <w:rFonts w:eastAsiaTheme="minorHAnsi"/>
                <w:spacing w:val="-7"/>
                <w:sz w:val="14"/>
                <w:szCs w:val="14"/>
                <w:lang w:val="es-GT" w:eastAsia="en-US"/>
              </w:rPr>
              <w:t xml:space="preserve"> </w:t>
            </w:r>
            <w:r w:rsidRPr="00A57ABC">
              <w:rPr>
                <w:rFonts w:eastAsiaTheme="minorHAnsi"/>
                <w:sz w:val="14"/>
                <w:szCs w:val="14"/>
                <w:lang w:val="es-GT" w:eastAsia="en-US"/>
              </w:rPr>
              <w:t>Jilotepeque</w:t>
            </w:r>
          </w:p>
          <w:p w14:paraId="7BB25649" w14:textId="77777777" w:rsidR="00C36261" w:rsidRPr="00A57ABC" w:rsidRDefault="00C36261" w:rsidP="00624091">
            <w:pPr>
              <w:widowControl w:val="0"/>
              <w:jc w:val="center"/>
              <w:rPr>
                <w:rFonts w:eastAsiaTheme="minorHAnsi"/>
                <w:sz w:val="14"/>
                <w:szCs w:val="14"/>
                <w:lang w:val="es-GT" w:eastAsia="en-US"/>
              </w:rPr>
            </w:pPr>
          </w:p>
        </w:tc>
        <w:tc>
          <w:tcPr>
            <w:tcW w:w="716" w:type="pct"/>
            <w:vAlign w:val="center"/>
          </w:tcPr>
          <w:p w14:paraId="03A51613" w14:textId="77777777" w:rsidR="00C36261" w:rsidRPr="00A57ABC" w:rsidRDefault="00C36261" w:rsidP="00624091">
            <w:pPr>
              <w:widowControl w:val="0"/>
              <w:ind w:right="138"/>
              <w:jc w:val="center"/>
              <w:rPr>
                <w:rFonts w:eastAsiaTheme="minorHAnsi"/>
                <w:sz w:val="14"/>
                <w:szCs w:val="14"/>
                <w:lang w:eastAsia="en-US"/>
              </w:rPr>
            </w:pPr>
            <w:r w:rsidRPr="00A57ABC">
              <w:rPr>
                <w:rFonts w:eastAsiaTheme="minorHAnsi"/>
                <w:sz w:val="14"/>
                <w:szCs w:val="14"/>
                <w:lang w:eastAsia="en-US"/>
              </w:rPr>
              <w:t>Chiquimula Y</w:t>
            </w:r>
            <w:r w:rsidRPr="00A57ABC">
              <w:rPr>
                <w:rFonts w:eastAsiaTheme="minorHAnsi"/>
                <w:spacing w:val="-34"/>
                <w:sz w:val="14"/>
                <w:szCs w:val="14"/>
                <w:lang w:eastAsia="en-US"/>
              </w:rPr>
              <w:t xml:space="preserve"> </w:t>
            </w:r>
            <w:r w:rsidRPr="00A57ABC">
              <w:rPr>
                <w:rFonts w:eastAsiaTheme="minorHAnsi"/>
                <w:sz w:val="14"/>
                <w:szCs w:val="14"/>
                <w:lang w:eastAsia="en-US"/>
              </w:rPr>
              <w:t>Jalapa</w:t>
            </w:r>
          </w:p>
        </w:tc>
      </w:tr>
      <w:tr w:rsidR="00C36261" w:rsidRPr="00A57ABC" w14:paraId="71F093D1" w14:textId="77777777" w:rsidTr="005105AC">
        <w:trPr>
          <w:trHeight w:val="171"/>
          <w:jc w:val="center"/>
        </w:trPr>
        <w:tc>
          <w:tcPr>
            <w:tcW w:w="1367" w:type="pct"/>
            <w:vAlign w:val="center"/>
          </w:tcPr>
          <w:p w14:paraId="66937AD7" w14:textId="77777777" w:rsidR="00C36261" w:rsidRPr="00A57ABC" w:rsidRDefault="00C36261" w:rsidP="005105AC">
            <w:pPr>
              <w:widowControl w:val="0"/>
              <w:ind w:left="399" w:right="22" w:hanging="339"/>
              <w:jc w:val="center"/>
              <w:rPr>
                <w:rFonts w:eastAsiaTheme="minorHAnsi"/>
                <w:sz w:val="14"/>
                <w:szCs w:val="14"/>
                <w:lang w:eastAsia="en-US"/>
              </w:rPr>
            </w:pPr>
            <w:r w:rsidRPr="00A57ABC">
              <w:rPr>
                <w:rFonts w:eastAsiaTheme="minorHAnsi"/>
                <w:sz w:val="14"/>
                <w:szCs w:val="14"/>
                <w:lang w:eastAsia="en-US"/>
              </w:rPr>
              <w:t>CANTERA AMBAS</w:t>
            </w:r>
            <w:r w:rsidRPr="00A57ABC">
              <w:rPr>
                <w:rFonts w:eastAsiaTheme="minorHAnsi"/>
                <w:spacing w:val="-34"/>
                <w:sz w:val="14"/>
                <w:szCs w:val="14"/>
                <w:lang w:eastAsia="en-US"/>
              </w:rPr>
              <w:t xml:space="preserve"> </w:t>
            </w:r>
            <w:r w:rsidRPr="00A57ABC">
              <w:rPr>
                <w:rFonts w:eastAsiaTheme="minorHAnsi"/>
                <w:sz w:val="14"/>
                <w:szCs w:val="14"/>
                <w:lang w:eastAsia="en-US"/>
              </w:rPr>
              <w:t>AGUAS</w:t>
            </w:r>
          </w:p>
        </w:tc>
        <w:tc>
          <w:tcPr>
            <w:tcW w:w="613" w:type="pct"/>
            <w:vAlign w:val="center"/>
          </w:tcPr>
          <w:p w14:paraId="1D857A7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22/10/2014</w:t>
            </w:r>
          </w:p>
        </w:tc>
        <w:tc>
          <w:tcPr>
            <w:tcW w:w="625" w:type="pct"/>
            <w:vAlign w:val="center"/>
          </w:tcPr>
          <w:p w14:paraId="58C21BB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22/10/2039</w:t>
            </w:r>
          </w:p>
        </w:tc>
        <w:tc>
          <w:tcPr>
            <w:tcW w:w="306" w:type="pct"/>
            <w:vAlign w:val="center"/>
          </w:tcPr>
          <w:p w14:paraId="1532CAF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06E9F7E" w14:textId="77777777" w:rsidR="00C36261" w:rsidRPr="00A57ABC" w:rsidRDefault="00C36261" w:rsidP="00624091">
            <w:pPr>
              <w:widowControl w:val="0"/>
              <w:ind w:left="33"/>
              <w:jc w:val="center"/>
              <w:rPr>
                <w:rFonts w:eastAsiaTheme="minorHAnsi"/>
                <w:sz w:val="14"/>
                <w:szCs w:val="14"/>
                <w:lang w:eastAsia="en-US"/>
              </w:rPr>
            </w:pPr>
            <w:proofErr w:type="spellStart"/>
            <w:r w:rsidRPr="00A57ABC">
              <w:rPr>
                <w:rFonts w:eastAsiaTheme="minorHAnsi"/>
                <w:sz w:val="14"/>
                <w:szCs w:val="14"/>
                <w:lang w:eastAsia="en-US"/>
              </w:rPr>
              <w:t>filita</w:t>
            </w:r>
            <w:proofErr w:type="spellEnd"/>
            <w:r w:rsidRPr="00A57ABC">
              <w:rPr>
                <w:rFonts w:eastAsiaTheme="minorHAnsi"/>
                <w:spacing w:val="-3"/>
                <w:sz w:val="14"/>
                <w:szCs w:val="14"/>
                <w:lang w:eastAsia="en-US"/>
              </w:rPr>
              <w:t xml:space="preserve"> </w:t>
            </w:r>
          </w:p>
        </w:tc>
        <w:tc>
          <w:tcPr>
            <w:tcW w:w="589" w:type="pct"/>
            <w:vAlign w:val="center"/>
          </w:tcPr>
          <w:p w14:paraId="4EE97B51" w14:textId="77777777" w:rsidR="00C36261" w:rsidRPr="00A57ABC" w:rsidRDefault="00C36261" w:rsidP="00624091">
            <w:pPr>
              <w:widowControl w:val="0"/>
              <w:jc w:val="center"/>
              <w:rPr>
                <w:rFonts w:eastAsiaTheme="minorHAnsi"/>
                <w:sz w:val="14"/>
                <w:szCs w:val="14"/>
                <w:lang w:eastAsia="en-US"/>
              </w:rPr>
            </w:pPr>
          </w:p>
        </w:tc>
        <w:tc>
          <w:tcPr>
            <w:tcW w:w="716" w:type="pct"/>
            <w:vAlign w:val="center"/>
          </w:tcPr>
          <w:p w14:paraId="41ABABF4" w14:textId="57EEAA25" w:rsidR="00C36261" w:rsidRPr="00A57ABC" w:rsidRDefault="00C36261" w:rsidP="00624091">
            <w:pPr>
              <w:widowControl w:val="0"/>
              <w:ind w:left="197"/>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2"/>
                <w:sz w:val="14"/>
                <w:szCs w:val="14"/>
                <w:lang w:eastAsia="en-US"/>
              </w:rPr>
              <w:t xml:space="preserve"> </w:t>
            </w:r>
            <w:r w:rsidR="00624091">
              <w:rPr>
                <w:rFonts w:eastAsiaTheme="minorHAnsi"/>
                <w:sz w:val="14"/>
                <w:szCs w:val="14"/>
                <w:lang w:eastAsia="en-US"/>
              </w:rPr>
              <w:t>P</w:t>
            </w:r>
            <w:r w:rsidRPr="00A57ABC">
              <w:rPr>
                <w:rFonts w:eastAsiaTheme="minorHAnsi"/>
                <w:sz w:val="14"/>
                <w:szCs w:val="14"/>
                <w:lang w:eastAsia="en-US"/>
              </w:rPr>
              <w:t>rogreso</w:t>
            </w:r>
          </w:p>
        </w:tc>
      </w:tr>
      <w:tr w:rsidR="00C36261" w:rsidRPr="00A57ABC" w14:paraId="5E37B757" w14:textId="77777777" w:rsidTr="005105AC">
        <w:trPr>
          <w:trHeight w:val="235"/>
          <w:jc w:val="center"/>
        </w:trPr>
        <w:tc>
          <w:tcPr>
            <w:tcW w:w="1367" w:type="pct"/>
            <w:vAlign w:val="center"/>
          </w:tcPr>
          <w:p w14:paraId="3563B382" w14:textId="77777777" w:rsidR="00C36261" w:rsidRPr="00A57ABC" w:rsidRDefault="00C36261" w:rsidP="005105AC">
            <w:pPr>
              <w:widowControl w:val="0"/>
              <w:ind w:left="22"/>
              <w:jc w:val="center"/>
              <w:rPr>
                <w:rFonts w:eastAsiaTheme="minorHAnsi"/>
                <w:sz w:val="14"/>
                <w:szCs w:val="14"/>
                <w:lang w:eastAsia="en-US"/>
              </w:rPr>
            </w:pPr>
            <w:r w:rsidRPr="00A57ABC">
              <w:rPr>
                <w:rFonts w:eastAsiaTheme="minorHAnsi"/>
                <w:sz w:val="14"/>
                <w:szCs w:val="14"/>
                <w:lang w:eastAsia="en-US"/>
              </w:rPr>
              <w:t>CANTERA BRASIL</w:t>
            </w:r>
          </w:p>
        </w:tc>
        <w:tc>
          <w:tcPr>
            <w:tcW w:w="613" w:type="pct"/>
            <w:vAlign w:val="center"/>
          </w:tcPr>
          <w:p w14:paraId="4CEA625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30/01/2008</w:t>
            </w:r>
          </w:p>
        </w:tc>
        <w:tc>
          <w:tcPr>
            <w:tcW w:w="625" w:type="pct"/>
            <w:vAlign w:val="center"/>
          </w:tcPr>
          <w:p w14:paraId="56CC3EF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29/01/2033</w:t>
            </w:r>
          </w:p>
        </w:tc>
        <w:tc>
          <w:tcPr>
            <w:tcW w:w="306" w:type="pct"/>
            <w:vAlign w:val="center"/>
          </w:tcPr>
          <w:p w14:paraId="7499220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1BBA0F7"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CALIZA</w:t>
            </w:r>
          </w:p>
          <w:p w14:paraId="061AFA94"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MARMOLIZADA</w:t>
            </w:r>
          </w:p>
        </w:tc>
        <w:tc>
          <w:tcPr>
            <w:tcW w:w="589" w:type="pct"/>
            <w:vAlign w:val="center"/>
          </w:tcPr>
          <w:p w14:paraId="540BA0E2"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5D27E2E1" w14:textId="77777777" w:rsidR="00C36261" w:rsidRPr="00A57ABC" w:rsidRDefault="00C36261" w:rsidP="00624091">
            <w:pPr>
              <w:widowControl w:val="0"/>
              <w:ind w:left="231"/>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33A1F9B8" w14:textId="77777777" w:rsidTr="005105AC">
        <w:trPr>
          <w:trHeight w:val="324"/>
          <w:jc w:val="center"/>
        </w:trPr>
        <w:tc>
          <w:tcPr>
            <w:tcW w:w="1367" w:type="pct"/>
            <w:vAlign w:val="center"/>
          </w:tcPr>
          <w:p w14:paraId="1A816A23" w14:textId="77777777" w:rsidR="00C36261" w:rsidRPr="00A57ABC" w:rsidRDefault="00C36261" w:rsidP="005105AC">
            <w:pPr>
              <w:widowControl w:val="0"/>
              <w:ind w:left="341" w:right="282" w:hanging="22"/>
              <w:jc w:val="center"/>
              <w:rPr>
                <w:rFonts w:eastAsiaTheme="minorHAnsi"/>
                <w:sz w:val="14"/>
                <w:szCs w:val="14"/>
                <w:lang w:eastAsia="en-US"/>
              </w:rPr>
            </w:pPr>
            <w:r w:rsidRPr="00A57ABC">
              <w:rPr>
                <w:rFonts w:eastAsiaTheme="minorHAnsi"/>
                <w:sz w:val="14"/>
                <w:szCs w:val="14"/>
                <w:lang w:eastAsia="en-US"/>
              </w:rPr>
              <w:t>CANTERA</w:t>
            </w:r>
            <w:r w:rsidRPr="00A57ABC">
              <w:rPr>
                <w:rFonts w:eastAsiaTheme="minorHAnsi"/>
                <w:spacing w:val="-34"/>
                <w:sz w:val="14"/>
                <w:szCs w:val="14"/>
                <w:lang w:eastAsia="en-US"/>
              </w:rPr>
              <w:t xml:space="preserve"> </w:t>
            </w:r>
            <w:r w:rsidRPr="00A57ABC">
              <w:rPr>
                <w:rFonts w:eastAsiaTheme="minorHAnsi"/>
                <w:sz w:val="14"/>
                <w:szCs w:val="14"/>
                <w:lang w:eastAsia="en-US"/>
              </w:rPr>
              <w:t>CORONA</w:t>
            </w:r>
          </w:p>
        </w:tc>
        <w:tc>
          <w:tcPr>
            <w:tcW w:w="613" w:type="pct"/>
            <w:vAlign w:val="center"/>
          </w:tcPr>
          <w:p w14:paraId="0C186554"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11/05/2004</w:t>
            </w:r>
          </w:p>
        </w:tc>
        <w:tc>
          <w:tcPr>
            <w:tcW w:w="625" w:type="pct"/>
            <w:vAlign w:val="center"/>
          </w:tcPr>
          <w:p w14:paraId="1238653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10/05/2029</w:t>
            </w:r>
          </w:p>
        </w:tc>
        <w:tc>
          <w:tcPr>
            <w:tcW w:w="306" w:type="pct"/>
            <w:vAlign w:val="center"/>
          </w:tcPr>
          <w:p w14:paraId="4C5D49A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5BBA57E"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MARMOL</w:t>
            </w:r>
          </w:p>
        </w:tc>
        <w:tc>
          <w:tcPr>
            <w:tcW w:w="589" w:type="pct"/>
            <w:vAlign w:val="center"/>
          </w:tcPr>
          <w:p w14:paraId="4863277A"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3591C0E6" w14:textId="77777777" w:rsidR="00C36261" w:rsidRPr="00A57ABC" w:rsidRDefault="00C36261" w:rsidP="00624091">
            <w:pPr>
              <w:widowControl w:val="0"/>
              <w:ind w:left="231"/>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3D797A7A" w14:textId="77777777" w:rsidTr="005105AC">
        <w:trPr>
          <w:trHeight w:val="143"/>
          <w:jc w:val="center"/>
        </w:trPr>
        <w:tc>
          <w:tcPr>
            <w:tcW w:w="1367" w:type="pct"/>
            <w:vAlign w:val="center"/>
          </w:tcPr>
          <w:p w14:paraId="5B5C10B9" w14:textId="77777777" w:rsidR="00C36261" w:rsidRPr="00A57ABC" w:rsidRDefault="00C36261" w:rsidP="005105AC">
            <w:pPr>
              <w:widowControl w:val="0"/>
              <w:ind w:left="26"/>
              <w:jc w:val="center"/>
              <w:rPr>
                <w:rFonts w:eastAsiaTheme="minorHAnsi"/>
                <w:sz w:val="14"/>
                <w:szCs w:val="14"/>
                <w:lang w:eastAsia="en-US"/>
              </w:rPr>
            </w:pPr>
            <w:r w:rsidRPr="00A57ABC">
              <w:rPr>
                <w:rFonts w:eastAsiaTheme="minorHAnsi"/>
                <w:sz w:val="14"/>
                <w:szCs w:val="14"/>
                <w:lang w:eastAsia="en-US"/>
              </w:rPr>
              <w:t>MONTE</w:t>
            </w:r>
            <w:r w:rsidRPr="00A57ABC">
              <w:rPr>
                <w:rFonts w:eastAsiaTheme="minorHAnsi"/>
                <w:spacing w:val="-1"/>
                <w:sz w:val="14"/>
                <w:szCs w:val="14"/>
                <w:lang w:eastAsia="en-US"/>
              </w:rPr>
              <w:t xml:space="preserve"> </w:t>
            </w:r>
            <w:r w:rsidRPr="00A57ABC">
              <w:rPr>
                <w:rFonts w:eastAsiaTheme="minorHAnsi"/>
                <w:sz w:val="14"/>
                <w:szCs w:val="14"/>
                <w:lang w:eastAsia="en-US"/>
              </w:rPr>
              <w:t>CRISTO</w:t>
            </w:r>
          </w:p>
        </w:tc>
        <w:tc>
          <w:tcPr>
            <w:tcW w:w="613" w:type="pct"/>
            <w:vAlign w:val="center"/>
          </w:tcPr>
          <w:p w14:paraId="253A4C8E"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14/04/2005</w:t>
            </w:r>
          </w:p>
        </w:tc>
        <w:tc>
          <w:tcPr>
            <w:tcW w:w="625" w:type="pct"/>
            <w:vAlign w:val="center"/>
          </w:tcPr>
          <w:p w14:paraId="7CA77A2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13/04/2030</w:t>
            </w:r>
          </w:p>
        </w:tc>
        <w:tc>
          <w:tcPr>
            <w:tcW w:w="306" w:type="pct"/>
            <w:vAlign w:val="center"/>
          </w:tcPr>
          <w:p w14:paraId="5D62951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AE21B1F" w14:textId="77777777" w:rsidR="00C36261" w:rsidRPr="00A57ABC" w:rsidRDefault="00C36261" w:rsidP="00624091">
            <w:pPr>
              <w:widowControl w:val="0"/>
              <w:ind w:left="122" w:right="70" w:firstLine="285"/>
              <w:jc w:val="center"/>
              <w:rPr>
                <w:rFonts w:eastAsiaTheme="minorHAnsi"/>
                <w:sz w:val="14"/>
                <w:szCs w:val="14"/>
                <w:lang w:eastAsia="en-US"/>
              </w:rPr>
            </w:pPr>
            <w:r w:rsidRPr="00A57ABC">
              <w:rPr>
                <w:rFonts w:eastAsiaTheme="minorHAnsi"/>
                <w:sz w:val="14"/>
                <w:szCs w:val="14"/>
                <w:lang w:eastAsia="en-US"/>
              </w:rPr>
              <w:t>CALIZA</w:t>
            </w:r>
            <w:r w:rsidRPr="00A57ABC">
              <w:rPr>
                <w:rFonts w:eastAsiaTheme="minorHAnsi"/>
                <w:spacing w:val="1"/>
                <w:sz w:val="14"/>
                <w:szCs w:val="14"/>
                <w:lang w:eastAsia="en-US"/>
              </w:rPr>
              <w:t xml:space="preserve"> </w:t>
            </w:r>
            <w:r w:rsidRPr="00A57ABC">
              <w:rPr>
                <w:rFonts w:eastAsiaTheme="minorHAnsi"/>
                <w:sz w:val="14"/>
                <w:szCs w:val="14"/>
                <w:lang w:eastAsia="en-US"/>
              </w:rPr>
              <w:t>MARMOLIZADA</w:t>
            </w:r>
          </w:p>
        </w:tc>
        <w:tc>
          <w:tcPr>
            <w:tcW w:w="589" w:type="pct"/>
            <w:vAlign w:val="center"/>
          </w:tcPr>
          <w:p w14:paraId="542156A1"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4C038105" w14:textId="77777777" w:rsidR="00C36261" w:rsidRPr="00A57ABC" w:rsidRDefault="00C36261" w:rsidP="00624091">
            <w:pPr>
              <w:widowControl w:val="0"/>
              <w:ind w:left="231"/>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075F7E1C" w14:textId="77777777" w:rsidTr="005105AC">
        <w:trPr>
          <w:trHeight w:val="233"/>
          <w:jc w:val="center"/>
        </w:trPr>
        <w:tc>
          <w:tcPr>
            <w:tcW w:w="1367" w:type="pct"/>
            <w:vAlign w:val="center"/>
          </w:tcPr>
          <w:p w14:paraId="0E2BD735" w14:textId="77777777" w:rsidR="00C36261" w:rsidRPr="00A57ABC" w:rsidRDefault="00C36261" w:rsidP="005105AC">
            <w:pPr>
              <w:widowControl w:val="0"/>
              <w:ind w:left="25"/>
              <w:jc w:val="center"/>
              <w:rPr>
                <w:rFonts w:eastAsiaTheme="minorHAnsi"/>
                <w:sz w:val="14"/>
                <w:szCs w:val="14"/>
                <w:lang w:eastAsia="en-US"/>
              </w:rPr>
            </w:pPr>
            <w:r w:rsidRPr="00A57ABC">
              <w:rPr>
                <w:rFonts w:eastAsiaTheme="minorHAnsi"/>
                <w:sz w:val="14"/>
                <w:szCs w:val="14"/>
                <w:lang w:eastAsia="en-US"/>
              </w:rPr>
              <w:t>CERRO</w:t>
            </w:r>
            <w:r w:rsidRPr="00A57ABC">
              <w:rPr>
                <w:rFonts w:eastAsiaTheme="minorHAnsi"/>
                <w:spacing w:val="-1"/>
                <w:sz w:val="14"/>
                <w:szCs w:val="14"/>
                <w:lang w:eastAsia="en-US"/>
              </w:rPr>
              <w:t xml:space="preserve"> </w:t>
            </w:r>
            <w:r w:rsidRPr="00A57ABC">
              <w:rPr>
                <w:rFonts w:eastAsiaTheme="minorHAnsi"/>
                <w:sz w:val="14"/>
                <w:szCs w:val="14"/>
                <w:lang w:eastAsia="en-US"/>
              </w:rPr>
              <w:t>ALTO I</w:t>
            </w:r>
          </w:p>
        </w:tc>
        <w:tc>
          <w:tcPr>
            <w:tcW w:w="613" w:type="pct"/>
            <w:vAlign w:val="center"/>
          </w:tcPr>
          <w:p w14:paraId="6A46ADA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19/06/2004</w:t>
            </w:r>
          </w:p>
        </w:tc>
        <w:tc>
          <w:tcPr>
            <w:tcW w:w="625" w:type="pct"/>
            <w:vAlign w:val="center"/>
          </w:tcPr>
          <w:p w14:paraId="67826687"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18/06/2029</w:t>
            </w:r>
          </w:p>
        </w:tc>
        <w:tc>
          <w:tcPr>
            <w:tcW w:w="306" w:type="pct"/>
            <w:vAlign w:val="center"/>
          </w:tcPr>
          <w:p w14:paraId="0675EBC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4E2C0F3" w14:textId="77777777" w:rsidR="00C36261" w:rsidRPr="00A57ABC" w:rsidRDefault="00C36261" w:rsidP="00624091">
            <w:pPr>
              <w:widowControl w:val="0"/>
              <w:ind w:left="208" w:right="59" w:hanging="106"/>
              <w:jc w:val="center"/>
              <w:rPr>
                <w:rFonts w:eastAsiaTheme="minorHAnsi"/>
                <w:sz w:val="14"/>
                <w:szCs w:val="14"/>
                <w:lang w:eastAsia="en-US"/>
              </w:rPr>
            </w:pPr>
            <w:r w:rsidRPr="00A57ABC">
              <w:rPr>
                <w:rFonts w:eastAsiaTheme="minorHAnsi"/>
                <w:sz w:val="14"/>
                <w:szCs w:val="14"/>
                <w:lang w:eastAsia="en-US"/>
              </w:rPr>
              <w:t>CALIZA Y CALIZA</w:t>
            </w:r>
            <w:r w:rsidRPr="00A57ABC">
              <w:rPr>
                <w:rFonts w:eastAsiaTheme="minorHAnsi"/>
                <w:spacing w:val="-34"/>
                <w:sz w:val="14"/>
                <w:szCs w:val="14"/>
                <w:lang w:eastAsia="en-US"/>
              </w:rPr>
              <w:t xml:space="preserve"> </w:t>
            </w:r>
            <w:r w:rsidRPr="00A57ABC">
              <w:rPr>
                <w:rFonts w:eastAsiaTheme="minorHAnsi"/>
                <w:sz w:val="14"/>
                <w:szCs w:val="14"/>
                <w:lang w:eastAsia="en-US"/>
              </w:rPr>
              <w:t>DOLOMITICA</w:t>
            </w:r>
          </w:p>
        </w:tc>
        <w:tc>
          <w:tcPr>
            <w:tcW w:w="589" w:type="pct"/>
            <w:vAlign w:val="center"/>
          </w:tcPr>
          <w:p w14:paraId="3F60E4D0"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Guastatoya</w:t>
            </w:r>
            <w:proofErr w:type="spellEnd"/>
          </w:p>
        </w:tc>
        <w:tc>
          <w:tcPr>
            <w:tcW w:w="716" w:type="pct"/>
            <w:vAlign w:val="center"/>
          </w:tcPr>
          <w:p w14:paraId="6A6A3426" w14:textId="77777777" w:rsidR="00C36261" w:rsidRPr="00A57ABC" w:rsidRDefault="00C36261" w:rsidP="00624091">
            <w:pPr>
              <w:widowControl w:val="0"/>
              <w:ind w:left="231"/>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087651EE" w14:textId="77777777" w:rsidTr="005105AC">
        <w:trPr>
          <w:trHeight w:val="451"/>
          <w:jc w:val="center"/>
        </w:trPr>
        <w:tc>
          <w:tcPr>
            <w:tcW w:w="1367" w:type="pct"/>
            <w:vAlign w:val="center"/>
          </w:tcPr>
          <w:p w14:paraId="40D3539F" w14:textId="77777777" w:rsidR="00C36261" w:rsidRPr="00A57ABC" w:rsidRDefault="00C36261" w:rsidP="005105AC">
            <w:pPr>
              <w:widowControl w:val="0"/>
              <w:ind w:left="26"/>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CADEJO</w:t>
            </w:r>
          </w:p>
        </w:tc>
        <w:tc>
          <w:tcPr>
            <w:tcW w:w="613" w:type="pct"/>
            <w:vAlign w:val="center"/>
          </w:tcPr>
          <w:p w14:paraId="3E1343BE"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2/10/2014</w:t>
            </w:r>
          </w:p>
        </w:tc>
        <w:tc>
          <w:tcPr>
            <w:tcW w:w="625" w:type="pct"/>
            <w:vAlign w:val="center"/>
          </w:tcPr>
          <w:p w14:paraId="0C2769A7"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2/10/2039</w:t>
            </w:r>
          </w:p>
        </w:tc>
        <w:tc>
          <w:tcPr>
            <w:tcW w:w="306" w:type="pct"/>
            <w:vAlign w:val="center"/>
          </w:tcPr>
          <w:p w14:paraId="0CDC147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20A4C15" w14:textId="77777777" w:rsidR="00C36261" w:rsidRPr="00A57ABC" w:rsidRDefault="00C36261" w:rsidP="00624091">
            <w:pPr>
              <w:widowControl w:val="0"/>
              <w:ind w:left="194" w:firstLine="204"/>
              <w:jc w:val="center"/>
              <w:rPr>
                <w:rFonts w:eastAsiaTheme="minorHAnsi"/>
                <w:sz w:val="14"/>
                <w:szCs w:val="14"/>
                <w:lang w:eastAsia="en-US"/>
              </w:rPr>
            </w:pPr>
            <w:r w:rsidRPr="00A57ABC">
              <w:rPr>
                <w:rFonts w:eastAsiaTheme="minorHAnsi"/>
                <w:sz w:val="14"/>
                <w:szCs w:val="14"/>
                <w:lang w:eastAsia="en-US"/>
              </w:rPr>
              <w:t>CENIZA</w:t>
            </w:r>
          </w:p>
          <w:p w14:paraId="1015B193" w14:textId="77777777" w:rsidR="00C36261" w:rsidRPr="00A57ABC" w:rsidRDefault="00C36261" w:rsidP="00624091">
            <w:pPr>
              <w:widowControl w:val="0"/>
              <w:ind w:left="276" w:right="146" w:hanging="82"/>
              <w:jc w:val="center"/>
              <w:rPr>
                <w:rFonts w:eastAsiaTheme="minorHAnsi"/>
                <w:sz w:val="14"/>
                <w:szCs w:val="14"/>
                <w:lang w:eastAsia="en-US"/>
              </w:rPr>
            </w:pPr>
            <w:r w:rsidRPr="00A57ABC">
              <w:rPr>
                <w:rFonts w:eastAsiaTheme="minorHAnsi"/>
                <w:sz w:val="14"/>
                <w:szCs w:val="14"/>
                <w:lang w:eastAsia="en-US"/>
              </w:rPr>
              <w:t>VOLCANICA Y</w:t>
            </w:r>
            <w:r w:rsidRPr="00A57ABC">
              <w:rPr>
                <w:rFonts w:eastAsiaTheme="minorHAnsi"/>
                <w:spacing w:val="-34"/>
                <w:sz w:val="14"/>
                <w:szCs w:val="14"/>
                <w:lang w:eastAsia="en-US"/>
              </w:rPr>
              <w:t xml:space="preserve"> </w:t>
            </w:r>
            <w:r w:rsidRPr="00A57ABC">
              <w:rPr>
                <w:rFonts w:eastAsiaTheme="minorHAnsi"/>
                <w:sz w:val="14"/>
                <w:szCs w:val="14"/>
                <w:lang w:eastAsia="en-US"/>
              </w:rPr>
              <w:t>EXQUISTES</w:t>
            </w:r>
          </w:p>
        </w:tc>
        <w:tc>
          <w:tcPr>
            <w:tcW w:w="589" w:type="pct"/>
            <w:vAlign w:val="center"/>
          </w:tcPr>
          <w:p w14:paraId="2B4A1644" w14:textId="77777777" w:rsidR="00C36261" w:rsidRPr="00A57ABC" w:rsidRDefault="00C36261" w:rsidP="00624091">
            <w:pPr>
              <w:widowControl w:val="0"/>
              <w:ind w:left="81" w:right="20" w:hanging="15"/>
              <w:jc w:val="center"/>
              <w:rPr>
                <w:rFonts w:eastAsiaTheme="minorHAnsi"/>
                <w:sz w:val="14"/>
                <w:szCs w:val="14"/>
                <w:lang w:val="es-GT" w:eastAsia="en-US"/>
              </w:rPr>
            </w:pPr>
            <w:r w:rsidRPr="00A57ABC">
              <w:rPr>
                <w:rFonts w:eastAsiaTheme="minorHAnsi"/>
                <w:sz w:val="14"/>
                <w:szCs w:val="14"/>
                <w:lang w:val="es-GT" w:eastAsia="en-US"/>
              </w:rPr>
              <w:t>San Antonio La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Paz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Sanarate</w:t>
            </w:r>
          </w:p>
        </w:tc>
        <w:tc>
          <w:tcPr>
            <w:tcW w:w="716" w:type="pct"/>
            <w:vAlign w:val="center"/>
          </w:tcPr>
          <w:p w14:paraId="7574448A" w14:textId="77777777" w:rsidR="00C36261" w:rsidRPr="00A57ABC" w:rsidRDefault="00C36261" w:rsidP="00624091">
            <w:pPr>
              <w:widowControl w:val="0"/>
              <w:ind w:left="231"/>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6199DEE3" w14:textId="77777777" w:rsidTr="005105AC">
        <w:trPr>
          <w:trHeight w:val="231"/>
          <w:jc w:val="center"/>
        </w:trPr>
        <w:tc>
          <w:tcPr>
            <w:tcW w:w="1367" w:type="pct"/>
            <w:vAlign w:val="center"/>
          </w:tcPr>
          <w:p w14:paraId="174EAA58" w14:textId="77777777" w:rsidR="00C36261" w:rsidRPr="00A57ABC" w:rsidRDefault="00C36261" w:rsidP="005105AC">
            <w:pPr>
              <w:widowControl w:val="0"/>
              <w:ind w:left="2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CAULOTE</w:t>
            </w:r>
          </w:p>
        </w:tc>
        <w:tc>
          <w:tcPr>
            <w:tcW w:w="613" w:type="pct"/>
            <w:vAlign w:val="center"/>
          </w:tcPr>
          <w:p w14:paraId="04B2F31A"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5/01/2000</w:t>
            </w:r>
          </w:p>
        </w:tc>
        <w:tc>
          <w:tcPr>
            <w:tcW w:w="625" w:type="pct"/>
            <w:vAlign w:val="center"/>
          </w:tcPr>
          <w:p w14:paraId="033620D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4/01/2025</w:t>
            </w:r>
          </w:p>
        </w:tc>
        <w:tc>
          <w:tcPr>
            <w:tcW w:w="306" w:type="pct"/>
            <w:vAlign w:val="center"/>
          </w:tcPr>
          <w:p w14:paraId="65E496C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C1E9611"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ROCA</w:t>
            </w:r>
            <w:r w:rsidRPr="00A57ABC">
              <w:rPr>
                <w:rFonts w:eastAsiaTheme="minorHAnsi"/>
                <w:spacing w:val="-2"/>
                <w:sz w:val="14"/>
                <w:szCs w:val="14"/>
                <w:lang w:eastAsia="en-US"/>
              </w:rPr>
              <w:t xml:space="preserve"> </w:t>
            </w:r>
            <w:r w:rsidRPr="00A57ABC">
              <w:rPr>
                <w:rFonts w:eastAsiaTheme="minorHAnsi"/>
                <w:sz w:val="14"/>
                <w:szCs w:val="14"/>
                <w:lang w:eastAsia="en-US"/>
              </w:rPr>
              <w:t>CALIZA</w:t>
            </w:r>
          </w:p>
        </w:tc>
        <w:tc>
          <w:tcPr>
            <w:tcW w:w="589" w:type="pct"/>
            <w:vAlign w:val="center"/>
          </w:tcPr>
          <w:p w14:paraId="34E86B8F" w14:textId="77777777" w:rsidR="00C36261" w:rsidRPr="00A57ABC" w:rsidRDefault="00C36261" w:rsidP="00624091">
            <w:pPr>
              <w:widowControl w:val="0"/>
              <w:ind w:left="34" w:right="2"/>
              <w:jc w:val="center"/>
              <w:rPr>
                <w:rFonts w:eastAsiaTheme="minorHAnsi"/>
                <w:sz w:val="14"/>
                <w:szCs w:val="14"/>
                <w:lang w:eastAsia="en-US"/>
              </w:rPr>
            </w:pPr>
            <w:proofErr w:type="spellStart"/>
            <w:r w:rsidRPr="00A57ABC">
              <w:rPr>
                <w:rFonts w:eastAsiaTheme="minorHAnsi"/>
                <w:sz w:val="14"/>
                <w:szCs w:val="14"/>
                <w:lang w:eastAsia="en-US"/>
              </w:rPr>
              <w:t>Guatatoya</w:t>
            </w:r>
            <w:proofErr w:type="spellEnd"/>
          </w:p>
        </w:tc>
        <w:tc>
          <w:tcPr>
            <w:tcW w:w="716" w:type="pct"/>
            <w:vAlign w:val="center"/>
          </w:tcPr>
          <w:p w14:paraId="009EA7D9" w14:textId="77777777" w:rsidR="00C36261" w:rsidRPr="00A57ABC" w:rsidRDefault="00C36261" w:rsidP="00624091">
            <w:pPr>
              <w:widowControl w:val="0"/>
              <w:ind w:left="231"/>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554560ED" w14:textId="77777777" w:rsidTr="005105AC">
        <w:trPr>
          <w:trHeight w:val="307"/>
          <w:jc w:val="center"/>
        </w:trPr>
        <w:tc>
          <w:tcPr>
            <w:tcW w:w="1367" w:type="pct"/>
            <w:vAlign w:val="center"/>
          </w:tcPr>
          <w:p w14:paraId="4502B465" w14:textId="77777777" w:rsidR="00C36261" w:rsidRPr="00A57ABC" w:rsidRDefault="00C36261" w:rsidP="005105AC">
            <w:pPr>
              <w:widowControl w:val="0"/>
              <w:ind w:left="25"/>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MAL</w:t>
            </w:r>
            <w:r w:rsidRPr="00A57ABC">
              <w:rPr>
                <w:rFonts w:eastAsiaTheme="minorHAnsi"/>
                <w:spacing w:val="1"/>
                <w:sz w:val="14"/>
                <w:szCs w:val="14"/>
                <w:lang w:eastAsia="en-US"/>
              </w:rPr>
              <w:t xml:space="preserve"> </w:t>
            </w:r>
            <w:r w:rsidRPr="00A57ABC">
              <w:rPr>
                <w:rFonts w:eastAsiaTheme="minorHAnsi"/>
                <w:sz w:val="14"/>
                <w:szCs w:val="14"/>
                <w:lang w:eastAsia="en-US"/>
              </w:rPr>
              <w:t>PASO I</w:t>
            </w:r>
          </w:p>
        </w:tc>
        <w:tc>
          <w:tcPr>
            <w:tcW w:w="613" w:type="pct"/>
            <w:vAlign w:val="center"/>
          </w:tcPr>
          <w:p w14:paraId="60EDD94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30/11/1999</w:t>
            </w:r>
          </w:p>
        </w:tc>
        <w:tc>
          <w:tcPr>
            <w:tcW w:w="625" w:type="pct"/>
            <w:vAlign w:val="center"/>
          </w:tcPr>
          <w:p w14:paraId="2494737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29/11/2024</w:t>
            </w:r>
          </w:p>
        </w:tc>
        <w:tc>
          <w:tcPr>
            <w:tcW w:w="306" w:type="pct"/>
            <w:vAlign w:val="center"/>
          </w:tcPr>
          <w:p w14:paraId="0C577E2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8EBD70D" w14:textId="77777777" w:rsidR="00C36261" w:rsidRPr="00A57ABC" w:rsidRDefault="00C36261" w:rsidP="00624091">
            <w:pPr>
              <w:widowControl w:val="0"/>
              <w:ind w:left="76" w:right="26" w:hanging="8"/>
              <w:jc w:val="center"/>
              <w:rPr>
                <w:rFonts w:eastAsiaTheme="minorHAnsi"/>
                <w:sz w:val="14"/>
                <w:szCs w:val="14"/>
                <w:lang w:eastAsia="en-US"/>
              </w:rPr>
            </w:pPr>
            <w:proofErr w:type="gramStart"/>
            <w:r w:rsidRPr="00A57ABC">
              <w:rPr>
                <w:rFonts w:eastAsiaTheme="minorHAnsi"/>
                <w:sz w:val="14"/>
                <w:szCs w:val="14"/>
                <w:lang w:eastAsia="en-US"/>
              </w:rPr>
              <w:t>FELDESPATO,VER</w:t>
            </w:r>
            <w:proofErr w:type="gramEnd"/>
            <w:r w:rsidRPr="00A57ABC">
              <w:rPr>
                <w:rFonts w:eastAsiaTheme="minorHAnsi"/>
                <w:spacing w:val="-34"/>
                <w:sz w:val="14"/>
                <w:szCs w:val="14"/>
                <w:lang w:eastAsia="en-US"/>
              </w:rPr>
              <w:t xml:space="preserve"> </w:t>
            </w:r>
            <w:r w:rsidRPr="00A57ABC">
              <w:rPr>
                <w:rFonts w:eastAsiaTheme="minorHAnsi"/>
                <w:sz w:val="14"/>
                <w:szCs w:val="14"/>
                <w:lang w:eastAsia="en-US"/>
              </w:rPr>
              <w:t>MICULITA,TALCO</w:t>
            </w:r>
          </w:p>
        </w:tc>
        <w:tc>
          <w:tcPr>
            <w:tcW w:w="589" w:type="pct"/>
            <w:vAlign w:val="center"/>
          </w:tcPr>
          <w:p w14:paraId="38A856BC" w14:textId="77777777" w:rsidR="00C36261" w:rsidRPr="00A57ABC" w:rsidRDefault="00C36261" w:rsidP="00624091">
            <w:pPr>
              <w:widowControl w:val="0"/>
              <w:ind w:left="57" w:right="12" w:firstLine="76"/>
              <w:jc w:val="center"/>
              <w:rPr>
                <w:rFonts w:eastAsiaTheme="minorHAnsi"/>
                <w:sz w:val="14"/>
                <w:szCs w:val="14"/>
                <w:lang w:eastAsia="en-US"/>
              </w:rPr>
            </w:pPr>
            <w:r w:rsidRPr="00A57ABC">
              <w:rPr>
                <w:rFonts w:eastAsiaTheme="minorHAnsi"/>
                <w:sz w:val="14"/>
                <w:szCs w:val="14"/>
                <w:lang w:eastAsia="en-US"/>
              </w:rPr>
              <w:t>San Agustin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Acasaguastlan</w:t>
            </w:r>
            <w:proofErr w:type="spellEnd"/>
          </w:p>
        </w:tc>
        <w:tc>
          <w:tcPr>
            <w:tcW w:w="716" w:type="pct"/>
            <w:vAlign w:val="center"/>
          </w:tcPr>
          <w:p w14:paraId="1D11F735" w14:textId="77777777" w:rsidR="00C36261" w:rsidRPr="00A57ABC" w:rsidRDefault="00C36261" w:rsidP="00624091">
            <w:pPr>
              <w:widowControl w:val="0"/>
              <w:ind w:left="231"/>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79F8F17C" w14:textId="77777777" w:rsidTr="005105AC">
        <w:trPr>
          <w:trHeight w:val="255"/>
          <w:jc w:val="center"/>
        </w:trPr>
        <w:tc>
          <w:tcPr>
            <w:tcW w:w="1367" w:type="pct"/>
            <w:vAlign w:val="center"/>
          </w:tcPr>
          <w:p w14:paraId="78E563F2" w14:textId="77777777" w:rsidR="00C36261" w:rsidRPr="00A57ABC" w:rsidRDefault="00C36261" w:rsidP="005105AC">
            <w:pPr>
              <w:widowControl w:val="0"/>
              <w:ind w:left="22"/>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PIJUY</w:t>
            </w:r>
          </w:p>
        </w:tc>
        <w:tc>
          <w:tcPr>
            <w:tcW w:w="613" w:type="pct"/>
            <w:vAlign w:val="center"/>
          </w:tcPr>
          <w:p w14:paraId="6E692944"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29/01/2009</w:t>
            </w:r>
          </w:p>
        </w:tc>
        <w:tc>
          <w:tcPr>
            <w:tcW w:w="625" w:type="pct"/>
            <w:vAlign w:val="center"/>
          </w:tcPr>
          <w:p w14:paraId="4ED45421"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28/01/2034</w:t>
            </w:r>
          </w:p>
        </w:tc>
        <w:tc>
          <w:tcPr>
            <w:tcW w:w="306" w:type="pct"/>
            <w:vAlign w:val="center"/>
          </w:tcPr>
          <w:p w14:paraId="66CFF19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27382FF" w14:textId="77777777" w:rsidR="00C36261" w:rsidRPr="00A57ABC" w:rsidRDefault="00C36261" w:rsidP="00624091">
            <w:pPr>
              <w:widowControl w:val="0"/>
              <w:ind w:left="208" w:right="59" w:hanging="106"/>
              <w:jc w:val="center"/>
              <w:rPr>
                <w:rFonts w:eastAsiaTheme="minorHAnsi"/>
                <w:sz w:val="14"/>
                <w:szCs w:val="14"/>
                <w:lang w:eastAsia="en-US"/>
              </w:rPr>
            </w:pPr>
            <w:r w:rsidRPr="00A57ABC">
              <w:rPr>
                <w:rFonts w:eastAsiaTheme="minorHAnsi"/>
                <w:sz w:val="14"/>
                <w:szCs w:val="14"/>
                <w:lang w:eastAsia="en-US"/>
              </w:rPr>
              <w:t>CALIZA Y CALIZA</w:t>
            </w:r>
            <w:r w:rsidRPr="00A57ABC">
              <w:rPr>
                <w:rFonts w:eastAsiaTheme="minorHAnsi"/>
                <w:spacing w:val="-34"/>
                <w:sz w:val="14"/>
                <w:szCs w:val="14"/>
                <w:lang w:eastAsia="en-US"/>
              </w:rPr>
              <w:t xml:space="preserve"> </w:t>
            </w:r>
            <w:r w:rsidRPr="00A57ABC">
              <w:rPr>
                <w:rFonts w:eastAsiaTheme="minorHAnsi"/>
                <w:sz w:val="14"/>
                <w:szCs w:val="14"/>
                <w:lang w:eastAsia="en-US"/>
              </w:rPr>
              <w:t>DOLOMITICA</w:t>
            </w:r>
          </w:p>
        </w:tc>
        <w:tc>
          <w:tcPr>
            <w:tcW w:w="589" w:type="pct"/>
            <w:vAlign w:val="center"/>
          </w:tcPr>
          <w:p w14:paraId="134C7545"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Guastatoya</w:t>
            </w:r>
            <w:proofErr w:type="spellEnd"/>
          </w:p>
        </w:tc>
        <w:tc>
          <w:tcPr>
            <w:tcW w:w="716" w:type="pct"/>
            <w:vAlign w:val="center"/>
          </w:tcPr>
          <w:p w14:paraId="44B54A87" w14:textId="77777777" w:rsidR="00C36261" w:rsidRPr="00A57ABC" w:rsidRDefault="00C36261" w:rsidP="00624091">
            <w:pPr>
              <w:widowControl w:val="0"/>
              <w:ind w:left="231"/>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5A1DEBF0" w14:textId="77777777" w:rsidTr="005105AC">
        <w:trPr>
          <w:trHeight w:val="331"/>
          <w:jc w:val="center"/>
        </w:trPr>
        <w:tc>
          <w:tcPr>
            <w:tcW w:w="1367" w:type="pct"/>
            <w:vAlign w:val="center"/>
          </w:tcPr>
          <w:p w14:paraId="01637658" w14:textId="77777777" w:rsidR="00C36261" w:rsidRPr="00A57ABC" w:rsidRDefault="00C36261" w:rsidP="005105AC">
            <w:pPr>
              <w:widowControl w:val="0"/>
              <w:ind w:right="226"/>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2"/>
                <w:sz w:val="14"/>
                <w:szCs w:val="14"/>
                <w:lang w:eastAsia="en-US"/>
              </w:rPr>
              <w:t xml:space="preserve"> </w:t>
            </w:r>
            <w:r w:rsidRPr="00A57ABC">
              <w:rPr>
                <w:rFonts w:eastAsiaTheme="minorHAnsi"/>
                <w:sz w:val="14"/>
                <w:szCs w:val="14"/>
                <w:lang w:eastAsia="en-US"/>
              </w:rPr>
              <w:t>SALAMO</w:t>
            </w:r>
          </w:p>
        </w:tc>
        <w:tc>
          <w:tcPr>
            <w:tcW w:w="613" w:type="pct"/>
            <w:vAlign w:val="center"/>
          </w:tcPr>
          <w:p w14:paraId="5C7B0C6B"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7/05/2004</w:t>
            </w:r>
          </w:p>
        </w:tc>
        <w:tc>
          <w:tcPr>
            <w:tcW w:w="625" w:type="pct"/>
            <w:vAlign w:val="center"/>
          </w:tcPr>
          <w:p w14:paraId="2A48342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6/05/2029</w:t>
            </w:r>
          </w:p>
        </w:tc>
        <w:tc>
          <w:tcPr>
            <w:tcW w:w="306" w:type="pct"/>
            <w:vAlign w:val="center"/>
          </w:tcPr>
          <w:p w14:paraId="7B23867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CE9A01A" w14:textId="77777777" w:rsidR="00C36261" w:rsidRPr="00A57ABC" w:rsidRDefault="00C36261" w:rsidP="00624091">
            <w:pPr>
              <w:widowControl w:val="0"/>
              <w:ind w:left="122" w:right="70" w:firstLine="285"/>
              <w:jc w:val="center"/>
              <w:rPr>
                <w:rFonts w:eastAsiaTheme="minorHAnsi"/>
                <w:sz w:val="14"/>
                <w:szCs w:val="14"/>
                <w:lang w:eastAsia="en-US"/>
              </w:rPr>
            </w:pPr>
            <w:r w:rsidRPr="00A57ABC">
              <w:rPr>
                <w:rFonts w:eastAsiaTheme="minorHAnsi"/>
                <w:sz w:val="14"/>
                <w:szCs w:val="14"/>
                <w:lang w:eastAsia="en-US"/>
              </w:rPr>
              <w:t>CALIZA</w:t>
            </w:r>
            <w:r w:rsidRPr="00A57ABC">
              <w:rPr>
                <w:rFonts w:eastAsiaTheme="minorHAnsi"/>
                <w:spacing w:val="1"/>
                <w:sz w:val="14"/>
                <w:szCs w:val="14"/>
                <w:lang w:eastAsia="en-US"/>
              </w:rPr>
              <w:t xml:space="preserve"> </w:t>
            </w:r>
            <w:r w:rsidRPr="00A57ABC">
              <w:rPr>
                <w:rFonts w:eastAsiaTheme="minorHAnsi"/>
                <w:sz w:val="14"/>
                <w:szCs w:val="14"/>
                <w:lang w:eastAsia="en-US"/>
              </w:rPr>
              <w:t>MARMOLIZADA</w:t>
            </w:r>
          </w:p>
        </w:tc>
        <w:tc>
          <w:tcPr>
            <w:tcW w:w="589" w:type="pct"/>
            <w:vAlign w:val="center"/>
          </w:tcPr>
          <w:p w14:paraId="794F999F"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191F2011"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11965720" w14:textId="77777777" w:rsidTr="005105AC">
        <w:trPr>
          <w:trHeight w:val="388"/>
          <w:jc w:val="center"/>
        </w:trPr>
        <w:tc>
          <w:tcPr>
            <w:tcW w:w="1367" w:type="pct"/>
            <w:vAlign w:val="center"/>
          </w:tcPr>
          <w:p w14:paraId="6B1C4810" w14:textId="77777777" w:rsidR="00C36261" w:rsidRPr="00A57ABC" w:rsidRDefault="00C36261" w:rsidP="005105AC">
            <w:pPr>
              <w:widowControl w:val="0"/>
              <w:ind w:right="229"/>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SUBINAL</w:t>
            </w:r>
          </w:p>
        </w:tc>
        <w:tc>
          <w:tcPr>
            <w:tcW w:w="613" w:type="pct"/>
            <w:vAlign w:val="center"/>
          </w:tcPr>
          <w:p w14:paraId="671E0F8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28/02/2001</w:t>
            </w:r>
          </w:p>
        </w:tc>
        <w:tc>
          <w:tcPr>
            <w:tcW w:w="625" w:type="pct"/>
            <w:vAlign w:val="center"/>
          </w:tcPr>
          <w:p w14:paraId="5D83A8E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27/02/2026</w:t>
            </w:r>
          </w:p>
        </w:tc>
        <w:tc>
          <w:tcPr>
            <w:tcW w:w="306" w:type="pct"/>
            <w:vAlign w:val="center"/>
          </w:tcPr>
          <w:p w14:paraId="651B8B4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CBBAF2F" w14:textId="77777777" w:rsidR="00C36261" w:rsidRPr="00A57ABC" w:rsidRDefault="00C36261" w:rsidP="00624091">
            <w:pPr>
              <w:widowControl w:val="0"/>
              <w:ind w:left="122" w:right="70" w:firstLine="285"/>
              <w:rPr>
                <w:rFonts w:eastAsiaTheme="minorHAnsi"/>
                <w:sz w:val="14"/>
                <w:szCs w:val="14"/>
                <w:lang w:eastAsia="en-US"/>
              </w:rPr>
            </w:pPr>
            <w:r w:rsidRPr="00A57ABC">
              <w:rPr>
                <w:rFonts w:eastAsiaTheme="minorHAnsi"/>
                <w:sz w:val="14"/>
                <w:szCs w:val="14"/>
                <w:lang w:eastAsia="en-US"/>
              </w:rPr>
              <w:t>CALIZA</w:t>
            </w:r>
            <w:r w:rsidRPr="00A57ABC">
              <w:rPr>
                <w:rFonts w:eastAsiaTheme="minorHAnsi"/>
                <w:spacing w:val="1"/>
                <w:sz w:val="14"/>
                <w:szCs w:val="14"/>
                <w:lang w:eastAsia="en-US"/>
              </w:rPr>
              <w:t xml:space="preserve"> </w:t>
            </w:r>
            <w:r w:rsidRPr="00A57ABC">
              <w:rPr>
                <w:rFonts w:eastAsiaTheme="minorHAnsi"/>
                <w:sz w:val="14"/>
                <w:szCs w:val="14"/>
                <w:lang w:eastAsia="en-US"/>
              </w:rPr>
              <w:t>MARMOLIZADA</w:t>
            </w:r>
          </w:p>
        </w:tc>
        <w:tc>
          <w:tcPr>
            <w:tcW w:w="589" w:type="pct"/>
            <w:vAlign w:val="center"/>
          </w:tcPr>
          <w:p w14:paraId="697A3398"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Guastatoya</w:t>
            </w:r>
            <w:proofErr w:type="spellEnd"/>
          </w:p>
        </w:tc>
        <w:tc>
          <w:tcPr>
            <w:tcW w:w="716" w:type="pct"/>
            <w:vAlign w:val="center"/>
          </w:tcPr>
          <w:p w14:paraId="575FCF08"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29AB5987" w14:textId="77777777" w:rsidTr="005105AC">
        <w:trPr>
          <w:trHeight w:val="811"/>
          <w:jc w:val="center"/>
        </w:trPr>
        <w:tc>
          <w:tcPr>
            <w:tcW w:w="1367" w:type="pct"/>
            <w:vAlign w:val="center"/>
          </w:tcPr>
          <w:p w14:paraId="4F992BB5" w14:textId="77777777" w:rsidR="00C36261" w:rsidRPr="00A57ABC" w:rsidRDefault="00C36261" w:rsidP="00624091">
            <w:pPr>
              <w:widowControl w:val="0"/>
              <w:ind w:left="65" w:right="38" w:firstLine="2"/>
              <w:jc w:val="center"/>
              <w:rPr>
                <w:rFonts w:eastAsiaTheme="minorHAnsi"/>
                <w:sz w:val="14"/>
                <w:szCs w:val="14"/>
                <w:lang w:val="es-GT" w:eastAsia="en-US"/>
              </w:rPr>
            </w:pPr>
            <w:r w:rsidRPr="00A57ABC">
              <w:rPr>
                <w:rFonts w:eastAsiaTheme="minorHAnsi"/>
                <w:sz w:val="14"/>
                <w:szCs w:val="14"/>
                <w:lang w:val="es-GT" w:eastAsia="en-US"/>
              </w:rPr>
              <w:t>EXPLOTACION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ARTESANAL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YACIMIENTOS DE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JADE, CUARZO,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SERPENTINA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TODO TIPO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MINERALES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METALICOS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NO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METALICOS</w:t>
            </w:r>
          </w:p>
        </w:tc>
        <w:tc>
          <w:tcPr>
            <w:tcW w:w="613" w:type="pct"/>
            <w:vAlign w:val="center"/>
          </w:tcPr>
          <w:p w14:paraId="1A8A1916"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6/01/2015</w:t>
            </w:r>
          </w:p>
        </w:tc>
        <w:tc>
          <w:tcPr>
            <w:tcW w:w="625" w:type="pct"/>
            <w:vAlign w:val="center"/>
          </w:tcPr>
          <w:p w14:paraId="0F24081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5/01/2040</w:t>
            </w:r>
          </w:p>
        </w:tc>
        <w:tc>
          <w:tcPr>
            <w:tcW w:w="306" w:type="pct"/>
            <w:vAlign w:val="center"/>
          </w:tcPr>
          <w:p w14:paraId="770030B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8EFBD3D" w14:textId="77777777" w:rsidR="00C36261" w:rsidRPr="00A57ABC" w:rsidRDefault="00C36261" w:rsidP="00624091">
            <w:pPr>
              <w:widowControl w:val="0"/>
              <w:ind w:left="223" w:right="56" w:hanging="120"/>
              <w:rPr>
                <w:rFonts w:eastAsiaTheme="minorHAnsi"/>
                <w:sz w:val="14"/>
                <w:szCs w:val="14"/>
                <w:lang w:eastAsia="en-US"/>
              </w:rPr>
            </w:pPr>
            <w:r w:rsidRPr="00A57ABC">
              <w:rPr>
                <w:rFonts w:eastAsiaTheme="minorHAnsi"/>
                <w:sz w:val="14"/>
                <w:szCs w:val="14"/>
                <w:lang w:eastAsia="en-US"/>
              </w:rPr>
              <w:t>JADE, CUARZO Y</w:t>
            </w:r>
            <w:r w:rsidRPr="00A57ABC">
              <w:rPr>
                <w:rFonts w:eastAsiaTheme="minorHAnsi"/>
                <w:spacing w:val="-34"/>
                <w:sz w:val="14"/>
                <w:szCs w:val="14"/>
                <w:lang w:eastAsia="en-US"/>
              </w:rPr>
              <w:t xml:space="preserve"> </w:t>
            </w:r>
            <w:r w:rsidRPr="00A57ABC">
              <w:rPr>
                <w:rFonts w:eastAsiaTheme="minorHAnsi"/>
                <w:sz w:val="14"/>
                <w:szCs w:val="14"/>
                <w:lang w:eastAsia="en-US"/>
              </w:rPr>
              <w:t>SERPENTINA</w:t>
            </w:r>
          </w:p>
        </w:tc>
        <w:tc>
          <w:tcPr>
            <w:tcW w:w="589" w:type="pct"/>
            <w:vAlign w:val="center"/>
          </w:tcPr>
          <w:p w14:paraId="0F79254C"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0C260570"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028353FF" w14:textId="77777777" w:rsidTr="005105AC">
        <w:trPr>
          <w:trHeight w:val="50"/>
          <w:jc w:val="center"/>
        </w:trPr>
        <w:tc>
          <w:tcPr>
            <w:tcW w:w="1367" w:type="pct"/>
            <w:vAlign w:val="center"/>
          </w:tcPr>
          <w:p w14:paraId="2D966098" w14:textId="77777777" w:rsidR="00C36261" w:rsidRPr="00A57ABC" w:rsidRDefault="00C36261" w:rsidP="00624091">
            <w:pPr>
              <w:widowControl w:val="0"/>
              <w:ind w:left="106" w:right="22" w:hanging="46"/>
              <w:rPr>
                <w:rFonts w:eastAsiaTheme="minorHAnsi"/>
                <w:sz w:val="14"/>
                <w:szCs w:val="14"/>
                <w:lang w:eastAsia="en-US"/>
              </w:rPr>
            </w:pPr>
            <w:r w:rsidRPr="00A57ABC">
              <w:rPr>
                <w:rFonts w:eastAsiaTheme="minorHAnsi"/>
                <w:sz w:val="14"/>
                <w:szCs w:val="14"/>
                <w:lang w:eastAsia="en-US"/>
              </w:rPr>
              <w:t>EXPLOTACION DE</w:t>
            </w:r>
            <w:r w:rsidRPr="00A57ABC">
              <w:rPr>
                <w:rFonts w:eastAsiaTheme="minorHAnsi"/>
                <w:spacing w:val="-34"/>
                <w:sz w:val="14"/>
                <w:szCs w:val="14"/>
                <w:lang w:eastAsia="en-US"/>
              </w:rPr>
              <w:t xml:space="preserve"> </w:t>
            </w:r>
            <w:r w:rsidRPr="00A57ABC">
              <w:rPr>
                <w:rFonts w:eastAsiaTheme="minorHAnsi"/>
                <w:sz w:val="14"/>
                <w:szCs w:val="14"/>
                <w:lang w:eastAsia="en-US"/>
              </w:rPr>
              <w:t>FILITA</w:t>
            </w:r>
            <w:r w:rsidRPr="00A57ABC">
              <w:rPr>
                <w:rFonts w:eastAsiaTheme="minorHAnsi"/>
                <w:spacing w:val="1"/>
                <w:sz w:val="14"/>
                <w:szCs w:val="14"/>
                <w:lang w:eastAsia="en-US"/>
              </w:rPr>
              <w:t xml:space="preserve"> </w:t>
            </w:r>
            <w:r w:rsidRPr="00A57ABC">
              <w:rPr>
                <w:rFonts w:eastAsiaTheme="minorHAnsi"/>
                <w:sz w:val="14"/>
                <w:szCs w:val="14"/>
                <w:lang w:eastAsia="en-US"/>
              </w:rPr>
              <w:lastRenderedPageBreak/>
              <w:t>SAMARIA</w:t>
            </w:r>
          </w:p>
        </w:tc>
        <w:tc>
          <w:tcPr>
            <w:tcW w:w="613" w:type="pct"/>
            <w:vAlign w:val="center"/>
          </w:tcPr>
          <w:p w14:paraId="2C9C3EE1"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lastRenderedPageBreak/>
              <w:t>14/01/1999</w:t>
            </w:r>
          </w:p>
        </w:tc>
        <w:tc>
          <w:tcPr>
            <w:tcW w:w="625" w:type="pct"/>
            <w:vAlign w:val="center"/>
          </w:tcPr>
          <w:p w14:paraId="04153C53"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13/01/2024</w:t>
            </w:r>
          </w:p>
        </w:tc>
        <w:tc>
          <w:tcPr>
            <w:tcW w:w="306" w:type="pct"/>
            <w:vAlign w:val="center"/>
          </w:tcPr>
          <w:p w14:paraId="553447D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 xml:space="preserve">25 </w:t>
            </w:r>
            <w:r w:rsidRPr="00A57ABC">
              <w:rPr>
                <w:rFonts w:eastAsiaTheme="minorHAnsi"/>
                <w:sz w:val="14"/>
                <w:szCs w:val="14"/>
                <w:lang w:eastAsia="en-US"/>
              </w:rPr>
              <w:lastRenderedPageBreak/>
              <w:t>AÑOS</w:t>
            </w:r>
          </w:p>
        </w:tc>
        <w:tc>
          <w:tcPr>
            <w:tcW w:w="784" w:type="pct"/>
            <w:vAlign w:val="center"/>
          </w:tcPr>
          <w:p w14:paraId="4447FD17" w14:textId="77777777" w:rsidR="00C36261" w:rsidRPr="00A57ABC" w:rsidRDefault="00C36261" w:rsidP="00624091">
            <w:pPr>
              <w:widowControl w:val="0"/>
              <w:ind w:left="31"/>
              <w:jc w:val="center"/>
              <w:rPr>
                <w:rFonts w:eastAsiaTheme="minorHAnsi"/>
                <w:sz w:val="14"/>
                <w:szCs w:val="14"/>
                <w:lang w:eastAsia="en-US"/>
              </w:rPr>
            </w:pPr>
            <w:r w:rsidRPr="00A57ABC">
              <w:rPr>
                <w:rFonts w:eastAsiaTheme="minorHAnsi"/>
                <w:sz w:val="14"/>
                <w:szCs w:val="14"/>
                <w:lang w:eastAsia="en-US"/>
              </w:rPr>
              <w:lastRenderedPageBreak/>
              <w:t>FILITA</w:t>
            </w:r>
          </w:p>
        </w:tc>
        <w:tc>
          <w:tcPr>
            <w:tcW w:w="589" w:type="pct"/>
            <w:vAlign w:val="center"/>
          </w:tcPr>
          <w:p w14:paraId="18C54070" w14:textId="77777777" w:rsidR="00C36261" w:rsidRPr="00A57ABC" w:rsidRDefault="00C36261" w:rsidP="00624091">
            <w:pPr>
              <w:widowControl w:val="0"/>
              <w:ind w:left="57" w:right="12" w:firstLine="127"/>
              <w:jc w:val="center"/>
              <w:rPr>
                <w:rFonts w:eastAsiaTheme="minorHAnsi"/>
                <w:sz w:val="14"/>
                <w:szCs w:val="14"/>
                <w:lang w:eastAsia="en-US"/>
              </w:rPr>
            </w:pPr>
            <w:r w:rsidRPr="00A57ABC">
              <w:rPr>
                <w:rFonts w:eastAsiaTheme="minorHAnsi"/>
                <w:sz w:val="14"/>
                <w:szCs w:val="14"/>
                <w:lang w:eastAsia="en-US"/>
              </w:rPr>
              <w:t>San Agustin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lastRenderedPageBreak/>
              <w:t>Acasaguastlan</w:t>
            </w:r>
            <w:proofErr w:type="spellEnd"/>
          </w:p>
        </w:tc>
        <w:tc>
          <w:tcPr>
            <w:tcW w:w="716" w:type="pct"/>
            <w:vAlign w:val="center"/>
          </w:tcPr>
          <w:p w14:paraId="288146BC"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lastRenderedPageBreak/>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648A1E5A" w14:textId="77777777" w:rsidTr="005105AC">
        <w:trPr>
          <w:trHeight w:val="346"/>
          <w:jc w:val="center"/>
        </w:trPr>
        <w:tc>
          <w:tcPr>
            <w:tcW w:w="1367" w:type="pct"/>
            <w:vAlign w:val="center"/>
          </w:tcPr>
          <w:p w14:paraId="033A0BDF" w14:textId="77777777" w:rsidR="00C36261" w:rsidRPr="00A57ABC" w:rsidRDefault="00C36261" w:rsidP="00624091">
            <w:pPr>
              <w:widowControl w:val="0"/>
              <w:ind w:left="26"/>
              <w:jc w:val="center"/>
              <w:rPr>
                <w:rFonts w:eastAsiaTheme="minorHAnsi"/>
                <w:sz w:val="14"/>
                <w:szCs w:val="14"/>
                <w:lang w:val="es-GT" w:eastAsia="en-US"/>
              </w:rPr>
            </w:pPr>
            <w:r w:rsidRPr="00A57ABC">
              <w:rPr>
                <w:rFonts w:eastAsiaTheme="minorHAnsi"/>
                <w:sz w:val="14"/>
                <w:szCs w:val="14"/>
                <w:lang w:val="es-GT" w:eastAsia="en-US"/>
              </w:rPr>
              <w:t>EXPLOTACION DE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MINERALES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CANTERA LOS</w:t>
            </w:r>
          </w:p>
          <w:p w14:paraId="64E62043" w14:textId="77777777" w:rsidR="00C36261" w:rsidRPr="00A57ABC" w:rsidRDefault="00C36261" w:rsidP="00624091">
            <w:pPr>
              <w:widowControl w:val="0"/>
              <w:ind w:left="27"/>
              <w:jc w:val="center"/>
              <w:rPr>
                <w:rFonts w:eastAsiaTheme="minorHAnsi"/>
                <w:sz w:val="14"/>
                <w:szCs w:val="14"/>
                <w:lang w:val="es-GT" w:eastAsia="en-US"/>
              </w:rPr>
            </w:pPr>
            <w:r w:rsidRPr="00A57ABC">
              <w:rPr>
                <w:rFonts w:eastAsiaTheme="minorHAnsi"/>
                <w:sz w:val="14"/>
                <w:szCs w:val="14"/>
                <w:lang w:val="es-GT" w:eastAsia="en-US"/>
              </w:rPr>
              <w:t>MENDEZ</w:t>
            </w:r>
          </w:p>
        </w:tc>
        <w:tc>
          <w:tcPr>
            <w:tcW w:w="613" w:type="pct"/>
            <w:vAlign w:val="center"/>
          </w:tcPr>
          <w:p w14:paraId="6B70884B" w14:textId="77777777" w:rsidR="00C36261" w:rsidRPr="00A57ABC" w:rsidRDefault="00C36261" w:rsidP="00624091">
            <w:pPr>
              <w:widowControl w:val="0"/>
              <w:rPr>
                <w:rFonts w:eastAsiaTheme="minorHAnsi"/>
                <w:b/>
                <w:sz w:val="14"/>
                <w:szCs w:val="14"/>
                <w:lang w:val="es-GT" w:eastAsia="en-US"/>
              </w:rPr>
            </w:pPr>
          </w:p>
          <w:p w14:paraId="57299543"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1/04/2008</w:t>
            </w:r>
          </w:p>
        </w:tc>
        <w:tc>
          <w:tcPr>
            <w:tcW w:w="625" w:type="pct"/>
            <w:vAlign w:val="center"/>
          </w:tcPr>
          <w:p w14:paraId="71501A75" w14:textId="77777777" w:rsidR="00C36261" w:rsidRPr="00A57ABC" w:rsidRDefault="00C36261" w:rsidP="00624091">
            <w:pPr>
              <w:widowControl w:val="0"/>
              <w:rPr>
                <w:rFonts w:eastAsiaTheme="minorHAnsi"/>
                <w:b/>
                <w:sz w:val="14"/>
                <w:szCs w:val="14"/>
                <w:lang w:eastAsia="en-US"/>
              </w:rPr>
            </w:pPr>
          </w:p>
          <w:p w14:paraId="2913E2A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31/03/2033</w:t>
            </w:r>
          </w:p>
        </w:tc>
        <w:tc>
          <w:tcPr>
            <w:tcW w:w="306" w:type="pct"/>
            <w:vAlign w:val="center"/>
          </w:tcPr>
          <w:p w14:paraId="7AEB0D16" w14:textId="77777777" w:rsidR="00C36261" w:rsidRPr="00A57ABC" w:rsidRDefault="00C36261" w:rsidP="00624091">
            <w:pPr>
              <w:widowControl w:val="0"/>
              <w:rPr>
                <w:rFonts w:eastAsiaTheme="minorHAnsi"/>
                <w:b/>
                <w:sz w:val="14"/>
                <w:szCs w:val="14"/>
                <w:lang w:eastAsia="en-US"/>
              </w:rPr>
            </w:pPr>
          </w:p>
          <w:p w14:paraId="2661FED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879CBFB" w14:textId="77777777" w:rsidR="00C36261" w:rsidRPr="00A57ABC" w:rsidRDefault="00C36261" w:rsidP="00624091">
            <w:pPr>
              <w:widowControl w:val="0"/>
              <w:rPr>
                <w:rFonts w:eastAsiaTheme="minorHAnsi"/>
                <w:b/>
                <w:sz w:val="14"/>
                <w:szCs w:val="14"/>
                <w:lang w:eastAsia="en-US"/>
              </w:rPr>
            </w:pPr>
          </w:p>
          <w:p w14:paraId="1393222B"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TALCO</w:t>
            </w:r>
          </w:p>
        </w:tc>
        <w:tc>
          <w:tcPr>
            <w:tcW w:w="589" w:type="pct"/>
            <w:vAlign w:val="center"/>
          </w:tcPr>
          <w:p w14:paraId="0E929820" w14:textId="77777777" w:rsidR="00C36261" w:rsidRPr="00A57ABC" w:rsidRDefault="00C36261" w:rsidP="00624091">
            <w:pPr>
              <w:widowControl w:val="0"/>
              <w:jc w:val="center"/>
              <w:rPr>
                <w:rFonts w:eastAsiaTheme="minorHAnsi"/>
                <w:b/>
                <w:sz w:val="14"/>
                <w:szCs w:val="14"/>
                <w:lang w:eastAsia="en-US"/>
              </w:rPr>
            </w:pPr>
          </w:p>
          <w:p w14:paraId="28E2C890"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1F34F3FD" w14:textId="77777777" w:rsidR="00C36261" w:rsidRPr="00A57ABC" w:rsidRDefault="00C36261" w:rsidP="00624091">
            <w:pPr>
              <w:widowControl w:val="0"/>
              <w:jc w:val="center"/>
              <w:rPr>
                <w:rFonts w:eastAsiaTheme="minorHAnsi"/>
                <w:b/>
                <w:sz w:val="14"/>
                <w:szCs w:val="14"/>
                <w:lang w:eastAsia="en-US"/>
              </w:rPr>
            </w:pPr>
          </w:p>
          <w:p w14:paraId="4D80E2D0"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4BF60A1C" w14:textId="77777777" w:rsidTr="005105AC">
        <w:trPr>
          <w:trHeight w:val="268"/>
          <w:jc w:val="center"/>
        </w:trPr>
        <w:tc>
          <w:tcPr>
            <w:tcW w:w="1367" w:type="pct"/>
            <w:vAlign w:val="center"/>
          </w:tcPr>
          <w:p w14:paraId="28757547" w14:textId="77777777" w:rsidR="00C36261" w:rsidRPr="00A57ABC" w:rsidRDefault="00C36261" w:rsidP="00624091">
            <w:pPr>
              <w:widowControl w:val="0"/>
              <w:ind w:left="166" w:right="141"/>
              <w:jc w:val="center"/>
              <w:rPr>
                <w:rFonts w:eastAsiaTheme="minorHAnsi"/>
                <w:sz w:val="14"/>
                <w:szCs w:val="14"/>
                <w:lang w:eastAsia="en-US"/>
              </w:rPr>
            </w:pPr>
            <w:r w:rsidRPr="00A57ABC">
              <w:rPr>
                <w:rFonts w:eastAsiaTheme="minorHAnsi"/>
                <w:sz w:val="14"/>
                <w:szCs w:val="14"/>
                <w:lang w:eastAsia="en-US"/>
              </w:rPr>
              <w:t>EXPLOTACION</w:t>
            </w:r>
            <w:r w:rsidRPr="00A57ABC">
              <w:rPr>
                <w:rFonts w:eastAsiaTheme="minorHAnsi"/>
                <w:spacing w:val="-34"/>
                <w:sz w:val="14"/>
                <w:szCs w:val="14"/>
                <w:lang w:eastAsia="en-US"/>
              </w:rPr>
              <w:t xml:space="preserve"> </w:t>
            </w:r>
            <w:r w:rsidRPr="00A57ABC">
              <w:rPr>
                <w:rFonts w:eastAsiaTheme="minorHAnsi"/>
                <w:sz w:val="14"/>
                <w:szCs w:val="14"/>
                <w:lang w:eastAsia="en-US"/>
              </w:rPr>
              <w:t>MINERA</w:t>
            </w:r>
            <w:r w:rsidRPr="00A57ABC">
              <w:rPr>
                <w:rFonts w:eastAsiaTheme="minorHAnsi"/>
                <w:spacing w:val="1"/>
                <w:sz w:val="14"/>
                <w:szCs w:val="14"/>
                <w:lang w:eastAsia="en-US"/>
              </w:rPr>
              <w:t xml:space="preserve"> </w:t>
            </w:r>
            <w:r w:rsidRPr="00A57ABC">
              <w:rPr>
                <w:rFonts w:eastAsiaTheme="minorHAnsi"/>
                <w:sz w:val="14"/>
                <w:szCs w:val="14"/>
                <w:lang w:eastAsia="en-US"/>
              </w:rPr>
              <w:t>SABANETAS</w:t>
            </w:r>
          </w:p>
        </w:tc>
        <w:tc>
          <w:tcPr>
            <w:tcW w:w="613" w:type="pct"/>
            <w:vAlign w:val="center"/>
          </w:tcPr>
          <w:p w14:paraId="334E9B9F" w14:textId="77777777" w:rsidR="00C36261" w:rsidRPr="00A57ABC" w:rsidRDefault="00C36261" w:rsidP="00624091">
            <w:pPr>
              <w:widowControl w:val="0"/>
              <w:rPr>
                <w:rFonts w:eastAsiaTheme="minorHAnsi"/>
                <w:b/>
                <w:sz w:val="14"/>
                <w:szCs w:val="14"/>
                <w:lang w:eastAsia="en-US"/>
              </w:rPr>
            </w:pPr>
          </w:p>
          <w:p w14:paraId="69B502AB"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25/07/2012</w:t>
            </w:r>
          </w:p>
        </w:tc>
        <w:tc>
          <w:tcPr>
            <w:tcW w:w="625" w:type="pct"/>
            <w:vAlign w:val="center"/>
          </w:tcPr>
          <w:p w14:paraId="509A14EE" w14:textId="77777777" w:rsidR="00C36261" w:rsidRPr="00A57ABC" w:rsidRDefault="00C36261" w:rsidP="00624091">
            <w:pPr>
              <w:widowControl w:val="0"/>
              <w:rPr>
                <w:rFonts w:eastAsiaTheme="minorHAnsi"/>
                <w:b/>
                <w:sz w:val="14"/>
                <w:szCs w:val="14"/>
                <w:lang w:eastAsia="en-US"/>
              </w:rPr>
            </w:pPr>
          </w:p>
          <w:p w14:paraId="4221DB0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24/07/2037</w:t>
            </w:r>
          </w:p>
        </w:tc>
        <w:tc>
          <w:tcPr>
            <w:tcW w:w="306" w:type="pct"/>
            <w:vAlign w:val="center"/>
          </w:tcPr>
          <w:p w14:paraId="714F9FC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225AE40"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CALIZA</w:t>
            </w:r>
          </w:p>
        </w:tc>
        <w:tc>
          <w:tcPr>
            <w:tcW w:w="589" w:type="pct"/>
            <w:vAlign w:val="center"/>
          </w:tcPr>
          <w:p w14:paraId="0CE06080" w14:textId="77777777" w:rsidR="00C36261" w:rsidRPr="00A57ABC" w:rsidRDefault="00C36261" w:rsidP="00624091">
            <w:pPr>
              <w:widowControl w:val="0"/>
              <w:ind w:left="33" w:right="2"/>
              <w:jc w:val="center"/>
              <w:rPr>
                <w:rFonts w:eastAsiaTheme="minorHAnsi"/>
                <w:sz w:val="14"/>
                <w:szCs w:val="14"/>
                <w:lang w:eastAsia="en-US"/>
              </w:rPr>
            </w:pPr>
            <w:proofErr w:type="spellStart"/>
            <w:r w:rsidRPr="00A57ABC">
              <w:rPr>
                <w:rFonts w:eastAsiaTheme="minorHAnsi"/>
                <w:sz w:val="14"/>
                <w:szCs w:val="14"/>
                <w:lang w:eastAsia="en-US"/>
              </w:rPr>
              <w:t>Sanarate</w:t>
            </w:r>
            <w:proofErr w:type="spellEnd"/>
          </w:p>
        </w:tc>
        <w:tc>
          <w:tcPr>
            <w:tcW w:w="716" w:type="pct"/>
            <w:vAlign w:val="center"/>
          </w:tcPr>
          <w:p w14:paraId="2B7894ED"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47E23D8A" w14:textId="77777777" w:rsidTr="005105AC">
        <w:trPr>
          <w:trHeight w:val="202"/>
          <w:jc w:val="center"/>
        </w:trPr>
        <w:tc>
          <w:tcPr>
            <w:tcW w:w="1367" w:type="pct"/>
            <w:vAlign w:val="center"/>
          </w:tcPr>
          <w:p w14:paraId="37BBD915"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FERMICA</w:t>
            </w:r>
          </w:p>
        </w:tc>
        <w:tc>
          <w:tcPr>
            <w:tcW w:w="613" w:type="pct"/>
            <w:vAlign w:val="center"/>
          </w:tcPr>
          <w:p w14:paraId="26220C4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18/07/2006</w:t>
            </w:r>
          </w:p>
        </w:tc>
        <w:tc>
          <w:tcPr>
            <w:tcW w:w="625" w:type="pct"/>
            <w:vAlign w:val="center"/>
          </w:tcPr>
          <w:p w14:paraId="1058A79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17/07/2031</w:t>
            </w:r>
          </w:p>
        </w:tc>
        <w:tc>
          <w:tcPr>
            <w:tcW w:w="306" w:type="pct"/>
            <w:vAlign w:val="center"/>
          </w:tcPr>
          <w:p w14:paraId="79833FA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9F672D4"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CALIZA</w:t>
            </w:r>
          </w:p>
        </w:tc>
        <w:tc>
          <w:tcPr>
            <w:tcW w:w="589" w:type="pct"/>
            <w:vAlign w:val="center"/>
          </w:tcPr>
          <w:p w14:paraId="4E831415" w14:textId="77777777" w:rsidR="00C36261" w:rsidRPr="00A57ABC" w:rsidRDefault="00C36261" w:rsidP="00624091">
            <w:pPr>
              <w:widowControl w:val="0"/>
              <w:ind w:left="33" w:right="2"/>
              <w:jc w:val="center"/>
              <w:rPr>
                <w:rFonts w:eastAsiaTheme="minorHAnsi"/>
                <w:sz w:val="14"/>
                <w:szCs w:val="14"/>
                <w:lang w:eastAsia="en-US"/>
              </w:rPr>
            </w:pPr>
            <w:proofErr w:type="spellStart"/>
            <w:r w:rsidRPr="00A57ABC">
              <w:rPr>
                <w:rFonts w:eastAsiaTheme="minorHAnsi"/>
                <w:sz w:val="14"/>
                <w:szCs w:val="14"/>
                <w:lang w:eastAsia="en-US"/>
              </w:rPr>
              <w:t>Sanarate</w:t>
            </w:r>
            <w:proofErr w:type="spellEnd"/>
          </w:p>
        </w:tc>
        <w:tc>
          <w:tcPr>
            <w:tcW w:w="716" w:type="pct"/>
            <w:vAlign w:val="center"/>
          </w:tcPr>
          <w:p w14:paraId="2515942D"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3D896BED" w14:textId="77777777" w:rsidTr="005105AC">
        <w:trPr>
          <w:trHeight w:val="292"/>
          <w:jc w:val="center"/>
        </w:trPr>
        <w:tc>
          <w:tcPr>
            <w:tcW w:w="1367" w:type="pct"/>
            <w:vAlign w:val="center"/>
          </w:tcPr>
          <w:p w14:paraId="6DEF3147"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GRAN</w:t>
            </w:r>
            <w:r w:rsidRPr="00A57ABC">
              <w:rPr>
                <w:rFonts w:eastAsiaTheme="minorHAnsi"/>
                <w:spacing w:val="-1"/>
                <w:sz w:val="14"/>
                <w:szCs w:val="14"/>
                <w:lang w:eastAsia="en-US"/>
              </w:rPr>
              <w:t xml:space="preserve"> </w:t>
            </w:r>
            <w:r w:rsidRPr="00A57ABC">
              <w:rPr>
                <w:rFonts w:eastAsiaTheme="minorHAnsi"/>
                <w:sz w:val="14"/>
                <w:szCs w:val="14"/>
                <w:lang w:eastAsia="en-US"/>
              </w:rPr>
              <w:t>COSTA I</w:t>
            </w:r>
          </w:p>
        </w:tc>
        <w:tc>
          <w:tcPr>
            <w:tcW w:w="613" w:type="pct"/>
            <w:vAlign w:val="center"/>
          </w:tcPr>
          <w:p w14:paraId="6A40CC0A"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8/09/2015</w:t>
            </w:r>
          </w:p>
        </w:tc>
        <w:tc>
          <w:tcPr>
            <w:tcW w:w="625" w:type="pct"/>
            <w:vAlign w:val="center"/>
          </w:tcPr>
          <w:p w14:paraId="0AE473A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7/09/2040</w:t>
            </w:r>
          </w:p>
        </w:tc>
        <w:tc>
          <w:tcPr>
            <w:tcW w:w="306" w:type="pct"/>
            <w:vAlign w:val="center"/>
          </w:tcPr>
          <w:p w14:paraId="1814F2A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6AE6CA6" w14:textId="77777777" w:rsidR="00C36261" w:rsidRPr="00A57ABC" w:rsidRDefault="00C36261" w:rsidP="00624091">
            <w:pPr>
              <w:widowControl w:val="0"/>
              <w:ind w:left="362" w:right="258" w:hanging="58"/>
              <w:rPr>
                <w:rFonts w:eastAsiaTheme="minorHAnsi"/>
                <w:sz w:val="14"/>
                <w:szCs w:val="14"/>
                <w:lang w:eastAsia="en-US"/>
              </w:rPr>
            </w:pPr>
            <w:r w:rsidRPr="00A57ABC">
              <w:rPr>
                <w:rFonts w:eastAsiaTheme="minorHAnsi"/>
                <w:spacing w:val="-1"/>
                <w:sz w:val="14"/>
                <w:szCs w:val="14"/>
                <w:lang w:eastAsia="en-US"/>
              </w:rPr>
              <w:t xml:space="preserve">CUARZO </w:t>
            </w:r>
            <w:r w:rsidRPr="00A57ABC">
              <w:rPr>
                <w:rFonts w:eastAsiaTheme="minorHAnsi"/>
                <w:sz w:val="14"/>
                <w:szCs w:val="14"/>
                <w:lang w:eastAsia="en-US"/>
              </w:rPr>
              <w:t>Y</w:t>
            </w:r>
            <w:r w:rsidRPr="00A57ABC">
              <w:rPr>
                <w:rFonts w:eastAsiaTheme="minorHAnsi"/>
                <w:spacing w:val="-34"/>
                <w:sz w:val="14"/>
                <w:szCs w:val="14"/>
                <w:lang w:eastAsia="en-US"/>
              </w:rPr>
              <w:t xml:space="preserve"> </w:t>
            </w:r>
            <w:r w:rsidRPr="00A57ABC">
              <w:rPr>
                <w:rFonts w:eastAsiaTheme="minorHAnsi"/>
                <w:sz w:val="14"/>
                <w:szCs w:val="14"/>
                <w:lang w:eastAsia="en-US"/>
              </w:rPr>
              <w:t>CUARZO</w:t>
            </w:r>
          </w:p>
          <w:p w14:paraId="1C8B170A" w14:textId="77777777" w:rsidR="00C36261" w:rsidRPr="00A57ABC" w:rsidRDefault="00C36261" w:rsidP="00624091">
            <w:pPr>
              <w:widowControl w:val="0"/>
              <w:ind w:left="247"/>
              <w:rPr>
                <w:rFonts w:eastAsiaTheme="minorHAnsi"/>
                <w:sz w:val="14"/>
                <w:szCs w:val="14"/>
                <w:lang w:eastAsia="en-US"/>
              </w:rPr>
            </w:pPr>
            <w:r w:rsidRPr="00A57ABC">
              <w:rPr>
                <w:rFonts w:eastAsiaTheme="minorHAnsi"/>
                <w:sz w:val="14"/>
                <w:szCs w:val="14"/>
                <w:lang w:eastAsia="en-US"/>
              </w:rPr>
              <w:t>CRISTALINO</w:t>
            </w:r>
          </w:p>
        </w:tc>
        <w:tc>
          <w:tcPr>
            <w:tcW w:w="589" w:type="pct"/>
            <w:vAlign w:val="center"/>
          </w:tcPr>
          <w:p w14:paraId="500976AB"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0A5A194E"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7154DA02" w14:textId="77777777" w:rsidTr="005105AC">
        <w:trPr>
          <w:trHeight w:val="270"/>
          <w:jc w:val="center"/>
        </w:trPr>
        <w:tc>
          <w:tcPr>
            <w:tcW w:w="1367" w:type="pct"/>
            <w:vAlign w:val="center"/>
          </w:tcPr>
          <w:p w14:paraId="5BFE2B7A"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GUANACASTE</w:t>
            </w:r>
          </w:p>
        </w:tc>
        <w:tc>
          <w:tcPr>
            <w:tcW w:w="613" w:type="pct"/>
            <w:vAlign w:val="center"/>
          </w:tcPr>
          <w:p w14:paraId="40D6D2FE"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31/10/1999</w:t>
            </w:r>
          </w:p>
        </w:tc>
        <w:tc>
          <w:tcPr>
            <w:tcW w:w="625" w:type="pct"/>
            <w:vAlign w:val="center"/>
          </w:tcPr>
          <w:p w14:paraId="0C6934C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30/10/2024</w:t>
            </w:r>
          </w:p>
        </w:tc>
        <w:tc>
          <w:tcPr>
            <w:tcW w:w="306" w:type="pct"/>
            <w:vAlign w:val="center"/>
          </w:tcPr>
          <w:p w14:paraId="3B1AED0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30499AA"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CALIZA</w:t>
            </w:r>
          </w:p>
        </w:tc>
        <w:tc>
          <w:tcPr>
            <w:tcW w:w="589" w:type="pct"/>
            <w:vAlign w:val="center"/>
          </w:tcPr>
          <w:p w14:paraId="3287B9FE"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Guastatoya</w:t>
            </w:r>
            <w:proofErr w:type="spellEnd"/>
          </w:p>
        </w:tc>
        <w:tc>
          <w:tcPr>
            <w:tcW w:w="716" w:type="pct"/>
            <w:vAlign w:val="center"/>
          </w:tcPr>
          <w:p w14:paraId="1BF717B2"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42C4FFDB" w14:textId="77777777" w:rsidTr="005105AC">
        <w:trPr>
          <w:trHeight w:val="289"/>
          <w:jc w:val="center"/>
        </w:trPr>
        <w:tc>
          <w:tcPr>
            <w:tcW w:w="1367" w:type="pct"/>
            <w:vAlign w:val="center"/>
          </w:tcPr>
          <w:p w14:paraId="7C8BD695"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GUATEMINAS</w:t>
            </w:r>
          </w:p>
        </w:tc>
        <w:tc>
          <w:tcPr>
            <w:tcW w:w="613" w:type="pct"/>
            <w:vAlign w:val="center"/>
          </w:tcPr>
          <w:p w14:paraId="21845D0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11/09/2015</w:t>
            </w:r>
          </w:p>
        </w:tc>
        <w:tc>
          <w:tcPr>
            <w:tcW w:w="625" w:type="pct"/>
            <w:vAlign w:val="center"/>
          </w:tcPr>
          <w:p w14:paraId="0FA45A7E"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10/09/2040</w:t>
            </w:r>
          </w:p>
        </w:tc>
        <w:tc>
          <w:tcPr>
            <w:tcW w:w="306" w:type="pct"/>
            <w:vAlign w:val="center"/>
          </w:tcPr>
          <w:p w14:paraId="2B3666D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5B431B8" w14:textId="77777777" w:rsidR="00C36261" w:rsidRPr="00A57ABC" w:rsidRDefault="00C36261" w:rsidP="00624091">
            <w:pPr>
              <w:widowControl w:val="0"/>
              <w:ind w:left="35"/>
              <w:jc w:val="center"/>
              <w:rPr>
                <w:rFonts w:eastAsiaTheme="minorHAnsi"/>
                <w:sz w:val="14"/>
                <w:szCs w:val="14"/>
                <w:lang w:val="es-GT" w:eastAsia="en-US"/>
              </w:rPr>
            </w:pPr>
            <w:r w:rsidRPr="00A57ABC">
              <w:rPr>
                <w:rFonts w:eastAsiaTheme="minorHAnsi"/>
                <w:sz w:val="14"/>
                <w:szCs w:val="14"/>
                <w:lang w:val="es-GT" w:eastAsia="en-US"/>
              </w:rPr>
              <w:t>PIEDRA CALIZA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CALIZA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MARMOLIZADA</w:t>
            </w:r>
          </w:p>
        </w:tc>
        <w:tc>
          <w:tcPr>
            <w:tcW w:w="589" w:type="pct"/>
            <w:vAlign w:val="center"/>
          </w:tcPr>
          <w:p w14:paraId="2A5DC273"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Guastatoya</w:t>
            </w:r>
            <w:proofErr w:type="spellEnd"/>
          </w:p>
        </w:tc>
        <w:tc>
          <w:tcPr>
            <w:tcW w:w="716" w:type="pct"/>
            <w:vAlign w:val="center"/>
          </w:tcPr>
          <w:p w14:paraId="4D68A66A"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556682D5" w14:textId="77777777" w:rsidTr="005105AC">
        <w:trPr>
          <w:trHeight w:val="920"/>
          <w:jc w:val="center"/>
        </w:trPr>
        <w:tc>
          <w:tcPr>
            <w:tcW w:w="1367" w:type="pct"/>
            <w:vAlign w:val="center"/>
          </w:tcPr>
          <w:p w14:paraId="79BB1AF3" w14:textId="77777777" w:rsidR="00C36261" w:rsidRPr="00A57ABC" w:rsidRDefault="00C36261" w:rsidP="00624091">
            <w:pPr>
              <w:widowControl w:val="0"/>
              <w:ind w:left="269" w:right="244" w:firstLine="1"/>
              <w:jc w:val="center"/>
              <w:rPr>
                <w:rFonts w:eastAsiaTheme="minorHAnsi"/>
                <w:sz w:val="14"/>
                <w:szCs w:val="14"/>
                <w:lang w:eastAsia="en-US"/>
              </w:rPr>
            </w:pPr>
            <w:r w:rsidRPr="00A57ABC">
              <w:rPr>
                <w:rFonts w:eastAsiaTheme="minorHAnsi"/>
                <w:sz w:val="14"/>
                <w:szCs w:val="14"/>
                <w:lang w:eastAsia="en-US"/>
              </w:rPr>
              <w:t>INDUSTRIA</w:t>
            </w:r>
            <w:r w:rsidRPr="00A57ABC">
              <w:rPr>
                <w:rFonts w:eastAsiaTheme="minorHAnsi"/>
                <w:spacing w:val="-34"/>
                <w:sz w:val="14"/>
                <w:szCs w:val="14"/>
                <w:lang w:eastAsia="en-US"/>
              </w:rPr>
              <w:t xml:space="preserve"> </w:t>
            </w:r>
            <w:r w:rsidRPr="00A57ABC">
              <w:rPr>
                <w:rFonts w:eastAsiaTheme="minorHAnsi"/>
                <w:spacing w:val="-1"/>
                <w:sz w:val="14"/>
                <w:szCs w:val="14"/>
                <w:lang w:eastAsia="en-US"/>
              </w:rPr>
              <w:t xml:space="preserve">MINERA </w:t>
            </w:r>
            <w:r w:rsidRPr="00A57ABC">
              <w:rPr>
                <w:rFonts w:eastAsiaTheme="minorHAnsi"/>
                <w:sz w:val="14"/>
                <w:szCs w:val="14"/>
                <w:lang w:eastAsia="en-US"/>
              </w:rPr>
              <w:t>EL</w:t>
            </w:r>
            <w:r w:rsidRPr="00A57ABC">
              <w:rPr>
                <w:rFonts w:eastAsiaTheme="minorHAnsi"/>
                <w:spacing w:val="-34"/>
                <w:sz w:val="14"/>
                <w:szCs w:val="14"/>
                <w:lang w:eastAsia="en-US"/>
              </w:rPr>
              <w:t xml:space="preserve"> </w:t>
            </w:r>
            <w:r w:rsidRPr="00A57ABC">
              <w:rPr>
                <w:rFonts w:eastAsiaTheme="minorHAnsi"/>
                <w:sz w:val="14"/>
                <w:szCs w:val="14"/>
                <w:lang w:eastAsia="en-US"/>
              </w:rPr>
              <w:t>PALMO</w:t>
            </w:r>
          </w:p>
        </w:tc>
        <w:tc>
          <w:tcPr>
            <w:tcW w:w="613" w:type="pct"/>
            <w:vAlign w:val="center"/>
          </w:tcPr>
          <w:p w14:paraId="717F5683"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23/04/2004</w:t>
            </w:r>
          </w:p>
        </w:tc>
        <w:tc>
          <w:tcPr>
            <w:tcW w:w="625" w:type="pct"/>
            <w:vAlign w:val="center"/>
          </w:tcPr>
          <w:p w14:paraId="38AE277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22/04/2024</w:t>
            </w:r>
          </w:p>
        </w:tc>
        <w:tc>
          <w:tcPr>
            <w:tcW w:w="306" w:type="pct"/>
            <w:vAlign w:val="center"/>
          </w:tcPr>
          <w:p w14:paraId="30543B7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20 AÑOS</w:t>
            </w:r>
          </w:p>
        </w:tc>
        <w:tc>
          <w:tcPr>
            <w:tcW w:w="784" w:type="pct"/>
            <w:vAlign w:val="center"/>
          </w:tcPr>
          <w:p w14:paraId="2A7ACCF4" w14:textId="77777777" w:rsidR="00C36261" w:rsidRPr="00A57ABC" w:rsidRDefault="00C36261" w:rsidP="00624091">
            <w:pPr>
              <w:widowControl w:val="0"/>
              <w:ind w:left="129" w:right="96" w:hanging="1"/>
              <w:jc w:val="center"/>
              <w:rPr>
                <w:rFonts w:eastAsiaTheme="minorHAnsi"/>
                <w:sz w:val="14"/>
                <w:szCs w:val="14"/>
                <w:lang w:val="es-GT" w:eastAsia="en-US"/>
              </w:rPr>
            </w:pPr>
            <w:r w:rsidRPr="00A57ABC">
              <w:rPr>
                <w:rFonts w:eastAsiaTheme="minorHAnsi"/>
                <w:sz w:val="14"/>
                <w:szCs w:val="14"/>
                <w:lang w:val="es-GT" w:eastAsia="en-US"/>
              </w:rPr>
              <w:t>MAGNESITA,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VERMICULITA,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ESQUISTO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MICACEO, LAJA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DECORATIVA,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CUARZO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p>
          <w:p w14:paraId="44157C5D"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JADEITA</w:t>
            </w:r>
          </w:p>
        </w:tc>
        <w:tc>
          <w:tcPr>
            <w:tcW w:w="589" w:type="pct"/>
            <w:vAlign w:val="center"/>
          </w:tcPr>
          <w:p w14:paraId="7511034C" w14:textId="77777777" w:rsidR="00C36261" w:rsidRPr="00A57ABC" w:rsidRDefault="00C36261" w:rsidP="00624091">
            <w:pPr>
              <w:widowControl w:val="0"/>
              <w:ind w:left="57" w:right="12" w:firstLine="127"/>
              <w:jc w:val="center"/>
              <w:rPr>
                <w:rFonts w:eastAsiaTheme="minorHAnsi"/>
                <w:sz w:val="14"/>
                <w:szCs w:val="14"/>
                <w:lang w:eastAsia="en-US"/>
              </w:rPr>
            </w:pPr>
            <w:r w:rsidRPr="00A57ABC">
              <w:rPr>
                <w:rFonts w:eastAsiaTheme="minorHAnsi"/>
                <w:sz w:val="14"/>
                <w:szCs w:val="14"/>
                <w:lang w:eastAsia="en-US"/>
              </w:rPr>
              <w:t>San Agustin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Acasaguastlan</w:t>
            </w:r>
            <w:proofErr w:type="spellEnd"/>
          </w:p>
        </w:tc>
        <w:tc>
          <w:tcPr>
            <w:tcW w:w="716" w:type="pct"/>
            <w:vAlign w:val="center"/>
          </w:tcPr>
          <w:p w14:paraId="24185AF7"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5CF6A3F5" w14:textId="77777777" w:rsidTr="005105AC">
        <w:trPr>
          <w:trHeight w:val="213"/>
          <w:jc w:val="center"/>
        </w:trPr>
        <w:tc>
          <w:tcPr>
            <w:tcW w:w="1367" w:type="pct"/>
            <w:vAlign w:val="center"/>
          </w:tcPr>
          <w:p w14:paraId="1E00D6FC"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JASMIN</w:t>
            </w:r>
            <w:r w:rsidRPr="00A57ABC">
              <w:rPr>
                <w:rFonts w:eastAsiaTheme="minorHAnsi"/>
                <w:spacing w:val="-1"/>
                <w:sz w:val="14"/>
                <w:szCs w:val="14"/>
                <w:lang w:eastAsia="en-US"/>
              </w:rPr>
              <w:t xml:space="preserve"> </w:t>
            </w:r>
            <w:r w:rsidRPr="00A57ABC">
              <w:rPr>
                <w:rFonts w:eastAsiaTheme="minorHAnsi"/>
                <w:sz w:val="14"/>
                <w:szCs w:val="14"/>
                <w:lang w:eastAsia="en-US"/>
              </w:rPr>
              <w:t>2</w:t>
            </w:r>
          </w:p>
        </w:tc>
        <w:tc>
          <w:tcPr>
            <w:tcW w:w="613" w:type="pct"/>
            <w:vAlign w:val="center"/>
          </w:tcPr>
          <w:p w14:paraId="0A901340"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11/05/2007</w:t>
            </w:r>
          </w:p>
        </w:tc>
        <w:tc>
          <w:tcPr>
            <w:tcW w:w="625" w:type="pct"/>
            <w:vAlign w:val="center"/>
          </w:tcPr>
          <w:p w14:paraId="5141562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1/05/2032</w:t>
            </w:r>
          </w:p>
        </w:tc>
        <w:tc>
          <w:tcPr>
            <w:tcW w:w="306" w:type="pct"/>
            <w:vAlign w:val="center"/>
          </w:tcPr>
          <w:p w14:paraId="2C08B08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3FA270C" w14:textId="77777777" w:rsidR="00C36261" w:rsidRPr="00A57ABC" w:rsidRDefault="00C36261" w:rsidP="00624091">
            <w:pPr>
              <w:widowControl w:val="0"/>
              <w:ind w:left="59" w:right="26"/>
              <w:jc w:val="center"/>
              <w:rPr>
                <w:rFonts w:eastAsiaTheme="minorHAnsi"/>
                <w:sz w:val="14"/>
                <w:szCs w:val="14"/>
                <w:lang w:val="es-GT" w:eastAsia="en-US"/>
              </w:rPr>
            </w:pPr>
            <w:r w:rsidRPr="00A57ABC">
              <w:rPr>
                <w:rFonts w:eastAsiaTheme="minorHAnsi"/>
                <w:sz w:val="14"/>
                <w:szCs w:val="14"/>
                <w:lang w:val="es-GT" w:eastAsia="en-US"/>
              </w:rPr>
              <w:t>TOBA, RIOLITICA,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RIOLITA, CUARZO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ARENISCA.</w:t>
            </w:r>
          </w:p>
        </w:tc>
        <w:tc>
          <w:tcPr>
            <w:tcW w:w="589" w:type="pct"/>
            <w:vAlign w:val="center"/>
          </w:tcPr>
          <w:p w14:paraId="330D8566" w14:textId="77777777" w:rsidR="00C36261" w:rsidRPr="00A57ABC" w:rsidRDefault="00C36261" w:rsidP="00624091">
            <w:pPr>
              <w:widowControl w:val="0"/>
              <w:ind w:left="509" w:right="19" w:hanging="442"/>
              <w:jc w:val="center"/>
              <w:rPr>
                <w:rFonts w:eastAsiaTheme="minorHAnsi"/>
                <w:sz w:val="14"/>
                <w:szCs w:val="14"/>
                <w:lang w:eastAsia="en-US"/>
              </w:rPr>
            </w:pPr>
            <w:r w:rsidRPr="00A57ABC">
              <w:rPr>
                <w:rFonts w:eastAsiaTheme="minorHAnsi"/>
                <w:sz w:val="14"/>
                <w:szCs w:val="14"/>
                <w:lang w:eastAsia="en-US"/>
              </w:rPr>
              <w:t>San Antonio La</w:t>
            </w:r>
            <w:r w:rsidRPr="00A57ABC">
              <w:rPr>
                <w:rFonts w:eastAsiaTheme="minorHAnsi"/>
                <w:spacing w:val="-34"/>
                <w:sz w:val="14"/>
                <w:szCs w:val="14"/>
                <w:lang w:eastAsia="en-US"/>
              </w:rPr>
              <w:t xml:space="preserve"> </w:t>
            </w:r>
            <w:r w:rsidRPr="00A57ABC">
              <w:rPr>
                <w:rFonts w:eastAsiaTheme="minorHAnsi"/>
                <w:sz w:val="14"/>
                <w:szCs w:val="14"/>
                <w:lang w:eastAsia="en-US"/>
              </w:rPr>
              <w:t>Paz</w:t>
            </w:r>
          </w:p>
        </w:tc>
        <w:tc>
          <w:tcPr>
            <w:tcW w:w="716" w:type="pct"/>
            <w:vAlign w:val="center"/>
          </w:tcPr>
          <w:p w14:paraId="6C30D626" w14:textId="77777777" w:rsidR="00C36261" w:rsidRPr="00A57ABC" w:rsidRDefault="00C36261" w:rsidP="00624091">
            <w:pPr>
              <w:widowControl w:val="0"/>
              <w:jc w:val="center"/>
              <w:rPr>
                <w:rFonts w:eastAsiaTheme="minorHAnsi"/>
                <w:b/>
                <w:sz w:val="14"/>
                <w:szCs w:val="14"/>
                <w:lang w:eastAsia="en-US"/>
              </w:rPr>
            </w:pPr>
          </w:p>
          <w:p w14:paraId="28945110"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09130048" w14:textId="77777777" w:rsidTr="005105AC">
        <w:trPr>
          <w:trHeight w:val="263"/>
          <w:jc w:val="center"/>
        </w:trPr>
        <w:tc>
          <w:tcPr>
            <w:tcW w:w="1367" w:type="pct"/>
            <w:vAlign w:val="center"/>
          </w:tcPr>
          <w:p w14:paraId="7CFCE357"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KADAKAN</w:t>
            </w:r>
          </w:p>
        </w:tc>
        <w:tc>
          <w:tcPr>
            <w:tcW w:w="613" w:type="pct"/>
            <w:vAlign w:val="center"/>
          </w:tcPr>
          <w:p w14:paraId="0CAA6BAE"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18/02/1998</w:t>
            </w:r>
          </w:p>
        </w:tc>
        <w:tc>
          <w:tcPr>
            <w:tcW w:w="625" w:type="pct"/>
            <w:vAlign w:val="center"/>
          </w:tcPr>
          <w:p w14:paraId="00F1BB6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17/02/2023</w:t>
            </w:r>
          </w:p>
        </w:tc>
        <w:tc>
          <w:tcPr>
            <w:tcW w:w="306" w:type="pct"/>
            <w:vAlign w:val="center"/>
          </w:tcPr>
          <w:p w14:paraId="54AFBD1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4F6885A"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LUTITA</w:t>
            </w:r>
          </w:p>
          <w:p w14:paraId="30D9DE4E"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FERRUGINOSA</w:t>
            </w:r>
          </w:p>
        </w:tc>
        <w:tc>
          <w:tcPr>
            <w:tcW w:w="589" w:type="pct"/>
            <w:vAlign w:val="center"/>
          </w:tcPr>
          <w:p w14:paraId="313228AF"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San</w:t>
            </w:r>
            <w:r w:rsidRPr="00A57ABC">
              <w:rPr>
                <w:rFonts w:eastAsiaTheme="minorHAnsi"/>
                <w:spacing w:val="-1"/>
                <w:sz w:val="14"/>
                <w:szCs w:val="14"/>
                <w:lang w:eastAsia="en-US"/>
              </w:rPr>
              <w:t xml:space="preserve"> </w:t>
            </w:r>
            <w:r w:rsidRPr="00A57ABC">
              <w:rPr>
                <w:rFonts w:eastAsiaTheme="minorHAnsi"/>
                <w:sz w:val="14"/>
                <w:szCs w:val="14"/>
                <w:lang w:eastAsia="en-US"/>
              </w:rPr>
              <w:t>Antonio</w:t>
            </w:r>
            <w:r w:rsidRPr="00A57ABC">
              <w:rPr>
                <w:rFonts w:eastAsiaTheme="minorHAnsi"/>
                <w:spacing w:val="-1"/>
                <w:sz w:val="14"/>
                <w:szCs w:val="14"/>
                <w:lang w:eastAsia="en-US"/>
              </w:rPr>
              <w:t xml:space="preserve"> </w:t>
            </w:r>
            <w:r w:rsidRPr="00A57ABC">
              <w:rPr>
                <w:rFonts w:eastAsiaTheme="minorHAnsi"/>
                <w:sz w:val="14"/>
                <w:szCs w:val="14"/>
                <w:lang w:eastAsia="en-US"/>
              </w:rPr>
              <w:t>La</w:t>
            </w:r>
          </w:p>
          <w:p w14:paraId="6C4F8CF3" w14:textId="77777777" w:rsidR="00C36261" w:rsidRPr="00A57ABC" w:rsidRDefault="00C36261" w:rsidP="00624091">
            <w:pPr>
              <w:widowControl w:val="0"/>
              <w:ind w:left="39" w:right="1"/>
              <w:jc w:val="center"/>
              <w:rPr>
                <w:rFonts w:eastAsiaTheme="minorHAnsi"/>
                <w:sz w:val="14"/>
                <w:szCs w:val="14"/>
                <w:lang w:eastAsia="en-US"/>
              </w:rPr>
            </w:pPr>
            <w:r w:rsidRPr="00A57ABC">
              <w:rPr>
                <w:rFonts w:eastAsiaTheme="minorHAnsi"/>
                <w:sz w:val="14"/>
                <w:szCs w:val="14"/>
                <w:lang w:eastAsia="en-US"/>
              </w:rPr>
              <w:t>Paz</w:t>
            </w:r>
          </w:p>
        </w:tc>
        <w:tc>
          <w:tcPr>
            <w:tcW w:w="716" w:type="pct"/>
            <w:vAlign w:val="center"/>
          </w:tcPr>
          <w:p w14:paraId="42DF3C24"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60FD73E2" w14:textId="77777777" w:rsidTr="005105AC">
        <w:trPr>
          <w:trHeight w:val="636"/>
          <w:jc w:val="center"/>
        </w:trPr>
        <w:tc>
          <w:tcPr>
            <w:tcW w:w="1367" w:type="pct"/>
            <w:vAlign w:val="center"/>
          </w:tcPr>
          <w:p w14:paraId="38FE7D68" w14:textId="77777777" w:rsidR="00C36261" w:rsidRPr="00A57ABC" w:rsidRDefault="00C36261" w:rsidP="00624091">
            <w:pPr>
              <w:widowControl w:val="0"/>
              <w:rPr>
                <w:rFonts w:eastAsiaTheme="minorHAnsi"/>
                <w:b/>
                <w:sz w:val="14"/>
                <w:szCs w:val="14"/>
                <w:lang w:eastAsia="en-US"/>
              </w:rPr>
            </w:pPr>
          </w:p>
          <w:p w14:paraId="161DE1EA" w14:textId="77777777" w:rsidR="00C36261" w:rsidRPr="00A57ABC" w:rsidRDefault="00C36261" w:rsidP="00624091">
            <w:pPr>
              <w:widowControl w:val="0"/>
              <w:rPr>
                <w:rFonts w:eastAsiaTheme="minorHAnsi"/>
                <w:b/>
                <w:sz w:val="14"/>
                <w:szCs w:val="14"/>
                <w:lang w:eastAsia="en-US"/>
              </w:rPr>
            </w:pPr>
          </w:p>
          <w:p w14:paraId="13708D66" w14:textId="77777777" w:rsidR="00C36261" w:rsidRPr="00A57ABC" w:rsidRDefault="00C36261" w:rsidP="00624091">
            <w:pPr>
              <w:widowControl w:val="0"/>
              <w:ind w:left="21"/>
              <w:jc w:val="center"/>
              <w:rPr>
                <w:rFonts w:eastAsiaTheme="minorHAnsi"/>
                <w:sz w:val="14"/>
                <w:szCs w:val="14"/>
                <w:lang w:eastAsia="en-US"/>
              </w:rPr>
            </w:pPr>
            <w:r w:rsidRPr="00A57ABC">
              <w:rPr>
                <w:rFonts w:eastAsiaTheme="minorHAnsi"/>
                <w:sz w:val="14"/>
                <w:szCs w:val="14"/>
                <w:lang w:eastAsia="en-US"/>
              </w:rPr>
              <w:t>LAS CIENAGITAS</w:t>
            </w:r>
          </w:p>
        </w:tc>
        <w:tc>
          <w:tcPr>
            <w:tcW w:w="613" w:type="pct"/>
            <w:vAlign w:val="center"/>
          </w:tcPr>
          <w:p w14:paraId="5FED4F27" w14:textId="77777777" w:rsidR="00C36261" w:rsidRPr="00A57ABC" w:rsidRDefault="00C36261" w:rsidP="00624091">
            <w:pPr>
              <w:widowControl w:val="0"/>
              <w:rPr>
                <w:rFonts w:eastAsiaTheme="minorHAnsi"/>
                <w:b/>
                <w:sz w:val="14"/>
                <w:szCs w:val="14"/>
                <w:lang w:eastAsia="en-US"/>
              </w:rPr>
            </w:pPr>
          </w:p>
          <w:p w14:paraId="2E0287DA" w14:textId="77777777" w:rsidR="00C36261" w:rsidRPr="00A57ABC" w:rsidRDefault="00C36261" w:rsidP="00624091">
            <w:pPr>
              <w:widowControl w:val="0"/>
              <w:rPr>
                <w:rFonts w:eastAsiaTheme="minorHAnsi"/>
                <w:b/>
                <w:sz w:val="14"/>
                <w:szCs w:val="14"/>
                <w:lang w:eastAsia="en-US"/>
              </w:rPr>
            </w:pPr>
          </w:p>
          <w:p w14:paraId="32227343"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5/10/2005</w:t>
            </w:r>
          </w:p>
        </w:tc>
        <w:tc>
          <w:tcPr>
            <w:tcW w:w="625" w:type="pct"/>
            <w:vAlign w:val="center"/>
          </w:tcPr>
          <w:p w14:paraId="6EACAC9A" w14:textId="77777777" w:rsidR="00C36261" w:rsidRPr="00A57ABC" w:rsidRDefault="00C36261" w:rsidP="00624091">
            <w:pPr>
              <w:widowControl w:val="0"/>
              <w:rPr>
                <w:rFonts w:eastAsiaTheme="minorHAnsi"/>
                <w:b/>
                <w:sz w:val="14"/>
                <w:szCs w:val="14"/>
                <w:lang w:eastAsia="en-US"/>
              </w:rPr>
            </w:pPr>
          </w:p>
          <w:p w14:paraId="716672EC" w14:textId="77777777" w:rsidR="00C36261" w:rsidRPr="00A57ABC" w:rsidRDefault="00C36261" w:rsidP="00624091">
            <w:pPr>
              <w:widowControl w:val="0"/>
              <w:rPr>
                <w:rFonts w:eastAsiaTheme="minorHAnsi"/>
                <w:b/>
                <w:sz w:val="14"/>
                <w:szCs w:val="14"/>
                <w:lang w:eastAsia="en-US"/>
              </w:rPr>
            </w:pPr>
          </w:p>
          <w:p w14:paraId="0253C5FE"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4/10/2030</w:t>
            </w:r>
          </w:p>
        </w:tc>
        <w:tc>
          <w:tcPr>
            <w:tcW w:w="306" w:type="pct"/>
            <w:vAlign w:val="center"/>
          </w:tcPr>
          <w:p w14:paraId="62DF574C" w14:textId="77777777" w:rsidR="00C36261" w:rsidRPr="00A57ABC" w:rsidRDefault="00C36261" w:rsidP="00624091">
            <w:pPr>
              <w:widowControl w:val="0"/>
              <w:rPr>
                <w:rFonts w:eastAsiaTheme="minorHAnsi"/>
                <w:b/>
                <w:sz w:val="14"/>
                <w:szCs w:val="14"/>
                <w:lang w:eastAsia="en-US"/>
              </w:rPr>
            </w:pPr>
          </w:p>
          <w:p w14:paraId="2D24D707" w14:textId="77777777" w:rsidR="00C36261" w:rsidRPr="00A57ABC" w:rsidRDefault="00C36261" w:rsidP="00624091">
            <w:pPr>
              <w:widowControl w:val="0"/>
              <w:rPr>
                <w:rFonts w:eastAsiaTheme="minorHAnsi"/>
                <w:b/>
                <w:sz w:val="14"/>
                <w:szCs w:val="14"/>
                <w:lang w:eastAsia="en-US"/>
              </w:rPr>
            </w:pPr>
          </w:p>
          <w:p w14:paraId="7959FEE8"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C95028B" w14:textId="77777777" w:rsidR="00C36261" w:rsidRPr="00A57ABC" w:rsidRDefault="00C36261" w:rsidP="00624091">
            <w:pPr>
              <w:widowControl w:val="0"/>
              <w:ind w:left="32"/>
              <w:jc w:val="center"/>
              <w:rPr>
                <w:rFonts w:eastAsiaTheme="minorHAnsi"/>
                <w:sz w:val="14"/>
                <w:szCs w:val="14"/>
                <w:lang w:val="es-GT" w:eastAsia="en-US"/>
              </w:rPr>
            </w:pPr>
            <w:r w:rsidRPr="00A57ABC">
              <w:rPr>
                <w:rFonts w:eastAsiaTheme="minorHAnsi"/>
                <w:sz w:val="14"/>
                <w:szCs w:val="14"/>
                <w:lang w:val="es-GT" w:eastAsia="en-US"/>
              </w:rPr>
              <w:t>ARENA DE SILICE,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CAOLIN,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BENTONITA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MATERIALES</w:t>
            </w:r>
          </w:p>
          <w:p w14:paraId="4B8F5680"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ARCILLOSOS</w:t>
            </w:r>
          </w:p>
        </w:tc>
        <w:tc>
          <w:tcPr>
            <w:tcW w:w="589" w:type="pct"/>
            <w:vAlign w:val="center"/>
          </w:tcPr>
          <w:p w14:paraId="54F65BB1" w14:textId="77777777" w:rsidR="00C36261" w:rsidRPr="00A57ABC" w:rsidRDefault="00C36261" w:rsidP="00624091">
            <w:pPr>
              <w:widowControl w:val="0"/>
              <w:jc w:val="center"/>
              <w:rPr>
                <w:rFonts w:eastAsiaTheme="minorHAnsi"/>
                <w:b/>
                <w:sz w:val="14"/>
                <w:szCs w:val="14"/>
                <w:lang w:eastAsia="en-US"/>
              </w:rPr>
            </w:pPr>
          </w:p>
          <w:p w14:paraId="0A28846C" w14:textId="77777777" w:rsidR="00C36261" w:rsidRPr="00A57ABC" w:rsidRDefault="00C36261" w:rsidP="00624091">
            <w:pPr>
              <w:widowControl w:val="0"/>
              <w:ind w:left="509" w:right="19" w:hanging="442"/>
              <w:jc w:val="center"/>
              <w:rPr>
                <w:rFonts w:eastAsiaTheme="minorHAnsi"/>
                <w:sz w:val="14"/>
                <w:szCs w:val="14"/>
                <w:lang w:eastAsia="en-US"/>
              </w:rPr>
            </w:pPr>
            <w:r w:rsidRPr="00A57ABC">
              <w:rPr>
                <w:rFonts w:eastAsiaTheme="minorHAnsi"/>
                <w:sz w:val="14"/>
                <w:szCs w:val="14"/>
                <w:lang w:eastAsia="en-US"/>
              </w:rPr>
              <w:t>San Antonio La</w:t>
            </w:r>
            <w:r w:rsidRPr="00A57ABC">
              <w:rPr>
                <w:rFonts w:eastAsiaTheme="minorHAnsi"/>
                <w:spacing w:val="-34"/>
                <w:sz w:val="14"/>
                <w:szCs w:val="14"/>
                <w:lang w:eastAsia="en-US"/>
              </w:rPr>
              <w:t xml:space="preserve"> </w:t>
            </w:r>
            <w:r w:rsidRPr="00A57ABC">
              <w:rPr>
                <w:rFonts w:eastAsiaTheme="minorHAnsi"/>
                <w:sz w:val="14"/>
                <w:szCs w:val="14"/>
                <w:lang w:eastAsia="en-US"/>
              </w:rPr>
              <w:t>Paz</w:t>
            </w:r>
          </w:p>
        </w:tc>
        <w:tc>
          <w:tcPr>
            <w:tcW w:w="716" w:type="pct"/>
            <w:vAlign w:val="center"/>
          </w:tcPr>
          <w:p w14:paraId="4F6CE505" w14:textId="77777777" w:rsidR="00C36261" w:rsidRPr="00A57ABC" w:rsidRDefault="00C36261" w:rsidP="00624091">
            <w:pPr>
              <w:widowControl w:val="0"/>
              <w:jc w:val="center"/>
              <w:rPr>
                <w:rFonts w:eastAsiaTheme="minorHAnsi"/>
                <w:b/>
                <w:sz w:val="14"/>
                <w:szCs w:val="14"/>
                <w:lang w:eastAsia="en-US"/>
              </w:rPr>
            </w:pPr>
          </w:p>
          <w:p w14:paraId="1F9ADD17" w14:textId="77777777" w:rsidR="00C36261" w:rsidRPr="00A57ABC" w:rsidRDefault="00C36261" w:rsidP="00624091">
            <w:pPr>
              <w:widowControl w:val="0"/>
              <w:jc w:val="center"/>
              <w:rPr>
                <w:rFonts w:eastAsiaTheme="minorHAnsi"/>
                <w:b/>
                <w:sz w:val="14"/>
                <w:szCs w:val="14"/>
                <w:lang w:eastAsia="en-US"/>
              </w:rPr>
            </w:pPr>
          </w:p>
          <w:p w14:paraId="132080E4"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3F32BFA5" w14:textId="77777777" w:rsidTr="005105AC">
        <w:trPr>
          <w:trHeight w:val="237"/>
          <w:jc w:val="center"/>
        </w:trPr>
        <w:tc>
          <w:tcPr>
            <w:tcW w:w="1367" w:type="pct"/>
            <w:vAlign w:val="center"/>
          </w:tcPr>
          <w:p w14:paraId="44F13D98" w14:textId="77777777" w:rsidR="00C36261" w:rsidRPr="00A57ABC" w:rsidRDefault="00C36261" w:rsidP="00624091">
            <w:pPr>
              <w:widowControl w:val="0"/>
              <w:ind w:left="21"/>
              <w:jc w:val="center"/>
              <w:rPr>
                <w:rFonts w:eastAsiaTheme="minorHAnsi"/>
                <w:sz w:val="14"/>
                <w:szCs w:val="14"/>
                <w:lang w:eastAsia="en-US"/>
              </w:rPr>
            </w:pPr>
            <w:r w:rsidRPr="00A57ABC">
              <w:rPr>
                <w:rFonts w:eastAsiaTheme="minorHAnsi"/>
                <w:sz w:val="14"/>
                <w:szCs w:val="14"/>
                <w:lang w:eastAsia="en-US"/>
              </w:rPr>
              <w:t>LAS PAVAS</w:t>
            </w:r>
          </w:p>
        </w:tc>
        <w:tc>
          <w:tcPr>
            <w:tcW w:w="613" w:type="pct"/>
            <w:vAlign w:val="center"/>
          </w:tcPr>
          <w:p w14:paraId="10A18471"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30/04/2008</w:t>
            </w:r>
          </w:p>
        </w:tc>
        <w:tc>
          <w:tcPr>
            <w:tcW w:w="625" w:type="pct"/>
            <w:vAlign w:val="center"/>
          </w:tcPr>
          <w:p w14:paraId="3C27F8E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29/04/2033</w:t>
            </w:r>
          </w:p>
        </w:tc>
        <w:tc>
          <w:tcPr>
            <w:tcW w:w="306" w:type="pct"/>
            <w:vAlign w:val="center"/>
          </w:tcPr>
          <w:p w14:paraId="136A37B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21F3AFE" w14:textId="77777777" w:rsidR="00C36261" w:rsidRPr="00A57ABC" w:rsidRDefault="00C36261" w:rsidP="00624091">
            <w:pPr>
              <w:widowControl w:val="0"/>
              <w:ind w:left="35"/>
              <w:jc w:val="center"/>
              <w:rPr>
                <w:rFonts w:eastAsiaTheme="minorHAnsi"/>
                <w:sz w:val="14"/>
                <w:szCs w:val="14"/>
                <w:lang w:val="es-GT" w:eastAsia="en-US"/>
              </w:rPr>
            </w:pPr>
            <w:r w:rsidRPr="00A57ABC">
              <w:rPr>
                <w:rFonts w:eastAsiaTheme="minorHAnsi"/>
                <w:sz w:val="14"/>
                <w:szCs w:val="14"/>
                <w:lang w:val="es-GT" w:eastAsia="en-US"/>
              </w:rPr>
              <w:t>POMEZ, CENIZAS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VOLCANICAS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ARCILLAS ROJAS</w:t>
            </w:r>
          </w:p>
        </w:tc>
        <w:tc>
          <w:tcPr>
            <w:tcW w:w="589" w:type="pct"/>
            <w:vAlign w:val="center"/>
          </w:tcPr>
          <w:p w14:paraId="27BFCBF0" w14:textId="77777777" w:rsidR="00C36261" w:rsidRPr="00A57ABC" w:rsidRDefault="00C36261" w:rsidP="00624091">
            <w:pPr>
              <w:widowControl w:val="0"/>
              <w:ind w:left="509" w:right="19" w:hanging="442"/>
              <w:jc w:val="center"/>
              <w:rPr>
                <w:rFonts w:eastAsiaTheme="minorHAnsi"/>
                <w:sz w:val="14"/>
                <w:szCs w:val="14"/>
                <w:lang w:eastAsia="en-US"/>
              </w:rPr>
            </w:pPr>
            <w:r w:rsidRPr="00A57ABC">
              <w:rPr>
                <w:rFonts w:eastAsiaTheme="minorHAnsi"/>
                <w:sz w:val="14"/>
                <w:szCs w:val="14"/>
                <w:lang w:eastAsia="en-US"/>
              </w:rPr>
              <w:t>San Antonio La</w:t>
            </w:r>
            <w:r w:rsidRPr="00A57ABC">
              <w:rPr>
                <w:rFonts w:eastAsiaTheme="minorHAnsi"/>
                <w:spacing w:val="-34"/>
                <w:sz w:val="14"/>
                <w:szCs w:val="14"/>
                <w:lang w:eastAsia="en-US"/>
              </w:rPr>
              <w:t xml:space="preserve"> </w:t>
            </w:r>
            <w:r w:rsidRPr="00A57ABC">
              <w:rPr>
                <w:rFonts w:eastAsiaTheme="minorHAnsi"/>
                <w:sz w:val="14"/>
                <w:szCs w:val="14"/>
                <w:lang w:eastAsia="en-US"/>
              </w:rPr>
              <w:t>Paz</w:t>
            </w:r>
          </w:p>
        </w:tc>
        <w:tc>
          <w:tcPr>
            <w:tcW w:w="716" w:type="pct"/>
            <w:vAlign w:val="center"/>
          </w:tcPr>
          <w:p w14:paraId="78B92E19" w14:textId="77777777" w:rsidR="00C36261" w:rsidRPr="00A57ABC" w:rsidRDefault="00C36261" w:rsidP="00624091">
            <w:pPr>
              <w:widowControl w:val="0"/>
              <w:jc w:val="center"/>
              <w:rPr>
                <w:rFonts w:eastAsiaTheme="minorHAnsi"/>
                <w:b/>
                <w:sz w:val="14"/>
                <w:szCs w:val="14"/>
                <w:lang w:eastAsia="en-US"/>
              </w:rPr>
            </w:pPr>
          </w:p>
          <w:p w14:paraId="732A7761"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73692FD5" w14:textId="77777777" w:rsidTr="005105AC">
        <w:trPr>
          <w:trHeight w:val="1010"/>
          <w:jc w:val="center"/>
        </w:trPr>
        <w:tc>
          <w:tcPr>
            <w:tcW w:w="1367" w:type="pct"/>
            <w:vAlign w:val="center"/>
          </w:tcPr>
          <w:p w14:paraId="354F404E"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LAS PERICAS</w:t>
            </w:r>
          </w:p>
        </w:tc>
        <w:tc>
          <w:tcPr>
            <w:tcW w:w="613" w:type="pct"/>
            <w:vAlign w:val="center"/>
          </w:tcPr>
          <w:p w14:paraId="26AC84E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11/12/2004</w:t>
            </w:r>
          </w:p>
        </w:tc>
        <w:tc>
          <w:tcPr>
            <w:tcW w:w="625" w:type="pct"/>
            <w:vAlign w:val="center"/>
          </w:tcPr>
          <w:p w14:paraId="1EA4D0B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10/12/2029</w:t>
            </w:r>
          </w:p>
        </w:tc>
        <w:tc>
          <w:tcPr>
            <w:tcW w:w="306" w:type="pct"/>
            <w:vAlign w:val="center"/>
          </w:tcPr>
          <w:p w14:paraId="06348BA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BE79C94" w14:textId="77777777" w:rsidR="00C36261" w:rsidRPr="00A57ABC" w:rsidRDefault="00C36261" w:rsidP="00624091">
            <w:pPr>
              <w:widowControl w:val="0"/>
              <w:ind w:left="45" w:right="11" w:firstLine="2"/>
              <w:jc w:val="center"/>
              <w:rPr>
                <w:rFonts w:eastAsiaTheme="minorHAnsi"/>
                <w:sz w:val="14"/>
                <w:szCs w:val="14"/>
                <w:lang w:val="es-GT" w:eastAsia="en-US"/>
              </w:rPr>
            </w:pPr>
            <w:r w:rsidRPr="00A57ABC">
              <w:rPr>
                <w:rFonts w:eastAsiaTheme="minorHAnsi"/>
                <w:sz w:val="14"/>
                <w:szCs w:val="14"/>
                <w:lang w:val="es-GT" w:eastAsia="en-US"/>
              </w:rPr>
              <w:t>ARENA, GRAVA,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BLOQUES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TOBA RIOLITICA,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RIOLITA, CUARZO,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CALIZA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ARENISCA</w:t>
            </w:r>
          </w:p>
        </w:tc>
        <w:tc>
          <w:tcPr>
            <w:tcW w:w="589" w:type="pct"/>
            <w:vAlign w:val="center"/>
          </w:tcPr>
          <w:p w14:paraId="3A38D4D4" w14:textId="77777777" w:rsidR="00C36261" w:rsidRPr="00A57ABC" w:rsidRDefault="00C36261" w:rsidP="00624091">
            <w:pPr>
              <w:widowControl w:val="0"/>
              <w:ind w:left="185" w:right="137" w:firstLine="48"/>
              <w:jc w:val="center"/>
              <w:rPr>
                <w:rFonts w:eastAsiaTheme="minorHAnsi"/>
                <w:sz w:val="14"/>
                <w:szCs w:val="14"/>
                <w:lang w:eastAsia="en-US"/>
              </w:rPr>
            </w:pPr>
            <w:r w:rsidRPr="00A57ABC">
              <w:rPr>
                <w:rFonts w:eastAsiaTheme="minorHAnsi"/>
                <w:sz w:val="14"/>
                <w:szCs w:val="14"/>
                <w:lang w:eastAsia="en-US"/>
              </w:rPr>
              <w:t>Morazán Y</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Guastatoya</w:t>
            </w:r>
            <w:proofErr w:type="spellEnd"/>
          </w:p>
        </w:tc>
        <w:tc>
          <w:tcPr>
            <w:tcW w:w="716" w:type="pct"/>
            <w:vAlign w:val="center"/>
          </w:tcPr>
          <w:p w14:paraId="4C40F7A4"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07F7F965" w14:textId="77777777" w:rsidTr="005105AC">
        <w:trPr>
          <w:trHeight w:val="321"/>
          <w:jc w:val="center"/>
        </w:trPr>
        <w:tc>
          <w:tcPr>
            <w:tcW w:w="1367" w:type="pct"/>
            <w:vAlign w:val="center"/>
          </w:tcPr>
          <w:p w14:paraId="255CF5BE"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LO</w:t>
            </w:r>
            <w:r w:rsidRPr="00A57ABC">
              <w:rPr>
                <w:rFonts w:eastAsiaTheme="minorHAnsi"/>
                <w:spacing w:val="-3"/>
                <w:sz w:val="14"/>
                <w:szCs w:val="14"/>
                <w:lang w:eastAsia="en-US"/>
              </w:rPr>
              <w:t xml:space="preserve"> </w:t>
            </w:r>
            <w:r w:rsidRPr="00A57ABC">
              <w:rPr>
                <w:rFonts w:eastAsiaTheme="minorHAnsi"/>
                <w:sz w:val="14"/>
                <w:szCs w:val="14"/>
                <w:lang w:eastAsia="en-US"/>
              </w:rPr>
              <w:t>DE SUCHI</w:t>
            </w:r>
          </w:p>
        </w:tc>
        <w:tc>
          <w:tcPr>
            <w:tcW w:w="613" w:type="pct"/>
            <w:vAlign w:val="center"/>
          </w:tcPr>
          <w:p w14:paraId="7A4C3B2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22/12/2000</w:t>
            </w:r>
          </w:p>
        </w:tc>
        <w:tc>
          <w:tcPr>
            <w:tcW w:w="625" w:type="pct"/>
            <w:vAlign w:val="center"/>
          </w:tcPr>
          <w:p w14:paraId="598581A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21/12/2025</w:t>
            </w:r>
          </w:p>
        </w:tc>
        <w:tc>
          <w:tcPr>
            <w:tcW w:w="306" w:type="pct"/>
            <w:vAlign w:val="center"/>
          </w:tcPr>
          <w:p w14:paraId="71CB0E7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5F72402" w14:textId="77777777" w:rsidR="00C36261" w:rsidRPr="00A57ABC" w:rsidRDefault="00C36261" w:rsidP="00624091">
            <w:pPr>
              <w:widowControl w:val="0"/>
              <w:ind w:left="141"/>
              <w:rPr>
                <w:rFonts w:eastAsiaTheme="minorHAnsi"/>
                <w:sz w:val="14"/>
                <w:szCs w:val="14"/>
                <w:lang w:eastAsia="en-US"/>
              </w:rPr>
            </w:pPr>
            <w:r w:rsidRPr="00A57ABC">
              <w:rPr>
                <w:rFonts w:eastAsiaTheme="minorHAnsi"/>
                <w:sz w:val="14"/>
                <w:szCs w:val="14"/>
                <w:lang w:eastAsia="en-US"/>
              </w:rPr>
              <w:t>CALIZA,</w:t>
            </w:r>
            <w:r w:rsidRPr="00A57ABC">
              <w:rPr>
                <w:rFonts w:eastAsiaTheme="minorHAnsi"/>
                <w:spacing w:val="-2"/>
                <w:sz w:val="14"/>
                <w:szCs w:val="14"/>
                <w:lang w:eastAsia="en-US"/>
              </w:rPr>
              <w:t xml:space="preserve"> </w:t>
            </w:r>
            <w:r w:rsidRPr="00A57ABC">
              <w:rPr>
                <w:rFonts w:eastAsiaTheme="minorHAnsi"/>
                <w:sz w:val="14"/>
                <w:szCs w:val="14"/>
                <w:lang w:eastAsia="en-US"/>
              </w:rPr>
              <w:t>CALIZA</w:t>
            </w:r>
          </w:p>
          <w:p w14:paraId="452D1181" w14:textId="77777777" w:rsidR="00C36261" w:rsidRPr="00A57ABC" w:rsidRDefault="00C36261" w:rsidP="00624091">
            <w:pPr>
              <w:widowControl w:val="0"/>
              <w:ind w:left="208"/>
              <w:rPr>
                <w:rFonts w:eastAsiaTheme="minorHAnsi"/>
                <w:sz w:val="14"/>
                <w:szCs w:val="14"/>
                <w:lang w:eastAsia="en-US"/>
              </w:rPr>
            </w:pPr>
            <w:r w:rsidRPr="00A57ABC">
              <w:rPr>
                <w:rFonts w:eastAsiaTheme="minorHAnsi"/>
                <w:sz w:val="14"/>
                <w:szCs w:val="14"/>
                <w:lang w:eastAsia="en-US"/>
              </w:rPr>
              <w:t>DOLOMITICA</w:t>
            </w:r>
          </w:p>
        </w:tc>
        <w:tc>
          <w:tcPr>
            <w:tcW w:w="589" w:type="pct"/>
            <w:vAlign w:val="center"/>
          </w:tcPr>
          <w:p w14:paraId="6D056537" w14:textId="77777777" w:rsidR="00C36261" w:rsidRPr="00A57ABC" w:rsidRDefault="00C36261" w:rsidP="00624091">
            <w:pPr>
              <w:widowControl w:val="0"/>
              <w:ind w:left="33" w:right="2"/>
              <w:jc w:val="center"/>
              <w:rPr>
                <w:rFonts w:eastAsiaTheme="minorHAnsi"/>
                <w:sz w:val="14"/>
                <w:szCs w:val="14"/>
                <w:lang w:eastAsia="en-US"/>
              </w:rPr>
            </w:pPr>
            <w:proofErr w:type="spellStart"/>
            <w:r w:rsidRPr="00A57ABC">
              <w:rPr>
                <w:rFonts w:eastAsiaTheme="minorHAnsi"/>
                <w:sz w:val="14"/>
                <w:szCs w:val="14"/>
                <w:lang w:eastAsia="en-US"/>
              </w:rPr>
              <w:t>Sanarate</w:t>
            </w:r>
            <w:proofErr w:type="spellEnd"/>
          </w:p>
        </w:tc>
        <w:tc>
          <w:tcPr>
            <w:tcW w:w="716" w:type="pct"/>
            <w:vAlign w:val="center"/>
          </w:tcPr>
          <w:p w14:paraId="0308E9A4"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0BFE8EF0" w14:textId="77777777" w:rsidTr="005105AC">
        <w:trPr>
          <w:trHeight w:val="424"/>
          <w:jc w:val="center"/>
        </w:trPr>
        <w:tc>
          <w:tcPr>
            <w:tcW w:w="1367" w:type="pct"/>
            <w:vAlign w:val="center"/>
          </w:tcPr>
          <w:p w14:paraId="322AF166"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LOS</w:t>
            </w:r>
            <w:r w:rsidRPr="00A57ABC">
              <w:rPr>
                <w:rFonts w:eastAsiaTheme="minorHAnsi"/>
                <w:spacing w:val="-2"/>
                <w:sz w:val="14"/>
                <w:szCs w:val="14"/>
                <w:lang w:eastAsia="en-US"/>
              </w:rPr>
              <w:t xml:space="preserve"> </w:t>
            </w:r>
            <w:r w:rsidRPr="00A57ABC">
              <w:rPr>
                <w:rFonts w:eastAsiaTheme="minorHAnsi"/>
                <w:sz w:val="14"/>
                <w:szCs w:val="14"/>
                <w:lang w:eastAsia="en-US"/>
              </w:rPr>
              <w:t>BOLOS</w:t>
            </w:r>
            <w:r w:rsidRPr="00A57ABC">
              <w:rPr>
                <w:rFonts w:eastAsiaTheme="minorHAnsi"/>
                <w:spacing w:val="-1"/>
                <w:sz w:val="14"/>
                <w:szCs w:val="14"/>
                <w:lang w:eastAsia="en-US"/>
              </w:rPr>
              <w:t xml:space="preserve"> </w:t>
            </w:r>
            <w:r w:rsidRPr="00A57ABC">
              <w:rPr>
                <w:rFonts w:eastAsiaTheme="minorHAnsi"/>
                <w:sz w:val="14"/>
                <w:szCs w:val="14"/>
                <w:lang w:eastAsia="en-US"/>
              </w:rPr>
              <w:t>2</w:t>
            </w:r>
          </w:p>
        </w:tc>
        <w:tc>
          <w:tcPr>
            <w:tcW w:w="613" w:type="pct"/>
            <w:vAlign w:val="center"/>
          </w:tcPr>
          <w:p w14:paraId="06F2830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21/03/2000</w:t>
            </w:r>
          </w:p>
        </w:tc>
        <w:tc>
          <w:tcPr>
            <w:tcW w:w="625" w:type="pct"/>
            <w:vAlign w:val="center"/>
          </w:tcPr>
          <w:p w14:paraId="63599E6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20/03/2025</w:t>
            </w:r>
          </w:p>
        </w:tc>
        <w:tc>
          <w:tcPr>
            <w:tcW w:w="306" w:type="pct"/>
            <w:vAlign w:val="center"/>
          </w:tcPr>
          <w:p w14:paraId="22F14F8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E85B5DC" w14:textId="77777777" w:rsidR="00C36261" w:rsidRPr="00A57ABC" w:rsidRDefault="00C36261" w:rsidP="00624091">
            <w:pPr>
              <w:widowControl w:val="0"/>
              <w:ind w:left="88" w:right="52" w:firstLine="232"/>
              <w:rPr>
                <w:rFonts w:eastAsiaTheme="minorHAnsi"/>
                <w:sz w:val="14"/>
                <w:szCs w:val="14"/>
                <w:lang w:eastAsia="en-US"/>
              </w:rPr>
            </w:pPr>
            <w:r w:rsidRPr="00A57ABC">
              <w:rPr>
                <w:rFonts w:eastAsiaTheme="minorHAnsi"/>
                <w:sz w:val="14"/>
                <w:szCs w:val="14"/>
                <w:lang w:eastAsia="en-US"/>
              </w:rPr>
              <w:t>MARMOL</w:t>
            </w:r>
            <w:r w:rsidRPr="00A57ABC">
              <w:rPr>
                <w:rFonts w:eastAsiaTheme="minorHAnsi"/>
                <w:spacing w:val="1"/>
                <w:sz w:val="14"/>
                <w:szCs w:val="14"/>
                <w:lang w:eastAsia="en-US"/>
              </w:rPr>
              <w:t xml:space="preserve"> </w:t>
            </w:r>
            <w:r w:rsidRPr="00A57ABC">
              <w:rPr>
                <w:rFonts w:eastAsiaTheme="minorHAnsi"/>
                <w:sz w:val="14"/>
                <w:szCs w:val="14"/>
                <w:lang w:eastAsia="en-US"/>
              </w:rPr>
              <w:t>(BLANCO</w:t>
            </w:r>
            <w:r w:rsidRPr="00A57ABC">
              <w:rPr>
                <w:rFonts w:eastAsiaTheme="minorHAnsi"/>
                <w:spacing w:val="-7"/>
                <w:sz w:val="14"/>
                <w:szCs w:val="14"/>
                <w:lang w:eastAsia="en-US"/>
              </w:rPr>
              <w:t xml:space="preserve"> </w:t>
            </w:r>
            <w:r w:rsidRPr="00A57ABC">
              <w:rPr>
                <w:rFonts w:eastAsiaTheme="minorHAnsi"/>
                <w:sz w:val="14"/>
                <w:szCs w:val="14"/>
                <w:lang w:eastAsia="en-US"/>
              </w:rPr>
              <w:t>Y</w:t>
            </w:r>
            <w:r w:rsidRPr="00A57ABC">
              <w:rPr>
                <w:rFonts w:eastAsiaTheme="minorHAnsi"/>
                <w:spacing w:val="-6"/>
                <w:sz w:val="14"/>
                <w:szCs w:val="14"/>
                <w:lang w:eastAsia="en-US"/>
              </w:rPr>
              <w:t xml:space="preserve"> </w:t>
            </w:r>
            <w:r w:rsidRPr="00A57ABC">
              <w:rPr>
                <w:rFonts w:eastAsiaTheme="minorHAnsi"/>
                <w:sz w:val="14"/>
                <w:szCs w:val="14"/>
                <w:lang w:eastAsia="en-US"/>
              </w:rPr>
              <w:t>GRIS)</w:t>
            </w:r>
          </w:p>
        </w:tc>
        <w:tc>
          <w:tcPr>
            <w:tcW w:w="589" w:type="pct"/>
            <w:vAlign w:val="center"/>
          </w:tcPr>
          <w:p w14:paraId="7AFEF33B"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49137F11"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7AE843B2" w14:textId="77777777" w:rsidTr="005105AC">
        <w:trPr>
          <w:trHeight w:val="401"/>
          <w:jc w:val="center"/>
        </w:trPr>
        <w:tc>
          <w:tcPr>
            <w:tcW w:w="1367" w:type="pct"/>
            <w:vAlign w:val="center"/>
          </w:tcPr>
          <w:p w14:paraId="60E66ED1"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MAGDALENA</w:t>
            </w:r>
          </w:p>
        </w:tc>
        <w:tc>
          <w:tcPr>
            <w:tcW w:w="613" w:type="pct"/>
            <w:vAlign w:val="center"/>
          </w:tcPr>
          <w:p w14:paraId="2364C31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18/02/2006</w:t>
            </w:r>
          </w:p>
        </w:tc>
        <w:tc>
          <w:tcPr>
            <w:tcW w:w="625" w:type="pct"/>
            <w:vAlign w:val="center"/>
          </w:tcPr>
          <w:p w14:paraId="2CE689C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17/02/2031</w:t>
            </w:r>
          </w:p>
        </w:tc>
        <w:tc>
          <w:tcPr>
            <w:tcW w:w="306" w:type="pct"/>
            <w:vAlign w:val="center"/>
          </w:tcPr>
          <w:p w14:paraId="1DCB48E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623EA19" w14:textId="77777777" w:rsidR="00C36261" w:rsidRPr="00A57ABC" w:rsidRDefault="00C36261" w:rsidP="00624091">
            <w:pPr>
              <w:widowControl w:val="0"/>
              <w:ind w:left="45" w:right="11" w:firstLine="2"/>
              <w:jc w:val="center"/>
              <w:rPr>
                <w:rFonts w:eastAsiaTheme="minorHAnsi"/>
                <w:sz w:val="14"/>
                <w:szCs w:val="14"/>
                <w:lang w:val="es-GT" w:eastAsia="en-US"/>
              </w:rPr>
            </w:pPr>
            <w:r w:rsidRPr="00A57ABC">
              <w:rPr>
                <w:rFonts w:eastAsiaTheme="minorHAnsi"/>
                <w:sz w:val="14"/>
                <w:szCs w:val="14"/>
                <w:lang w:val="es-GT" w:eastAsia="en-US"/>
              </w:rPr>
              <w:t>ARENA, GRAVA,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BLOQUES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TOBA RIOLITICA,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RIOLITA, CUARZO,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CALIZ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ARENISCA</w:t>
            </w:r>
          </w:p>
        </w:tc>
        <w:tc>
          <w:tcPr>
            <w:tcW w:w="589" w:type="pct"/>
            <w:vAlign w:val="center"/>
          </w:tcPr>
          <w:p w14:paraId="5599B817" w14:textId="77777777" w:rsidR="00C36261" w:rsidRPr="00A57ABC" w:rsidRDefault="00C36261" w:rsidP="00624091">
            <w:pPr>
              <w:widowControl w:val="0"/>
              <w:ind w:left="45" w:right="8"/>
              <w:jc w:val="center"/>
              <w:rPr>
                <w:rFonts w:eastAsiaTheme="minorHAnsi"/>
                <w:sz w:val="14"/>
                <w:szCs w:val="14"/>
                <w:lang w:val="es-GT" w:eastAsia="en-US"/>
              </w:rPr>
            </w:pPr>
            <w:r w:rsidRPr="00A57ABC">
              <w:rPr>
                <w:rFonts w:eastAsiaTheme="minorHAnsi"/>
                <w:sz w:val="14"/>
                <w:szCs w:val="14"/>
                <w:lang w:val="es-GT" w:eastAsia="en-US"/>
              </w:rPr>
              <w:t xml:space="preserve">San </w:t>
            </w:r>
            <w:proofErr w:type="spellStart"/>
            <w:r w:rsidRPr="00A57ABC">
              <w:rPr>
                <w:rFonts w:eastAsiaTheme="minorHAnsi"/>
                <w:sz w:val="14"/>
                <w:szCs w:val="14"/>
                <w:lang w:val="es-GT" w:eastAsia="en-US"/>
              </w:rPr>
              <w:t>Agustin</w:t>
            </w:r>
            <w:proofErr w:type="spellEnd"/>
            <w:r w:rsidRPr="00A57ABC">
              <w:rPr>
                <w:rFonts w:eastAsiaTheme="minorHAnsi"/>
                <w:spacing w:val="1"/>
                <w:sz w:val="14"/>
                <w:szCs w:val="14"/>
                <w:lang w:val="es-GT" w:eastAsia="en-US"/>
              </w:rPr>
              <w:t xml:space="preserve"> </w:t>
            </w:r>
            <w:proofErr w:type="spellStart"/>
            <w:r w:rsidRPr="00A57ABC">
              <w:rPr>
                <w:rFonts w:eastAsiaTheme="minorHAnsi"/>
                <w:sz w:val="14"/>
                <w:szCs w:val="14"/>
                <w:lang w:val="es-GT" w:eastAsia="en-US"/>
              </w:rPr>
              <w:t>Acasaguastlan</w:t>
            </w:r>
            <w:proofErr w:type="spellEnd"/>
            <w:r w:rsidRPr="00A57ABC">
              <w:rPr>
                <w:rFonts w:eastAsiaTheme="minorHAnsi"/>
                <w:spacing w:val="-34"/>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El Jícaro</w:t>
            </w:r>
          </w:p>
        </w:tc>
        <w:tc>
          <w:tcPr>
            <w:tcW w:w="716" w:type="pct"/>
            <w:vAlign w:val="center"/>
          </w:tcPr>
          <w:p w14:paraId="658D5AFB"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0FA03A94" w14:textId="77777777" w:rsidTr="005105AC">
        <w:trPr>
          <w:trHeight w:val="427"/>
          <w:jc w:val="center"/>
        </w:trPr>
        <w:tc>
          <w:tcPr>
            <w:tcW w:w="1367" w:type="pct"/>
            <w:vAlign w:val="center"/>
          </w:tcPr>
          <w:p w14:paraId="285789BE"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MANO</w:t>
            </w:r>
            <w:r w:rsidRPr="00A57ABC">
              <w:rPr>
                <w:rFonts w:eastAsiaTheme="minorHAnsi"/>
                <w:spacing w:val="-2"/>
                <w:sz w:val="14"/>
                <w:szCs w:val="14"/>
                <w:lang w:eastAsia="en-US"/>
              </w:rPr>
              <w:t xml:space="preserve"> </w:t>
            </w:r>
            <w:r w:rsidRPr="00A57ABC">
              <w:rPr>
                <w:rFonts w:eastAsiaTheme="minorHAnsi"/>
                <w:sz w:val="14"/>
                <w:szCs w:val="14"/>
                <w:lang w:eastAsia="en-US"/>
              </w:rPr>
              <w:t>DE LEON I</w:t>
            </w:r>
          </w:p>
        </w:tc>
        <w:tc>
          <w:tcPr>
            <w:tcW w:w="613" w:type="pct"/>
            <w:vAlign w:val="center"/>
          </w:tcPr>
          <w:p w14:paraId="7118B188"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5/08/1999</w:t>
            </w:r>
          </w:p>
        </w:tc>
        <w:tc>
          <w:tcPr>
            <w:tcW w:w="625" w:type="pct"/>
            <w:vAlign w:val="center"/>
          </w:tcPr>
          <w:p w14:paraId="7B49E663"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4/08/2024</w:t>
            </w:r>
          </w:p>
        </w:tc>
        <w:tc>
          <w:tcPr>
            <w:tcW w:w="306" w:type="pct"/>
            <w:vAlign w:val="center"/>
          </w:tcPr>
          <w:p w14:paraId="732D795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B7AC1A8" w14:textId="77777777" w:rsidR="00C36261" w:rsidRPr="00A57ABC" w:rsidRDefault="00C36261" w:rsidP="00624091">
            <w:pPr>
              <w:widowControl w:val="0"/>
              <w:ind w:left="48" w:right="14" w:hanging="2"/>
              <w:jc w:val="center"/>
              <w:rPr>
                <w:rFonts w:eastAsiaTheme="minorHAnsi"/>
                <w:sz w:val="14"/>
                <w:szCs w:val="14"/>
                <w:lang w:val="es-GT" w:eastAsia="en-US"/>
              </w:rPr>
            </w:pPr>
            <w:r w:rsidRPr="00A57ABC">
              <w:rPr>
                <w:rFonts w:eastAsiaTheme="minorHAnsi"/>
                <w:sz w:val="14"/>
                <w:szCs w:val="14"/>
                <w:lang w:val="es-GT" w:eastAsia="en-US"/>
              </w:rPr>
              <w:t>FELDESPATO, CUA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RZO, TALCO, VERM</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ICULITA</w:t>
            </w:r>
          </w:p>
        </w:tc>
        <w:tc>
          <w:tcPr>
            <w:tcW w:w="589" w:type="pct"/>
            <w:vAlign w:val="center"/>
          </w:tcPr>
          <w:p w14:paraId="36CC77EA" w14:textId="77777777" w:rsidR="00C36261" w:rsidRPr="00A57ABC" w:rsidRDefault="00C36261" w:rsidP="00624091">
            <w:pPr>
              <w:widowControl w:val="0"/>
              <w:ind w:left="57" w:right="12" w:firstLine="127"/>
              <w:jc w:val="center"/>
              <w:rPr>
                <w:rFonts w:eastAsiaTheme="minorHAnsi"/>
                <w:sz w:val="14"/>
                <w:szCs w:val="14"/>
                <w:lang w:eastAsia="en-US"/>
              </w:rPr>
            </w:pPr>
            <w:r w:rsidRPr="00A57ABC">
              <w:rPr>
                <w:rFonts w:eastAsiaTheme="minorHAnsi"/>
                <w:sz w:val="14"/>
                <w:szCs w:val="14"/>
                <w:lang w:eastAsia="en-US"/>
              </w:rPr>
              <w:t>San Agustin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Acasaguastlan</w:t>
            </w:r>
            <w:proofErr w:type="spellEnd"/>
          </w:p>
        </w:tc>
        <w:tc>
          <w:tcPr>
            <w:tcW w:w="716" w:type="pct"/>
            <w:vAlign w:val="center"/>
          </w:tcPr>
          <w:p w14:paraId="74843989"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718162C0" w14:textId="77777777" w:rsidTr="005105AC">
        <w:trPr>
          <w:trHeight w:val="543"/>
          <w:jc w:val="center"/>
        </w:trPr>
        <w:tc>
          <w:tcPr>
            <w:tcW w:w="1367" w:type="pct"/>
            <w:vAlign w:val="center"/>
          </w:tcPr>
          <w:p w14:paraId="79A4E4BE" w14:textId="77777777" w:rsidR="00C36261" w:rsidRPr="00A57ABC" w:rsidRDefault="00C36261" w:rsidP="00624091">
            <w:pPr>
              <w:widowControl w:val="0"/>
              <w:ind w:left="389" w:right="228" w:hanging="125"/>
              <w:rPr>
                <w:rFonts w:eastAsiaTheme="minorHAnsi"/>
                <w:sz w:val="14"/>
                <w:szCs w:val="14"/>
                <w:lang w:eastAsia="en-US"/>
              </w:rPr>
            </w:pPr>
            <w:r w:rsidRPr="00A57ABC">
              <w:rPr>
                <w:rFonts w:eastAsiaTheme="minorHAnsi"/>
                <w:spacing w:val="-1"/>
                <w:sz w:val="14"/>
                <w:szCs w:val="14"/>
                <w:lang w:eastAsia="en-US"/>
              </w:rPr>
              <w:t xml:space="preserve">MINERO </w:t>
            </w:r>
            <w:r w:rsidRPr="00A57ABC">
              <w:rPr>
                <w:rFonts w:eastAsiaTheme="minorHAnsi"/>
                <w:sz w:val="14"/>
                <w:szCs w:val="14"/>
                <w:lang w:eastAsia="en-US"/>
              </w:rPr>
              <w:t>EL</w:t>
            </w:r>
            <w:r w:rsidRPr="00A57ABC">
              <w:rPr>
                <w:rFonts w:eastAsiaTheme="minorHAnsi"/>
                <w:spacing w:val="-34"/>
                <w:sz w:val="14"/>
                <w:szCs w:val="14"/>
                <w:lang w:eastAsia="en-US"/>
              </w:rPr>
              <w:t xml:space="preserve"> </w:t>
            </w:r>
            <w:r w:rsidRPr="00A57ABC">
              <w:rPr>
                <w:rFonts w:eastAsiaTheme="minorHAnsi"/>
                <w:sz w:val="14"/>
                <w:szCs w:val="14"/>
                <w:lang w:eastAsia="en-US"/>
              </w:rPr>
              <w:t>SASTRE</w:t>
            </w:r>
          </w:p>
        </w:tc>
        <w:tc>
          <w:tcPr>
            <w:tcW w:w="613" w:type="pct"/>
            <w:vAlign w:val="center"/>
          </w:tcPr>
          <w:p w14:paraId="25949DC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20/07/2006</w:t>
            </w:r>
          </w:p>
        </w:tc>
        <w:tc>
          <w:tcPr>
            <w:tcW w:w="625" w:type="pct"/>
            <w:vAlign w:val="center"/>
          </w:tcPr>
          <w:p w14:paraId="14E7FFC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19/07/2031</w:t>
            </w:r>
          </w:p>
        </w:tc>
        <w:tc>
          <w:tcPr>
            <w:tcW w:w="306" w:type="pct"/>
            <w:vAlign w:val="center"/>
          </w:tcPr>
          <w:p w14:paraId="140D6A1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1ACCB4D" w14:textId="77777777" w:rsidR="00C36261" w:rsidRPr="00A57ABC" w:rsidRDefault="00C36261" w:rsidP="00624091">
            <w:pPr>
              <w:widowControl w:val="0"/>
              <w:ind w:left="156" w:right="120" w:firstLine="1"/>
              <w:jc w:val="center"/>
              <w:rPr>
                <w:rFonts w:eastAsiaTheme="minorHAnsi"/>
                <w:sz w:val="14"/>
                <w:szCs w:val="14"/>
                <w:lang w:val="es-GT" w:eastAsia="en-US"/>
              </w:rPr>
            </w:pPr>
            <w:r w:rsidRPr="00A57ABC">
              <w:rPr>
                <w:rFonts w:eastAsiaTheme="minorHAnsi"/>
                <w:sz w:val="14"/>
                <w:szCs w:val="14"/>
                <w:lang w:val="es-GT" w:eastAsia="en-US"/>
              </w:rPr>
              <w:t>ANFIBOLITAS,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ESQUISTOS,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FILITAS, ORO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SAPROLITAS</w:t>
            </w:r>
          </w:p>
          <w:p w14:paraId="3D0030F9"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AURIFERAS</w:t>
            </w:r>
          </w:p>
        </w:tc>
        <w:tc>
          <w:tcPr>
            <w:tcW w:w="589" w:type="pct"/>
            <w:vAlign w:val="center"/>
          </w:tcPr>
          <w:p w14:paraId="47CF9F86" w14:textId="77777777" w:rsidR="00C36261" w:rsidRPr="00A57ABC" w:rsidRDefault="00C36261" w:rsidP="00624091">
            <w:pPr>
              <w:widowControl w:val="0"/>
              <w:ind w:left="509" w:right="19" w:hanging="442"/>
              <w:jc w:val="center"/>
              <w:rPr>
                <w:rFonts w:eastAsiaTheme="minorHAnsi"/>
                <w:sz w:val="14"/>
                <w:szCs w:val="14"/>
                <w:lang w:eastAsia="en-US"/>
              </w:rPr>
            </w:pPr>
            <w:r w:rsidRPr="00A57ABC">
              <w:rPr>
                <w:rFonts w:eastAsiaTheme="minorHAnsi"/>
                <w:sz w:val="14"/>
                <w:szCs w:val="14"/>
                <w:lang w:eastAsia="en-US"/>
              </w:rPr>
              <w:t>San Antonio La</w:t>
            </w:r>
            <w:r w:rsidRPr="00A57ABC">
              <w:rPr>
                <w:rFonts w:eastAsiaTheme="minorHAnsi"/>
                <w:spacing w:val="-34"/>
                <w:sz w:val="14"/>
                <w:szCs w:val="14"/>
                <w:lang w:eastAsia="en-US"/>
              </w:rPr>
              <w:t xml:space="preserve"> </w:t>
            </w:r>
            <w:r w:rsidRPr="00A57ABC">
              <w:rPr>
                <w:rFonts w:eastAsiaTheme="minorHAnsi"/>
                <w:sz w:val="14"/>
                <w:szCs w:val="14"/>
                <w:lang w:eastAsia="en-US"/>
              </w:rPr>
              <w:t>Paz</w:t>
            </w:r>
          </w:p>
        </w:tc>
        <w:tc>
          <w:tcPr>
            <w:tcW w:w="716" w:type="pct"/>
            <w:vAlign w:val="center"/>
          </w:tcPr>
          <w:p w14:paraId="5CEC54E3"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42739800" w14:textId="77777777" w:rsidTr="005105AC">
        <w:trPr>
          <w:trHeight w:val="805"/>
          <w:jc w:val="center"/>
        </w:trPr>
        <w:tc>
          <w:tcPr>
            <w:tcW w:w="1367" w:type="pct"/>
            <w:vAlign w:val="center"/>
          </w:tcPr>
          <w:p w14:paraId="6DD6CD75" w14:textId="77777777" w:rsidR="00C36261" w:rsidRPr="00A57ABC" w:rsidRDefault="00C36261" w:rsidP="00624091">
            <w:pPr>
              <w:widowControl w:val="0"/>
              <w:ind w:left="103" w:right="77" w:firstLine="1"/>
              <w:jc w:val="center"/>
              <w:rPr>
                <w:rFonts w:eastAsiaTheme="minorHAnsi"/>
                <w:sz w:val="14"/>
                <w:szCs w:val="14"/>
                <w:lang w:val="es-GT" w:eastAsia="en-US"/>
              </w:rPr>
            </w:pPr>
            <w:r w:rsidRPr="00A57ABC">
              <w:rPr>
                <w:rFonts w:eastAsiaTheme="minorHAnsi"/>
                <w:sz w:val="14"/>
                <w:szCs w:val="14"/>
                <w:lang w:val="es-GT" w:eastAsia="en-US"/>
              </w:rPr>
              <w:t>PROYECTO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MINERO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CANTERA FINCA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MIGUEL</w:t>
            </w:r>
          </w:p>
        </w:tc>
        <w:tc>
          <w:tcPr>
            <w:tcW w:w="613" w:type="pct"/>
            <w:vAlign w:val="center"/>
          </w:tcPr>
          <w:p w14:paraId="5AE4569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17/10/2013</w:t>
            </w:r>
          </w:p>
        </w:tc>
        <w:tc>
          <w:tcPr>
            <w:tcW w:w="625" w:type="pct"/>
            <w:vAlign w:val="center"/>
          </w:tcPr>
          <w:p w14:paraId="3CB23D2D"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16/10/2038</w:t>
            </w:r>
          </w:p>
        </w:tc>
        <w:tc>
          <w:tcPr>
            <w:tcW w:w="306" w:type="pct"/>
            <w:vAlign w:val="center"/>
          </w:tcPr>
          <w:p w14:paraId="0C19EED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9ED7AC9" w14:textId="77777777" w:rsidR="00C36261" w:rsidRPr="00A57ABC" w:rsidRDefault="00C36261" w:rsidP="00624091">
            <w:pPr>
              <w:widowControl w:val="0"/>
              <w:ind w:left="64" w:right="28" w:hanging="2"/>
              <w:jc w:val="center"/>
              <w:rPr>
                <w:rFonts w:eastAsiaTheme="minorHAnsi"/>
                <w:sz w:val="14"/>
                <w:szCs w:val="14"/>
                <w:lang w:val="es-GT" w:eastAsia="en-US"/>
              </w:rPr>
            </w:pPr>
            <w:r w:rsidRPr="00A57ABC">
              <w:rPr>
                <w:rFonts w:eastAsiaTheme="minorHAnsi"/>
                <w:sz w:val="14"/>
                <w:szCs w:val="14"/>
                <w:lang w:val="es-GT" w:eastAsia="en-US"/>
              </w:rPr>
              <w:t>CALIZA, CALIZA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OLOMITICA,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CALIZA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MARMOLIZADA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BRECHA</w:t>
            </w:r>
          </w:p>
          <w:p w14:paraId="068C5D72"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CALCAREA</w:t>
            </w:r>
          </w:p>
        </w:tc>
        <w:tc>
          <w:tcPr>
            <w:tcW w:w="589" w:type="pct"/>
            <w:vAlign w:val="center"/>
          </w:tcPr>
          <w:p w14:paraId="404C93D2" w14:textId="77777777" w:rsidR="00C36261" w:rsidRPr="00A57ABC" w:rsidRDefault="00C36261" w:rsidP="00624091">
            <w:pPr>
              <w:widowControl w:val="0"/>
              <w:ind w:right="25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2FEA16A5" w14:textId="77777777" w:rsidR="00C36261" w:rsidRPr="00A57ABC" w:rsidRDefault="00C36261" w:rsidP="00624091">
            <w:pPr>
              <w:widowControl w:val="0"/>
              <w:ind w:right="19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0860B46E" w14:textId="77777777" w:rsidTr="005105AC">
        <w:trPr>
          <w:trHeight w:val="186"/>
          <w:jc w:val="center"/>
        </w:trPr>
        <w:tc>
          <w:tcPr>
            <w:tcW w:w="1367" w:type="pct"/>
            <w:vAlign w:val="center"/>
          </w:tcPr>
          <w:p w14:paraId="679B0C98"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RISOMA</w:t>
            </w:r>
          </w:p>
        </w:tc>
        <w:tc>
          <w:tcPr>
            <w:tcW w:w="613" w:type="pct"/>
            <w:vAlign w:val="center"/>
          </w:tcPr>
          <w:p w14:paraId="423EFFD5"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1/05/2004</w:t>
            </w:r>
          </w:p>
        </w:tc>
        <w:tc>
          <w:tcPr>
            <w:tcW w:w="625" w:type="pct"/>
            <w:vAlign w:val="center"/>
          </w:tcPr>
          <w:p w14:paraId="05E95557"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30/04/2029</w:t>
            </w:r>
          </w:p>
        </w:tc>
        <w:tc>
          <w:tcPr>
            <w:tcW w:w="306" w:type="pct"/>
            <w:vAlign w:val="center"/>
          </w:tcPr>
          <w:p w14:paraId="637B9E9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8807C66"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MARMOL</w:t>
            </w:r>
          </w:p>
        </w:tc>
        <w:tc>
          <w:tcPr>
            <w:tcW w:w="589" w:type="pct"/>
            <w:vAlign w:val="center"/>
          </w:tcPr>
          <w:p w14:paraId="1431119A" w14:textId="77777777" w:rsidR="00C36261" w:rsidRPr="00A57ABC" w:rsidRDefault="00C36261" w:rsidP="00624091">
            <w:pPr>
              <w:widowControl w:val="0"/>
              <w:ind w:right="252"/>
              <w:jc w:val="center"/>
              <w:rPr>
                <w:rFonts w:eastAsiaTheme="minorHAnsi"/>
                <w:sz w:val="14"/>
                <w:szCs w:val="14"/>
                <w:lang w:eastAsia="en-US"/>
              </w:rPr>
            </w:pPr>
            <w:r w:rsidRPr="00A57ABC">
              <w:rPr>
                <w:rFonts w:eastAsiaTheme="minorHAnsi"/>
                <w:sz w:val="14"/>
                <w:szCs w:val="14"/>
                <w:lang w:eastAsia="en-US"/>
              </w:rPr>
              <w:t>Morazán</w:t>
            </w:r>
          </w:p>
        </w:tc>
        <w:tc>
          <w:tcPr>
            <w:tcW w:w="716" w:type="pct"/>
            <w:vAlign w:val="center"/>
          </w:tcPr>
          <w:p w14:paraId="397CEB6E" w14:textId="77777777" w:rsidR="00C36261" w:rsidRPr="00A57ABC" w:rsidRDefault="00C36261" w:rsidP="00624091">
            <w:pPr>
              <w:widowControl w:val="0"/>
              <w:ind w:right="19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32F44494" w14:textId="77777777" w:rsidTr="005105AC">
        <w:trPr>
          <w:trHeight w:val="701"/>
          <w:jc w:val="center"/>
        </w:trPr>
        <w:tc>
          <w:tcPr>
            <w:tcW w:w="1367" w:type="pct"/>
            <w:vAlign w:val="center"/>
          </w:tcPr>
          <w:p w14:paraId="77023BB7"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SAN MIGUEL</w:t>
            </w:r>
          </w:p>
        </w:tc>
        <w:tc>
          <w:tcPr>
            <w:tcW w:w="613" w:type="pct"/>
            <w:vAlign w:val="center"/>
          </w:tcPr>
          <w:p w14:paraId="127CFDD3" w14:textId="77777777" w:rsidR="00C36261" w:rsidRPr="00A57ABC" w:rsidRDefault="00C36261" w:rsidP="00624091">
            <w:pPr>
              <w:widowControl w:val="0"/>
              <w:ind w:left="186"/>
              <w:jc w:val="center"/>
              <w:rPr>
                <w:rFonts w:eastAsiaTheme="minorHAnsi"/>
                <w:sz w:val="14"/>
                <w:szCs w:val="14"/>
                <w:lang w:eastAsia="en-US"/>
              </w:rPr>
            </w:pPr>
            <w:r w:rsidRPr="00A57ABC">
              <w:rPr>
                <w:rFonts w:eastAsiaTheme="minorHAnsi"/>
                <w:sz w:val="14"/>
                <w:szCs w:val="14"/>
                <w:lang w:eastAsia="en-US"/>
              </w:rPr>
              <w:t>4/10/1971 AL</w:t>
            </w:r>
          </w:p>
          <w:p w14:paraId="60224B89" w14:textId="77777777" w:rsidR="00C36261" w:rsidRPr="00A57ABC" w:rsidRDefault="00C36261" w:rsidP="00624091">
            <w:pPr>
              <w:widowControl w:val="0"/>
              <w:ind w:left="124"/>
              <w:jc w:val="center"/>
              <w:rPr>
                <w:rFonts w:eastAsiaTheme="minorHAnsi"/>
                <w:sz w:val="14"/>
                <w:szCs w:val="14"/>
                <w:lang w:eastAsia="en-US"/>
              </w:rPr>
            </w:pPr>
            <w:r w:rsidRPr="00A57ABC">
              <w:rPr>
                <w:rFonts w:eastAsiaTheme="minorHAnsi"/>
                <w:sz w:val="14"/>
                <w:szCs w:val="14"/>
                <w:lang w:eastAsia="en-US"/>
              </w:rPr>
              <w:t>3/10/2011, DEL</w:t>
            </w:r>
          </w:p>
          <w:p w14:paraId="1EB8B657" w14:textId="77777777" w:rsidR="00C36261" w:rsidRPr="00A57ABC" w:rsidRDefault="00C36261" w:rsidP="00624091">
            <w:pPr>
              <w:widowControl w:val="0"/>
              <w:ind w:left="186"/>
              <w:jc w:val="center"/>
              <w:rPr>
                <w:rFonts w:eastAsiaTheme="minorHAnsi"/>
                <w:sz w:val="14"/>
                <w:szCs w:val="14"/>
                <w:lang w:eastAsia="en-US"/>
              </w:rPr>
            </w:pPr>
            <w:r w:rsidRPr="00A57ABC">
              <w:rPr>
                <w:rFonts w:eastAsiaTheme="minorHAnsi"/>
                <w:sz w:val="14"/>
                <w:szCs w:val="14"/>
                <w:lang w:eastAsia="en-US"/>
              </w:rPr>
              <w:t>4/10/2011 AL</w:t>
            </w:r>
          </w:p>
          <w:p w14:paraId="2F37ECD7" w14:textId="77777777" w:rsidR="00C36261" w:rsidRPr="00A57ABC" w:rsidRDefault="00C36261" w:rsidP="00624091">
            <w:pPr>
              <w:widowControl w:val="0"/>
              <w:ind w:left="285"/>
              <w:jc w:val="center"/>
              <w:rPr>
                <w:rFonts w:eastAsiaTheme="minorHAnsi"/>
                <w:sz w:val="14"/>
                <w:szCs w:val="14"/>
                <w:lang w:eastAsia="en-US"/>
              </w:rPr>
            </w:pPr>
            <w:r w:rsidRPr="00A57ABC">
              <w:rPr>
                <w:rFonts w:eastAsiaTheme="minorHAnsi"/>
                <w:sz w:val="14"/>
                <w:szCs w:val="14"/>
                <w:lang w:eastAsia="en-US"/>
              </w:rPr>
              <w:t>3/10/2036</w:t>
            </w:r>
          </w:p>
        </w:tc>
        <w:tc>
          <w:tcPr>
            <w:tcW w:w="625" w:type="pct"/>
            <w:vAlign w:val="center"/>
          </w:tcPr>
          <w:p w14:paraId="2E1B004C" w14:textId="77777777" w:rsidR="00C36261" w:rsidRPr="00A57ABC" w:rsidRDefault="00C36261" w:rsidP="00624091">
            <w:pPr>
              <w:widowControl w:val="0"/>
              <w:ind w:left="285"/>
              <w:jc w:val="center"/>
              <w:rPr>
                <w:rFonts w:eastAsiaTheme="minorHAnsi"/>
                <w:sz w:val="14"/>
                <w:szCs w:val="14"/>
                <w:lang w:eastAsia="en-US"/>
              </w:rPr>
            </w:pPr>
            <w:r w:rsidRPr="00A57ABC">
              <w:rPr>
                <w:rFonts w:eastAsiaTheme="minorHAnsi"/>
                <w:sz w:val="14"/>
                <w:szCs w:val="14"/>
                <w:lang w:eastAsia="en-US"/>
              </w:rPr>
              <w:t>3/10/2036</w:t>
            </w:r>
          </w:p>
        </w:tc>
        <w:tc>
          <w:tcPr>
            <w:tcW w:w="306" w:type="pct"/>
            <w:vAlign w:val="center"/>
          </w:tcPr>
          <w:p w14:paraId="238A1100"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2BAF4C9" w14:textId="77777777" w:rsidR="00C36261" w:rsidRPr="00A57ABC" w:rsidRDefault="00C36261" w:rsidP="00624091">
            <w:pPr>
              <w:widowControl w:val="0"/>
              <w:ind w:left="74" w:right="42"/>
              <w:jc w:val="center"/>
              <w:rPr>
                <w:rFonts w:eastAsiaTheme="minorHAnsi"/>
                <w:sz w:val="14"/>
                <w:szCs w:val="14"/>
                <w:lang w:val="es-GT" w:eastAsia="en-US"/>
              </w:rPr>
            </w:pPr>
            <w:r w:rsidRPr="00A57ABC">
              <w:rPr>
                <w:rFonts w:eastAsiaTheme="minorHAnsi"/>
                <w:sz w:val="14"/>
                <w:szCs w:val="14"/>
                <w:lang w:val="es-GT" w:eastAsia="en-US"/>
              </w:rPr>
              <w:t>PIEDRA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DOLOMITICA,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PIEDRA CALIZA,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p>
          <w:p w14:paraId="594D76F2"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ESQUISTO</w:t>
            </w:r>
          </w:p>
        </w:tc>
        <w:tc>
          <w:tcPr>
            <w:tcW w:w="589" w:type="pct"/>
            <w:vAlign w:val="center"/>
          </w:tcPr>
          <w:p w14:paraId="4F2D1D98" w14:textId="77777777" w:rsidR="00C36261" w:rsidRPr="00A57ABC" w:rsidRDefault="00C36261" w:rsidP="00624091">
            <w:pPr>
              <w:widowControl w:val="0"/>
              <w:ind w:left="77" w:right="27" w:hanging="5"/>
              <w:jc w:val="center"/>
              <w:rPr>
                <w:rFonts w:eastAsiaTheme="minorHAnsi"/>
                <w:sz w:val="14"/>
                <w:szCs w:val="14"/>
                <w:lang w:val="es-GT" w:eastAsia="en-US"/>
              </w:rPr>
            </w:pPr>
            <w:r w:rsidRPr="00A57ABC">
              <w:rPr>
                <w:rFonts w:eastAsiaTheme="minorHAnsi"/>
                <w:sz w:val="14"/>
                <w:szCs w:val="14"/>
                <w:lang w:val="es-GT" w:eastAsia="en-US"/>
              </w:rPr>
              <w:t>Sanarate Y San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Antonio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Paz</w:t>
            </w:r>
          </w:p>
        </w:tc>
        <w:tc>
          <w:tcPr>
            <w:tcW w:w="716" w:type="pct"/>
            <w:vAlign w:val="center"/>
          </w:tcPr>
          <w:p w14:paraId="405C60A4" w14:textId="77777777" w:rsidR="00C36261" w:rsidRPr="00A57ABC" w:rsidRDefault="00C36261" w:rsidP="00624091">
            <w:pPr>
              <w:widowControl w:val="0"/>
              <w:ind w:right="19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130AED7A" w14:textId="77777777" w:rsidTr="005105AC">
        <w:trPr>
          <w:trHeight w:val="669"/>
          <w:jc w:val="center"/>
        </w:trPr>
        <w:tc>
          <w:tcPr>
            <w:tcW w:w="1367" w:type="pct"/>
            <w:vAlign w:val="center"/>
          </w:tcPr>
          <w:p w14:paraId="7F725EC3"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lastRenderedPageBreak/>
              <w:t>SANTANDER</w:t>
            </w:r>
          </w:p>
        </w:tc>
        <w:tc>
          <w:tcPr>
            <w:tcW w:w="613" w:type="pct"/>
            <w:vAlign w:val="center"/>
          </w:tcPr>
          <w:p w14:paraId="61AA4A83" w14:textId="77777777" w:rsidR="00C36261" w:rsidRPr="00A57ABC" w:rsidRDefault="00C36261" w:rsidP="00624091">
            <w:pPr>
              <w:widowControl w:val="0"/>
              <w:ind w:left="146"/>
              <w:jc w:val="center"/>
              <w:rPr>
                <w:rFonts w:eastAsiaTheme="minorHAnsi"/>
                <w:sz w:val="14"/>
                <w:szCs w:val="14"/>
                <w:lang w:eastAsia="en-US"/>
              </w:rPr>
            </w:pPr>
            <w:r w:rsidRPr="00A57ABC">
              <w:rPr>
                <w:rFonts w:eastAsiaTheme="minorHAnsi"/>
                <w:sz w:val="14"/>
                <w:szCs w:val="14"/>
                <w:lang w:eastAsia="en-US"/>
              </w:rPr>
              <w:t>23/11/1971</w:t>
            </w:r>
            <w:r w:rsidRPr="00A57ABC">
              <w:rPr>
                <w:rFonts w:eastAsiaTheme="minorHAnsi"/>
                <w:spacing w:val="1"/>
                <w:sz w:val="14"/>
                <w:szCs w:val="14"/>
                <w:lang w:eastAsia="en-US"/>
              </w:rPr>
              <w:t xml:space="preserve"> </w:t>
            </w:r>
            <w:r w:rsidRPr="00A57ABC">
              <w:rPr>
                <w:rFonts w:eastAsiaTheme="minorHAnsi"/>
                <w:sz w:val="14"/>
                <w:szCs w:val="14"/>
                <w:lang w:eastAsia="en-US"/>
              </w:rPr>
              <w:t>AL</w:t>
            </w:r>
          </w:p>
          <w:p w14:paraId="5CF95E2D" w14:textId="77777777" w:rsidR="00C36261" w:rsidRPr="00A57ABC" w:rsidRDefault="00C36261" w:rsidP="00624091">
            <w:pPr>
              <w:widowControl w:val="0"/>
              <w:ind w:left="83"/>
              <w:jc w:val="center"/>
              <w:rPr>
                <w:rFonts w:eastAsiaTheme="minorHAnsi"/>
                <w:sz w:val="14"/>
                <w:szCs w:val="14"/>
                <w:lang w:eastAsia="en-US"/>
              </w:rPr>
            </w:pPr>
            <w:r w:rsidRPr="00A57ABC">
              <w:rPr>
                <w:rFonts w:eastAsiaTheme="minorHAnsi"/>
                <w:sz w:val="14"/>
                <w:szCs w:val="14"/>
                <w:lang w:eastAsia="en-US"/>
              </w:rPr>
              <w:t>22/11/2011,</w:t>
            </w:r>
            <w:r w:rsidRPr="00A57ABC">
              <w:rPr>
                <w:rFonts w:eastAsiaTheme="minorHAnsi"/>
                <w:spacing w:val="1"/>
                <w:sz w:val="14"/>
                <w:szCs w:val="14"/>
                <w:lang w:eastAsia="en-US"/>
              </w:rPr>
              <w:t xml:space="preserve"> </w:t>
            </w:r>
            <w:r w:rsidRPr="00A57ABC">
              <w:rPr>
                <w:rFonts w:eastAsiaTheme="minorHAnsi"/>
                <w:sz w:val="14"/>
                <w:szCs w:val="14"/>
                <w:lang w:eastAsia="en-US"/>
              </w:rPr>
              <w:t>DEL</w:t>
            </w:r>
          </w:p>
          <w:p w14:paraId="659ED556" w14:textId="77777777" w:rsidR="00C36261" w:rsidRPr="00A57ABC" w:rsidRDefault="00C36261" w:rsidP="00624091">
            <w:pPr>
              <w:widowControl w:val="0"/>
              <w:ind w:left="146"/>
              <w:jc w:val="center"/>
              <w:rPr>
                <w:rFonts w:eastAsiaTheme="minorHAnsi"/>
                <w:sz w:val="14"/>
                <w:szCs w:val="14"/>
                <w:lang w:eastAsia="en-US"/>
              </w:rPr>
            </w:pPr>
            <w:r w:rsidRPr="00A57ABC">
              <w:rPr>
                <w:rFonts w:eastAsiaTheme="minorHAnsi"/>
                <w:sz w:val="14"/>
                <w:szCs w:val="14"/>
                <w:lang w:eastAsia="en-US"/>
              </w:rPr>
              <w:t>23/11/2011</w:t>
            </w:r>
            <w:r w:rsidRPr="00A57ABC">
              <w:rPr>
                <w:rFonts w:eastAsiaTheme="minorHAnsi"/>
                <w:spacing w:val="1"/>
                <w:sz w:val="14"/>
                <w:szCs w:val="14"/>
                <w:lang w:eastAsia="en-US"/>
              </w:rPr>
              <w:t xml:space="preserve"> </w:t>
            </w:r>
            <w:r w:rsidRPr="00A57ABC">
              <w:rPr>
                <w:rFonts w:eastAsiaTheme="minorHAnsi"/>
                <w:sz w:val="14"/>
                <w:szCs w:val="14"/>
                <w:lang w:eastAsia="en-US"/>
              </w:rPr>
              <w:t>AL</w:t>
            </w:r>
          </w:p>
          <w:p w14:paraId="196B4126" w14:textId="77777777" w:rsidR="00C36261" w:rsidRPr="00A57ABC" w:rsidRDefault="00C36261" w:rsidP="00624091">
            <w:pPr>
              <w:widowControl w:val="0"/>
              <w:ind w:left="244"/>
              <w:jc w:val="center"/>
              <w:rPr>
                <w:rFonts w:eastAsiaTheme="minorHAnsi"/>
                <w:sz w:val="14"/>
                <w:szCs w:val="14"/>
                <w:lang w:eastAsia="en-US"/>
              </w:rPr>
            </w:pPr>
            <w:r w:rsidRPr="00A57ABC">
              <w:rPr>
                <w:rFonts w:eastAsiaTheme="minorHAnsi"/>
                <w:sz w:val="14"/>
                <w:szCs w:val="14"/>
                <w:lang w:eastAsia="en-US"/>
              </w:rPr>
              <w:t>22/11/2036</w:t>
            </w:r>
          </w:p>
        </w:tc>
        <w:tc>
          <w:tcPr>
            <w:tcW w:w="625" w:type="pct"/>
            <w:vAlign w:val="center"/>
          </w:tcPr>
          <w:p w14:paraId="5396D8E7" w14:textId="77777777" w:rsidR="00C36261" w:rsidRPr="00A57ABC" w:rsidRDefault="00C36261" w:rsidP="00624091">
            <w:pPr>
              <w:widowControl w:val="0"/>
              <w:ind w:left="245"/>
              <w:jc w:val="center"/>
              <w:rPr>
                <w:rFonts w:eastAsiaTheme="minorHAnsi"/>
                <w:sz w:val="14"/>
                <w:szCs w:val="14"/>
                <w:lang w:eastAsia="en-US"/>
              </w:rPr>
            </w:pPr>
            <w:r w:rsidRPr="00A57ABC">
              <w:rPr>
                <w:rFonts w:eastAsiaTheme="minorHAnsi"/>
                <w:sz w:val="14"/>
                <w:szCs w:val="14"/>
                <w:lang w:eastAsia="en-US"/>
              </w:rPr>
              <w:t>22/11/2036</w:t>
            </w:r>
          </w:p>
        </w:tc>
        <w:tc>
          <w:tcPr>
            <w:tcW w:w="306" w:type="pct"/>
            <w:vAlign w:val="center"/>
          </w:tcPr>
          <w:p w14:paraId="0E92509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5EB8104" w14:textId="77777777" w:rsidR="00C36261" w:rsidRPr="00A57ABC" w:rsidRDefault="00C36261" w:rsidP="00624091">
            <w:pPr>
              <w:widowControl w:val="0"/>
              <w:ind w:left="321" w:right="83" w:hanging="195"/>
              <w:jc w:val="center"/>
              <w:rPr>
                <w:rFonts w:eastAsiaTheme="minorHAnsi"/>
                <w:sz w:val="14"/>
                <w:szCs w:val="14"/>
                <w:lang w:val="es-GT" w:eastAsia="en-US"/>
              </w:rPr>
            </w:pPr>
            <w:r w:rsidRPr="00A57ABC">
              <w:rPr>
                <w:rFonts w:eastAsiaTheme="minorHAnsi"/>
                <w:sz w:val="14"/>
                <w:szCs w:val="14"/>
                <w:lang w:val="es-GT" w:eastAsia="en-US"/>
              </w:rPr>
              <w:t>PIEDRA CALIZA,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BARITA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MARMOL</w:t>
            </w:r>
          </w:p>
        </w:tc>
        <w:tc>
          <w:tcPr>
            <w:tcW w:w="589" w:type="pct"/>
            <w:vAlign w:val="center"/>
          </w:tcPr>
          <w:p w14:paraId="00774754" w14:textId="1B537064" w:rsidR="00C36261" w:rsidRPr="00A57ABC" w:rsidRDefault="00C36261" w:rsidP="00624091">
            <w:pPr>
              <w:widowControl w:val="0"/>
              <w:ind w:left="285" w:right="82" w:hanging="159"/>
              <w:jc w:val="center"/>
              <w:rPr>
                <w:rFonts w:eastAsiaTheme="minorHAnsi"/>
                <w:sz w:val="14"/>
                <w:szCs w:val="14"/>
                <w:lang w:eastAsia="en-US"/>
              </w:rPr>
            </w:pPr>
            <w:proofErr w:type="spellStart"/>
            <w:r w:rsidRPr="00A57ABC">
              <w:rPr>
                <w:rFonts w:eastAsiaTheme="minorHAnsi"/>
                <w:sz w:val="14"/>
                <w:szCs w:val="14"/>
                <w:lang w:eastAsia="en-US"/>
              </w:rPr>
              <w:t>Guastatoya</w:t>
            </w:r>
            <w:proofErr w:type="spellEnd"/>
            <w:r w:rsidRPr="00A57ABC">
              <w:rPr>
                <w:rFonts w:eastAsiaTheme="minorHAnsi"/>
                <w:sz w:val="14"/>
                <w:szCs w:val="14"/>
                <w:lang w:eastAsia="en-US"/>
              </w:rPr>
              <w:t xml:space="preserve"> </w:t>
            </w:r>
            <w:proofErr w:type="gramStart"/>
            <w:r w:rsidR="00BD320E">
              <w:rPr>
                <w:rFonts w:eastAsiaTheme="minorHAnsi"/>
                <w:sz w:val="14"/>
                <w:szCs w:val="14"/>
                <w:lang w:eastAsia="en-US"/>
              </w:rPr>
              <w:t>y</w:t>
            </w:r>
            <w:r w:rsidRPr="00A57ABC">
              <w:rPr>
                <w:rFonts w:eastAsiaTheme="minorHAnsi"/>
                <w:sz w:val="14"/>
                <w:szCs w:val="14"/>
                <w:lang w:eastAsia="en-US"/>
              </w:rPr>
              <w:t xml:space="preserve"> </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Sanarate</w:t>
            </w:r>
            <w:proofErr w:type="spellEnd"/>
            <w:proofErr w:type="gramEnd"/>
            <w:r w:rsidRPr="00A57ABC">
              <w:rPr>
                <w:rFonts w:eastAsiaTheme="minorHAnsi"/>
                <w:sz w:val="14"/>
                <w:szCs w:val="14"/>
                <w:lang w:eastAsia="en-US"/>
              </w:rPr>
              <w:t xml:space="preserve"> </w:t>
            </w:r>
          </w:p>
        </w:tc>
        <w:tc>
          <w:tcPr>
            <w:tcW w:w="716" w:type="pct"/>
            <w:vAlign w:val="center"/>
          </w:tcPr>
          <w:p w14:paraId="337E658F" w14:textId="77777777" w:rsidR="00C36261" w:rsidRPr="00A57ABC" w:rsidRDefault="00C36261" w:rsidP="00624091">
            <w:pPr>
              <w:widowControl w:val="0"/>
              <w:ind w:right="19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2ECDAB37" w14:textId="77777777" w:rsidTr="005105AC">
        <w:trPr>
          <w:trHeight w:val="426"/>
          <w:jc w:val="center"/>
        </w:trPr>
        <w:tc>
          <w:tcPr>
            <w:tcW w:w="1367" w:type="pct"/>
            <w:vAlign w:val="center"/>
          </w:tcPr>
          <w:p w14:paraId="684C8FFC"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VERDE MAYA</w:t>
            </w:r>
          </w:p>
        </w:tc>
        <w:tc>
          <w:tcPr>
            <w:tcW w:w="613" w:type="pct"/>
            <w:vAlign w:val="center"/>
          </w:tcPr>
          <w:p w14:paraId="1BC3A8E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31/01/2003</w:t>
            </w:r>
          </w:p>
        </w:tc>
        <w:tc>
          <w:tcPr>
            <w:tcW w:w="625" w:type="pct"/>
            <w:vAlign w:val="center"/>
          </w:tcPr>
          <w:p w14:paraId="11BE1CA7" w14:textId="77777777" w:rsidR="00C36261" w:rsidRPr="00A57ABC" w:rsidRDefault="00C36261" w:rsidP="00624091">
            <w:pPr>
              <w:widowControl w:val="0"/>
              <w:ind w:right="5"/>
              <w:jc w:val="center"/>
              <w:rPr>
                <w:rFonts w:eastAsiaTheme="minorHAnsi"/>
                <w:sz w:val="14"/>
                <w:szCs w:val="14"/>
                <w:lang w:eastAsia="en-US"/>
              </w:rPr>
            </w:pPr>
            <w:r w:rsidRPr="00A57ABC">
              <w:rPr>
                <w:rFonts w:eastAsiaTheme="minorHAnsi"/>
                <w:sz w:val="14"/>
                <w:szCs w:val="14"/>
                <w:lang w:eastAsia="en-US"/>
              </w:rPr>
              <w:t>30/01/2028</w:t>
            </w:r>
          </w:p>
        </w:tc>
        <w:tc>
          <w:tcPr>
            <w:tcW w:w="306" w:type="pct"/>
            <w:vAlign w:val="center"/>
          </w:tcPr>
          <w:p w14:paraId="455DEC96"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F4A1FFE" w14:textId="77777777" w:rsidR="00C36261" w:rsidRPr="00A57ABC" w:rsidRDefault="00C36261" w:rsidP="00624091">
            <w:pPr>
              <w:widowControl w:val="0"/>
              <w:ind w:left="40" w:right="87"/>
              <w:jc w:val="center"/>
              <w:rPr>
                <w:rFonts w:eastAsiaTheme="minorHAnsi"/>
                <w:sz w:val="14"/>
                <w:szCs w:val="14"/>
                <w:lang w:eastAsia="en-US"/>
              </w:rPr>
            </w:pPr>
            <w:r w:rsidRPr="00A57ABC">
              <w:rPr>
                <w:rFonts w:eastAsiaTheme="minorHAnsi"/>
                <w:sz w:val="14"/>
                <w:szCs w:val="14"/>
                <w:lang w:eastAsia="en-US"/>
              </w:rPr>
              <w:t>SERPENTINA,</w:t>
            </w:r>
            <w:r w:rsidRPr="00A57ABC">
              <w:rPr>
                <w:rFonts w:eastAsiaTheme="minorHAnsi"/>
                <w:spacing w:val="-43"/>
                <w:sz w:val="14"/>
                <w:szCs w:val="14"/>
                <w:lang w:eastAsia="en-US"/>
              </w:rPr>
              <w:t xml:space="preserve"> </w:t>
            </w:r>
            <w:r w:rsidRPr="00A57ABC">
              <w:rPr>
                <w:rFonts w:eastAsiaTheme="minorHAnsi"/>
                <w:spacing w:val="-1"/>
                <w:sz w:val="14"/>
                <w:szCs w:val="14"/>
                <w:lang w:eastAsia="en-US"/>
              </w:rPr>
              <w:t>SEPENTINITA,</w:t>
            </w:r>
            <w:r w:rsidRPr="00A57ABC">
              <w:rPr>
                <w:rFonts w:eastAsiaTheme="minorHAnsi"/>
                <w:spacing w:val="-43"/>
                <w:sz w:val="14"/>
                <w:szCs w:val="14"/>
                <w:lang w:eastAsia="en-US"/>
              </w:rPr>
              <w:t xml:space="preserve"> </w:t>
            </w:r>
            <w:r w:rsidRPr="00A57ABC">
              <w:rPr>
                <w:rFonts w:eastAsiaTheme="minorHAnsi"/>
                <w:sz w:val="14"/>
                <w:szCs w:val="14"/>
                <w:lang w:eastAsia="en-US"/>
              </w:rPr>
              <w:t>PERIDOTITA</w:t>
            </w:r>
          </w:p>
        </w:tc>
        <w:tc>
          <w:tcPr>
            <w:tcW w:w="589" w:type="pct"/>
            <w:vAlign w:val="center"/>
          </w:tcPr>
          <w:p w14:paraId="19BA2386" w14:textId="77777777" w:rsidR="00C36261" w:rsidRPr="00A57ABC" w:rsidRDefault="00C36261" w:rsidP="00624091">
            <w:pPr>
              <w:widowControl w:val="0"/>
              <w:jc w:val="center"/>
              <w:rPr>
                <w:rFonts w:eastAsiaTheme="minorHAnsi"/>
                <w:sz w:val="14"/>
                <w:szCs w:val="14"/>
                <w:lang w:eastAsia="en-US"/>
              </w:rPr>
            </w:pPr>
          </w:p>
        </w:tc>
        <w:tc>
          <w:tcPr>
            <w:tcW w:w="716" w:type="pct"/>
            <w:vAlign w:val="center"/>
          </w:tcPr>
          <w:p w14:paraId="12BE6FA4"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48579530" w14:textId="77777777" w:rsidTr="005105AC">
        <w:trPr>
          <w:trHeight w:val="403"/>
          <w:jc w:val="center"/>
        </w:trPr>
        <w:tc>
          <w:tcPr>
            <w:tcW w:w="1367" w:type="pct"/>
            <w:vAlign w:val="center"/>
          </w:tcPr>
          <w:p w14:paraId="3B6D90D4" w14:textId="77777777" w:rsidR="00C36261" w:rsidRPr="00A57ABC" w:rsidRDefault="00C36261" w:rsidP="00624091">
            <w:pPr>
              <w:widowControl w:val="0"/>
              <w:ind w:left="255" w:right="174" w:hanging="41"/>
              <w:jc w:val="center"/>
              <w:rPr>
                <w:rFonts w:eastAsiaTheme="minorHAnsi"/>
                <w:sz w:val="14"/>
                <w:szCs w:val="14"/>
                <w:lang w:eastAsia="en-US"/>
              </w:rPr>
            </w:pPr>
            <w:r w:rsidRPr="00A57ABC">
              <w:rPr>
                <w:rFonts w:eastAsiaTheme="minorHAnsi"/>
                <w:sz w:val="14"/>
                <w:szCs w:val="14"/>
                <w:lang w:eastAsia="en-US"/>
              </w:rPr>
              <w:t>AGREGADOS</w:t>
            </w:r>
            <w:r w:rsidRPr="00A57ABC">
              <w:rPr>
                <w:rFonts w:eastAsiaTheme="minorHAnsi"/>
                <w:spacing w:val="-34"/>
                <w:sz w:val="14"/>
                <w:szCs w:val="14"/>
                <w:lang w:eastAsia="en-US"/>
              </w:rPr>
              <w:t xml:space="preserve"> </w:t>
            </w:r>
            <w:r w:rsidRPr="00A57ABC">
              <w:rPr>
                <w:rFonts w:eastAsiaTheme="minorHAnsi"/>
                <w:sz w:val="14"/>
                <w:szCs w:val="14"/>
                <w:lang w:eastAsia="en-US"/>
              </w:rPr>
              <w:t>VALENTINA</w:t>
            </w:r>
          </w:p>
        </w:tc>
        <w:tc>
          <w:tcPr>
            <w:tcW w:w="613" w:type="pct"/>
            <w:vAlign w:val="center"/>
          </w:tcPr>
          <w:p w14:paraId="15CB5DA1"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15/10/2019</w:t>
            </w:r>
          </w:p>
        </w:tc>
        <w:tc>
          <w:tcPr>
            <w:tcW w:w="625" w:type="pct"/>
            <w:vAlign w:val="center"/>
          </w:tcPr>
          <w:p w14:paraId="15E856FC" w14:textId="77777777" w:rsidR="00C36261" w:rsidRPr="00A57ABC" w:rsidRDefault="00C36261" w:rsidP="00624091">
            <w:pPr>
              <w:widowControl w:val="0"/>
              <w:ind w:right="5"/>
              <w:jc w:val="center"/>
              <w:rPr>
                <w:rFonts w:eastAsiaTheme="minorHAnsi"/>
                <w:sz w:val="14"/>
                <w:szCs w:val="14"/>
                <w:lang w:eastAsia="en-US"/>
              </w:rPr>
            </w:pPr>
            <w:r w:rsidRPr="00A57ABC">
              <w:rPr>
                <w:rFonts w:eastAsiaTheme="minorHAnsi"/>
                <w:sz w:val="14"/>
                <w:szCs w:val="14"/>
                <w:lang w:eastAsia="en-US"/>
              </w:rPr>
              <w:t>14/10/2044</w:t>
            </w:r>
          </w:p>
        </w:tc>
        <w:tc>
          <w:tcPr>
            <w:tcW w:w="306" w:type="pct"/>
            <w:vAlign w:val="center"/>
          </w:tcPr>
          <w:p w14:paraId="0D5DD1F3" w14:textId="77777777" w:rsidR="00C36261" w:rsidRPr="00A57ABC" w:rsidRDefault="00C36261" w:rsidP="00624091">
            <w:pPr>
              <w:widowControl w:val="0"/>
              <w:ind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34C06EE" w14:textId="77777777" w:rsidR="00C36261" w:rsidRPr="00A57ABC" w:rsidRDefault="00C36261" w:rsidP="00624091">
            <w:pPr>
              <w:widowControl w:val="0"/>
              <w:ind w:left="36" w:right="29"/>
              <w:jc w:val="center"/>
              <w:rPr>
                <w:rFonts w:eastAsiaTheme="minorHAnsi"/>
                <w:sz w:val="14"/>
                <w:szCs w:val="14"/>
                <w:lang w:val="es-GT" w:eastAsia="en-US"/>
              </w:rPr>
            </w:pPr>
            <w:r w:rsidRPr="00A57ABC">
              <w:rPr>
                <w:rFonts w:eastAsiaTheme="minorHAnsi"/>
                <w:sz w:val="14"/>
                <w:szCs w:val="14"/>
                <w:lang w:val="es-GT" w:eastAsia="en-US"/>
              </w:rPr>
              <w:t>ARENA DE RÍO,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 Y CANTOS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76B2C661" w14:textId="77777777" w:rsidR="00C36261" w:rsidRPr="00A57ABC" w:rsidRDefault="00C36261" w:rsidP="00624091">
            <w:pPr>
              <w:widowControl w:val="0"/>
              <w:jc w:val="center"/>
              <w:rPr>
                <w:rFonts w:eastAsiaTheme="minorHAnsi"/>
                <w:sz w:val="14"/>
                <w:szCs w:val="14"/>
                <w:lang w:val="es-GT" w:eastAsia="en-US"/>
              </w:rPr>
            </w:pPr>
          </w:p>
        </w:tc>
        <w:tc>
          <w:tcPr>
            <w:tcW w:w="716" w:type="pct"/>
            <w:vAlign w:val="center"/>
          </w:tcPr>
          <w:p w14:paraId="6FEF3F2D"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Progreso</w:t>
            </w:r>
          </w:p>
        </w:tc>
      </w:tr>
      <w:tr w:rsidR="00C36261" w:rsidRPr="00A57ABC" w14:paraId="2C51199D" w14:textId="77777777" w:rsidTr="005105AC">
        <w:trPr>
          <w:trHeight w:val="638"/>
          <w:jc w:val="center"/>
        </w:trPr>
        <w:tc>
          <w:tcPr>
            <w:tcW w:w="1367" w:type="pct"/>
            <w:vAlign w:val="center"/>
          </w:tcPr>
          <w:p w14:paraId="0ABDFD5E" w14:textId="77777777" w:rsidR="00C36261" w:rsidRPr="00A57ABC" w:rsidRDefault="00C36261" w:rsidP="00624091">
            <w:pPr>
              <w:widowControl w:val="0"/>
              <w:ind w:left="108" w:right="82" w:firstLine="2"/>
              <w:jc w:val="center"/>
              <w:rPr>
                <w:rFonts w:eastAsiaTheme="minorHAnsi"/>
                <w:sz w:val="14"/>
                <w:szCs w:val="14"/>
                <w:lang w:eastAsia="en-US"/>
              </w:rPr>
            </w:pPr>
            <w:r w:rsidRPr="00A57ABC">
              <w:rPr>
                <w:rFonts w:eastAsiaTheme="minorHAnsi"/>
                <w:sz w:val="14"/>
                <w:szCs w:val="14"/>
                <w:lang w:eastAsia="en-US"/>
              </w:rPr>
              <w:t>DISTRIBUIDORA</w:t>
            </w:r>
            <w:r w:rsidRPr="00A57ABC">
              <w:rPr>
                <w:rFonts w:eastAsiaTheme="minorHAnsi"/>
                <w:spacing w:val="-34"/>
                <w:sz w:val="14"/>
                <w:szCs w:val="14"/>
                <w:lang w:eastAsia="en-US"/>
              </w:rPr>
              <w:t xml:space="preserve"> </w:t>
            </w:r>
            <w:r w:rsidRPr="00A57ABC">
              <w:rPr>
                <w:rFonts w:eastAsiaTheme="minorHAnsi"/>
                <w:spacing w:val="-1"/>
                <w:sz w:val="14"/>
                <w:szCs w:val="14"/>
                <w:lang w:eastAsia="en-US"/>
              </w:rPr>
              <w:t xml:space="preserve">AGREGADOS </w:t>
            </w:r>
            <w:r w:rsidRPr="00A57ABC">
              <w:rPr>
                <w:rFonts w:eastAsiaTheme="minorHAnsi"/>
                <w:sz w:val="14"/>
                <w:szCs w:val="14"/>
                <w:lang w:eastAsia="en-US"/>
              </w:rPr>
              <w:t>DE</w:t>
            </w:r>
            <w:r w:rsidRPr="00A57ABC">
              <w:rPr>
                <w:rFonts w:eastAsiaTheme="minorHAnsi"/>
                <w:spacing w:val="-34"/>
                <w:sz w:val="14"/>
                <w:szCs w:val="14"/>
                <w:lang w:eastAsia="en-US"/>
              </w:rPr>
              <w:t xml:space="preserve"> </w:t>
            </w:r>
            <w:r w:rsidRPr="00A57ABC">
              <w:rPr>
                <w:rFonts w:eastAsiaTheme="minorHAnsi"/>
                <w:sz w:val="14"/>
                <w:szCs w:val="14"/>
                <w:lang w:eastAsia="en-US"/>
              </w:rPr>
              <w:t>ORIENTE</w:t>
            </w:r>
          </w:p>
        </w:tc>
        <w:tc>
          <w:tcPr>
            <w:tcW w:w="613" w:type="pct"/>
            <w:vAlign w:val="center"/>
          </w:tcPr>
          <w:p w14:paraId="2F4E9FB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10/01/2020</w:t>
            </w:r>
          </w:p>
        </w:tc>
        <w:tc>
          <w:tcPr>
            <w:tcW w:w="625" w:type="pct"/>
            <w:vAlign w:val="center"/>
          </w:tcPr>
          <w:p w14:paraId="4489FCF8" w14:textId="77777777" w:rsidR="00C36261" w:rsidRPr="00A57ABC" w:rsidRDefault="00C36261" w:rsidP="00624091">
            <w:pPr>
              <w:widowControl w:val="0"/>
              <w:ind w:right="5"/>
              <w:jc w:val="right"/>
              <w:rPr>
                <w:rFonts w:eastAsiaTheme="minorHAnsi"/>
                <w:sz w:val="14"/>
                <w:szCs w:val="14"/>
                <w:lang w:eastAsia="en-US"/>
              </w:rPr>
            </w:pPr>
            <w:r w:rsidRPr="00A57ABC">
              <w:rPr>
                <w:rFonts w:eastAsiaTheme="minorHAnsi"/>
                <w:sz w:val="14"/>
                <w:szCs w:val="14"/>
                <w:lang w:eastAsia="en-US"/>
              </w:rPr>
              <w:t>9/01/2045</w:t>
            </w:r>
          </w:p>
        </w:tc>
        <w:tc>
          <w:tcPr>
            <w:tcW w:w="306" w:type="pct"/>
            <w:vAlign w:val="center"/>
          </w:tcPr>
          <w:p w14:paraId="5F8B097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3F82C98" w14:textId="77777777" w:rsidR="00C36261" w:rsidRPr="00A57ABC" w:rsidRDefault="00C36261" w:rsidP="00624091">
            <w:pPr>
              <w:widowControl w:val="0"/>
              <w:ind w:left="40"/>
              <w:jc w:val="center"/>
              <w:rPr>
                <w:rFonts w:eastAsiaTheme="minorHAnsi"/>
                <w:sz w:val="14"/>
                <w:szCs w:val="14"/>
                <w:lang w:val="es-GT" w:eastAsia="en-US"/>
              </w:rPr>
            </w:pPr>
            <w:r w:rsidRPr="00A57ABC">
              <w:rPr>
                <w:rFonts w:eastAsiaTheme="minorHAnsi"/>
                <w:sz w:val="14"/>
                <w:szCs w:val="14"/>
                <w:lang w:val="es-GT" w:eastAsia="en-US"/>
              </w:rPr>
              <w:t>ARENA</w:t>
            </w:r>
            <w:r w:rsidRPr="00A57ABC">
              <w:rPr>
                <w:rFonts w:eastAsiaTheme="minorHAnsi"/>
                <w:spacing w:val="-7"/>
                <w:sz w:val="14"/>
                <w:szCs w:val="14"/>
                <w:lang w:val="es-GT" w:eastAsia="en-US"/>
              </w:rPr>
              <w:t xml:space="preserve"> </w:t>
            </w:r>
            <w:r w:rsidRPr="00A57ABC">
              <w:rPr>
                <w:rFonts w:eastAsiaTheme="minorHAnsi"/>
                <w:sz w:val="14"/>
                <w:szCs w:val="14"/>
                <w:lang w:val="es-GT" w:eastAsia="en-US"/>
              </w:rPr>
              <w:t>DE</w:t>
            </w:r>
          </w:p>
          <w:p w14:paraId="12D3ACCC" w14:textId="77777777" w:rsidR="00C36261" w:rsidRPr="00A57ABC" w:rsidRDefault="00C36261" w:rsidP="00624091">
            <w:pPr>
              <w:widowControl w:val="0"/>
              <w:ind w:left="40" w:right="87"/>
              <w:jc w:val="center"/>
              <w:rPr>
                <w:rFonts w:eastAsiaTheme="minorHAnsi"/>
                <w:sz w:val="14"/>
                <w:szCs w:val="14"/>
                <w:lang w:val="es-GT" w:eastAsia="en-US"/>
              </w:rPr>
            </w:pPr>
            <w:r w:rsidRPr="00A57ABC">
              <w:rPr>
                <w:rFonts w:eastAsiaTheme="minorHAnsi"/>
                <w:sz w:val="14"/>
                <w:szCs w:val="14"/>
                <w:lang w:val="es-GT" w:eastAsia="en-US"/>
              </w:rPr>
              <w:t>RÍO,</w:t>
            </w:r>
            <w:r w:rsidRPr="00A57ABC">
              <w:rPr>
                <w:rFonts w:eastAsiaTheme="minorHAnsi"/>
                <w:spacing w:val="-9"/>
                <w:sz w:val="14"/>
                <w:szCs w:val="14"/>
                <w:lang w:val="es-GT" w:eastAsia="en-US"/>
              </w:rPr>
              <w:t xml:space="preserve"> </w:t>
            </w:r>
            <w:r w:rsidRPr="00A57ABC">
              <w:rPr>
                <w:rFonts w:eastAsiaTheme="minorHAnsi"/>
                <w:sz w:val="14"/>
                <w:szCs w:val="14"/>
                <w:lang w:val="es-GT" w:eastAsia="en-US"/>
              </w:rPr>
              <w:t>GRAVA</w:t>
            </w:r>
            <w:r w:rsidRPr="00A57ABC">
              <w:rPr>
                <w:rFonts w:eastAsiaTheme="minorHAnsi"/>
                <w:spacing w:val="-9"/>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42"/>
                <w:sz w:val="14"/>
                <w:szCs w:val="14"/>
                <w:lang w:val="es-GT" w:eastAsia="en-US"/>
              </w:rPr>
              <w:t xml:space="preserve"> </w:t>
            </w: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5D98BF09" w14:textId="77777777" w:rsidR="00C36261" w:rsidRPr="00A57ABC" w:rsidRDefault="00C36261" w:rsidP="00624091">
            <w:pPr>
              <w:widowControl w:val="0"/>
              <w:ind w:left="41"/>
              <w:jc w:val="center"/>
              <w:rPr>
                <w:rFonts w:eastAsiaTheme="minorHAnsi"/>
                <w:sz w:val="14"/>
                <w:szCs w:val="14"/>
                <w:lang w:val="es-GT" w:eastAsia="en-US"/>
              </w:rPr>
            </w:pPr>
            <w:r w:rsidRPr="00A57ABC">
              <w:rPr>
                <w:rFonts w:eastAsiaTheme="minorHAnsi"/>
                <w:sz w:val="14"/>
                <w:szCs w:val="14"/>
                <w:lang w:val="es-GT" w:eastAsia="en-US"/>
              </w:rPr>
              <w:t>San</w:t>
            </w:r>
            <w:r w:rsidRPr="00A57ABC">
              <w:rPr>
                <w:rFonts w:eastAsiaTheme="minorHAnsi"/>
                <w:spacing w:val="-12"/>
                <w:sz w:val="14"/>
                <w:szCs w:val="14"/>
                <w:lang w:val="es-GT" w:eastAsia="en-US"/>
              </w:rPr>
              <w:t xml:space="preserve"> </w:t>
            </w:r>
            <w:proofErr w:type="spellStart"/>
            <w:r w:rsidRPr="00A57ABC">
              <w:rPr>
                <w:rFonts w:eastAsiaTheme="minorHAnsi"/>
                <w:sz w:val="14"/>
                <w:szCs w:val="14"/>
                <w:lang w:val="es-GT" w:eastAsia="en-US"/>
              </w:rPr>
              <w:t>Agustin</w:t>
            </w:r>
            <w:proofErr w:type="spellEnd"/>
          </w:p>
          <w:p w14:paraId="47E5AD90" w14:textId="77777777" w:rsidR="00C36261" w:rsidRPr="00A57ABC" w:rsidRDefault="00C36261" w:rsidP="00624091">
            <w:pPr>
              <w:widowControl w:val="0"/>
              <w:ind w:left="41" w:right="-3"/>
              <w:jc w:val="center"/>
              <w:rPr>
                <w:rFonts w:eastAsiaTheme="minorHAnsi"/>
                <w:sz w:val="14"/>
                <w:szCs w:val="14"/>
                <w:lang w:val="es-GT" w:eastAsia="en-US"/>
              </w:rPr>
            </w:pPr>
            <w:proofErr w:type="spellStart"/>
            <w:r w:rsidRPr="00A57ABC">
              <w:rPr>
                <w:rFonts w:eastAsiaTheme="minorHAnsi"/>
                <w:spacing w:val="-1"/>
                <w:sz w:val="14"/>
                <w:szCs w:val="14"/>
                <w:lang w:val="es-GT" w:eastAsia="en-US"/>
              </w:rPr>
              <w:t>Acasaguastlan</w:t>
            </w:r>
            <w:proofErr w:type="spellEnd"/>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Guastatoya</w:t>
            </w:r>
          </w:p>
        </w:tc>
        <w:tc>
          <w:tcPr>
            <w:tcW w:w="716" w:type="pct"/>
            <w:vAlign w:val="center"/>
          </w:tcPr>
          <w:p w14:paraId="27E58CA3" w14:textId="77777777" w:rsidR="00C36261" w:rsidRPr="00A57ABC" w:rsidRDefault="00C36261" w:rsidP="00624091">
            <w:pPr>
              <w:widowControl w:val="0"/>
              <w:ind w:left="41"/>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3"/>
                <w:sz w:val="14"/>
                <w:szCs w:val="14"/>
                <w:lang w:eastAsia="en-US"/>
              </w:rPr>
              <w:t xml:space="preserve"> </w:t>
            </w:r>
            <w:r w:rsidRPr="00A57ABC">
              <w:rPr>
                <w:rFonts w:eastAsiaTheme="minorHAnsi"/>
                <w:sz w:val="14"/>
                <w:szCs w:val="14"/>
                <w:lang w:eastAsia="en-US"/>
              </w:rPr>
              <w:t>Progreso</w:t>
            </w:r>
          </w:p>
        </w:tc>
      </w:tr>
      <w:tr w:rsidR="00C36261" w:rsidRPr="00A57ABC" w14:paraId="065539A6" w14:textId="77777777" w:rsidTr="005105AC">
        <w:trPr>
          <w:trHeight w:val="392"/>
          <w:jc w:val="center"/>
        </w:trPr>
        <w:tc>
          <w:tcPr>
            <w:tcW w:w="1367" w:type="pct"/>
            <w:vAlign w:val="center"/>
          </w:tcPr>
          <w:p w14:paraId="2F344AA5"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VADO</w:t>
            </w:r>
          </w:p>
        </w:tc>
        <w:tc>
          <w:tcPr>
            <w:tcW w:w="613" w:type="pct"/>
            <w:vAlign w:val="center"/>
          </w:tcPr>
          <w:p w14:paraId="69428EA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28/02/2015</w:t>
            </w:r>
          </w:p>
        </w:tc>
        <w:tc>
          <w:tcPr>
            <w:tcW w:w="625" w:type="pct"/>
            <w:vAlign w:val="center"/>
          </w:tcPr>
          <w:p w14:paraId="364A4127"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27/02/2040</w:t>
            </w:r>
          </w:p>
        </w:tc>
        <w:tc>
          <w:tcPr>
            <w:tcW w:w="306" w:type="pct"/>
            <w:vAlign w:val="center"/>
          </w:tcPr>
          <w:p w14:paraId="26CA85B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53B26CF"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JADEITA</w:t>
            </w:r>
          </w:p>
        </w:tc>
        <w:tc>
          <w:tcPr>
            <w:tcW w:w="589" w:type="pct"/>
            <w:vAlign w:val="center"/>
          </w:tcPr>
          <w:p w14:paraId="194C8867" w14:textId="77777777" w:rsidR="00C36261" w:rsidRPr="00A57ABC" w:rsidRDefault="00C36261" w:rsidP="00624091">
            <w:pPr>
              <w:widowControl w:val="0"/>
              <w:ind w:left="45" w:right="8"/>
              <w:jc w:val="center"/>
              <w:rPr>
                <w:rFonts w:eastAsiaTheme="minorHAnsi"/>
                <w:sz w:val="14"/>
                <w:szCs w:val="14"/>
                <w:lang w:val="es-GT" w:eastAsia="en-US"/>
              </w:rPr>
            </w:pPr>
            <w:r w:rsidRPr="00A57ABC">
              <w:rPr>
                <w:rFonts w:eastAsiaTheme="minorHAnsi"/>
                <w:sz w:val="14"/>
                <w:szCs w:val="14"/>
                <w:lang w:val="es-GT" w:eastAsia="en-US"/>
              </w:rPr>
              <w:t>San Cristóbal</w:t>
            </w:r>
            <w:r w:rsidRPr="00A57ABC">
              <w:rPr>
                <w:rFonts w:eastAsiaTheme="minorHAnsi"/>
                <w:spacing w:val="1"/>
                <w:sz w:val="14"/>
                <w:szCs w:val="14"/>
                <w:lang w:val="es-GT" w:eastAsia="en-US"/>
              </w:rPr>
              <w:t xml:space="preserve"> </w:t>
            </w:r>
            <w:proofErr w:type="spellStart"/>
            <w:r w:rsidRPr="00A57ABC">
              <w:rPr>
                <w:rFonts w:eastAsiaTheme="minorHAnsi"/>
                <w:sz w:val="14"/>
                <w:szCs w:val="14"/>
                <w:lang w:val="es-GT" w:eastAsia="en-US"/>
              </w:rPr>
              <w:t>Acasaguastlan</w:t>
            </w:r>
            <w:proofErr w:type="spellEnd"/>
            <w:r w:rsidRPr="00A57ABC">
              <w:rPr>
                <w:rFonts w:eastAsiaTheme="minorHAnsi"/>
                <w:spacing w:val="-34"/>
                <w:sz w:val="14"/>
                <w:szCs w:val="14"/>
                <w:lang w:val="es-GT" w:eastAsia="en-US"/>
              </w:rPr>
              <w:t xml:space="preserve"> </w:t>
            </w:r>
            <w:r w:rsidRPr="00A57ABC">
              <w:rPr>
                <w:rFonts w:eastAsiaTheme="minorHAnsi"/>
                <w:sz w:val="14"/>
                <w:szCs w:val="14"/>
                <w:lang w:val="es-GT" w:eastAsia="en-US"/>
              </w:rPr>
              <w:t xml:space="preserve">Y </w:t>
            </w:r>
            <w:proofErr w:type="spellStart"/>
            <w:r w:rsidRPr="00A57ABC">
              <w:rPr>
                <w:rFonts w:eastAsiaTheme="minorHAnsi"/>
                <w:sz w:val="14"/>
                <w:szCs w:val="14"/>
                <w:lang w:val="es-GT" w:eastAsia="en-US"/>
              </w:rPr>
              <w:t>Usumatlan</w:t>
            </w:r>
            <w:proofErr w:type="spellEnd"/>
          </w:p>
        </w:tc>
        <w:tc>
          <w:tcPr>
            <w:tcW w:w="716" w:type="pct"/>
            <w:vAlign w:val="center"/>
          </w:tcPr>
          <w:p w14:paraId="76BE8730" w14:textId="77777777" w:rsidR="00C36261" w:rsidRPr="00A57ABC" w:rsidRDefault="00C36261" w:rsidP="00624091">
            <w:pPr>
              <w:widowControl w:val="0"/>
              <w:ind w:left="420" w:right="124" w:hanging="248"/>
              <w:jc w:val="center"/>
              <w:rPr>
                <w:rFonts w:eastAsiaTheme="minorHAnsi"/>
                <w:sz w:val="14"/>
                <w:szCs w:val="14"/>
                <w:lang w:eastAsia="en-US"/>
              </w:rPr>
            </w:pPr>
            <w:r w:rsidRPr="00A57ABC">
              <w:rPr>
                <w:rFonts w:eastAsiaTheme="minorHAnsi"/>
                <w:sz w:val="14"/>
                <w:szCs w:val="14"/>
                <w:lang w:eastAsia="en-US"/>
              </w:rPr>
              <w:t>El Progreso Y</w:t>
            </w:r>
            <w:r w:rsidRPr="00A57ABC">
              <w:rPr>
                <w:rFonts w:eastAsiaTheme="minorHAnsi"/>
                <w:spacing w:val="-34"/>
                <w:sz w:val="14"/>
                <w:szCs w:val="14"/>
                <w:lang w:eastAsia="en-US"/>
              </w:rPr>
              <w:t xml:space="preserve"> </w:t>
            </w:r>
            <w:r w:rsidRPr="00A57ABC">
              <w:rPr>
                <w:rFonts w:eastAsiaTheme="minorHAnsi"/>
                <w:sz w:val="14"/>
                <w:szCs w:val="14"/>
                <w:lang w:eastAsia="en-US"/>
              </w:rPr>
              <w:t>Zacapa</w:t>
            </w:r>
          </w:p>
        </w:tc>
      </w:tr>
      <w:tr w:rsidR="00C36261" w:rsidRPr="00A57ABC" w14:paraId="595F82B7" w14:textId="77777777" w:rsidTr="005105AC">
        <w:trPr>
          <w:trHeight w:val="598"/>
          <w:jc w:val="center"/>
        </w:trPr>
        <w:tc>
          <w:tcPr>
            <w:tcW w:w="1367" w:type="pct"/>
            <w:vAlign w:val="center"/>
          </w:tcPr>
          <w:p w14:paraId="22BD6C96"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RAQUELITA</w:t>
            </w:r>
          </w:p>
        </w:tc>
        <w:tc>
          <w:tcPr>
            <w:tcW w:w="613" w:type="pct"/>
            <w:vAlign w:val="center"/>
          </w:tcPr>
          <w:p w14:paraId="380DDAE1"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22/07/2000</w:t>
            </w:r>
          </w:p>
        </w:tc>
        <w:tc>
          <w:tcPr>
            <w:tcW w:w="625" w:type="pct"/>
            <w:vAlign w:val="center"/>
          </w:tcPr>
          <w:p w14:paraId="42358671"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21/07/2025</w:t>
            </w:r>
          </w:p>
        </w:tc>
        <w:tc>
          <w:tcPr>
            <w:tcW w:w="306" w:type="pct"/>
            <w:vAlign w:val="center"/>
          </w:tcPr>
          <w:p w14:paraId="2E9314A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B8BB7C9" w14:textId="77777777" w:rsidR="00C36261" w:rsidRPr="00A57ABC" w:rsidRDefault="00C36261" w:rsidP="00624091">
            <w:pPr>
              <w:widowControl w:val="0"/>
              <w:ind w:left="60" w:right="26"/>
              <w:jc w:val="center"/>
              <w:rPr>
                <w:rFonts w:eastAsiaTheme="minorHAnsi"/>
                <w:sz w:val="14"/>
                <w:szCs w:val="14"/>
                <w:lang w:val="es-GT" w:eastAsia="en-US"/>
              </w:rPr>
            </w:pPr>
            <w:r w:rsidRPr="00A57ABC">
              <w:rPr>
                <w:rFonts w:eastAsiaTheme="minorHAnsi"/>
                <w:sz w:val="14"/>
                <w:szCs w:val="14"/>
                <w:lang w:val="es-GT" w:eastAsia="en-US"/>
              </w:rPr>
              <w:t>JADEITA,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NEFRITA,</w:t>
            </w:r>
            <w:r w:rsidRPr="00A57ABC">
              <w:rPr>
                <w:rFonts w:eastAsiaTheme="minorHAnsi"/>
                <w:spacing w:val="1"/>
                <w:sz w:val="14"/>
                <w:szCs w:val="14"/>
                <w:lang w:val="es-GT" w:eastAsia="en-US"/>
              </w:rPr>
              <w:t xml:space="preserve"> </w:t>
            </w:r>
            <w:proofErr w:type="gramStart"/>
            <w:r w:rsidRPr="00A57ABC">
              <w:rPr>
                <w:rFonts w:eastAsiaTheme="minorHAnsi"/>
                <w:sz w:val="14"/>
                <w:szCs w:val="14"/>
                <w:lang w:val="es-GT" w:eastAsia="en-US"/>
              </w:rPr>
              <w:t>GUATEMALITA,FL</w:t>
            </w:r>
            <w:proofErr w:type="gramEnd"/>
            <w:r w:rsidRPr="00A57ABC">
              <w:rPr>
                <w:rFonts w:eastAsiaTheme="minorHAnsi"/>
                <w:spacing w:val="-34"/>
                <w:sz w:val="14"/>
                <w:szCs w:val="14"/>
                <w:lang w:val="es-GT" w:eastAsia="en-US"/>
              </w:rPr>
              <w:t xml:space="preserve"> </w:t>
            </w:r>
            <w:r w:rsidRPr="00A57ABC">
              <w:rPr>
                <w:rFonts w:eastAsiaTheme="minorHAnsi"/>
                <w:sz w:val="14"/>
                <w:szCs w:val="14"/>
                <w:lang w:val="es-GT" w:eastAsia="en-US"/>
              </w:rPr>
              <w:t>UORITA,</w:t>
            </w:r>
          </w:p>
          <w:p w14:paraId="1A167C8E"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SERPENTINITA</w:t>
            </w:r>
          </w:p>
        </w:tc>
        <w:tc>
          <w:tcPr>
            <w:tcW w:w="589" w:type="pct"/>
            <w:vAlign w:val="center"/>
          </w:tcPr>
          <w:p w14:paraId="1A0AEBEE" w14:textId="77777777" w:rsidR="00C36261" w:rsidRPr="00A57ABC" w:rsidRDefault="00C36261" w:rsidP="00624091">
            <w:pPr>
              <w:widowControl w:val="0"/>
              <w:ind w:left="45" w:right="12" w:firstLine="3"/>
              <w:jc w:val="center"/>
              <w:rPr>
                <w:rFonts w:eastAsiaTheme="minorHAnsi"/>
                <w:sz w:val="14"/>
                <w:szCs w:val="14"/>
                <w:lang w:val="es-GT" w:eastAsia="en-US"/>
              </w:rPr>
            </w:pPr>
            <w:r w:rsidRPr="00A57ABC">
              <w:rPr>
                <w:rFonts w:eastAsiaTheme="minorHAnsi"/>
                <w:sz w:val="14"/>
                <w:szCs w:val="14"/>
                <w:lang w:val="es-GT" w:eastAsia="en-US"/>
              </w:rPr>
              <w:t>San Cristóbal</w:t>
            </w:r>
            <w:r w:rsidRPr="00A57ABC">
              <w:rPr>
                <w:rFonts w:eastAsiaTheme="minorHAnsi"/>
                <w:spacing w:val="1"/>
                <w:sz w:val="14"/>
                <w:szCs w:val="14"/>
                <w:lang w:val="es-GT" w:eastAsia="en-US"/>
              </w:rPr>
              <w:t xml:space="preserve"> </w:t>
            </w:r>
            <w:proofErr w:type="spellStart"/>
            <w:r w:rsidRPr="00A57ABC">
              <w:rPr>
                <w:rFonts w:eastAsiaTheme="minorHAnsi"/>
                <w:sz w:val="14"/>
                <w:szCs w:val="14"/>
                <w:lang w:val="es-GT" w:eastAsia="en-US"/>
              </w:rPr>
              <w:t>Acasagustlan</w:t>
            </w:r>
            <w:proofErr w:type="spellEnd"/>
            <w:r w:rsidRPr="00A57ABC">
              <w:rPr>
                <w:rFonts w:eastAsiaTheme="minorHAnsi"/>
                <w:sz w:val="14"/>
                <w:szCs w:val="14"/>
                <w:lang w:val="es-GT" w:eastAsia="en-US"/>
              </w:rPr>
              <w:t xml:space="preserve"> y</w:t>
            </w:r>
            <w:r w:rsidRPr="00A57ABC">
              <w:rPr>
                <w:rFonts w:eastAsiaTheme="minorHAnsi"/>
                <w:spacing w:val="-34"/>
                <w:sz w:val="14"/>
                <w:szCs w:val="14"/>
                <w:lang w:val="es-GT" w:eastAsia="en-US"/>
              </w:rPr>
              <w:t xml:space="preserve"> </w:t>
            </w:r>
            <w:proofErr w:type="spellStart"/>
            <w:r w:rsidRPr="00A57ABC">
              <w:rPr>
                <w:rFonts w:eastAsiaTheme="minorHAnsi"/>
                <w:sz w:val="14"/>
                <w:szCs w:val="14"/>
                <w:lang w:val="es-GT" w:eastAsia="en-US"/>
              </w:rPr>
              <w:t>Usumatlan</w:t>
            </w:r>
            <w:proofErr w:type="spellEnd"/>
          </w:p>
        </w:tc>
        <w:tc>
          <w:tcPr>
            <w:tcW w:w="716" w:type="pct"/>
            <w:vAlign w:val="center"/>
          </w:tcPr>
          <w:p w14:paraId="7FAADFFA" w14:textId="77777777" w:rsidR="00C36261" w:rsidRPr="00A57ABC" w:rsidRDefault="00C36261" w:rsidP="00624091">
            <w:pPr>
              <w:widowControl w:val="0"/>
              <w:ind w:left="420" w:right="124" w:hanging="248"/>
              <w:jc w:val="center"/>
              <w:rPr>
                <w:rFonts w:eastAsiaTheme="minorHAnsi"/>
                <w:sz w:val="14"/>
                <w:szCs w:val="14"/>
                <w:lang w:eastAsia="en-US"/>
              </w:rPr>
            </w:pPr>
            <w:r w:rsidRPr="00A57ABC">
              <w:rPr>
                <w:rFonts w:eastAsiaTheme="minorHAnsi"/>
                <w:sz w:val="14"/>
                <w:szCs w:val="14"/>
                <w:lang w:eastAsia="en-US"/>
              </w:rPr>
              <w:t>El Progreso Y</w:t>
            </w:r>
            <w:r w:rsidRPr="00A57ABC">
              <w:rPr>
                <w:rFonts w:eastAsiaTheme="minorHAnsi"/>
                <w:spacing w:val="-34"/>
                <w:sz w:val="14"/>
                <w:szCs w:val="14"/>
                <w:lang w:eastAsia="en-US"/>
              </w:rPr>
              <w:t xml:space="preserve"> </w:t>
            </w:r>
            <w:r w:rsidRPr="00A57ABC">
              <w:rPr>
                <w:rFonts w:eastAsiaTheme="minorHAnsi"/>
                <w:sz w:val="14"/>
                <w:szCs w:val="14"/>
                <w:lang w:eastAsia="en-US"/>
              </w:rPr>
              <w:t>Zacapa</w:t>
            </w:r>
          </w:p>
        </w:tc>
      </w:tr>
      <w:tr w:rsidR="00C36261" w:rsidRPr="00A57ABC" w14:paraId="3AD3ECCB" w14:textId="77777777" w:rsidTr="005105AC">
        <w:trPr>
          <w:trHeight w:val="508"/>
          <w:jc w:val="center"/>
        </w:trPr>
        <w:tc>
          <w:tcPr>
            <w:tcW w:w="1367" w:type="pct"/>
            <w:vAlign w:val="center"/>
          </w:tcPr>
          <w:p w14:paraId="40267AED" w14:textId="77777777" w:rsidR="00C36261" w:rsidRPr="00A57ABC" w:rsidRDefault="00C36261" w:rsidP="00624091">
            <w:pPr>
              <w:widowControl w:val="0"/>
              <w:ind w:left="94" w:right="69" w:hanging="1"/>
              <w:jc w:val="center"/>
              <w:rPr>
                <w:rFonts w:eastAsiaTheme="minorHAnsi"/>
                <w:sz w:val="14"/>
                <w:szCs w:val="14"/>
                <w:lang w:val="es-GT" w:eastAsia="en-US"/>
              </w:rPr>
            </w:pPr>
            <w:r w:rsidRPr="00A57ABC">
              <w:rPr>
                <w:rFonts w:eastAsiaTheme="minorHAnsi"/>
                <w:sz w:val="14"/>
                <w:szCs w:val="14"/>
                <w:lang w:val="es-GT" w:eastAsia="en-US"/>
              </w:rPr>
              <w:t>ARENERA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PIEDRINERA DEL</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RIO</w:t>
            </w:r>
          </w:p>
        </w:tc>
        <w:tc>
          <w:tcPr>
            <w:tcW w:w="613" w:type="pct"/>
            <w:vAlign w:val="center"/>
          </w:tcPr>
          <w:p w14:paraId="742C0F20"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6/06/2008</w:t>
            </w:r>
          </w:p>
        </w:tc>
        <w:tc>
          <w:tcPr>
            <w:tcW w:w="625" w:type="pct"/>
            <w:vAlign w:val="center"/>
          </w:tcPr>
          <w:p w14:paraId="03677D1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5/06/2033</w:t>
            </w:r>
          </w:p>
        </w:tc>
        <w:tc>
          <w:tcPr>
            <w:tcW w:w="306" w:type="pct"/>
            <w:vAlign w:val="center"/>
          </w:tcPr>
          <w:p w14:paraId="1C9C252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D495FAC" w14:textId="77777777" w:rsidR="00C36261" w:rsidRPr="00A57ABC" w:rsidRDefault="00C36261" w:rsidP="00624091">
            <w:pPr>
              <w:widowControl w:val="0"/>
              <w:ind w:left="38" w:right="3"/>
              <w:jc w:val="center"/>
              <w:rPr>
                <w:rFonts w:eastAsiaTheme="minorHAnsi"/>
                <w:sz w:val="14"/>
                <w:szCs w:val="14"/>
                <w:lang w:val="es-GT" w:eastAsia="en-US"/>
              </w:rPr>
            </w:pP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GRAVAS</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ARENA</w:t>
            </w:r>
          </w:p>
          <w:p w14:paraId="72E8068C" w14:textId="77777777" w:rsidR="00C36261" w:rsidRPr="00A57ABC" w:rsidRDefault="00C36261" w:rsidP="00624091">
            <w:pPr>
              <w:widowControl w:val="0"/>
              <w:ind w:left="34"/>
              <w:jc w:val="center"/>
              <w:rPr>
                <w:rFonts w:eastAsiaTheme="minorHAnsi"/>
                <w:sz w:val="14"/>
                <w:szCs w:val="14"/>
                <w:lang w:val="es-GT" w:eastAsia="en-US"/>
              </w:rPr>
            </w:pPr>
            <w:r w:rsidRPr="00A57ABC">
              <w:rPr>
                <w:rFonts w:eastAsiaTheme="minorHAnsi"/>
                <w:sz w:val="14"/>
                <w:szCs w:val="14"/>
                <w:lang w:val="es-GT" w:eastAsia="en-US"/>
              </w:rPr>
              <w:t>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RIO</w:t>
            </w:r>
          </w:p>
        </w:tc>
        <w:tc>
          <w:tcPr>
            <w:tcW w:w="589" w:type="pct"/>
            <w:vAlign w:val="center"/>
          </w:tcPr>
          <w:p w14:paraId="007ABA2E" w14:textId="77777777" w:rsidR="00C36261" w:rsidRPr="00A57ABC" w:rsidRDefault="00C36261" w:rsidP="00624091">
            <w:pPr>
              <w:widowControl w:val="0"/>
              <w:ind w:left="230" w:right="35" w:hanging="147"/>
              <w:jc w:val="center"/>
              <w:rPr>
                <w:rFonts w:eastAsiaTheme="minorHAnsi"/>
                <w:sz w:val="14"/>
                <w:szCs w:val="14"/>
                <w:lang w:eastAsia="en-US"/>
              </w:rPr>
            </w:pPr>
            <w:r w:rsidRPr="00A57ABC">
              <w:rPr>
                <w:rFonts w:eastAsiaTheme="minorHAnsi"/>
                <w:sz w:val="14"/>
                <w:szCs w:val="14"/>
                <w:lang w:eastAsia="en-US"/>
              </w:rPr>
              <w:t xml:space="preserve">La </w:t>
            </w:r>
            <w:proofErr w:type="spellStart"/>
            <w:r w:rsidRPr="00A57ABC">
              <w:rPr>
                <w:rFonts w:eastAsiaTheme="minorHAnsi"/>
                <w:sz w:val="14"/>
                <w:szCs w:val="14"/>
                <w:lang w:eastAsia="en-US"/>
              </w:rPr>
              <w:t>Democracia</w:t>
            </w:r>
            <w:proofErr w:type="spellEnd"/>
            <w:r w:rsidRPr="00A57ABC">
              <w:rPr>
                <w:rFonts w:eastAsiaTheme="minorHAnsi"/>
                <w:spacing w:val="-34"/>
                <w:sz w:val="14"/>
                <w:szCs w:val="14"/>
                <w:lang w:eastAsia="en-US"/>
              </w:rPr>
              <w:t xml:space="preserve"> </w:t>
            </w:r>
            <w:r>
              <w:rPr>
                <w:rFonts w:eastAsiaTheme="minorHAnsi"/>
                <w:spacing w:val="-34"/>
                <w:sz w:val="14"/>
                <w:szCs w:val="14"/>
                <w:lang w:eastAsia="en-US"/>
              </w:rPr>
              <w:t xml:space="preserve"> </w:t>
            </w:r>
            <w:r>
              <w:rPr>
                <w:rFonts w:eastAsiaTheme="minorHAnsi"/>
                <w:sz w:val="14"/>
                <w:szCs w:val="14"/>
                <w:lang w:eastAsia="en-US"/>
              </w:rPr>
              <w:t xml:space="preserve"> y</w:t>
            </w:r>
            <w:r w:rsidRPr="00A57ABC">
              <w:rPr>
                <w:rFonts w:eastAsiaTheme="minorHAnsi"/>
                <w:sz w:val="14"/>
                <w:szCs w:val="14"/>
                <w:lang w:eastAsia="en-US"/>
              </w:rPr>
              <w:t xml:space="preserve"> </w:t>
            </w:r>
            <w:proofErr w:type="spellStart"/>
            <w:r w:rsidRPr="00A57ABC">
              <w:rPr>
                <w:rFonts w:eastAsiaTheme="minorHAnsi"/>
                <w:sz w:val="14"/>
                <w:szCs w:val="14"/>
                <w:lang w:eastAsia="en-US"/>
              </w:rPr>
              <w:t>Masagua</w:t>
            </w:r>
            <w:proofErr w:type="spellEnd"/>
          </w:p>
        </w:tc>
        <w:tc>
          <w:tcPr>
            <w:tcW w:w="716" w:type="pct"/>
            <w:vAlign w:val="center"/>
          </w:tcPr>
          <w:p w14:paraId="1D39508D" w14:textId="77777777" w:rsidR="00C36261" w:rsidRPr="00A57ABC" w:rsidRDefault="00C36261" w:rsidP="00624091">
            <w:pPr>
              <w:widowControl w:val="0"/>
              <w:ind w:left="320"/>
              <w:jc w:val="center"/>
              <w:rPr>
                <w:rFonts w:eastAsiaTheme="minorHAnsi"/>
                <w:sz w:val="14"/>
                <w:szCs w:val="14"/>
                <w:lang w:eastAsia="en-US"/>
              </w:rPr>
            </w:pPr>
            <w:r w:rsidRPr="00A57ABC">
              <w:rPr>
                <w:rFonts w:eastAsiaTheme="minorHAnsi"/>
                <w:sz w:val="14"/>
                <w:szCs w:val="14"/>
                <w:lang w:eastAsia="en-US"/>
              </w:rPr>
              <w:t>Escuintla</w:t>
            </w:r>
          </w:p>
        </w:tc>
      </w:tr>
      <w:tr w:rsidR="00C36261" w:rsidRPr="00A57ABC" w14:paraId="48594CBF" w14:textId="77777777" w:rsidTr="005105AC">
        <w:trPr>
          <w:trHeight w:val="1125"/>
          <w:jc w:val="center"/>
        </w:trPr>
        <w:tc>
          <w:tcPr>
            <w:tcW w:w="1367" w:type="pct"/>
            <w:vAlign w:val="center"/>
          </w:tcPr>
          <w:p w14:paraId="4EB76112" w14:textId="77777777" w:rsidR="00C36261" w:rsidRPr="00A57ABC" w:rsidRDefault="00C36261" w:rsidP="00624091">
            <w:pPr>
              <w:widowControl w:val="0"/>
              <w:ind w:left="199" w:right="163" w:firstLine="28"/>
              <w:rPr>
                <w:rFonts w:eastAsiaTheme="minorHAnsi"/>
                <w:sz w:val="14"/>
                <w:szCs w:val="14"/>
                <w:lang w:eastAsia="en-US"/>
              </w:rPr>
            </w:pPr>
            <w:r w:rsidRPr="00A57ABC">
              <w:rPr>
                <w:rFonts w:eastAsiaTheme="minorHAnsi"/>
                <w:sz w:val="14"/>
                <w:szCs w:val="14"/>
                <w:lang w:eastAsia="en-US"/>
              </w:rPr>
              <w:t>CANTERA EL</w:t>
            </w:r>
            <w:r w:rsidRPr="00A57ABC">
              <w:rPr>
                <w:rFonts w:eastAsiaTheme="minorHAnsi"/>
                <w:spacing w:val="1"/>
                <w:sz w:val="14"/>
                <w:szCs w:val="14"/>
                <w:lang w:eastAsia="en-US"/>
              </w:rPr>
              <w:t xml:space="preserve"> </w:t>
            </w:r>
            <w:r w:rsidRPr="00A57ABC">
              <w:rPr>
                <w:rFonts w:eastAsiaTheme="minorHAnsi"/>
                <w:sz w:val="14"/>
                <w:szCs w:val="14"/>
                <w:lang w:eastAsia="en-US"/>
              </w:rPr>
              <w:t>GUACHIPILIN</w:t>
            </w:r>
          </w:p>
        </w:tc>
        <w:tc>
          <w:tcPr>
            <w:tcW w:w="613" w:type="pct"/>
            <w:vAlign w:val="center"/>
          </w:tcPr>
          <w:p w14:paraId="6C13C58E" w14:textId="77777777" w:rsidR="00C36261" w:rsidRPr="00A57ABC" w:rsidRDefault="00C36261" w:rsidP="00624091">
            <w:pPr>
              <w:widowControl w:val="0"/>
              <w:ind w:left="28"/>
              <w:jc w:val="center"/>
              <w:rPr>
                <w:rFonts w:eastAsiaTheme="minorHAnsi"/>
                <w:sz w:val="14"/>
                <w:szCs w:val="14"/>
                <w:lang w:eastAsia="en-US"/>
              </w:rPr>
            </w:pPr>
            <w:r w:rsidRPr="00A57ABC">
              <w:rPr>
                <w:rFonts w:eastAsiaTheme="minorHAnsi"/>
                <w:sz w:val="14"/>
                <w:szCs w:val="14"/>
                <w:lang w:eastAsia="en-US"/>
              </w:rPr>
              <w:t>10-07-1989</w:t>
            </w:r>
            <w:r w:rsidRPr="00A57ABC">
              <w:rPr>
                <w:rFonts w:eastAsiaTheme="minorHAnsi"/>
                <w:spacing w:val="3"/>
                <w:sz w:val="14"/>
                <w:szCs w:val="14"/>
                <w:lang w:eastAsia="en-US"/>
              </w:rPr>
              <w:t xml:space="preserve"> </w:t>
            </w:r>
            <w:r w:rsidRPr="00A57ABC">
              <w:rPr>
                <w:rFonts w:eastAsiaTheme="minorHAnsi"/>
                <w:sz w:val="14"/>
                <w:szCs w:val="14"/>
                <w:lang w:eastAsia="en-US"/>
              </w:rPr>
              <w:t>AL</w:t>
            </w:r>
            <w:r w:rsidRPr="00A57ABC">
              <w:rPr>
                <w:rFonts w:eastAsiaTheme="minorHAnsi"/>
                <w:spacing w:val="3"/>
                <w:sz w:val="14"/>
                <w:szCs w:val="14"/>
                <w:lang w:eastAsia="en-US"/>
              </w:rPr>
              <w:t xml:space="preserve"> </w:t>
            </w:r>
            <w:r w:rsidRPr="00A57ABC">
              <w:rPr>
                <w:rFonts w:eastAsiaTheme="minorHAnsi"/>
                <w:sz w:val="14"/>
                <w:szCs w:val="14"/>
                <w:lang w:eastAsia="en-US"/>
              </w:rPr>
              <w:t>14-</w:t>
            </w:r>
          </w:p>
          <w:p w14:paraId="4D8EC681" w14:textId="77777777" w:rsidR="00C36261" w:rsidRPr="00A57ABC" w:rsidRDefault="00C36261" w:rsidP="00624091">
            <w:pPr>
              <w:widowControl w:val="0"/>
              <w:ind w:left="29" w:right="2"/>
              <w:jc w:val="center"/>
              <w:rPr>
                <w:rFonts w:eastAsiaTheme="minorHAnsi"/>
                <w:sz w:val="14"/>
                <w:szCs w:val="14"/>
                <w:lang w:eastAsia="en-US"/>
              </w:rPr>
            </w:pPr>
            <w:r w:rsidRPr="00A57ABC">
              <w:rPr>
                <w:rFonts w:eastAsiaTheme="minorHAnsi"/>
                <w:sz w:val="14"/>
                <w:szCs w:val="14"/>
                <w:lang w:eastAsia="en-US"/>
              </w:rPr>
              <w:t>10-1990/</w:t>
            </w:r>
            <w:r w:rsidRPr="00A57ABC">
              <w:rPr>
                <w:rFonts w:eastAsiaTheme="minorHAnsi"/>
                <w:spacing w:val="2"/>
                <w:sz w:val="14"/>
                <w:szCs w:val="14"/>
                <w:lang w:eastAsia="en-US"/>
              </w:rPr>
              <w:t xml:space="preserve"> </w:t>
            </w:r>
            <w:r w:rsidRPr="00A57ABC">
              <w:rPr>
                <w:rFonts w:eastAsiaTheme="minorHAnsi"/>
                <w:sz w:val="14"/>
                <w:szCs w:val="14"/>
                <w:lang w:eastAsia="en-US"/>
              </w:rPr>
              <w:t>15-10-</w:t>
            </w:r>
          </w:p>
          <w:p w14:paraId="79622EA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1990 AL</w:t>
            </w:r>
          </w:p>
          <w:p w14:paraId="46A5D806"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14/10/2000/</w:t>
            </w:r>
          </w:p>
          <w:p w14:paraId="635D401C" w14:textId="77777777" w:rsidR="00C36261" w:rsidRPr="00A57ABC" w:rsidRDefault="00C36261" w:rsidP="00624091">
            <w:pPr>
              <w:widowControl w:val="0"/>
              <w:ind w:left="47" w:right="-44"/>
              <w:jc w:val="center"/>
              <w:rPr>
                <w:rFonts w:eastAsiaTheme="minorHAnsi"/>
                <w:sz w:val="14"/>
                <w:szCs w:val="14"/>
                <w:lang w:eastAsia="en-US"/>
              </w:rPr>
            </w:pPr>
            <w:r w:rsidRPr="00A57ABC">
              <w:rPr>
                <w:rFonts w:eastAsiaTheme="minorHAnsi"/>
                <w:sz w:val="14"/>
                <w:szCs w:val="14"/>
                <w:lang w:eastAsia="en-US"/>
              </w:rPr>
              <w:t>15/10/2000</w:t>
            </w:r>
            <w:r w:rsidRPr="00A57ABC">
              <w:rPr>
                <w:rFonts w:eastAsiaTheme="minorHAnsi"/>
                <w:spacing w:val="2"/>
                <w:sz w:val="14"/>
                <w:szCs w:val="14"/>
                <w:lang w:eastAsia="en-US"/>
              </w:rPr>
              <w:t xml:space="preserve"> </w:t>
            </w:r>
            <w:r w:rsidRPr="00A57ABC">
              <w:rPr>
                <w:rFonts w:eastAsiaTheme="minorHAnsi"/>
                <w:sz w:val="14"/>
                <w:szCs w:val="14"/>
                <w:lang w:eastAsia="en-US"/>
              </w:rPr>
              <w:t>AL</w:t>
            </w:r>
            <w:r w:rsidRPr="00A57ABC">
              <w:rPr>
                <w:rFonts w:eastAsiaTheme="minorHAnsi"/>
                <w:spacing w:val="2"/>
                <w:sz w:val="14"/>
                <w:szCs w:val="14"/>
                <w:lang w:eastAsia="en-US"/>
              </w:rPr>
              <w:t xml:space="preserve"> </w:t>
            </w:r>
            <w:r w:rsidRPr="00A57ABC">
              <w:rPr>
                <w:rFonts w:eastAsiaTheme="minorHAnsi"/>
                <w:sz w:val="14"/>
                <w:szCs w:val="14"/>
                <w:lang w:eastAsia="en-US"/>
              </w:rPr>
              <w:t>10-</w:t>
            </w:r>
          </w:p>
          <w:p w14:paraId="0B715B86" w14:textId="77777777" w:rsidR="00C36261" w:rsidRPr="00A57ABC" w:rsidRDefault="00C36261" w:rsidP="00624091">
            <w:pPr>
              <w:widowControl w:val="0"/>
              <w:ind w:left="33" w:right="2"/>
              <w:jc w:val="center"/>
              <w:rPr>
                <w:rFonts w:eastAsiaTheme="minorHAnsi"/>
                <w:sz w:val="14"/>
                <w:szCs w:val="14"/>
                <w:lang w:eastAsia="en-US"/>
              </w:rPr>
            </w:pPr>
            <w:r w:rsidRPr="00A57ABC">
              <w:rPr>
                <w:rFonts w:eastAsiaTheme="minorHAnsi"/>
                <w:sz w:val="14"/>
                <w:szCs w:val="14"/>
                <w:lang w:eastAsia="en-US"/>
              </w:rPr>
              <w:t>10-2025</w:t>
            </w:r>
          </w:p>
        </w:tc>
        <w:tc>
          <w:tcPr>
            <w:tcW w:w="625" w:type="pct"/>
            <w:vAlign w:val="center"/>
          </w:tcPr>
          <w:p w14:paraId="3356B78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14/10/2025</w:t>
            </w:r>
          </w:p>
        </w:tc>
        <w:tc>
          <w:tcPr>
            <w:tcW w:w="306" w:type="pct"/>
            <w:vAlign w:val="center"/>
          </w:tcPr>
          <w:p w14:paraId="3596EA7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2950915" w14:textId="77777777" w:rsidR="00C36261" w:rsidRPr="00A57ABC" w:rsidRDefault="00C36261" w:rsidP="00624091">
            <w:pPr>
              <w:widowControl w:val="0"/>
              <w:ind w:left="36" w:firstLine="1"/>
              <w:jc w:val="center"/>
              <w:rPr>
                <w:rFonts w:eastAsiaTheme="minorHAnsi"/>
                <w:sz w:val="14"/>
                <w:szCs w:val="14"/>
                <w:lang w:val="es-GT" w:eastAsia="en-US"/>
              </w:rPr>
            </w:pPr>
            <w:r w:rsidRPr="00A57ABC">
              <w:rPr>
                <w:rFonts w:eastAsiaTheme="minorHAnsi"/>
                <w:sz w:val="14"/>
                <w:szCs w:val="14"/>
                <w:lang w:val="es-GT" w:eastAsia="en-US"/>
              </w:rPr>
              <w:t>ARENA DE RIO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PIEDRA DE CANTO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RODADO</w:t>
            </w:r>
          </w:p>
        </w:tc>
        <w:tc>
          <w:tcPr>
            <w:tcW w:w="589" w:type="pct"/>
            <w:vAlign w:val="center"/>
          </w:tcPr>
          <w:p w14:paraId="61C180EB" w14:textId="77777777" w:rsidR="00C36261" w:rsidRPr="00A57ABC" w:rsidRDefault="00C36261" w:rsidP="00624091">
            <w:pPr>
              <w:widowControl w:val="0"/>
              <w:ind w:left="182" w:right="71" w:hanging="68"/>
              <w:jc w:val="center"/>
              <w:rPr>
                <w:rFonts w:eastAsiaTheme="minorHAnsi"/>
                <w:sz w:val="14"/>
                <w:szCs w:val="14"/>
                <w:lang w:eastAsia="en-US"/>
              </w:rPr>
            </w:pPr>
            <w:r w:rsidRPr="00A57ABC">
              <w:rPr>
                <w:rFonts w:eastAsiaTheme="minorHAnsi"/>
                <w:sz w:val="14"/>
                <w:szCs w:val="14"/>
                <w:lang w:eastAsia="en-US"/>
              </w:rPr>
              <w:t>Escuintla Y La</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Democracia</w:t>
            </w:r>
            <w:proofErr w:type="spellEnd"/>
          </w:p>
        </w:tc>
        <w:tc>
          <w:tcPr>
            <w:tcW w:w="716" w:type="pct"/>
            <w:vAlign w:val="center"/>
          </w:tcPr>
          <w:p w14:paraId="2597B722" w14:textId="77777777" w:rsidR="00C36261" w:rsidRPr="00A57ABC" w:rsidRDefault="00C36261" w:rsidP="00624091">
            <w:pPr>
              <w:widowControl w:val="0"/>
              <w:ind w:left="320"/>
              <w:jc w:val="center"/>
              <w:rPr>
                <w:rFonts w:eastAsiaTheme="minorHAnsi"/>
                <w:sz w:val="14"/>
                <w:szCs w:val="14"/>
                <w:lang w:eastAsia="en-US"/>
              </w:rPr>
            </w:pPr>
            <w:r w:rsidRPr="00A57ABC">
              <w:rPr>
                <w:rFonts w:eastAsiaTheme="minorHAnsi"/>
                <w:sz w:val="14"/>
                <w:szCs w:val="14"/>
                <w:lang w:eastAsia="en-US"/>
              </w:rPr>
              <w:t>Escuintla</w:t>
            </w:r>
          </w:p>
        </w:tc>
      </w:tr>
      <w:tr w:rsidR="00C36261" w:rsidRPr="00A57ABC" w14:paraId="4C19D037" w14:textId="77777777" w:rsidTr="005105AC">
        <w:trPr>
          <w:trHeight w:val="378"/>
          <w:jc w:val="center"/>
        </w:trPr>
        <w:tc>
          <w:tcPr>
            <w:tcW w:w="1367" w:type="pct"/>
            <w:vAlign w:val="center"/>
          </w:tcPr>
          <w:p w14:paraId="111E5AB1" w14:textId="77777777" w:rsidR="00C36261" w:rsidRPr="00A57ABC" w:rsidRDefault="00C36261" w:rsidP="00624091">
            <w:pPr>
              <w:widowControl w:val="0"/>
              <w:ind w:left="219" w:right="181" w:firstLine="100"/>
              <w:rPr>
                <w:rFonts w:eastAsiaTheme="minorHAnsi"/>
                <w:sz w:val="14"/>
                <w:szCs w:val="14"/>
                <w:lang w:eastAsia="en-US"/>
              </w:rPr>
            </w:pPr>
            <w:r w:rsidRPr="00A57ABC">
              <w:rPr>
                <w:rFonts w:eastAsiaTheme="minorHAnsi"/>
                <w:sz w:val="14"/>
                <w:szCs w:val="14"/>
                <w:lang w:eastAsia="en-US"/>
              </w:rPr>
              <w:t>CANTERA</w:t>
            </w:r>
            <w:r w:rsidRPr="00A57ABC">
              <w:rPr>
                <w:rFonts w:eastAsiaTheme="minorHAnsi"/>
                <w:spacing w:val="1"/>
                <w:sz w:val="14"/>
                <w:szCs w:val="14"/>
                <w:lang w:eastAsia="en-US"/>
              </w:rPr>
              <w:t xml:space="preserve"> </w:t>
            </w:r>
            <w:r w:rsidRPr="00A57ABC">
              <w:rPr>
                <w:rFonts w:eastAsiaTheme="minorHAnsi"/>
                <w:sz w:val="14"/>
                <w:szCs w:val="14"/>
                <w:lang w:eastAsia="en-US"/>
              </w:rPr>
              <w:t>GUADALUPE</w:t>
            </w:r>
          </w:p>
        </w:tc>
        <w:tc>
          <w:tcPr>
            <w:tcW w:w="613" w:type="pct"/>
            <w:vAlign w:val="center"/>
          </w:tcPr>
          <w:p w14:paraId="4CD8E3E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18/10/2012</w:t>
            </w:r>
          </w:p>
        </w:tc>
        <w:tc>
          <w:tcPr>
            <w:tcW w:w="625" w:type="pct"/>
            <w:vAlign w:val="center"/>
          </w:tcPr>
          <w:p w14:paraId="7DA27F2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17/10/2037</w:t>
            </w:r>
          </w:p>
        </w:tc>
        <w:tc>
          <w:tcPr>
            <w:tcW w:w="306" w:type="pct"/>
            <w:vAlign w:val="center"/>
          </w:tcPr>
          <w:p w14:paraId="125219D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2B6C39E" w14:textId="77777777" w:rsidR="00C36261" w:rsidRPr="00A57ABC" w:rsidRDefault="00C36261" w:rsidP="00624091">
            <w:pPr>
              <w:widowControl w:val="0"/>
              <w:ind w:left="77" w:right="42"/>
              <w:jc w:val="center"/>
              <w:rPr>
                <w:rFonts w:eastAsiaTheme="minorHAnsi"/>
                <w:sz w:val="14"/>
                <w:szCs w:val="14"/>
                <w:lang w:val="es-GT" w:eastAsia="en-US"/>
              </w:rPr>
            </w:pPr>
            <w:r w:rsidRPr="00A57ABC">
              <w:rPr>
                <w:rFonts w:eastAsiaTheme="minorHAnsi"/>
                <w:sz w:val="14"/>
                <w:szCs w:val="14"/>
                <w:lang w:val="es-GT" w:eastAsia="en-US"/>
              </w:rPr>
              <w:t>ARENA DE RIO,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GRAVA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CANTGOS</w:t>
            </w:r>
          </w:p>
          <w:p w14:paraId="687B752A"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RODADOS</w:t>
            </w:r>
          </w:p>
        </w:tc>
        <w:tc>
          <w:tcPr>
            <w:tcW w:w="589" w:type="pct"/>
            <w:vAlign w:val="center"/>
          </w:tcPr>
          <w:p w14:paraId="43F5062F" w14:textId="77777777" w:rsidR="00C36261" w:rsidRPr="00A57ABC" w:rsidRDefault="00C36261" w:rsidP="00624091">
            <w:pPr>
              <w:widowControl w:val="0"/>
              <w:ind w:left="271"/>
              <w:jc w:val="center"/>
              <w:rPr>
                <w:rFonts w:eastAsiaTheme="minorHAnsi"/>
                <w:sz w:val="14"/>
                <w:szCs w:val="14"/>
                <w:lang w:eastAsia="en-US"/>
              </w:rPr>
            </w:pPr>
            <w:r w:rsidRPr="00A57ABC">
              <w:rPr>
                <w:rFonts w:eastAsiaTheme="minorHAnsi"/>
                <w:sz w:val="14"/>
                <w:szCs w:val="14"/>
                <w:lang w:eastAsia="en-US"/>
              </w:rPr>
              <w:t>Escuintla</w:t>
            </w:r>
          </w:p>
        </w:tc>
        <w:tc>
          <w:tcPr>
            <w:tcW w:w="716" w:type="pct"/>
            <w:vAlign w:val="center"/>
          </w:tcPr>
          <w:p w14:paraId="1DA4889E" w14:textId="77777777" w:rsidR="00C36261" w:rsidRPr="00A57ABC" w:rsidRDefault="00C36261" w:rsidP="00624091">
            <w:pPr>
              <w:widowControl w:val="0"/>
              <w:ind w:left="320"/>
              <w:jc w:val="center"/>
              <w:rPr>
                <w:rFonts w:eastAsiaTheme="minorHAnsi"/>
                <w:sz w:val="14"/>
                <w:szCs w:val="14"/>
                <w:lang w:eastAsia="en-US"/>
              </w:rPr>
            </w:pPr>
            <w:r w:rsidRPr="00A57ABC">
              <w:rPr>
                <w:rFonts w:eastAsiaTheme="minorHAnsi"/>
                <w:sz w:val="14"/>
                <w:szCs w:val="14"/>
                <w:lang w:eastAsia="en-US"/>
              </w:rPr>
              <w:t>Escuintla</w:t>
            </w:r>
          </w:p>
        </w:tc>
      </w:tr>
      <w:tr w:rsidR="00C36261" w:rsidRPr="00A57ABC" w14:paraId="27CA3306" w14:textId="77777777" w:rsidTr="005105AC">
        <w:trPr>
          <w:trHeight w:val="544"/>
          <w:jc w:val="center"/>
        </w:trPr>
        <w:tc>
          <w:tcPr>
            <w:tcW w:w="1367" w:type="pct"/>
            <w:vAlign w:val="center"/>
          </w:tcPr>
          <w:p w14:paraId="1555BE60" w14:textId="77777777" w:rsidR="00C36261" w:rsidRPr="00A57ABC" w:rsidRDefault="00C36261" w:rsidP="00624091">
            <w:pPr>
              <w:widowControl w:val="0"/>
              <w:ind w:left="125" w:right="100" w:hanging="1"/>
              <w:jc w:val="center"/>
              <w:rPr>
                <w:rFonts w:eastAsiaTheme="minorHAnsi"/>
                <w:sz w:val="14"/>
                <w:szCs w:val="14"/>
                <w:lang w:val="es-GT" w:eastAsia="en-US"/>
              </w:rPr>
            </w:pPr>
            <w:r w:rsidRPr="00A57ABC">
              <w:rPr>
                <w:rFonts w:eastAsiaTheme="minorHAnsi"/>
                <w:sz w:val="14"/>
                <w:szCs w:val="14"/>
                <w:lang w:val="es-GT" w:eastAsia="en-US"/>
              </w:rPr>
              <w:t>CANTERA 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JOAQUIN / SAN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ANTONIO</w:t>
            </w:r>
          </w:p>
        </w:tc>
        <w:tc>
          <w:tcPr>
            <w:tcW w:w="613" w:type="pct"/>
            <w:vAlign w:val="center"/>
          </w:tcPr>
          <w:p w14:paraId="4B73DBD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18/02/2017</w:t>
            </w:r>
          </w:p>
        </w:tc>
        <w:tc>
          <w:tcPr>
            <w:tcW w:w="625" w:type="pct"/>
            <w:vAlign w:val="center"/>
          </w:tcPr>
          <w:p w14:paraId="6025093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17/02/2042</w:t>
            </w:r>
          </w:p>
        </w:tc>
        <w:tc>
          <w:tcPr>
            <w:tcW w:w="306" w:type="pct"/>
            <w:vAlign w:val="center"/>
          </w:tcPr>
          <w:p w14:paraId="190AFA3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9BEB0A5" w14:textId="77777777" w:rsidR="00C36261" w:rsidRPr="00A57ABC" w:rsidRDefault="00C36261" w:rsidP="00624091">
            <w:pPr>
              <w:widowControl w:val="0"/>
              <w:ind w:left="266" w:right="194" w:hanging="27"/>
              <w:rPr>
                <w:rFonts w:eastAsiaTheme="minorHAnsi"/>
                <w:sz w:val="14"/>
                <w:szCs w:val="14"/>
                <w:lang w:eastAsia="en-US"/>
              </w:rPr>
            </w:pPr>
            <w:r w:rsidRPr="00A57ABC">
              <w:rPr>
                <w:rFonts w:eastAsiaTheme="minorHAnsi"/>
                <w:sz w:val="14"/>
                <w:szCs w:val="14"/>
                <w:lang w:eastAsia="en-US"/>
              </w:rPr>
              <w:t>BASALTOS Y</w:t>
            </w:r>
            <w:r w:rsidRPr="00A57ABC">
              <w:rPr>
                <w:rFonts w:eastAsiaTheme="minorHAnsi"/>
                <w:spacing w:val="-34"/>
                <w:sz w:val="14"/>
                <w:szCs w:val="14"/>
                <w:lang w:eastAsia="en-US"/>
              </w:rPr>
              <w:t xml:space="preserve"> </w:t>
            </w:r>
            <w:r w:rsidRPr="00A57ABC">
              <w:rPr>
                <w:rFonts w:eastAsiaTheme="minorHAnsi"/>
                <w:sz w:val="14"/>
                <w:szCs w:val="14"/>
                <w:lang w:eastAsia="en-US"/>
              </w:rPr>
              <w:t>ANDESITAS</w:t>
            </w:r>
          </w:p>
        </w:tc>
        <w:tc>
          <w:tcPr>
            <w:tcW w:w="589" w:type="pct"/>
            <w:vAlign w:val="center"/>
          </w:tcPr>
          <w:p w14:paraId="45211CD1" w14:textId="77777777" w:rsidR="00C36261" w:rsidRPr="00A57ABC" w:rsidRDefault="00C36261" w:rsidP="00624091">
            <w:pPr>
              <w:widowControl w:val="0"/>
              <w:ind w:left="273" w:right="182" w:hanging="44"/>
              <w:jc w:val="center"/>
              <w:rPr>
                <w:rFonts w:eastAsiaTheme="minorHAnsi"/>
                <w:sz w:val="14"/>
                <w:szCs w:val="14"/>
                <w:lang w:eastAsia="en-US"/>
              </w:rPr>
            </w:pPr>
            <w:proofErr w:type="spellStart"/>
            <w:r w:rsidRPr="00A57ABC">
              <w:rPr>
                <w:rFonts w:eastAsiaTheme="minorHAnsi"/>
                <w:sz w:val="14"/>
                <w:szCs w:val="14"/>
                <w:lang w:eastAsia="en-US"/>
              </w:rPr>
              <w:t>Masagua</w:t>
            </w:r>
            <w:proofErr w:type="spellEnd"/>
            <w:r w:rsidRPr="00A57ABC">
              <w:rPr>
                <w:rFonts w:eastAsiaTheme="minorHAnsi"/>
                <w:sz w:val="14"/>
                <w:szCs w:val="14"/>
                <w:lang w:eastAsia="en-US"/>
              </w:rPr>
              <w:t xml:space="preserve"> Y</w:t>
            </w:r>
            <w:r w:rsidRPr="00A57ABC">
              <w:rPr>
                <w:rFonts w:eastAsiaTheme="minorHAnsi"/>
                <w:spacing w:val="-34"/>
                <w:sz w:val="14"/>
                <w:szCs w:val="14"/>
                <w:lang w:eastAsia="en-US"/>
              </w:rPr>
              <w:t xml:space="preserve"> </w:t>
            </w:r>
            <w:r w:rsidRPr="00A57ABC">
              <w:rPr>
                <w:rFonts w:eastAsiaTheme="minorHAnsi"/>
                <w:sz w:val="14"/>
                <w:szCs w:val="14"/>
                <w:lang w:eastAsia="en-US"/>
              </w:rPr>
              <w:t>Escuintla</w:t>
            </w:r>
          </w:p>
        </w:tc>
        <w:tc>
          <w:tcPr>
            <w:tcW w:w="716" w:type="pct"/>
            <w:vAlign w:val="center"/>
          </w:tcPr>
          <w:p w14:paraId="2798B0FA" w14:textId="77777777" w:rsidR="00C36261" w:rsidRPr="00A57ABC" w:rsidRDefault="00C36261" w:rsidP="00624091">
            <w:pPr>
              <w:widowControl w:val="0"/>
              <w:ind w:left="320"/>
              <w:jc w:val="center"/>
              <w:rPr>
                <w:rFonts w:eastAsiaTheme="minorHAnsi"/>
                <w:sz w:val="14"/>
                <w:szCs w:val="14"/>
                <w:lang w:eastAsia="en-US"/>
              </w:rPr>
            </w:pPr>
            <w:r w:rsidRPr="00A57ABC">
              <w:rPr>
                <w:rFonts w:eastAsiaTheme="minorHAnsi"/>
                <w:sz w:val="14"/>
                <w:szCs w:val="14"/>
                <w:lang w:eastAsia="en-US"/>
              </w:rPr>
              <w:t>Escuintla</w:t>
            </w:r>
          </w:p>
        </w:tc>
      </w:tr>
      <w:tr w:rsidR="00C36261" w:rsidRPr="00A57ABC" w14:paraId="07A40736" w14:textId="77777777" w:rsidTr="005105AC">
        <w:trPr>
          <w:trHeight w:val="670"/>
          <w:jc w:val="center"/>
        </w:trPr>
        <w:tc>
          <w:tcPr>
            <w:tcW w:w="1367" w:type="pct"/>
            <w:vAlign w:val="center"/>
          </w:tcPr>
          <w:p w14:paraId="07BDFA84"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EL ACHIGUATE</w:t>
            </w:r>
          </w:p>
        </w:tc>
        <w:tc>
          <w:tcPr>
            <w:tcW w:w="613" w:type="pct"/>
            <w:vAlign w:val="center"/>
          </w:tcPr>
          <w:p w14:paraId="3DCDF7B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28/05/2008</w:t>
            </w:r>
          </w:p>
        </w:tc>
        <w:tc>
          <w:tcPr>
            <w:tcW w:w="625" w:type="pct"/>
            <w:vAlign w:val="center"/>
          </w:tcPr>
          <w:p w14:paraId="43128C4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27/05/2033</w:t>
            </w:r>
          </w:p>
        </w:tc>
        <w:tc>
          <w:tcPr>
            <w:tcW w:w="306" w:type="pct"/>
            <w:vAlign w:val="center"/>
          </w:tcPr>
          <w:p w14:paraId="271E522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C7E557A" w14:textId="77777777" w:rsidR="00C36261" w:rsidRPr="00A57ABC" w:rsidRDefault="00C36261" w:rsidP="00624091">
            <w:pPr>
              <w:widowControl w:val="0"/>
              <w:ind w:left="74" w:right="42"/>
              <w:jc w:val="center"/>
              <w:rPr>
                <w:rFonts w:eastAsiaTheme="minorHAnsi"/>
                <w:sz w:val="14"/>
                <w:szCs w:val="14"/>
                <w:lang w:val="es-GT" w:eastAsia="en-US"/>
              </w:rPr>
            </w:pPr>
            <w:r w:rsidRPr="00A57ABC">
              <w:rPr>
                <w:rFonts w:eastAsiaTheme="minorHAnsi"/>
                <w:sz w:val="14"/>
                <w:szCs w:val="14"/>
                <w:lang w:val="es-GT" w:eastAsia="en-US"/>
              </w:rPr>
              <w:t>AREA, GRAVA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55A1F48C" w14:textId="77777777" w:rsidR="00C36261" w:rsidRPr="00A57ABC" w:rsidRDefault="00C36261" w:rsidP="00624091">
            <w:pPr>
              <w:widowControl w:val="0"/>
              <w:ind w:left="75" w:right="39"/>
              <w:jc w:val="center"/>
              <w:rPr>
                <w:rFonts w:eastAsiaTheme="minorHAnsi"/>
                <w:sz w:val="14"/>
                <w:szCs w:val="14"/>
                <w:lang w:val="es-GT" w:eastAsia="en-US"/>
              </w:rPr>
            </w:pPr>
            <w:r w:rsidRPr="00A57ABC">
              <w:rPr>
                <w:rFonts w:eastAsiaTheme="minorHAnsi"/>
                <w:sz w:val="14"/>
                <w:szCs w:val="14"/>
                <w:lang w:val="es-GT" w:eastAsia="en-US"/>
              </w:rPr>
              <w:t>La Democracia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Masagua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(Delimitación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 Tomo</w:t>
            </w:r>
            <w:r w:rsidRPr="00A57ABC">
              <w:rPr>
                <w:rFonts w:eastAsiaTheme="minorHAnsi"/>
                <w:spacing w:val="1"/>
                <w:sz w:val="14"/>
                <w:szCs w:val="14"/>
                <w:lang w:val="es-GT" w:eastAsia="en-US"/>
              </w:rPr>
              <w:t xml:space="preserve"> </w:t>
            </w:r>
            <w:proofErr w:type="spellStart"/>
            <w:r w:rsidRPr="00A57ABC">
              <w:rPr>
                <w:rFonts w:eastAsiaTheme="minorHAnsi"/>
                <w:sz w:val="14"/>
                <w:szCs w:val="14"/>
                <w:lang w:val="es-GT" w:eastAsia="en-US"/>
              </w:rPr>
              <w:t>Deacuero</w:t>
            </w:r>
            <w:proofErr w:type="spellEnd"/>
            <w:r w:rsidRPr="00A57ABC">
              <w:rPr>
                <w:rFonts w:eastAsiaTheme="minorHAnsi"/>
                <w:spacing w:val="-1"/>
                <w:sz w:val="14"/>
                <w:szCs w:val="14"/>
                <w:lang w:val="es-GT" w:eastAsia="en-US"/>
              </w:rPr>
              <w:t xml:space="preserve"> </w:t>
            </w:r>
            <w:r>
              <w:rPr>
                <w:rFonts w:eastAsiaTheme="minorHAnsi"/>
                <w:sz w:val="14"/>
                <w:szCs w:val="14"/>
                <w:lang w:val="es-GT" w:eastAsia="en-US"/>
              </w:rPr>
              <w: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Topografía)</w:t>
            </w:r>
          </w:p>
        </w:tc>
        <w:tc>
          <w:tcPr>
            <w:tcW w:w="716" w:type="pct"/>
            <w:vAlign w:val="center"/>
          </w:tcPr>
          <w:p w14:paraId="7DFA5536" w14:textId="77777777" w:rsidR="00C36261" w:rsidRPr="00A57ABC" w:rsidRDefault="00C36261" w:rsidP="00624091">
            <w:pPr>
              <w:widowControl w:val="0"/>
              <w:ind w:left="320"/>
              <w:jc w:val="center"/>
              <w:rPr>
                <w:rFonts w:eastAsiaTheme="minorHAnsi"/>
                <w:sz w:val="14"/>
                <w:szCs w:val="14"/>
                <w:lang w:eastAsia="en-US"/>
              </w:rPr>
            </w:pPr>
            <w:r w:rsidRPr="00A57ABC">
              <w:rPr>
                <w:rFonts w:eastAsiaTheme="minorHAnsi"/>
                <w:sz w:val="14"/>
                <w:szCs w:val="14"/>
                <w:lang w:eastAsia="en-US"/>
              </w:rPr>
              <w:t>Escuintla</w:t>
            </w:r>
          </w:p>
        </w:tc>
      </w:tr>
      <w:tr w:rsidR="00C36261" w:rsidRPr="00A57ABC" w14:paraId="600722F1" w14:textId="77777777" w:rsidTr="005105AC">
        <w:trPr>
          <w:trHeight w:val="270"/>
          <w:jc w:val="center"/>
        </w:trPr>
        <w:tc>
          <w:tcPr>
            <w:tcW w:w="1367" w:type="pct"/>
            <w:vAlign w:val="center"/>
          </w:tcPr>
          <w:p w14:paraId="57C63EA2"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EL CAMINO</w:t>
            </w:r>
          </w:p>
        </w:tc>
        <w:tc>
          <w:tcPr>
            <w:tcW w:w="613" w:type="pct"/>
            <w:vAlign w:val="center"/>
          </w:tcPr>
          <w:p w14:paraId="057CC73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21/02/2007</w:t>
            </w:r>
          </w:p>
        </w:tc>
        <w:tc>
          <w:tcPr>
            <w:tcW w:w="625" w:type="pct"/>
            <w:vAlign w:val="center"/>
          </w:tcPr>
          <w:p w14:paraId="5A11555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20/02/2032</w:t>
            </w:r>
          </w:p>
        </w:tc>
        <w:tc>
          <w:tcPr>
            <w:tcW w:w="306" w:type="pct"/>
            <w:vAlign w:val="center"/>
          </w:tcPr>
          <w:p w14:paraId="15D9769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2A7C44A" w14:textId="77777777" w:rsidR="00C36261" w:rsidRPr="00A57ABC" w:rsidRDefault="00C36261" w:rsidP="00624091">
            <w:pPr>
              <w:widowControl w:val="0"/>
              <w:ind w:left="77" w:right="42"/>
              <w:jc w:val="center"/>
              <w:rPr>
                <w:rFonts w:eastAsiaTheme="minorHAnsi"/>
                <w:sz w:val="14"/>
                <w:szCs w:val="14"/>
                <w:lang w:val="es-GT" w:eastAsia="en-US"/>
              </w:rPr>
            </w:pPr>
            <w:r w:rsidRPr="00A57ABC">
              <w:rPr>
                <w:rFonts w:eastAsiaTheme="minorHAnsi"/>
                <w:sz w:val="14"/>
                <w:szCs w:val="14"/>
                <w:lang w:val="es-GT" w:eastAsia="en-US"/>
              </w:rPr>
              <w:t>ARENA, GRAVA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017C95A1" w14:textId="77777777" w:rsidR="00C36261" w:rsidRPr="00A57ABC" w:rsidRDefault="00C36261" w:rsidP="00624091">
            <w:pPr>
              <w:widowControl w:val="0"/>
              <w:ind w:left="230" w:right="35" w:hanging="147"/>
              <w:jc w:val="center"/>
              <w:rPr>
                <w:rFonts w:eastAsiaTheme="minorHAnsi"/>
                <w:sz w:val="14"/>
                <w:szCs w:val="14"/>
                <w:lang w:eastAsia="en-US"/>
              </w:rPr>
            </w:pPr>
            <w:r w:rsidRPr="00A57ABC">
              <w:rPr>
                <w:rFonts w:eastAsiaTheme="minorHAnsi"/>
                <w:sz w:val="14"/>
                <w:szCs w:val="14"/>
                <w:lang w:eastAsia="en-US"/>
              </w:rPr>
              <w:t xml:space="preserve">La </w:t>
            </w:r>
            <w:proofErr w:type="spellStart"/>
            <w:r w:rsidRPr="00A57ABC">
              <w:rPr>
                <w:rFonts w:eastAsiaTheme="minorHAnsi"/>
                <w:sz w:val="14"/>
                <w:szCs w:val="14"/>
                <w:lang w:eastAsia="en-US"/>
              </w:rPr>
              <w:t>Democracia</w:t>
            </w:r>
            <w:proofErr w:type="spellEnd"/>
            <w:r w:rsidRPr="00A57ABC">
              <w:rPr>
                <w:rFonts w:eastAsiaTheme="minorHAnsi"/>
                <w:spacing w:val="-34"/>
                <w:sz w:val="14"/>
                <w:szCs w:val="14"/>
                <w:lang w:eastAsia="en-US"/>
              </w:rPr>
              <w:t xml:space="preserve"> </w:t>
            </w:r>
            <w:r w:rsidRPr="00A57ABC">
              <w:rPr>
                <w:rFonts w:eastAsiaTheme="minorHAnsi"/>
                <w:sz w:val="14"/>
                <w:szCs w:val="14"/>
                <w:lang w:eastAsia="en-US"/>
              </w:rPr>
              <w:t xml:space="preserve">Y </w:t>
            </w:r>
            <w:proofErr w:type="spellStart"/>
            <w:r w:rsidRPr="00A57ABC">
              <w:rPr>
                <w:rFonts w:eastAsiaTheme="minorHAnsi"/>
                <w:sz w:val="14"/>
                <w:szCs w:val="14"/>
                <w:lang w:eastAsia="en-US"/>
              </w:rPr>
              <w:t>Masagua</w:t>
            </w:r>
            <w:proofErr w:type="spellEnd"/>
          </w:p>
        </w:tc>
        <w:tc>
          <w:tcPr>
            <w:tcW w:w="716" w:type="pct"/>
            <w:vAlign w:val="center"/>
          </w:tcPr>
          <w:p w14:paraId="3D1B6BE6" w14:textId="77777777" w:rsidR="00C36261" w:rsidRPr="00A57ABC" w:rsidRDefault="00C36261" w:rsidP="00624091">
            <w:pPr>
              <w:widowControl w:val="0"/>
              <w:ind w:left="320"/>
              <w:jc w:val="center"/>
              <w:rPr>
                <w:rFonts w:eastAsiaTheme="minorHAnsi"/>
                <w:sz w:val="14"/>
                <w:szCs w:val="14"/>
                <w:lang w:eastAsia="en-US"/>
              </w:rPr>
            </w:pPr>
            <w:r w:rsidRPr="00A57ABC">
              <w:rPr>
                <w:rFonts w:eastAsiaTheme="minorHAnsi"/>
                <w:sz w:val="14"/>
                <w:szCs w:val="14"/>
                <w:lang w:eastAsia="en-US"/>
              </w:rPr>
              <w:t>Escuintla</w:t>
            </w:r>
          </w:p>
        </w:tc>
      </w:tr>
      <w:tr w:rsidR="00C36261" w:rsidRPr="00A57ABC" w14:paraId="4BD4857E" w14:textId="77777777" w:rsidTr="005105AC">
        <w:trPr>
          <w:trHeight w:val="347"/>
          <w:jc w:val="center"/>
        </w:trPr>
        <w:tc>
          <w:tcPr>
            <w:tcW w:w="1367" w:type="pct"/>
            <w:vAlign w:val="center"/>
          </w:tcPr>
          <w:p w14:paraId="2C39A43C"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ESCUINTLA</w:t>
            </w:r>
          </w:p>
        </w:tc>
        <w:tc>
          <w:tcPr>
            <w:tcW w:w="613" w:type="pct"/>
            <w:vAlign w:val="center"/>
          </w:tcPr>
          <w:p w14:paraId="1311F4E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14/10/1999</w:t>
            </w:r>
          </w:p>
        </w:tc>
        <w:tc>
          <w:tcPr>
            <w:tcW w:w="625" w:type="pct"/>
            <w:vAlign w:val="center"/>
          </w:tcPr>
          <w:p w14:paraId="42A79BC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13/10/2024</w:t>
            </w:r>
          </w:p>
        </w:tc>
        <w:tc>
          <w:tcPr>
            <w:tcW w:w="306" w:type="pct"/>
            <w:vAlign w:val="center"/>
          </w:tcPr>
          <w:p w14:paraId="60B5DE8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973ECE1" w14:textId="77777777" w:rsidR="00C36261" w:rsidRPr="00A57ABC" w:rsidRDefault="00C36261" w:rsidP="00624091">
            <w:pPr>
              <w:widowControl w:val="0"/>
              <w:ind w:left="38" w:right="3"/>
              <w:jc w:val="center"/>
              <w:rPr>
                <w:rFonts w:eastAsiaTheme="minorHAnsi"/>
                <w:sz w:val="14"/>
                <w:szCs w:val="14"/>
                <w:lang w:val="es-GT" w:eastAsia="en-US"/>
              </w:rPr>
            </w:pP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GRAVAS</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ARENA</w:t>
            </w:r>
          </w:p>
        </w:tc>
        <w:tc>
          <w:tcPr>
            <w:tcW w:w="589" w:type="pct"/>
            <w:vAlign w:val="center"/>
          </w:tcPr>
          <w:p w14:paraId="2A2194F3" w14:textId="77777777" w:rsidR="00C36261" w:rsidRPr="00A57ABC" w:rsidRDefault="00C36261" w:rsidP="00624091">
            <w:pPr>
              <w:widowControl w:val="0"/>
              <w:ind w:left="288" w:right="168" w:hanging="75"/>
              <w:jc w:val="center"/>
              <w:rPr>
                <w:rFonts w:eastAsiaTheme="minorHAnsi"/>
                <w:sz w:val="14"/>
                <w:szCs w:val="14"/>
                <w:lang w:eastAsia="en-US"/>
              </w:rPr>
            </w:pPr>
            <w:r w:rsidRPr="00A57ABC">
              <w:rPr>
                <w:rFonts w:eastAsiaTheme="minorHAnsi"/>
                <w:sz w:val="14"/>
                <w:szCs w:val="14"/>
                <w:lang w:eastAsia="en-US"/>
              </w:rPr>
              <w:t>Escuintla Y</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Masagua</w:t>
            </w:r>
            <w:proofErr w:type="spellEnd"/>
          </w:p>
        </w:tc>
        <w:tc>
          <w:tcPr>
            <w:tcW w:w="716" w:type="pct"/>
            <w:vAlign w:val="center"/>
          </w:tcPr>
          <w:p w14:paraId="5703E77D" w14:textId="77777777" w:rsidR="00C36261" w:rsidRPr="00A57ABC" w:rsidRDefault="00C36261" w:rsidP="00624091">
            <w:pPr>
              <w:widowControl w:val="0"/>
              <w:ind w:left="320"/>
              <w:jc w:val="center"/>
              <w:rPr>
                <w:rFonts w:eastAsiaTheme="minorHAnsi"/>
                <w:sz w:val="14"/>
                <w:szCs w:val="14"/>
                <w:lang w:eastAsia="en-US"/>
              </w:rPr>
            </w:pPr>
            <w:r w:rsidRPr="00A57ABC">
              <w:rPr>
                <w:rFonts w:eastAsiaTheme="minorHAnsi"/>
                <w:sz w:val="14"/>
                <w:szCs w:val="14"/>
                <w:lang w:eastAsia="en-US"/>
              </w:rPr>
              <w:t>Escuintla</w:t>
            </w:r>
          </w:p>
        </w:tc>
      </w:tr>
      <w:tr w:rsidR="00C36261" w:rsidRPr="00A57ABC" w14:paraId="07744828" w14:textId="77777777" w:rsidTr="005105AC">
        <w:trPr>
          <w:trHeight w:val="266"/>
          <w:jc w:val="center"/>
        </w:trPr>
        <w:tc>
          <w:tcPr>
            <w:tcW w:w="1367" w:type="pct"/>
            <w:vAlign w:val="center"/>
          </w:tcPr>
          <w:p w14:paraId="595D7378"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VERSALLES</w:t>
            </w:r>
          </w:p>
        </w:tc>
        <w:tc>
          <w:tcPr>
            <w:tcW w:w="613" w:type="pct"/>
            <w:vAlign w:val="center"/>
          </w:tcPr>
          <w:p w14:paraId="0065A6C8"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17/01/2008</w:t>
            </w:r>
          </w:p>
        </w:tc>
        <w:tc>
          <w:tcPr>
            <w:tcW w:w="625" w:type="pct"/>
            <w:vAlign w:val="center"/>
          </w:tcPr>
          <w:p w14:paraId="04B6F92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16/01/2028</w:t>
            </w:r>
          </w:p>
        </w:tc>
        <w:tc>
          <w:tcPr>
            <w:tcW w:w="306" w:type="pct"/>
            <w:vAlign w:val="center"/>
          </w:tcPr>
          <w:p w14:paraId="700079E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20 AÑOS</w:t>
            </w:r>
          </w:p>
        </w:tc>
        <w:tc>
          <w:tcPr>
            <w:tcW w:w="784" w:type="pct"/>
            <w:vAlign w:val="center"/>
          </w:tcPr>
          <w:p w14:paraId="5D511FBB" w14:textId="77777777" w:rsidR="00C36261" w:rsidRPr="00A57ABC" w:rsidRDefault="00C36261" w:rsidP="00624091">
            <w:pPr>
              <w:widowControl w:val="0"/>
              <w:ind w:left="32"/>
              <w:jc w:val="center"/>
              <w:rPr>
                <w:rFonts w:eastAsiaTheme="minorHAnsi"/>
                <w:sz w:val="14"/>
                <w:szCs w:val="14"/>
                <w:lang w:val="es-GT" w:eastAsia="en-US"/>
              </w:rPr>
            </w:pPr>
            <w:r w:rsidRPr="00A57ABC">
              <w:rPr>
                <w:rFonts w:eastAsiaTheme="minorHAnsi"/>
                <w:sz w:val="14"/>
                <w:szCs w:val="14"/>
                <w:lang w:val="es-GT" w:eastAsia="en-US"/>
              </w:rPr>
              <w:t>ARENA, GRAVA Y</w:t>
            </w:r>
          </w:p>
          <w:p w14:paraId="0C3B252C" w14:textId="77777777" w:rsidR="00C36261" w:rsidRPr="00A57ABC" w:rsidRDefault="00C36261" w:rsidP="00624091">
            <w:pPr>
              <w:widowControl w:val="0"/>
              <w:ind w:left="304" w:right="269" w:hanging="1"/>
              <w:jc w:val="center"/>
              <w:rPr>
                <w:rFonts w:eastAsiaTheme="minorHAnsi"/>
                <w:sz w:val="14"/>
                <w:szCs w:val="14"/>
                <w:lang w:val="es-GT" w:eastAsia="en-US"/>
              </w:rPr>
            </w:pP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540DD376" w14:textId="77777777" w:rsidR="00C36261" w:rsidRPr="00A57ABC" w:rsidRDefault="00C36261" w:rsidP="00624091">
            <w:pPr>
              <w:widowControl w:val="0"/>
              <w:ind w:left="230" w:right="35" w:hanging="147"/>
              <w:jc w:val="center"/>
              <w:rPr>
                <w:rFonts w:eastAsiaTheme="minorHAnsi"/>
                <w:sz w:val="14"/>
                <w:szCs w:val="14"/>
                <w:lang w:eastAsia="en-US"/>
              </w:rPr>
            </w:pPr>
            <w:r w:rsidRPr="00A57ABC">
              <w:rPr>
                <w:rFonts w:eastAsiaTheme="minorHAnsi"/>
                <w:sz w:val="14"/>
                <w:szCs w:val="14"/>
                <w:lang w:eastAsia="en-US"/>
              </w:rPr>
              <w:t xml:space="preserve">La </w:t>
            </w:r>
            <w:proofErr w:type="spellStart"/>
            <w:r w:rsidRPr="00A57ABC">
              <w:rPr>
                <w:rFonts w:eastAsiaTheme="minorHAnsi"/>
                <w:sz w:val="14"/>
                <w:szCs w:val="14"/>
                <w:lang w:eastAsia="en-US"/>
              </w:rPr>
              <w:t>Democracia</w:t>
            </w:r>
            <w:proofErr w:type="spellEnd"/>
            <w:r w:rsidRPr="00A57ABC">
              <w:rPr>
                <w:rFonts w:eastAsiaTheme="minorHAnsi"/>
                <w:spacing w:val="-34"/>
                <w:sz w:val="14"/>
                <w:szCs w:val="14"/>
                <w:lang w:eastAsia="en-US"/>
              </w:rPr>
              <w:t xml:space="preserve"> </w:t>
            </w:r>
            <w:r w:rsidRPr="00A57ABC">
              <w:rPr>
                <w:rFonts w:eastAsiaTheme="minorHAnsi"/>
                <w:sz w:val="14"/>
                <w:szCs w:val="14"/>
                <w:lang w:eastAsia="en-US"/>
              </w:rPr>
              <w:t xml:space="preserve">Y </w:t>
            </w:r>
            <w:proofErr w:type="spellStart"/>
            <w:r w:rsidRPr="00A57ABC">
              <w:rPr>
                <w:rFonts w:eastAsiaTheme="minorHAnsi"/>
                <w:sz w:val="14"/>
                <w:szCs w:val="14"/>
                <w:lang w:eastAsia="en-US"/>
              </w:rPr>
              <w:t>Masagua</w:t>
            </w:r>
            <w:proofErr w:type="spellEnd"/>
          </w:p>
        </w:tc>
        <w:tc>
          <w:tcPr>
            <w:tcW w:w="716" w:type="pct"/>
            <w:vAlign w:val="center"/>
          </w:tcPr>
          <w:p w14:paraId="213B9FF5" w14:textId="77777777" w:rsidR="00C36261" w:rsidRPr="00A57ABC" w:rsidRDefault="00C36261" w:rsidP="00624091">
            <w:pPr>
              <w:widowControl w:val="0"/>
              <w:ind w:left="320"/>
              <w:jc w:val="center"/>
              <w:rPr>
                <w:rFonts w:eastAsiaTheme="minorHAnsi"/>
                <w:sz w:val="14"/>
                <w:szCs w:val="14"/>
                <w:lang w:eastAsia="en-US"/>
              </w:rPr>
            </w:pPr>
            <w:r w:rsidRPr="00A57ABC">
              <w:rPr>
                <w:rFonts w:eastAsiaTheme="minorHAnsi"/>
                <w:sz w:val="14"/>
                <w:szCs w:val="14"/>
                <w:lang w:eastAsia="en-US"/>
              </w:rPr>
              <w:t>Escuintla</w:t>
            </w:r>
          </w:p>
        </w:tc>
      </w:tr>
      <w:tr w:rsidR="00C36261" w:rsidRPr="00A57ABC" w14:paraId="36F6798D" w14:textId="77777777" w:rsidTr="005105AC">
        <w:trPr>
          <w:trHeight w:val="330"/>
          <w:jc w:val="center"/>
        </w:trPr>
        <w:tc>
          <w:tcPr>
            <w:tcW w:w="1367" w:type="pct"/>
            <w:vAlign w:val="center"/>
          </w:tcPr>
          <w:p w14:paraId="157ABF31"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LA COMPAÑIA</w:t>
            </w:r>
            <w:r w:rsidRPr="00A57ABC">
              <w:rPr>
                <w:rFonts w:eastAsiaTheme="minorHAnsi"/>
                <w:spacing w:val="1"/>
                <w:sz w:val="14"/>
                <w:szCs w:val="14"/>
                <w:lang w:eastAsia="en-US"/>
              </w:rPr>
              <w:t xml:space="preserve"> </w:t>
            </w:r>
            <w:r w:rsidRPr="00A57ABC">
              <w:rPr>
                <w:rFonts w:eastAsiaTheme="minorHAnsi"/>
                <w:sz w:val="14"/>
                <w:szCs w:val="14"/>
                <w:lang w:eastAsia="en-US"/>
              </w:rPr>
              <w:t>II</w:t>
            </w:r>
          </w:p>
        </w:tc>
        <w:tc>
          <w:tcPr>
            <w:tcW w:w="613" w:type="pct"/>
            <w:vAlign w:val="center"/>
          </w:tcPr>
          <w:p w14:paraId="18E1A03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19/12/2000</w:t>
            </w:r>
          </w:p>
        </w:tc>
        <w:tc>
          <w:tcPr>
            <w:tcW w:w="625" w:type="pct"/>
            <w:vAlign w:val="center"/>
          </w:tcPr>
          <w:p w14:paraId="1E0AEAF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18/12/2025</w:t>
            </w:r>
          </w:p>
        </w:tc>
        <w:tc>
          <w:tcPr>
            <w:tcW w:w="306" w:type="pct"/>
            <w:vAlign w:val="center"/>
          </w:tcPr>
          <w:p w14:paraId="6E7A7BE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20 AÑOS</w:t>
            </w:r>
          </w:p>
        </w:tc>
        <w:tc>
          <w:tcPr>
            <w:tcW w:w="784" w:type="pct"/>
            <w:vAlign w:val="center"/>
          </w:tcPr>
          <w:p w14:paraId="182CB8D1"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Y GRAVA</w:t>
            </w:r>
          </w:p>
        </w:tc>
        <w:tc>
          <w:tcPr>
            <w:tcW w:w="589" w:type="pct"/>
            <w:vAlign w:val="center"/>
          </w:tcPr>
          <w:p w14:paraId="4C590CBB" w14:textId="77777777" w:rsidR="00C36261" w:rsidRPr="00A57ABC" w:rsidRDefault="00C36261" w:rsidP="00624091">
            <w:pPr>
              <w:widowControl w:val="0"/>
              <w:ind w:left="242" w:right="193" w:firstLine="141"/>
              <w:jc w:val="center"/>
              <w:rPr>
                <w:rFonts w:eastAsiaTheme="minorHAnsi"/>
                <w:sz w:val="14"/>
                <w:szCs w:val="14"/>
                <w:lang w:eastAsia="en-US"/>
              </w:rPr>
            </w:pPr>
            <w:r w:rsidRPr="00A57ABC">
              <w:rPr>
                <w:rFonts w:eastAsiaTheme="minorHAnsi"/>
                <w:sz w:val="14"/>
                <w:szCs w:val="14"/>
                <w:lang w:eastAsia="en-US"/>
              </w:rPr>
              <w:t>Palin Y</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Amatitlan</w:t>
            </w:r>
            <w:proofErr w:type="spellEnd"/>
          </w:p>
        </w:tc>
        <w:tc>
          <w:tcPr>
            <w:tcW w:w="716" w:type="pct"/>
            <w:vAlign w:val="center"/>
          </w:tcPr>
          <w:p w14:paraId="315C24A4" w14:textId="77777777" w:rsidR="00C36261" w:rsidRPr="00A57ABC" w:rsidRDefault="00C36261" w:rsidP="00624091">
            <w:pPr>
              <w:widowControl w:val="0"/>
              <w:ind w:left="260" w:right="211" w:firstLine="2"/>
              <w:jc w:val="center"/>
              <w:rPr>
                <w:rFonts w:eastAsiaTheme="minorHAnsi"/>
                <w:sz w:val="14"/>
                <w:szCs w:val="14"/>
                <w:lang w:eastAsia="en-US"/>
              </w:rPr>
            </w:pPr>
            <w:r w:rsidRPr="00A57ABC">
              <w:rPr>
                <w:rFonts w:eastAsiaTheme="minorHAnsi"/>
                <w:sz w:val="14"/>
                <w:szCs w:val="14"/>
                <w:lang w:eastAsia="en-US"/>
              </w:rPr>
              <w:t>Escuintla Y</w:t>
            </w:r>
            <w:r w:rsidRPr="00A57ABC">
              <w:rPr>
                <w:rFonts w:eastAsiaTheme="minorHAnsi"/>
                <w:spacing w:val="-34"/>
                <w:sz w:val="14"/>
                <w:szCs w:val="14"/>
                <w:lang w:eastAsia="en-US"/>
              </w:rPr>
              <w:t xml:space="preserve"> </w:t>
            </w:r>
            <w:r w:rsidRPr="00A57ABC">
              <w:rPr>
                <w:rFonts w:eastAsiaTheme="minorHAnsi"/>
                <w:sz w:val="14"/>
                <w:szCs w:val="14"/>
                <w:lang w:eastAsia="en-US"/>
              </w:rPr>
              <w:t>Guatemala</w:t>
            </w:r>
          </w:p>
        </w:tc>
      </w:tr>
      <w:tr w:rsidR="00C36261" w:rsidRPr="00A57ABC" w14:paraId="04261CDC" w14:textId="77777777" w:rsidTr="005105AC">
        <w:trPr>
          <w:trHeight w:val="406"/>
          <w:jc w:val="center"/>
        </w:trPr>
        <w:tc>
          <w:tcPr>
            <w:tcW w:w="1367" w:type="pct"/>
            <w:vAlign w:val="center"/>
          </w:tcPr>
          <w:p w14:paraId="52FD7566"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PEÑALBA</w:t>
            </w:r>
          </w:p>
        </w:tc>
        <w:tc>
          <w:tcPr>
            <w:tcW w:w="613" w:type="pct"/>
            <w:vAlign w:val="center"/>
          </w:tcPr>
          <w:p w14:paraId="5820CB7A"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12/11/1999</w:t>
            </w:r>
          </w:p>
        </w:tc>
        <w:tc>
          <w:tcPr>
            <w:tcW w:w="625" w:type="pct"/>
            <w:vAlign w:val="center"/>
          </w:tcPr>
          <w:p w14:paraId="1F05302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11/11/2024</w:t>
            </w:r>
          </w:p>
        </w:tc>
        <w:tc>
          <w:tcPr>
            <w:tcW w:w="306" w:type="pct"/>
            <w:vAlign w:val="center"/>
          </w:tcPr>
          <w:p w14:paraId="0E54DFA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9145883" w14:textId="77777777" w:rsidR="00C36261" w:rsidRPr="00A57ABC" w:rsidRDefault="00C36261" w:rsidP="00624091">
            <w:pPr>
              <w:widowControl w:val="0"/>
              <w:ind w:left="48" w:right="15" w:hanging="1"/>
              <w:jc w:val="center"/>
              <w:rPr>
                <w:rFonts w:eastAsiaTheme="minorHAnsi"/>
                <w:sz w:val="14"/>
                <w:szCs w:val="14"/>
                <w:lang w:val="es-GT" w:eastAsia="en-US"/>
              </w:rPr>
            </w:pPr>
            <w:r w:rsidRPr="00A57ABC">
              <w:rPr>
                <w:rFonts w:eastAsiaTheme="minorHAnsi"/>
                <w:sz w:val="14"/>
                <w:szCs w:val="14"/>
                <w:lang w:val="es-GT" w:eastAsia="en-US"/>
              </w:rPr>
              <w:t>BASALTO, ANDESI</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TA, POMEZ,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ESCORIA Y ARENA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VOLCANICA</w:t>
            </w:r>
          </w:p>
        </w:tc>
        <w:tc>
          <w:tcPr>
            <w:tcW w:w="589" w:type="pct"/>
            <w:vAlign w:val="center"/>
          </w:tcPr>
          <w:p w14:paraId="7AF6DCC3" w14:textId="77777777" w:rsidR="00C36261" w:rsidRPr="00A57ABC" w:rsidRDefault="00C36261" w:rsidP="00624091">
            <w:pPr>
              <w:widowControl w:val="0"/>
              <w:ind w:left="242" w:right="193" w:firstLine="141"/>
              <w:jc w:val="center"/>
              <w:rPr>
                <w:rFonts w:eastAsiaTheme="minorHAnsi"/>
                <w:sz w:val="14"/>
                <w:szCs w:val="14"/>
                <w:lang w:eastAsia="en-US"/>
              </w:rPr>
            </w:pPr>
            <w:r w:rsidRPr="00A57ABC">
              <w:rPr>
                <w:rFonts w:eastAsiaTheme="minorHAnsi"/>
                <w:sz w:val="14"/>
                <w:szCs w:val="14"/>
                <w:lang w:eastAsia="en-US"/>
              </w:rPr>
              <w:t>Palin Y</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Amatitlan</w:t>
            </w:r>
            <w:proofErr w:type="spellEnd"/>
          </w:p>
        </w:tc>
        <w:tc>
          <w:tcPr>
            <w:tcW w:w="716" w:type="pct"/>
            <w:vAlign w:val="center"/>
          </w:tcPr>
          <w:p w14:paraId="2BB2C46C" w14:textId="77777777" w:rsidR="00C36261" w:rsidRPr="00A57ABC" w:rsidRDefault="00C36261" w:rsidP="00624091">
            <w:pPr>
              <w:widowControl w:val="0"/>
              <w:ind w:left="260" w:right="211" w:firstLine="2"/>
              <w:jc w:val="center"/>
              <w:rPr>
                <w:rFonts w:eastAsiaTheme="minorHAnsi"/>
                <w:sz w:val="14"/>
                <w:szCs w:val="14"/>
                <w:lang w:eastAsia="en-US"/>
              </w:rPr>
            </w:pPr>
            <w:r w:rsidRPr="00A57ABC">
              <w:rPr>
                <w:rFonts w:eastAsiaTheme="minorHAnsi"/>
                <w:sz w:val="14"/>
                <w:szCs w:val="14"/>
                <w:lang w:eastAsia="en-US"/>
              </w:rPr>
              <w:t>Escuintla Y</w:t>
            </w:r>
            <w:r w:rsidRPr="00A57ABC">
              <w:rPr>
                <w:rFonts w:eastAsiaTheme="minorHAnsi"/>
                <w:spacing w:val="-34"/>
                <w:sz w:val="14"/>
                <w:szCs w:val="14"/>
                <w:lang w:eastAsia="en-US"/>
              </w:rPr>
              <w:t xml:space="preserve"> </w:t>
            </w:r>
            <w:r w:rsidRPr="00A57ABC">
              <w:rPr>
                <w:rFonts w:eastAsiaTheme="minorHAnsi"/>
                <w:sz w:val="14"/>
                <w:szCs w:val="14"/>
                <w:lang w:eastAsia="en-US"/>
              </w:rPr>
              <w:t>Guatemala</w:t>
            </w:r>
          </w:p>
        </w:tc>
      </w:tr>
      <w:tr w:rsidR="00C36261" w:rsidRPr="00A57ABC" w14:paraId="533B8BCC" w14:textId="77777777" w:rsidTr="005105AC">
        <w:trPr>
          <w:trHeight w:val="328"/>
          <w:jc w:val="center"/>
        </w:trPr>
        <w:tc>
          <w:tcPr>
            <w:tcW w:w="1367" w:type="pct"/>
            <w:vAlign w:val="center"/>
          </w:tcPr>
          <w:p w14:paraId="7B1D8DC7"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UNIVERSAL</w:t>
            </w:r>
          </w:p>
        </w:tc>
        <w:tc>
          <w:tcPr>
            <w:tcW w:w="613" w:type="pct"/>
            <w:vAlign w:val="center"/>
          </w:tcPr>
          <w:p w14:paraId="47358C8E"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1/09/1997</w:t>
            </w:r>
          </w:p>
        </w:tc>
        <w:tc>
          <w:tcPr>
            <w:tcW w:w="625" w:type="pct"/>
            <w:vAlign w:val="center"/>
          </w:tcPr>
          <w:p w14:paraId="5D8DD20B" w14:textId="77777777" w:rsidR="00C36261" w:rsidRPr="00A57ABC" w:rsidRDefault="00C36261" w:rsidP="00624091">
            <w:pPr>
              <w:widowControl w:val="0"/>
              <w:ind w:left="29" w:right="2"/>
              <w:jc w:val="center"/>
              <w:rPr>
                <w:rFonts w:eastAsiaTheme="minorHAnsi"/>
                <w:sz w:val="14"/>
                <w:szCs w:val="14"/>
                <w:lang w:eastAsia="en-US"/>
              </w:rPr>
            </w:pPr>
            <w:r w:rsidRPr="00A57ABC">
              <w:rPr>
                <w:rFonts w:eastAsiaTheme="minorHAnsi"/>
                <w:sz w:val="14"/>
                <w:szCs w:val="14"/>
                <w:lang w:eastAsia="en-US"/>
              </w:rPr>
              <w:t>01|/0892037</w:t>
            </w:r>
          </w:p>
        </w:tc>
        <w:tc>
          <w:tcPr>
            <w:tcW w:w="306" w:type="pct"/>
            <w:vAlign w:val="center"/>
          </w:tcPr>
          <w:p w14:paraId="1068579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40 AÑOS</w:t>
            </w:r>
          </w:p>
        </w:tc>
        <w:tc>
          <w:tcPr>
            <w:tcW w:w="784" w:type="pct"/>
            <w:vAlign w:val="center"/>
          </w:tcPr>
          <w:p w14:paraId="0DF5602D" w14:textId="77777777" w:rsidR="00C36261" w:rsidRPr="00A57ABC" w:rsidRDefault="00C36261" w:rsidP="00624091">
            <w:pPr>
              <w:widowControl w:val="0"/>
              <w:ind w:left="81" w:right="46" w:hanging="1"/>
              <w:jc w:val="center"/>
              <w:rPr>
                <w:rFonts w:eastAsiaTheme="minorHAnsi"/>
                <w:sz w:val="14"/>
                <w:szCs w:val="14"/>
                <w:lang w:val="es-GT" w:eastAsia="en-US"/>
              </w:rPr>
            </w:pPr>
            <w:r w:rsidRPr="00A57ABC">
              <w:rPr>
                <w:rFonts w:eastAsiaTheme="minorHAnsi"/>
                <w:sz w:val="14"/>
                <w:szCs w:val="14"/>
                <w:lang w:val="es-GT" w:eastAsia="en-US"/>
              </w:rPr>
              <w:t>ROCAS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POMEZ Y CENIZA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VOLCANICA</w:t>
            </w:r>
          </w:p>
        </w:tc>
        <w:tc>
          <w:tcPr>
            <w:tcW w:w="589" w:type="pct"/>
            <w:vAlign w:val="center"/>
          </w:tcPr>
          <w:p w14:paraId="137C26F4" w14:textId="77777777" w:rsidR="00C36261" w:rsidRPr="00A57ABC" w:rsidRDefault="00C36261" w:rsidP="00624091">
            <w:pPr>
              <w:widowControl w:val="0"/>
              <w:ind w:left="242" w:right="193" w:firstLine="141"/>
              <w:jc w:val="center"/>
              <w:rPr>
                <w:rFonts w:eastAsiaTheme="minorHAnsi"/>
                <w:sz w:val="14"/>
                <w:szCs w:val="14"/>
                <w:lang w:eastAsia="en-US"/>
              </w:rPr>
            </w:pPr>
            <w:r w:rsidRPr="00A57ABC">
              <w:rPr>
                <w:rFonts w:eastAsiaTheme="minorHAnsi"/>
                <w:sz w:val="14"/>
                <w:szCs w:val="14"/>
                <w:lang w:eastAsia="en-US"/>
              </w:rPr>
              <w:t>Palin Y</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Amatitlan</w:t>
            </w:r>
            <w:proofErr w:type="spellEnd"/>
          </w:p>
        </w:tc>
        <w:tc>
          <w:tcPr>
            <w:tcW w:w="716" w:type="pct"/>
            <w:vAlign w:val="center"/>
          </w:tcPr>
          <w:p w14:paraId="1CE9DFCD" w14:textId="77777777" w:rsidR="00C36261" w:rsidRPr="00A57ABC" w:rsidRDefault="00C36261" w:rsidP="00624091">
            <w:pPr>
              <w:widowControl w:val="0"/>
              <w:ind w:left="260" w:right="211" w:firstLine="2"/>
              <w:jc w:val="center"/>
              <w:rPr>
                <w:rFonts w:eastAsiaTheme="minorHAnsi"/>
                <w:sz w:val="14"/>
                <w:szCs w:val="14"/>
                <w:lang w:eastAsia="en-US"/>
              </w:rPr>
            </w:pPr>
            <w:r w:rsidRPr="00A57ABC">
              <w:rPr>
                <w:rFonts w:eastAsiaTheme="minorHAnsi"/>
                <w:sz w:val="14"/>
                <w:szCs w:val="14"/>
                <w:lang w:eastAsia="en-US"/>
              </w:rPr>
              <w:t>Escuintla Y</w:t>
            </w:r>
            <w:r w:rsidRPr="00A57ABC">
              <w:rPr>
                <w:rFonts w:eastAsiaTheme="minorHAnsi"/>
                <w:spacing w:val="-34"/>
                <w:sz w:val="14"/>
                <w:szCs w:val="14"/>
                <w:lang w:eastAsia="en-US"/>
              </w:rPr>
              <w:t xml:space="preserve"> </w:t>
            </w:r>
            <w:r w:rsidRPr="00A57ABC">
              <w:rPr>
                <w:rFonts w:eastAsiaTheme="minorHAnsi"/>
                <w:sz w:val="14"/>
                <w:szCs w:val="14"/>
                <w:lang w:eastAsia="en-US"/>
              </w:rPr>
              <w:t>Guatemala</w:t>
            </w:r>
          </w:p>
        </w:tc>
      </w:tr>
      <w:tr w:rsidR="00C36261" w:rsidRPr="00A57ABC" w14:paraId="6A1A6B30" w14:textId="77777777" w:rsidTr="005105AC">
        <w:trPr>
          <w:trHeight w:val="959"/>
          <w:jc w:val="center"/>
        </w:trPr>
        <w:tc>
          <w:tcPr>
            <w:tcW w:w="1367" w:type="pct"/>
            <w:vAlign w:val="center"/>
          </w:tcPr>
          <w:p w14:paraId="4F6CA3F0"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AQUINON</w:t>
            </w:r>
          </w:p>
        </w:tc>
        <w:tc>
          <w:tcPr>
            <w:tcW w:w="613" w:type="pct"/>
            <w:vAlign w:val="center"/>
          </w:tcPr>
          <w:p w14:paraId="6926C9E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14/06/2005</w:t>
            </w:r>
          </w:p>
        </w:tc>
        <w:tc>
          <w:tcPr>
            <w:tcW w:w="625" w:type="pct"/>
            <w:vAlign w:val="center"/>
          </w:tcPr>
          <w:p w14:paraId="78F0B2C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13/06/2030</w:t>
            </w:r>
          </w:p>
        </w:tc>
        <w:tc>
          <w:tcPr>
            <w:tcW w:w="306" w:type="pct"/>
            <w:vAlign w:val="center"/>
          </w:tcPr>
          <w:p w14:paraId="49E566C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DBB9709" w14:textId="77777777" w:rsidR="00C36261" w:rsidRPr="00A57ABC" w:rsidRDefault="00C36261" w:rsidP="00624091">
            <w:pPr>
              <w:widowControl w:val="0"/>
              <w:ind w:left="38" w:right="3"/>
              <w:jc w:val="center"/>
              <w:rPr>
                <w:rFonts w:eastAsiaTheme="minorHAnsi"/>
                <w:sz w:val="14"/>
                <w:szCs w:val="14"/>
                <w:lang w:val="es-GT" w:eastAsia="en-US"/>
              </w:rPr>
            </w:pPr>
            <w:r w:rsidRPr="00A57ABC">
              <w:rPr>
                <w:rFonts w:eastAsiaTheme="minorHAnsi"/>
                <w:sz w:val="14"/>
                <w:szCs w:val="14"/>
                <w:lang w:val="es-GT" w:eastAsia="en-US"/>
              </w:rPr>
              <w:t>DIATOMITAS,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CENIZAS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TOBAS, RIOLITAS,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BASALTO,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BRECHAS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CONGLOMERADO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S, ARENISCAS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ANDESITAS.</w:t>
            </w:r>
          </w:p>
        </w:tc>
        <w:tc>
          <w:tcPr>
            <w:tcW w:w="589" w:type="pct"/>
            <w:vAlign w:val="center"/>
          </w:tcPr>
          <w:p w14:paraId="1187D7A9" w14:textId="77777777" w:rsidR="00C36261" w:rsidRPr="00A57ABC" w:rsidRDefault="00C36261" w:rsidP="00624091">
            <w:pPr>
              <w:widowControl w:val="0"/>
              <w:ind w:left="211" w:right="164" w:firstLine="43"/>
              <w:jc w:val="center"/>
              <w:rPr>
                <w:rFonts w:eastAsiaTheme="minorHAnsi"/>
                <w:sz w:val="14"/>
                <w:szCs w:val="14"/>
                <w:lang w:eastAsia="en-US"/>
              </w:rPr>
            </w:pPr>
            <w:r w:rsidRPr="00A57ABC">
              <w:rPr>
                <w:rFonts w:eastAsiaTheme="minorHAnsi"/>
                <w:sz w:val="14"/>
                <w:szCs w:val="14"/>
                <w:lang w:eastAsia="en-US"/>
              </w:rPr>
              <w:t>Palencia Y</w:t>
            </w:r>
            <w:r w:rsidRPr="00A57ABC">
              <w:rPr>
                <w:rFonts w:eastAsiaTheme="minorHAnsi"/>
                <w:spacing w:val="1"/>
                <w:sz w:val="14"/>
                <w:szCs w:val="14"/>
                <w:lang w:eastAsia="en-US"/>
              </w:rPr>
              <w:t xml:space="preserve"> </w:t>
            </w:r>
            <w:r w:rsidRPr="00A57ABC">
              <w:rPr>
                <w:rFonts w:eastAsiaTheme="minorHAnsi"/>
                <w:sz w:val="14"/>
                <w:szCs w:val="14"/>
                <w:lang w:eastAsia="en-US"/>
              </w:rPr>
              <w:t>Guatemala</w:t>
            </w:r>
          </w:p>
        </w:tc>
        <w:tc>
          <w:tcPr>
            <w:tcW w:w="716" w:type="pct"/>
            <w:vAlign w:val="center"/>
          </w:tcPr>
          <w:p w14:paraId="6B926430" w14:textId="77777777" w:rsidR="00C36261" w:rsidRPr="00A57ABC" w:rsidRDefault="00C36261" w:rsidP="00624091">
            <w:pPr>
              <w:widowControl w:val="0"/>
              <w:ind w:left="260"/>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3EC0F8E5" w14:textId="77777777" w:rsidTr="005105AC">
        <w:trPr>
          <w:trHeight w:val="238"/>
          <w:jc w:val="center"/>
        </w:trPr>
        <w:tc>
          <w:tcPr>
            <w:tcW w:w="1367" w:type="pct"/>
            <w:vAlign w:val="center"/>
          </w:tcPr>
          <w:p w14:paraId="128F040E" w14:textId="77777777" w:rsidR="00C36261" w:rsidRPr="00A57ABC" w:rsidRDefault="00C36261" w:rsidP="00624091">
            <w:pPr>
              <w:widowControl w:val="0"/>
              <w:ind w:left="149" w:right="112" w:firstLine="79"/>
              <w:rPr>
                <w:rFonts w:eastAsiaTheme="minorHAnsi"/>
                <w:sz w:val="14"/>
                <w:szCs w:val="14"/>
                <w:lang w:eastAsia="en-US"/>
              </w:rPr>
            </w:pPr>
            <w:r w:rsidRPr="00A57ABC">
              <w:rPr>
                <w:rFonts w:eastAsiaTheme="minorHAnsi"/>
                <w:sz w:val="14"/>
                <w:szCs w:val="14"/>
                <w:lang w:eastAsia="en-US"/>
              </w:rPr>
              <w:t>ARENERA EL</w:t>
            </w:r>
            <w:r w:rsidRPr="00A57ABC">
              <w:rPr>
                <w:rFonts w:eastAsiaTheme="minorHAnsi"/>
                <w:spacing w:val="1"/>
                <w:sz w:val="14"/>
                <w:szCs w:val="14"/>
                <w:lang w:eastAsia="en-US"/>
              </w:rPr>
              <w:t xml:space="preserve"> </w:t>
            </w:r>
            <w:r w:rsidRPr="00A57ABC">
              <w:rPr>
                <w:rFonts w:eastAsiaTheme="minorHAnsi"/>
                <w:sz w:val="14"/>
                <w:szCs w:val="14"/>
                <w:lang w:eastAsia="en-US"/>
              </w:rPr>
              <w:t>CAMPOSANTO</w:t>
            </w:r>
          </w:p>
        </w:tc>
        <w:tc>
          <w:tcPr>
            <w:tcW w:w="613" w:type="pct"/>
            <w:vAlign w:val="center"/>
          </w:tcPr>
          <w:p w14:paraId="4798340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28/04/2000</w:t>
            </w:r>
          </w:p>
        </w:tc>
        <w:tc>
          <w:tcPr>
            <w:tcW w:w="625" w:type="pct"/>
            <w:vAlign w:val="center"/>
          </w:tcPr>
          <w:p w14:paraId="43C58A9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27/04/2010</w:t>
            </w:r>
          </w:p>
        </w:tc>
        <w:tc>
          <w:tcPr>
            <w:tcW w:w="306" w:type="pct"/>
            <w:vAlign w:val="center"/>
          </w:tcPr>
          <w:p w14:paraId="48E6CE50"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 AÑOS</w:t>
            </w:r>
          </w:p>
        </w:tc>
        <w:tc>
          <w:tcPr>
            <w:tcW w:w="784" w:type="pct"/>
            <w:vAlign w:val="center"/>
          </w:tcPr>
          <w:p w14:paraId="781BCD87"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ARENA POMEZ</w:t>
            </w:r>
          </w:p>
        </w:tc>
        <w:tc>
          <w:tcPr>
            <w:tcW w:w="589" w:type="pct"/>
            <w:vAlign w:val="center"/>
          </w:tcPr>
          <w:p w14:paraId="29CA6139" w14:textId="77777777" w:rsidR="00C36261" w:rsidRPr="00A57ABC" w:rsidRDefault="00C36261" w:rsidP="00624091">
            <w:pPr>
              <w:widowControl w:val="0"/>
              <w:ind w:left="33" w:right="2"/>
              <w:jc w:val="center"/>
              <w:rPr>
                <w:rFonts w:eastAsiaTheme="minorHAnsi"/>
                <w:sz w:val="14"/>
                <w:szCs w:val="14"/>
                <w:lang w:eastAsia="en-US"/>
              </w:rPr>
            </w:pPr>
            <w:r w:rsidRPr="00A57ABC">
              <w:rPr>
                <w:rFonts w:eastAsiaTheme="minorHAnsi"/>
                <w:sz w:val="14"/>
                <w:szCs w:val="14"/>
                <w:lang w:eastAsia="en-US"/>
              </w:rPr>
              <w:t>Villa</w:t>
            </w:r>
            <w:r w:rsidRPr="00A57ABC">
              <w:rPr>
                <w:rFonts w:eastAsiaTheme="minorHAnsi"/>
                <w:spacing w:val="-2"/>
                <w:sz w:val="14"/>
                <w:szCs w:val="14"/>
                <w:lang w:eastAsia="en-US"/>
              </w:rPr>
              <w:t xml:space="preserve"> </w:t>
            </w:r>
            <w:r w:rsidRPr="00A57ABC">
              <w:rPr>
                <w:rFonts w:eastAsiaTheme="minorHAnsi"/>
                <w:sz w:val="14"/>
                <w:szCs w:val="14"/>
                <w:lang w:eastAsia="en-US"/>
              </w:rPr>
              <w:t>Nueva</w:t>
            </w:r>
          </w:p>
        </w:tc>
        <w:tc>
          <w:tcPr>
            <w:tcW w:w="716" w:type="pct"/>
            <w:vAlign w:val="center"/>
          </w:tcPr>
          <w:p w14:paraId="33A7930C" w14:textId="77777777" w:rsidR="00C36261" w:rsidRPr="00A57ABC" w:rsidRDefault="00C36261" w:rsidP="00624091">
            <w:pPr>
              <w:widowControl w:val="0"/>
              <w:ind w:left="260"/>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7576B3C2" w14:textId="77777777" w:rsidTr="005105AC">
        <w:trPr>
          <w:trHeight w:val="470"/>
          <w:jc w:val="center"/>
        </w:trPr>
        <w:tc>
          <w:tcPr>
            <w:tcW w:w="1367" w:type="pct"/>
            <w:vAlign w:val="center"/>
          </w:tcPr>
          <w:p w14:paraId="3DA9788C" w14:textId="77777777" w:rsidR="00C36261" w:rsidRPr="00A57ABC" w:rsidRDefault="00C36261" w:rsidP="00624091">
            <w:pPr>
              <w:widowControl w:val="0"/>
              <w:ind w:left="250" w:right="198" w:hanging="22"/>
              <w:rPr>
                <w:rFonts w:eastAsiaTheme="minorHAnsi"/>
                <w:sz w:val="14"/>
                <w:szCs w:val="14"/>
                <w:lang w:eastAsia="en-US"/>
              </w:rPr>
            </w:pPr>
            <w:r w:rsidRPr="00A57ABC">
              <w:rPr>
                <w:rFonts w:eastAsiaTheme="minorHAnsi"/>
                <w:spacing w:val="-1"/>
                <w:sz w:val="14"/>
                <w:szCs w:val="14"/>
                <w:lang w:eastAsia="en-US"/>
              </w:rPr>
              <w:lastRenderedPageBreak/>
              <w:t xml:space="preserve">ARENERA </w:t>
            </w:r>
            <w:r w:rsidRPr="00A57ABC">
              <w:rPr>
                <w:rFonts w:eastAsiaTheme="minorHAnsi"/>
                <w:sz w:val="14"/>
                <w:szCs w:val="14"/>
                <w:lang w:eastAsia="en-US"/>
              </w:rPr>
              <w:t>EL</w:t>
            </w:r>
            <w:r w:rsidRPr="00A57ABC">
              <w:rPr>
                <w:rFonts w:eastAsiaTheme="minorHAnsi"/>
                <w:spacing w:val="-34"/>
                <w:sz w:val="14"/>
                <w:szCs w:val="14"/>
                <w:lang w:eastAsia="en-US"/>
              </w:rPr>
              <w:t xml:space="preserve"> </w:t>
            </w:r>
            <w:r w:rsidRPr="00A57ABC">
              <w:rPr>
                <w:rFonts w:eastAsiaTheme="minorHAnsi"/>
                <w:sz w:val="14"/>
                <w:szCs w:val="14"/>
                <w:lang w:eastAsia="en-US"/>
              </w:rPr>
              <w:t>MANGUITO</w:t>
            </w:r>
          </w:p>
        </w:tc>
        <w:tc>
          <w:tcPr>
            <w:tcW w:w="613" w:type="pct"/>
            <w:vAlign w:val="center"/>
          </w:tcPr>
          <w:p w14:paraId="0BDB9D5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30/03/2005</w:t>
            </w:r>
          </w:p>
        </w:tc>
        <w:tc>
          <w:tcPr>
            <w:tcW w:w="625" w:type="pct"/>
            <w:vAlign w:val="center"/>
          </w:tcPr>
          <w:p w14:paraId="5BEE585E"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29/03/2030</w:t>
            </w:r>
          </w:p>
        </w:tc>
        <w:tc>
          <w:tcPr>
            <w:tcW w:w="306" w:type="pct"/>
            <w:vAlign w:val="center"/>
          </w:tcPr>
          <w:p w14:paraId="41FAED4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26E120A" w14:textId="77777777" w:rsidR="00C36261" w:rsidRPr="00A57ABC" w:rsidRDefault="00C36261" w:rsidP="00624091">
            <w:pPr>
              <w:widowControl w:val="0"/>
              <w:ind w:left="304" w:right="16" w:hanging="243"/>
              <w:rPr>
                <w:rFonts w:eastAsiaTheme="minorHAnsi"/>
                <w:sz w:val="14"/>
                <w:szCs w:val="14"/>
                <w:lang w:val="es-GT" w:eastAsia="en-US"/>
              </w:rPr>
            </w:pPr>
            <w:r w:rsidRPr="00A57ABC">
              <w:rPr>
                <w:rFonts w:eastAsiaTheme="minorHAnsi"/>
                <w:sz w:val="14"/>
                <w:szCs w:val="14"/>
                <w:lang w:val="es-GT" w:eastAsia="en-US"/>
              </w:rPr>
              <w:t>ARENAS, GRAVAS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79F6ADFD"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Chinautla</w:t>
            </w:r>
            <w:proofErr w:type="spellEnd"/>
          </w:p>
        </w:tc>
        <w:tc>
          <w:tcPr>
            <w:tcW w:w="716" w:type="pct"/>
            <w:vAlign w:val="center"/>
          </w:tcPr>
          <w:p w14:paraId="7D710FC3" w14:textId="77777777" w:rsidR="00C36261" w:rsidRPr="00A57ABC" w:rsidRDefault="00C36261" w:rsidP="00624091">
            <w:pPr>
              <w:widowControl w:val="0"/>
              <w:ind w:left="260"/>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79082649" w14:textId="77777777" w:rsidTr="005105AC">
        <w:trPr>
          <w:trHeight w:val="534"/>
          <w:jc w:val="center"/>
        </w:trPr>
        <w:tc>
          <w:tcPr>
            <w:tcW w:w="1367" w:type="pct"/>
            <w:vAlign w:val="center"/>
          </w:tcPr>
          <w:p w14:paraId="2EBE397E" w14:textId="77777777" w:rsidR="00C36261" w:rsidRPr="00A57ABC" w:rsidRDefault="00C36261" w:rsidP="00624091">
            <w:pPr>
              <w:widowControl w:val="0"/>
              <w:ind w:left="377" w:right="87" w:hanging="250"/>
              <w:rPr>
                <w:rFonts w:eastAsiaTheme="minorHAnsi"/>
                <w:sz w:val="14"/>
                <w:szCs w:val="14"/>
                <w:lang w:eastAsia="en-US"/>
              </w:rPr>
            </w:pPr>
            <w:r w:rsidRPr="00A57ABC">
              <w:rPr>
                <w:rFonts w:eastAsiaTheme="minorHAnsi"/>
                <w:sz w:val="14"/>
                <w:szCs w:val="14"/>
                <w:lang w:eastAsia="en-US"/>
              </w:rPr>
              <w:t>ARENERA PALO</w:t>
            </w:r>
            <w:r w:rsidRPr="00A57ABC">
              <w:rPr>
                <w:rFonts w:eastAsiaTheme="minorHAnsi"/>
                <w:spacing w:val="-34"/>
                <w:sz w:val="14"/>
                <w:szCs w:val="14"/>
                <w:lang w:eastAsia="en-US"/>
              </w:rPr>
              <w:t xml:space="preserve"> </w:t>
            </w:r>
            <w:r w:rsidRPr="00A57ABC">
              <w:rPr>
                <w:rFonts w:eastAsiaTheme="minorHAnsi"/>
                <w:sz w:val="14"/>
                <w:szCs w:val="14"/>
                <w:lang w:eastAsia="en-US"/>
              </w:rPr>
              <w:t>VERDE</w:t>
            </w:r>
            <w:r w:rsidRPr="00A57ABC">
              <w:rPr>
                <w:rFonts w:eastAsiaTheme="minorHAnsi"/>
                <w:spacing w:val="-1"/>
                <w:sz w:val="14"/>
                <w:szCs w:val="14"/>
                <w:lang w:eastAsia="en-US"/>
              </w:rPr>
              <w:t xml:space="preserve"> </w:t>
            </w:r>
            <w:r w:rsidRPr="00A57ABC">
              <w:rPr>
                <w:rFonts w:eastAsiaTheme="minorHAnsi"/>
                <w:sz w:val="14"/>
                <w:szCs w:val="14"/>
                <w:lang w:eastAsia="en-US"/>
              </w:rPr>
              <w:t>I</w:t>
            </w:r>
          </w:p>
        </w:tc>
        <w:tc>
          <w:tcPr>
            <w:tcW w:w="613" w:type="pct"/>
            <w:vAlign w:val="center"/>
          </w:tcPr>
          <w:p w14:paraId="2EB3C81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30/09/2005</w:t>
            </w:r>
          </w:p>
        </w:tc>
        <w:tc>
          <w:tcPr>
            <w:tcW w:w="625" w:type="pct"/>
            <w:vAlign w:val="center"/>
          </w:tcPr>
          <w:p w14:paraId="143C90B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29/09/2030</w:t>
            </w:r>
          </w:p>
        </w:tc>
        <w:tc>
          <w:tcPr>
            <w:tcW w:w="306" w:type="pct"/>
            <w:vAlign w:val="center"/>
          </w:tcPr>
          <w:p w14:paraId="62DA9E7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451AE59" w14:textId="77777777" w:rsidR="00C36261" w:rsidRPr="00A57ABC" w:rsidRDefault="00C36261" w:rsidP="00624091">
            <w:pPr>
              <w:widowControl w:val="0"/>
              <w:ind w:left="36"/>
              <w:jc w:val="center"/>
              <w:rPr>
                <w:rFonts w:eastAsiaTheme="minorHAnsi"/>
                <w:sz w:val="14"/>
                <w:szCs w:val="14"/>
                <w:lang w:val="es-GT" w:eastAsia="en-US"/>
              </w:rPr>
            </w:pPr>
            <w:r w:rsidRPr="00A57ABC">
              <w:rPr>
                <w:rFonts w:eastAsiaTheme="minorHAnsi"/>
                <w:sz w:val="14"/>
                <w:szCs w:val="14"/>
                <w:lang w:val="es-GT" w:eastAsia="en-US"/>
              </w:rPr>
              <w:t>ARENA BLANCA,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 AMARILLA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MATERIAL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SELECTO</w:t>
            </w:r>
          </w:p>
        </w:tc>
        <w:tc>
          <w:tcPr>
            <w:tcW w:w="589" w:type="pct"/>
            <w:vAlign w:val="center"/>
          </w:tcPr>
          <w:p w14:paraId="6BD6A9B0" w14:textId="77777777" w:rsidR="00C36261" w:rsidRPr="00A57ABC" w:rsidRDefault="00C36261" w:rsidP="00624091">
            <w:pPr>
              <w:widowControl w:val="0"/>
              <w:ind w:left="242" w:right="98" w:hanging="99"/>
              <w:jc w:val="center"/>
              <w:rPr>
                <w:rFonts w:eastAsiaTheme="minorHAnsi"/>
                <w:sz w:val="14"/>
                <w:szCs w:val="14"/>
                <w:lang w:eastAsia="en-US"/>
              </w:rPr>
            </w:pPr>
            <w:r w:rsidRPr="00A57ABC">
              <w:rPr>
                <w:rFonts w:eastAsiaTheme="minorHAnsi"/>
                <w:sz w:val="14"/>
                <w:szCs w:val="14"/>
                <w:lang w:eastAsia="en-US"/>
              </w:rPr>
              <w:t>Villa Nueva Y</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Amatitlan</w:t>
            </w:r>
            <w:proofErr w:type="spellEnd"/>
          </w:p>
        </w:tc>
        <w:tc>
          <w:tcPr>
            <w:tcW w:w="716" w:type="pct"/>
            <w:vAlign w:val="center"/>
          </w:tcPr>
          <w:p w14:paraId="3C1E7F58"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158BEEFC" w14:textId="77777777" w:rsidTr="005105AC">
        <w:trPr>
          <w:trHeight w:val="413"/>
          <w:jc w:val="center"/>
        </w:trPr>
        <w:tc>
          <w:tcPr>
            <w:tcW w:w="1367" w:type="pct"/>
            <w:vAlign w:val="center"/>
          </w:tcPr>
          <w:p w14:paraId="65D791FD" w14:textId="77777777" w:rsidR="00C36261" w:rsidRPr="00A57ABC" w:rsidRDefault="00C36261" w:rsidP="00624091">
            <w:pPr>
              <w:widowControl w:val="0"/>
              <w:ind w:left="259" w:right="129" w:hanging="94"/>
              <w:rPr>
                <w:rFonts w:eastAsiaTheme="minorHAnsi"/>
                <w:sz w:val="14"/>
                <w:szCs w:val="14"/>
                <w:lang w:eastAsia="en-US"/>
              </w:rPr>
            </w:pPr>
            <w:r w:rsidRPr="00A57ABC">
              <w:rPr>
                <w:rFonts w:eastAsiaTheme="minorHAnsi"/>
                <w:sz w:val="14"/>
                <w:szCs w:val="14"/>
                <w:lang w:eastAsia="en-US"/>
              </w:rPr>
              <w:t>ARENERA SAN</w:t>
            </w:r>
            <w:r w:rsidRPr="00A57ABC">
              <w:rPr>
                <w:rFonts w:eastAsiaTheme="minorHAnsi"/>
                <w:spacing w:val="-34"/>
                <w:sz w:val="14"/>
                <w:szCs w:val="14"/>
                <w:lang w:eastAsia="en-US"/>
              </w:rPr>
              <w:t xml:space="preserve"> </w:t>
            </w:r>
            <w:r w:rsidRPr="00A57ABC">
              <w:rPr>
                <w:rFonts w:eastAsiaTheme="minorHAnsi"/>
                <w:sz w:val="14"/>
                <w:szCs w:val="14"/>
                <w:lang w:eastAsia="en-US"/>
              </w:rPr>
              <w:t>FERNANDO</w:t>
            </w:r>
          </w:p>
        </w:tc>
        <w:tc>
          <w:tcPr>
            <w:tcW w:w="613" w:type="pct"/>
            <w:vAlign w:val="center"/>
          </w:tcPr>
          <w:p w14:paraId="5105657B"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7/05/2004</w:t>
            </w:r>
          </w:p>
        </w:tc>
        <w:tc>
          <w:tcPr>
            <w:tcW w:w="625" w:type="pct"/>
            <w:vAlign w:val="center"/>
          </w:tcPr>
          <w:p w14:paraId="1026226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6/05/2029</w:t>
            </w:r>
          </w:p>
        </w:tc>
        <w:tc>
          <w:tcPr>
            <w:tcW w:w="306" w:type="pct"/>
            <w:vAlign w:val="center"/>
          </w:tcPr>
          <w:p w14:paraId="4A77425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D57CF01" w14:textId="77777777" w:rsidR="00C36261" w:rsidRPr="00A57ABC" w:rsidRDefault="00C36261" w:rsidP="00624091">
            <w:pPr>
              <w:widowControl w:val="0"/>
              <w:ind w:left="48" w:right="10" w:firstLine="62"/>
              <w:jc w:val="center"/>
              <w:rPr>
                <w:rFonts w:eastAsiaTheme="minorHAnsi"/>
                <w:sz w:val="14"/>
                <w:szCs w:val="14"/>
                <w:lang w:val="es-GT" w:eastAsia="en-US"/>
              </w:rPr>
            </w:pPr>
            <w:r w:rsidRPr="00A57ABC">
              <w:rPr>
                <w:rFonts w:eastAsiaTheme="minorHAnsi"/>
                <w:sz w:val="14"/>
                <w:szCs w:val="14"/>
                <w:lang w:val="es-GT" w:eastAsia="en-US"/>
              </w:rPr>
              <w:t>ARENA DE RIO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PIEDRIN</w:t>
            </w:r>
            <w:r w:rsidRPr="00A57ABC">
              <w:rPr>
                <w:rFonts w:eastAsiaTheme="minorHAnsi"/>
                <w:spacing w:val="-7"/>
                <w:sz w:val="14"/>
                <w:szCs w:val="14"/>
                <w:lang w:val="es-GT" w:eastAsia="en-US"/>
              </w:rPr>
              <w:t xml:space="preserve"> </w:t>
            </w:r>
            <w:r w:rsidRPr="00A57ABC">
              <w:rPr>
                <w:rFonts w:eastAsiaTheme="minorHAnsi"/>
                <w:sz w:val="14"/>
                <w:szCs w:val="14"/>
                <w:lang w:val="es-GT" w:eastAsia="en-US"/>
              </w:rPr>
              <w:t>O</w:t>
            </w:r>
            <w:r w:rsidRPr="00A57ABC">
              <w:rPr>
                <w:rFonts w:eastAsiaTheme="minorHAnsi"/>
                <w:spacing w:val="-6"/>
                <w:sz w:val="14"/>
                <w:szCs w:val="14"/>
                <w:lang w:val="es-GT" w:eastAsia="en-US"/>
              </w:rPr>
              <w:t xml:space="preserve"> </w:t>
            </w:r>
            <w:r w:rsidRPr="00A57ABC">
              <w:rPr>
                <w:rFonts w:eastAsiaTheme="minorHAnsi"/>
                <w:sz w:val="14"/>
                <w:szCs w:val="14"/>
                <w:lang w:val="es-GT" w:eastAsia="en-US"/>
              </w:rPr>
              <w:t>GRAVA</w:t>
            </w:r>
          </w:p>
        </w:tc>
        <w:tc>
          <w:tcPr>
            <w:tcW w:w="589" w:type="pct"/>
            <w:vAlign w:val="center"/>
          </w:tcPr>
          <w:p w14:paraId="29505D8F"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Chinautla</w:t>
            </w:r>
            <w:proofErr w:type="spellEnd"/>
          </w:p>
        </w:tc>
        <w:tc>
          <w:tcPr>
            <w:tcW w:w="716" w:type="pct"/>
            <w:vAlign w:val="center"/>
          </w:tcPr>
          <w:p w14:paraId="3280E2DC"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522052D2" w14:textId="77777777" w:rsidTr="005105AC">
        <w:trPr>
          <w:trHeight w:val="264"/>
          <w:jc w:val="center"/>
        </w:trPr>
        <w:tc>
          <w:tcPr>
            <w:tcW w:w="1367" w:type="pct"/>
            <w:vAlign w:val="center"/>
          </w:tcPr>
          <w:p w14:paraId="49106947" w14:textId="77777777" w:rsidR="00C36261" w:rsidRPr="00A57ABC" w:rsidRDefault="00C36261" w:rsidP="00624091">
            <w:pPr>
              <w:widowControl w:val="0"/>
              <w:ind w:left="307" w:right="248" w:hanging="22"/>
              <w:rPr>
                <w:rFonts w:eastAsiaTheme="minorHAnsi"/>
                <w:sz w:val="14"/>
                <w:szCs w:val="14"/>
                <w:lang w:eastAsia="en-US"/>
              </w:rPr>
            </w:pPr>
            <w:r w:rsidRPr="00A57ABC">
              <w:rPr>
                <w:rFonts w:eastAsiaTheme="minorHAnsi"/>
                <w:sz w:val="14"/>
                <w:szCs w:val="14"/>
                <w:lang w:eastAsia="en-US"/>
              </w:rPr>
              <w:t>CALERA EL</w:t>
            </w:r>
            <w:r w:rsidRPr="00A57ABC">
              <w:rPr>
                <w:rFonts w:eastAsiaTheme="minorHAnsi"/>
                <w:spacing w:val="-34"/>
                <w:sz w:val="14"/>
                <w:szCs w:val="14"/>
                <w:lang w:eastAsia="en-US"/>
              </w:rPr>
              <w:t xml:space="preserve"> </w:t>
            </w:r>
            <w:r w:rsidRPr="00A57ABC">
              <w:rPr>
                <w:rFonts w:eastAsiaTheme="minorHAnsi"/>
                <w:sz w:val="14"/>
                <w:szCs w:val="14"/>
                <w:lang w:eastAsia="en-US"/>
              </w:rPr>
              <w:t>MIRADOR</w:t>
            </w:r>
          </w:p>
        </w:tc>
        <w:tc>
          <w:tcPr>
            <w:tcW w:w="613" w:type="pct"/>
            <w:vAlign w:val="center"/>
          </w:tcPr>
          <w:p w14:paraId="7BBFA981"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19/11/1998</w:t>
            </w:r>
          </w:p>
        </w:tc>
        <w:tc>
          <w:tcPr>
            <w:tcW w:w="625" w:type="pct"/>
            <w:vAlign w:val="center"/>
          </w:tcPr>
          <w:p w14:paraId="355C2B5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18/11/2023</w:t>
            </w:r>
          </w:p>
        </w:tc>
        <w:tc>
          <w:tcPr>
            <w:tcW w:w="306" w:type="pct"/>
            <w:vAlign w:val="center"/>
          </w:tcPr>
          <w:p w14:paraId="29ED235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0D5A6D9" w14:textId="77777777" w:rsidR="00C36261" w:rsidRPr="00A57ABC" w:rsidRDefault="00C36261" w:rsidP="00624091">
            <w:pPr>
              <w:widowControl w:val="0"/>
              <w:ind w:left="79" w:right="44" w:firstLine="1"/>
              <w:jc w:val="center"/>
              <w:rPr>
                <w:rFonts w:eastAsiaTheme="minorHAnsi"/>
                <w:sz w:val="14"/>
                <w:szCs w:val="14"/>
                <w:lang w:val="es-GT" w:eastAsia="en-US"/>
              </w:rPr>
            </w:pPr>
            <w:r w:rsidRPr="00A57ABC">
              <w:rPr>
                <w:rFonts w:eastAsiaTheme="minorHAnsi"/>
                <w:sz w:val="14"/>
                <w:szCs w:val="14"/>
                <w:lang w:val="es-GT" w:eastAsia="en-US"/>
              </w:rPr>
              <w:t>TOBA, BASALTO,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POMEZ Y PIEDRA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CALIZA.</w:t>
            </w:r>
          </w:p>
        </w:tc>
        <w:tc>
          <w:tcPr>
            <w:tcW w:w="589" w:type="pct"/>
            <w:vAlign w:val="center"/>
          </w:tcPr>
          <w:p w14:paraId="123F790E"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Guatemala</w:t>
            </w:r>
          </w:p>
        </w:tc>
        <w:tc>
          <w:tcPr>
            <w:tcW w:w="716" w:type="pct"/>
            <w:vAlign w:val="center"/>
          </w:tcPr>
          <w:p w14:paraId="5A9646A0"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55DEFE3B" w14:textId="77777777" w:rsidTr="005105AC">
        <w:trPr>
          <w:trHeight w:val="340"/>
          <w:jc w:val="center"/>
        </w:trPr>
        <w:tc>
          <w:tcPr>
            <w:tcW w:w="1367" w:type="pct"/>
            <w:vAlign w:val="center"/>
          </w:tcPr>
          <w:p w14:paraId="1807C436"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CANNOSA II</w:t>
            </w:r>
          </w:p>
        </w:tc>
        <w:tc>
          <w:tcPr>
            <w:tcW w:w="613" w:type="pct"/>
            <w:vAlign w:val="center"/>
          </w:tcPr>
          <w:p w14:paraId="5CF1D45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13/03/1999</w:t>
            </w:r>
          </w:p>
        </w:tc>
        <w:tc>
          <w:tcPr>
            <w:tcW w:w="625" w:type="pct"/>
            <w:vAlign w:val="center"/>
          </w:tcPr>
          <w:p w14:paraId="2D220C1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12/03/2024</w:t>
            </w:r>
          </w:p>
        </w:tc>
        <w:tc>
          <w:tcPr>
            <w:tcW w:w="306" w:type="pct"/>
            <w:vAlign w:val="center"/>
          </w:tcPr>
          <w:p w14:paraId="0D81A14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A450887" w14:textId="77777777" w:rsidR="00C36261" w:rsidRPr="00A57ABC" w:rsidRDefault="00C36261" w:rsidP="00624091">
            <w:pPr>
              <w:widowControl w:val="0"/>
              <w:ind w:left="103" w:right="48" w:hanging="10"/>
              <w:jc w:val="center"/>
              <w:rPr>
                <w:rFonts w:eastAsiaTheme="minorHAnsi"/>
                <w:sz w:val="14"/>
                <w:szCs w:val="14"/>
                <w:lang w:eastAsia="en-US"/>
              </w:rPr>
            </w:pPr>
            <w:r w:rsidRPr="00A57ABC">
              <w:rPr>
                <w:rFonts w:eastAsiaTheme="minorHAnsi"/>
                <w:sz w:val="14"/>
                <w:szCs w:val="14"/>
                <w:lang w:eastAsia="en-US"/>
              </w:rPr>
              <w:t>TOBA RIOLITICA,</w:t>
            </w:r>
            <w:r w:rsidRPr="00A57ABC">
              <w:rPr>
                <w:rFonts w:eastAsiaTheme="minorHAnsi"/>
                <w:spacing w:val="-34"/>
                <w:sz w:val="14"/>
                <w:szCs w:val="14"/>
                <w:lang w:eastAsia="en-US"/>
              </w:rPr>
              <w:t xml:space="preserve"> </w:t>
            </w:r>
            <w:proofErr w:type="gramStart"/>
            <w:r w:rsidRPr="00A57ABC">
              <w:rPr>
                <w:rFonts w:eastAsiaTheme="minorHAnsi"/>
                <w:sz w:val="14"/>
                <w:szCs w:val="14"/>
                <w:lang w:eastAsia="en-US"/>
              </w:rPr>
              <w:t>RIOLITA,IGNIMB</w:t>
            </w:r>
            <w:proofErr w:type="gramEnd"/>
          </w:p>
        </w:tc>
        <w:tc>
          <w:tcPr>
            <w:tcW w:w="589" w:type="pct"/>
            <w:vAlign w:val="center"/>
          </w:tcPr>
          <w:p w14:paraId="2DC201B9" w14:textId="77777777" w:rsidR="00C36261" w:rsidRPr="00A57ABC" w:rsidRDefault="00C36261" w:rsidP="00624091">
            <w:pPr>
              <w:widowControl w:val="0"/>
              <w:ind w:left="96" w:right="55" w:firstLine="4"/>
              <w:jc w:val="center"/>
              <w:rPr>
                <w:rFonts w:eastAsiaTheme="minorHAnsi"/>
                <w:sz w:val="14"/>
                <w:szCs w:val="14"/>
                <w:lang w:val="es-GT" w:eastAsia="en-US"/>
              </w:rPr>
            </w:pPr>
            <w:r w:rsidRPr="00A57ABC">
              <w:rPr>
                <w:rFonts w:eastAsiaTheme="minorHAnsi"/>
                <w:sz w:val="14"/>
                <w:szCs w:val="14"/>
                <w:lang w:val="es-GT" w:eastAsia="en-US"/>
              </w:rPr>
              <w:t>Palencia Y San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Jose</w:t>
            </w:r>
            <w:r w:rsidRPr="00A57ABC">
              <w:rPr>
                <w:rFonts w:eastAsiaTheme="minorHAnsi"/>
                <w:spacing w:val="-6"/>
                <w:sz w:val="14"/>
                <w:szCs w:val="14"/>
                <w:lang w:val="es-GT" w:eastAsia="en-US"/>
              </w:rPr>
              <w:t xml:space="preserve"> </w:t>
            </w:r>
            <w:r w:rsidRPr="00A57ABC">
              <w:rPr>
                <w:rFonts w:eastAsiaTheme="minorHAnsi"/>
                <w:sz w:val="14"/>
                <w:szCs w:val="14"/>
                <w:lang w:val="es-GT" w:eastAsia="en-US"/>
              </w:rPr>
              <w:t>Del</w:t>
            </w:r>
            <w:r w:rsidRPr="00A57ABC">
              <w:rPr>
                <w:rFonts w:eastAsiaTheme="minorHAnsi"/>
                <w:spacing w:val="-7"/>
                <w:sz w:val="14"/>
                <w:szCs w:val="14"/>
                <w:lang w:val="es-GT" w:eastAsia="en-US"/>
              </w:rPr>
              <w:t xml:space="preserve"> </w:t>
            </w:r>
            <w:r w:rsidRPr="00A57ABC">
              <w:rPr>
                <w:rFonts w:eastAsiaTheme="minorHAnsi"/>
                <w:sz w:val="14"/>
                <w:szCs w:val="14"/>
                <w:lang w:val="es-GT" w:eastAsia="en-US"/>
              </w:rPr>
              <w:t>Golfo</w:t>
            </w:r>
          </w:p>
        </w:tc>
        <w:tc>
          <w:tcPr>
            <w:tcW w:w="716" w:type="pct"/>
            <w:vAlign w:val="center"/>
          </w:tcPr>
          <w:p w14:paraId="654652AF"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4B574C9A" w14:textId="77777777" w:rsidTr="005105AC">
        <w:trPr>
          <w:trHeight w:val="557"/>
          <w:jc w:val="center"/>
        </w:trPr>
        <w:tc>
          <w:tcPr>
            <w:tcW w:w="1367" w:type="pct"/>
            <w:vAlign w:val="center"/>
          </w:tcPr>
          <w:p w14:paraId="3BD6D336" w14:textId="77777777" w:rsidR="00C36261" w:rsidRPr="00A57ABC" w:rsidRDefault="00C36261" w:rsidP="00624091">
            <w:pPr>
              <w:widowControl w:val="0"/>
              <w:ind w:left="363" w:right="191" w:hanging="135"/>
              <w:rPr>
                <w:rFonts w:eastAsiaTheme="minorHAnsi"/>
                <w:sz w:val="14"/>
                <w:szCs w:val="14"/>
                <w:lang w:eastAsia="en-US"/>
              </w:rPr>
            </w:pPr>
            <w:r w:rsidRPr="00A57ABC">
              <w:rPr>
                <w:rFonts w:eastAsiaTheme="minorHAnsi"/>
                <w:sz w:val="14"/>
                <w:szCs w:val="14"/>
                <w:lang w:eastAsia="en-US"/>
              </w:rPr>
              <w:t>CANTERA EL</w:t>
            </w:r>
            <w:r w:rsidRPr="00A57ABC">
              <w:rPr>
                <w:rFonts w:eastAsiaTheme="minorHAnsi"/>
                <w:spacing w:val="-34"/>
                <w:sz w:val="14"/>
                <w:szCs w:val="14"/>
                <w:lang w:eastAsia="en-US"/>
              </w:rPr>
              <w:t xml:space="preserve"> </w:t>
            </w:r>
            <w:r w:rsidRPr="00A57ABC">
              <w:rPr>
                <w:rFonts w:eastAsiaTheme="minorHAnsi"/>
                <w:sz w:val="14"/>
                <w:szCs w:val="14"/>
                <w:lang w:eastAsia="en-US"/>
              </w:rPr>
              <w:t>JORDAN</w:t>
            </w:r>
          </w:p>
        </w:tc>
        <w:tc>
          <w:tcPr>
            <w:tcW w:w="613" w:type="pct"/>
            <w:vAlign w:val="center"/>
          </w:tcPr>
          <w:p w14:paraId="3B71977C" w14:textId="77777777" w:rsidR="00C36261" w:rsidRPr="00A57ABC" w:rsidRDefault="00C36261" w:rsidP="00624091">
            <w:pPr>
              <w:widowControl w:val="0"/>
              <w:ind w:left="146"/>
              <w:rPr>
                <w:rFonts w:eastAsiaTheme="minorHAnsi"/>
                <w:sz w:val="14"/>
                <w:szCs w:val="14"/>
                <w:lang w:eastAsia="en-US"/>
              </w:rPr>
            </w:pPr>
            <w:r w:rsidRPr="00A57ABC">
              <w:rPr>
                <w:rFonts w:eastAsiaTheme="minorHAnsi"/>
                <w:sz w:val="14"/>
                <w:szCs w:val="14"/>
                <w:lang w:eastAsia="en-US"/>
              </w:rPr>
              <w:t>30/12/1993</w:t>
            </w:r>
            <w:r w:rsidRPr="00A57ABC">
              <w:rPr>
                <w:rFonts w:eastAsiaTheme="minorHAnsi"/>
                <w:spacing w:val="4"/>
                <w:sz w:val="14"/>
                <w:szCs w:val="14"/>
                <w:lang w:eastAsia="en-US"/>
              </w:rPr>
              <w:t xml:space="preserve"> </w:t>
            </w:r>
            <w:r w:rsidRPr="00A57ABC">
              <w:rPr>
                <w:rFonts w:eastAsiaTheme="minorHAnsi"/>
                <w:sz w:val="14"/>
                <w:szCs w:val="14"/>
                <w:lang w:eastAsia="en-US"/>
              </w:rPr>
              <w:t>AL</w:t>
            </w:r>
          </w:p>
          <w:p w14:paraId="0FCD33DC" w14:textId="77777777" w:rsidR="00C36261" w:rsidRPr="00A57ABC" w:rsidRDefault="00C36261" w:rsidP="00624091">
            <w:pPr>
              <w:widowControl w:val="0"/>
              <w:ind w:left="105"/>
              <w:rPr>
                <w:rFonts w:eastAsiaTheme="minorHAnsi"/>
                <w:sz w:val="14"/>
                <w:szCs w:val="14"/>
                <w:lang w:eastAsia="en-US"/>
              </w:rPr>
            </w:pPr>
            <w:r w:rsidRPr="00A57ABC">
              <w:rPr>
                <w:rFonts w:eastAsiaTheme="minorHAnsi"/>
                <w:sz w:val="14"/>
                <w:szCs w:val="14"/>
                <w:lang w:eastAsia="en-US"/>
              </w:rPr>
              <w:t>29/12/1998,</w:t>
            </w:r>
            <w:r w:rsidRPr="00A57ABC">
              <w:rPr>
                <w:rFonts w:eastAsiaTheme="minorHAnsi"/>
                <w:spacing w:val="3"/>
                <w:sz w:val="14"/>
                <w:szCs w:val="14"/>
                <w:lang w:eastAsia="en-US"/>
              </w:rPr>
              <w:t xml:space="preserve"> </w:t>
            </w:r>
            <w:r w:rsidRPr="00A57ABC">
              <w:rPr>
                <w:rFonts w:eastAsiaTheme="minorHAnsi"/>
                <w:sz w:val="14"/>
                <w:szCs w:val="14"/>
                <w:lang w:eastAsia="en-US"/>
              </w:rPr>
              <w:t>del</w:t>
            </w:r>
          </w:p>
          <w:p w14:paraId="4E4B4128" w14:textId="77777777" w:rsidR="00C36261" w:rsidRPr="00A57ABC" w:rsidRDefault="00C36261" w:rsidP="00624091">
            <w:pPr>
              <w:widowControl w:val="0"/>
              <w:ind w:left="170"/>
              <w:rPr>
                <w:rFonts w:eastAsiaTheme="minorHAnsi"/>
                <w:sz w:val="14"/>
                <w:szCs w:val="14"/>
                <w:lang w:eastAsia="en-US"/>
              </w:rPr>
            </w:pPr>
            <w:r w:rsidRPr="00A57ABC">
              <w:rPr>
                <w:rFonts w:eastAsiaTheme="minorHAnsi"/>
                <w:sz w:val="14"/>
                <w:szCs w:val="14"/>
                <w:lang w:eastAsia="en-US"/>
              </w:rPr>
              <w:t>30/12/1998</w:t>
            </w:r>
            <w:r w:rsidRPr="00A57ABC">
              <w:rPr>
                <w:rFonts w:eastAsiaTheme="minorHAnsi"/>
                <w:spacing w:val="1"/>
                <w:sz w:val="14"/>
                <w:szCs w:val="14"/>
                <w:lang w:eastAsia="en-US"/>
              </w:rPr>
              <w:t xml:space="preserve"> </w:t>
            </w:r>
            <w:r w:rsidRPr="00A57ABC">
              <w:rPr>
                <w:rFonts w:eastAsiaTheme="minorHAnsi"/>
                <w:sz w:val="14"/>
                <w:szCs w:val="14"/>
                <w:lang w:eastAsia="en-US"/>
              </w:rPr>
              <w:t>al</w:t>
            </w:r>
          </w:p>
          <w:p w14:paraId="380F8B40" w14:textId="77777777" w:rsidR="00C36261" w:rsidRPr="00A57ABC" w:rsidRDefault="00C36261" w:rsidP="00624091">
            <w:pPr>
              <w:widowControl w:val="0"/>
              <w:ind w:left="244"/>
              <w:rPr>
                <w:rFonts w:eastAsiaTheme="minorHAnsi"/>
                <w:sz w:val="14"/>
                <w:szCs w:val="14"/>
                <w:lang w:eastAsia="en-US"/>
              </w:rPr>
            </w:pPr>
            <w:r w:rsidRPr="00A57ABC">
              <w:rPr>
                <w:rFonts w:eastAsiaTheme="minorHAnsi"/>
                <w:sz w:val="14"/>
                <w:szCs w:val="14"/>
                <w:lang w:eastAsia="en-US"/>
              </w:rPr>
              <w:t>29/12/2003</w:t>
            </w:r>
          </w:p>
        </w:tc>
        <w:tc>
          <w:tcPr>
            <w:tcW w:w="625" w:type="pct"/>
            <w:vAlign w:val="center"/>
          </w:tcPr>
          <w:p w14:paraId="78D09F89" w14:textId="77777777" w:rsidR="00C36261" w:rsidRPr="00A57ABC" w:rsidRDefault="00C36261" w:rsidP="00624091">
            <w:pPr>
              <w:widowControl w:val="0"/>
              <w:ind w:left="197"/>
              <w:rPr>
                <w:rFonts w:eastAsiaTheme="minorHAnsi"/>
                <w:bCs/>
                <w:sz w:val="14"/>
                <w:szCs w:val="14"/>
                <w:lang w:eastAsia="en-US"/>
              </w:rPr>
            </w:pPr>
            <w:r w:rsidRPr="00A57ABC">
              <w:rPr>
                <w:rFonts w:eastAsiaTheme="minorHAnsi"/>
                <w:bCs/>
                <w:sz w:val="14"/>
                <w:szCs w:val="14"/>
                <w:lang w:eastAsia="en-US"/>
              </w:rPr>
              <w:t>30/12/2003</w:t>
            </w:r>
            <w:r w:rsidRPr="00A57ABC">
              <w:rPr>
                <w:rFonts w:eastAsiaTheme="minorHAnsi"/>
                <w:bCs/>
                <w:spacing w:val="1"/>
                <w:sz w:val="14"/>
                <w:szCs w:val="14"/>
                <w:lang w:eastAsia="en-US"/>
              </w:rPr>
              <w:t xml:space="preserve"> </w:t>
            </w:r>
            <w:r w:rsidRPr="00A57ABC">
              <w:rPr>
                <w:rFonts w:eastAsiaTheme="minorHAnsi"/>
                <w:bCs/>
                <w:sz w:val="14"/>
                <w:szCs w:val="14"/>
                <w:lang w:eastAsia="en-US"/>
              </w:rPr>
              <w:t>al</w:t>
            </w:r>
          </w:p>
          <w:p w14:paraId="768539A9" w14:textId="77777777" w:rsidR="00C36261" w:rsidRPr="00A57ABC" w:rsidRDefault="00C36261" w:rsidP="00624091">
            <w:pPr>
              <w:widowControl w:val="0"/>
              <w:ind w:left="237"/>
              <w:rPr>
                <w:rFonts w:eastAsiaTheme="minorHAnsi"/>
                <w:b/>
                <w:sz w:val="14"/>
                <w:szCs w:val="14"/>
                <w:lang w:eastAsia="en-US"/>
              </w:rPr>
            </w:pPr>
            <w:r w:rsidRPr="00A57ABC">
              <w:rPr>
                <w:rFonts w:eastAsiaTheme="minorHAnsi"/>
                <w:bCs/>
                <w:sz w:val="14"/>
                <w:szCs w:val="14"/>
                <w:lang w:eastAsia="en-US"/>
              </w:rPr>
              <w:t>29/12/2028</w:t>
            </w:r>
          </w:p>
        </w:tc>
        <w:tc>
          <w:tcPr>
            <w:tcW w:w="306" w:type="pct"/>
            <w:vAlign w:val="center"/>
          </w:tcPr>
          <w:p w14:paraId="46BBBB9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5526E74"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PIEDRA</w:t>
            </w:r>
            <w:r w:rsidRPr="00A57ABC">
              <w:rPr>
                <w:rFonts w:eastAsiaTheme="minorHAnsi"/>
                <w:spacing w:val="-1"/>
                <w:sz w:val="14"/>
                <w:szCs w:val="14"/>
                <w:lang w:eastAsia="en-US"/>
              </w:rPr>
              <w:t xml:space="preserve"> </w:t>
            </w:r>
            <w:r w:rsidRPr="00A57ABC">
              <w:rPr>
                <w:rFonts w:eastAsiaTheme="minorHAnsi"/>
                <w:sz w:val="14"/>
                <w:szCs w:val="14"/>
                <w:lang w:eastAsia="en-US"/>
              </w:rPr>
              <w:t>CALIZA</w:t>
            </w:r>
          </w:p>
        </w:tc>
        <w:tc>
          <w:tcPr>
            <w:tcW w:w="589" w:type="pct"/>
            <w:vAlign w:val="center"/>
          </w:tcPr>
          <w:p w14:paraId="00F9B385"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Guatemala</w:t>
            </w:r>
          </w:p>
        </w:tc>
        <w:tc>
          <w:tcPr>
            <w:tcW w:w="716" w:type="pct"/>
            <w:vAlign w:val="center"/>
          </w:tcPr>
          <w:p w14:paraId="736D8369"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1F3E3715" w14:textId="77777777" w:rsidTr="005105AC">
        <w:trPr>
          <w:trHeight w:val="312"/>
          <w:jc w:val="center"/>
        </w:trPr>
        <w:tc>
          <w:tcPr>
            <w:tcW w:w="1367" w:type="pct"/>
            <w:vAlign w:val="center"/>
          </w:tcPr>
          <w:p w14:paraId="6F229AB7"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CERRO</w:t>
            </w:r>
            <w:r w:rsidRPr="00A57ABC">
              <w:rPr>
                <w:rFonts w:eastAsiaTheme="minorHAnsi"/>
                <w:spacing w:val="-1"/>
                <w:sz w:val="14"/>
                <w:szCs w:val="14"/>
                <w:lang w:eastAsia="en-US"/>
              </w:rPr>
              <w:t xml:space="preserve"> </w:t>
            </w:r>
            <w:r w:rsidRPr="00A57ABC">
              <w:rPr>
                <w:rFonts w:eastAsiaTheme="minorHAnsi"/>
                <w:sz w:val="14"/>
                <w:szCs w:val="14"/>
                <w:lang w:eastAsia="en-US"/>
              </w:rPr>
              <w:t>PIEDRA</w:t>
            </w:r>
          </w:p>
          <w:p w14:paraId="1D965877"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DURA</w:t>
            </w:r>
          </w:p>
        </w:tc>
        <w:tc>
          <w:tcPr>
            <w:tcW w:w="613" w:type="pct"/>
            <w:vAlign w:val="center"/>
          </w:tcPr>
          <w:p w14:paraId="2BCC9BFB"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30/09/2003</w:t>
            </w:r>
          </w:p>
        </w:tc>
        <w:tc>
          <w:tcPr>
            <w:tcW w:w="625" w:type="pct"/>
            <w:vAlign w:val="center"/>
          </w:tcPr>
          <w:p w14:paraId="6388C25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29/09/2028</w:t>
            </w:r>
          </w:p>
        </w:tc>
        <w:tc>
          <w:tcPr>
            <w:tcW w:w="306" w:type="pct"/>
            <w:vAlign w:val="center"/>
          </w:tcPr>
          <w:p w14:paraId="1094CC3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76A30F1" w14:textId="77777777" w:rsidR="00C36261" w:rsidRPr="00A57ABC" w:rsidRDefault="00C36261" w:rsidP="00624091">
            <w:pPr>
              <w:widowControl w:val="0"/>
              <w:ind w:left="350"/>
              <w:rPr>
                <w:rFonts w:eastAsiaTheme="minorHAnsi"/>
                <w:sz w:val="14"/>
                <w:szCs w:val="14"/>
                <w:lang w:eastAsia="en-US"/>
              </w:rPr>
            </w:pPr>
            <w:r w:rsidRPr="00A57ABC">
              <w:rPr>
                <w:rFonts w:eastAsiaTheme="minorHAnsi"/>
                <w:sz w:val="14"/>
                <w:szCs w:val="14"/>
                <w:lang w:eastAsia="en-US"/>
              </w:rPr>
              <w:t>CALIZA</w:t>
            </w:r>
            <w:r w:rsidRPr="00A57ABC">
              <w:rPr>
                <w:rFonts w:eastAsiaTheme="minorHAnsi"/>
                <w:spacing w:val="-1"/>
                <w:sz w:val="14"/>
                <w:szCs w:val="14"/>
                <w:lang w:eastAsia="en-US"/>
              </w:rPr>
              <w:t xml:space="preserve"> </w:t>
            </w:r>
            <w:r w:rsidRPr="00A57ABC">
              <w:rPr>
                <w:rFonts w:eastAsiaTheme="minorHAnsi"/>
                <w:sz w:val="14"/>
                <w:szCs w:val="14"/>
                <w:lang w:eastAsia="en-US"/>
              </w:rPr>
              <w:t>Y</w:t>
            </w:r>
          </w:p>
          <w:p w14:paraId="7FE46FC7" w14:textId="77777777" w:rsidR="00C36261" w:rsidRPr="00A57ABC" w:rsidRDefault="00C36261" w:rsidP="00624091">
            <w:pPr>
              <w:widowControl w:val="0"/>
              <w:ind w:left="271"/>
              <w:rPr>
                <w:rFonts w:eastAsiaTheme="minorHAnsi"/>
                <w:sz w:val="14"/>
                <w:szCs w:val="14"/>
                <w:lang w:eastAsia="en-US"/>
              </w:rPr>
            </w:pPr>
            <w:r w:rsidRPr="00A57ABC">
              <w:rPr>
                <w:rFonts w:eastAsiaTheme="minorHAnsi"/>
                <w:sz w:val="14"/>
                <w:szCs w:val="14"/>
                <w:lang w:eastAsia="en-US"/>
              </w:rPr>
              <w:t>DOLOMITA</w:t>
            </w:r>
          </w:p>
        </w:tc>
        <w:tc>
          <w:tcPr>
            <w:tcW w:w="589" w:type="pct"/>
            <w:vAlign w:val="center"/>
          </w:tcPr>
          <w:p w14:paraId="79A12A83"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Guatemala</w:t>
            </w:r>
          </w:p>
        </w:tc>
        <w:tc>
          <w:tcPr>
            <w:tcW w:w="716" w:type="pct"/>
            <w:vAlign w:val="center"/>
          </w:tcPr>
          <w:p w14:paraId="36E8E24B"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6E3D17C6" w14:textId="77777777" w:rsidTr="005105AC">
        <w:trPr>
          <w:trHeight w:val="246"/>
          <w:jc w:val="center"/>
        </w:trPr>
        <w:tc>
          <w:tcPr>
            <w:tcW w:w="1367" w:type="pct"/>
            <w:vAlign w:val="center"/>
          </w:tcPr>
          <w:p w14:paraId="4B516C66" w14:textId="77777777" w:rsidR="00C36261" w:rsidRPr="00A57ABC" w:rsidRDefault="00C36261" w:rsidP="00624091">
            <w:pPr>
              <w:widowControl w:val="0"/>
              <w:ind w:left="94" w:right="47" w:hanging="8"/>
              <w:rPr>
                <w:rFonts w:eastAsiaTheme="minorHAnsi"/>
                <w:sz w:val="14"/>
                <w:szCs w:val="14"/>
                <w:lang w:val="es-GT" w:eastAsia="en-US"/>
              </w:rPr>
            </w:pPr>
            <w:r w:rsidRPr="00A57ABC">
              <w:rPr>
                <w:rFonts w:eastAsiaTheme="minorHAnsi"/>
                <w:sz w:val="14"/>
                <w:szCs w:val="14"/>
                <w:lang w:val="es-GT" w:eastAsia="en-US"/>
              </w:rPr>
              <w:t>CONSTRUCTORA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EL</w:t>
            </w:r>
            <w:r w:rsidRPr="00A57ABC">
              <w:rPr>
                <w:rFonts w:eastAsiaTheme="minorHAnsi"/>
                <w:spacing w:val="-2"/>
                <w:sz w:val="14"/>
                <w:szCs w:val="14"/>
                <w:lang w:val="es-GT" w:eastAsia="en-US"/>
              </w:rPr>
              <w:t xml:space="preserve"> </w:t>
            </w:r>
            <w:r w:rsidRPr="00A57ABC">
              <w:rPr>
                <w:rFonts w:eastAsiaTheme="minorHAnsi"/>
                <w:sz w:val="14"/>
                <w:szCs w:val="14"/>
                <w:lang w:val="es-GT" w:eastAsia="en-US"/>
              </w:rPr>
              <w:t>PLAYON, S. A.</w:t>
            </w:r>
          </w:p>
        </w:tc>
        <w:tc>
          <w:tcPr>
            <w:tcW w:w="613" w:type="pct"/>
            <w:vAlign w:val="center"/>
          </w:tcPr>
          <w:p w14:paraId="77DD892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23/04/2008</w:t>
            </w:r>
          </w:p>
        </w:tc>
        <w:tc>
          <w:tcPr>
            <w:tcW w:w="625" w:type="pct"/>
            <w:vAlign w:val="center"/>
          </w:tcPr>
          <w:p w14:paraId="3FB1BFE7"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22/04/2033</w:t>
            </w:r>
          </w:p>
        </w:tc>
        <w:tc>
          <w:tcPr>
            <w:tcW w:w="306" w:type="pct"/>
            <w:vAlign w:val="center"/>
          </w:tcPr>
          <w:p w14:paraId="41CCD6D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A5BE2DB" w14:textId="77777777" w:rsidR="00C36261" w:rsidRPr="00A57ABC" w:rsidRDefault="00C36261" w:rsidP="00624091">
            <w:pPr>
              <w:widowControl w:val="0"/>
              <w:ind w:left="252" w:right="216" w:hanging="1"/>
              <w:jc w:val="center"/>
              <w:rPr>
                <w:rFonts w:eastAsiaTheme="minorHAnsi"/>
                <w:sz w:val="14"/>
                <w:szCs w:val="14"/>
                <w:lang w:eastAsia="en-US"/>
              </w:rPr>
            </w:pPr>
            <w:r w:rsidRPr="00A57ABC">
              <w:rPr>
                <w:rFonts w:eastAsiaTheme="minorHAnsi"/>
                <w:sz w:val="14"/>
                <w:szCs w:val="14"/>
                <w:lang w:eastAsia="en-US"/>
              </w:rPr>
              <w:t>BASALTO Y</w:t>
            </w:r>
            <w:r w:rsidRPr="00A57ABC">
              <w:rPr>
                <w:rFonts w:eastAsiaTheme="minorHAnsi"/>
                <w:spacing w:val="1"/>
                <w:sz w:val="14"/>
                <w:szCs w:val="14"/>
                <w:lang w:eastAsia="en-US"/>
              </w:rPr>
              <w:t xml:space="preserve"> </w:t>
            </w:r>
            <w:r w:rsidRPr="00A57ABC">
              <w:rPr>
                <w:rFonts w:eastAsiaTheme="minorHAnsi"/>
                <w:sz w:val="14"/>
                <w:szCs w:val="14"/>
                <w:lang w:eastAsia="en-US"/>
              </w:rPr>
              <w:t>CENIZA</w:t>
            </w:r>
            <w:r w:rsidRPr="00A57ABC">
              <w:rPr>
                <w:rFonts w:eastAsiaTheme="minorHAnsi"/>
                <w:spacing w:val="1"/>
                <w:sz w:val="14"/>
                <w:szCs w:val="14"/>
                <w:lang w:eastAsia="en-US"/>
              </w:rPr>
              <w:t xml:space="preserve"> </w:t>
            </w:r>
            <w:r w:rsidRPr="00A57ABC">
              <w:rPr>
                <w:rFonts w:eastAsiaTheme="minorHAnsi"/>
                <w:sz w:val="14"/>
                <w:szCs w:val="14"/>
                <w:lang w:eastAsia="en-US"/>
              </w:rPr>
              <w:t>VOLCANICA</w:t>
            </w:r>
          </w:p>
        </w:tc>
        <w:tc>
          <w:tcPr>
            <w:tcW w:w="589" w:type="pct"/>
            <w:vAlign w:val="center"/>
          </w:tcPr>
          <w:p w14:paraId="39611CBA"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Palencia</w:t>
            </w:r>
          </w:p>
        </w:tc>
        <w:tc>
          <w:tcPr>
            <w:tcW w:w="716" w:type="pct"/>
            <w:vAlign w:val="center"/>
          </w:tcPr>
          <w:p w14:paraId="24911E1D"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1BAD4AAC" w14:textId="77777777" w:rsidTr="005105AC">
        <w:trPr>
          <w:trHeight w:val="414"/>
          <w:jc w:val="center"/>
        </w:trPr>
        <w:tc>
          <w:tcPr>
            <w:tcW w:w="1367" w:type="pct"/>
            <w:vAlign w:val="center"/>
          </w:tcPr>
          <w:p w14:paraId="38C5ED95"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2"/>
                <w:sz w:val="14"/>
                <w:szCs w:val="14"/>
                <w:lang w:eastAsia="en-US"/>
              </w:rPr>
              <w:t xml:space="preserve"> </w:t>
            </w:r>
            <w:r w:rsidRPr="00A57ABC">
              <w:rPr>
                <w:rFonts w:eastAsiaTheme="minorHAnsi"/>
                <w:sz w:val="14"/>
                <w:szCs w:val="14"/>
                <w:lang w:eastAsia="en-US"/>
              </w:rPr>
              <w:t>LIMON</w:t>
            </w:r>
            <w:r w:rsidRPr="00A57ABC">
              <w:rPr>
                <w:rFonts w:eastAsiaTheme="minorHAnsi"/>
                <w:spacing w:val="-2"/>
                <w:sz w:val="14"/>
                <w:szCs w:val="14"/>
                <w:lang w:eastAsia="en-US"/>
              </w:rPr>
              <w:t xml:space="preserve"> </w:t>
            </w:r>
            <w:r w:rsidRPr="00A57ABC">
              <w:rPr>
                <w:rFonts w:eastAsiaTheme="minorHAnsi"/>
                <w:sz w:val="14"/>
                <w:szCs w:val="14"/>
                <w:lang w:eastAsia="en-US"/>
              </w:rPr>
              <w:t>I</w:t>
            </w:r>
          </w:p>
        </w:tc>
        <w:tc>
          <w:tcPr>
            <w:tcW w:w="613" w:type="pct"/>
            <w:vAlign w:val="center"/>
          </w:tcPr>
          <w:p w14:paraId="1C38414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19/04/2006</w:t>
            </w:r>
          </w:p>
        </w:tc>
        <w:tc>
          <w:tcPr>
            <w:tcW w:w="625" w:type="pct"/>
            <w:vAlign w:val="center"/>
          </w:tcPr>
          <w:p w14:paraId="352CF39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18/04/2031</w:t>
            </w:r>
          </w:p>
        </w:tc>
        <w:tc>
          <w:tcPr>
            <w:tcW w:w="306" w:type="pct"/>
            <w:vAlign w:val="center"/>
          </w:tcPr>
          <w:p w14:paraId="1889EDE8"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E788F08"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SERPENTINITA</w:t>
            </w:r>
          </w:p>
        </w:tc>
        <w:tc>
          <w:tcPr>
            <w:tcW w:w="589" w:type="pct"/>
            <w:vAlign w:val="center"/>
          </w:tcPr>
          <w:p w14:paraId="7214171F" w14:textId="77777777" w:rsidR="00C36261" w:rsidRPr="00A57ABC" w:rsidRDefault="00C36261" w:rsidP="00624091">
            <w:pPr>
              <w:widowControl w:val="0"/>
              <w:ind w:left="37" w:right="2"/>
              <w:jc w:val="center"/>
              <w:rPr>
                <w:rFonts w:eastAsiaTheme="minorHAnsi"/>
                <w:sz w:val="14"/>
                <w:szCs w:val="14"/>
                <w:lang w:eastAsia="en-US"/>
              </w:rPr>
            </w:pPr>
            <w:proofErr w:type="spellStart"/>
            <w:r w:rsidRPr="00A57ABC">
              <w:rPr>
                <w:rFonts w:eastAsiaTheme="minorHAnsi"/>
                <w:sz w:val="14"/>
                <w:szCs w:val="14"/>
                <w:lang w:eastAsia="en-US"/>
              </w:rPr>
              <w:t>Chuarrancho</w:t>
            </w:r>
            <w:proofErr w:type="spellEnd"/>
          </w:p>
        </w:tc>
        <w:tc>
          <w:tcPr>
            <w:tcW w:w="716" w:type="pct"/>
            <w:vAlign w:val="center"/>
          </w:tcPr>
          <w:p w14:paraId="07C7EBCA"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383C8D9E" w14:textId="77777777" w:rsidTr="005105AC">
        <w:trPr>
          <w:trHeight w:val="302"/>
          <w:jc w:val="center"/>
        </w:trPr>
        <w:tc>
          <w:tcPr>
            <w:tcW w:w="1367" w:type="pct"/>
            <w:vAlign w:val="center"/>
          </w:tcPr>
          <w:p w14:paraId="4310AF36"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ROSARIO</w:t>
            </w:r>
          </w:p>
        </w:tc>
        <w:tc>
          <w:tcPr>
            <w:tcW w:w="613" w:type="pct"/>
            <w:vAlign w:val="center"/>
          </w:tcPr>
          <w:p w14:paraId="0E2B41B3"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24/04/2010</w:t>
            </w:r>
          </w:p>
        </w:tc>
        <w:tc>
          <w:tcPr>
            <w:tcW w:w="625" w:type="pct"/>
            <w:vAlign w:val="center"/>
          </w:tcPr>
          <w:p w14:paraId="24DCE7D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23/04/2035</w:t>
            </w:r>
          </w:p>
        </w:tc>
        <w:tc>
          <w:tcPr>
            <w:tcW w:w="306" w:type="pct"/>
            <w:vAlign w:val="center"/>
          </w:tcPr>
          <w:p w14:paraId="59A4582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0D69062" w14:textId="77777777" w:rsidR="00C36261" w:rsidRPr="00A57ABC" w:rsidRDefault="00C36261" w:rsidP="00624091">
            <w:pPr>
              <w:widowControl w:val="0"/>
              <w:ind w:left="34"/>
              <w:jc w:val="center"/>
              <w:rPr>
                <w:rFonts w:eastAsiaTheme="minorHAnsi"/>
                <w:sz w:val="14"/>
                <w:szCs w:val="14"/>
                <w:lang w:val="es-GT" w:eastAsia="en-US"/>
              </w:rPr>
            </w:pPr>
            <w:r w:rsidRPr="00A57ABC">
              <w:rPr>
                <w:rFonts w:eastAsiaTheme="minorHAnsi"/>
                <w:sz w:val="14"/>
                <w:szCs w:val="14"/>
                <w:lang w:val="es-GT" w:eastAsia="en-US"/>
              </w:rPr>
              <w:t>ANDESITAS,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BASALTOS, TOBAS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CENIZAS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VOLCANICAS</w:t>
            </w:r>
          </w:p>
        </w:tc>
        <w:tc>
          <w:tcPr>
            <w:tcW w:w="589" w:type="pct"/>
            <w:vAlign w:val="center"/>
          </w:tcPr>
          <w:p w14:paraId="19500BD7" w14:textId="77777777" w:rsidR="00C36261" w:rsidRPr="00A57ABC" w:rsidRDefault="00C36261" w:rsidP="00624091">
            <w:pPr>
              <w:widowControl w:val="0"/>
              <w:ind w:left="288" w:right="34" w:hanging="207"/>
              <w:jc w:val="center"/>
              <w:rPr>
                <w:rFonts w:eastAsiaTheme="minorHAnsi"/>
                <w:sz w:val="14"/>
                <w:szCs w:val="14"/>
                <w:lang w:eastAsia="en-US"/>
              </w:rPr>
            </w:pPr>
            <w:r w:rsidRPr="00A57ABC">
              <w:rPr>
                <w:rFonts w:eastAsiaTheme="minorHAnsi"/>
                <w:sz w:val="14"/>
                <w:szCs w:val="14"/>
                <w:lang w:eastAsia="en-US"/>
              </w:rPr>
              <w:t>Villa Canales Y</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Fraijanes</w:t>
            </w:r>
            <w:proofErr w:type="spellEnd"/>
          </w:p>
        </w:tc>
        <w:tc>
          <w:tcPr>
            <w:tcW w:w="716" w:type="pct"/>
            <w:vAlign w:val="center"/>
          </w:tcPr>
          <w:p w14:paraId="6FAF6EDA"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4F46467E" w14:textId="77777777" w:rsidTr="005105AC">
        <w:trPr>
          <w:trHeight w:val="224"/>
          <w:jc w:val="center"/>
        </w:trPr>
        <w:tc>
          <w:tcPr>
            <w:tcW w:w="1367" w:type="pct"/>
            <w:vAlign w:val="center"/>
          </w:tcPr>
          <w:p w14:paraId="0611B9F3" w14:textId="77777777" w:rsidR="00C36261" w:rsidRPr="00A57ABC" w:rsidRDefault="00C36261" w:rsidP="00624091">
            <w:pPr>
              <w:widowControl w:val="0"/>
              <w:ind w:left="24"/>
              <w:jc w:val="center"/>
              <w:rPr>
                <w:rFonts w:eastAsiaTheme="minorHAnsi"/>
                <w:sz w:val="14"/>
                <w:szCs w:val="14"/>
                <w:lang w:val="es-GT" w:eastAsia="en-US"/>
              </w:rPr>
            </w:pPr>
            <w:r w:rsidRPr="00A57ABC">
              <w:rPr>
                <w:rFonts w:eastAsiaTheme="minorHAnsi"/>
                <w:sz w:val="14"/>
                <w:szCs w:val="14"/>
                <w:lang w:val="es-GT" w:eastAsia="en-US"/>
              </w:rPr>
              <w:t>EXPLOT. Y PROD.</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DE MATERIALES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SELECTO CASA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BLANCA</w:t>
            </w:r>
          </w:p>
        </w:tc>
        <w:tc>
          <w:tcPr>
            <w:tcW w:w="613" w:type="pct"/>
            <w:vAlign w:val="center"/>
          </w:tcPr>
          <w:p w14:paraId="0BF253D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23/08/2007</w:t>
            </w:r>
          </w:p>
        </w:tc>
        <w:tc>
          <w:tcPr>
            <w:tcW w:w="625" w:type="pct"/>
            <w:vAlign w:val="center"/>
          </w:tcPr>
          <w:p w14:paraId="4BEEA16E"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22/08/2032</w:t>
            </w:r>
          </w:p>
        </w:tc>
        <w:tc>
          <w:tcPr>
            <w:tcW w:w="306" w:type="pct"/>
            <w:vAlign w:val="center"/>
          </w:tcPr>
          <w:p w14:paraId="6B4212A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D5F8A77" w14:textId="77777777" w:rsidR="00C36261" w:rsidRPr="00A57ABC" w:rsidRDefault="00C36261" w:rsidP="00624091">
            <w:pPr>
              <w:widowControl w:val="0"/>
              <w:ind w:left="396" w:right="26" w:hanging="324"/>
              <w:rPr>
                <w:rFonts w:eastAsiaTheme="minorHAnsi"/>
                <w:sz w:val="14"/>
                <w:szCs w:val="14"/>
                <w:lang w:eastAsia="en-US"/>
              </w:rPr>
            </w:pPr>
            <w:r w:rsidRPr="00A57ABC">
              <w:rPr>
                <w:rFonts w:eastAsiaTheme="minorHAnsi"/>
                <w:sz w:val="14"/>
                <w:szCs w:val="14"/>
                <w:lang w:eastAsia="en-US"/>
              </w:rPr>
              <w:t>SELECTO, TOBA Y</w:t>
            </w:r>
            <w:r w:rsidRPr="00A57ABC">
              <w:rPr>
                <w:rFonts w:eastAsiaTheme="minorHAnsi"/>
                <w:spacing w:val="-34"/>
                <w:sz w:val="14"/>
                <w:szCs w:val="14"/>
                <w:lang w:eastAsia="en-US"/>
              </w:rPr>
              <w:t xml:space="preserve"> </w:t>
            </w:r>
            <w:r w:rsidRPr="00A57ABC">
              <w:rPr>
                <w:rFonts w:eastAsiaTheme="minorHAnsi"/>
                <w:sz w:val="14"/>
                <w:szCs w:val="14"/>
                <w:lang w:eastAsia="en-US"/>
              </w:rPr>
              <w:t>POMEZ</w:t>
            </w:r>
          </w:p>
        </w:tc>
        <w:tc>
          <w:tcPr>
            <w:tcW w:w="589" w:type="pct"/>
            <w:vAlign w:val="center"/>
          </w:tcPr>
          <w:p w14:paraId="21007CDD"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Fraijanes</w:t>
            </w:r>
            <w:proofErr w:type="spellEnd"/>
          </w:p>
        </w:tc>
        <w:tc>
          <w:tcPr>
            <w:tcW w:w="716" w:type="pct"/>
            <w:vAlign w:val="center"/>
          </w:tcPr>
          <w:p w14:paraId="69AA8F3F"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33FC891F" w14:textId="77777777" w:rsidTr="005105AC">
        <w:trPr>
          <w:trHeight w:val="444"/>
          <w:jc w:val="center"/>
        </w:trPr>
        <w:tc>
          <w:tcPr>
            <w:tcW w:w="1367" w:type="pct"/>
            <w:vAlign w:val="center"/>
          </w:tcPr>
          <w:p w14:paraId="0581BB20" w14:textId="77777777" w:rsidR="00C36261" w:rsidRPr="00A57ABC" w:rsidRDefault="00C36261" w:rsidP="00624091">
            <w:pPr>
              <w:widowControl w:val="0"/>
              <w:ind w:left="72" w:right="41" w:firstLine="96"/>
              <w:rPr>
                <w:rFonts w:eastAsiaTheme="minorHAnsi"/>
                <w:sz w:val="14"/>
                <w:szCs w:val="14"/>
                <w:lang w:eastAsia="en-US"/>
              </w:rPr>
            </w:pPr>
            <w:r w:rsidRPr="00A57ABC">
              <w:rPr>
                <w:rFonts w:eastAsiaTheme="minorHAnsi"/>
                <w:sz w:val="14"/>
                <w:szCs w:val="14"/>
                <w:lang w:eastAsia="en-US"/>
              </w:rPr>
              <w:t>EXPLOTACION</w:t>
            </w:r>
            <w:r w:rsidRPr="00A57ABC">
              <w:rPr>
                <w:rFonts w:eastAsiaTheme="minorHAnsi"/>
                <w:spacing w:val="1"/>
                <w:sz w:val="14"/>
                <w:szCs w:val="14"/>
                <w:lang w:eastAsia="en-US"/>
              </w:rPr>
              <w:t xml:space="preserve"> </w:t>
            </w:r>
            <w:r w:rsidRPr="00A57ABC">
              <w:rPr>
                <w:rFonts w:eastAsiaTheme="minorHAnsi"/>
                <w:sz w:val="14"/>
                <w:szCs w:val="14"/>
                <w:lang w:eastAsia="en-US"/>
              </w:rPr>
              <w:t>MINERA</w:t>
            </w:r>
            <w:r w:rsidRPr="00A57ABC">
              <w:rPr>
                <w:rFonts w:eastAsiaTheme="minorHAnsi"/>
                <w:spacing w:val="-5"/>
                <w:sz w:val="14"/>
                <w:szCs w:val="14"/>
                <w:lang w:eastAsia="en-US"/>
              </w:rPr>
              <w:t xml:space="preserve"> </w:t>
            </w:r>
            <w:r w:rsidRPr="00A57ABC">
              <w:rPr>
                <w:rFonts w:eastAsiaTheme="minorHAnsi"/>
                <w:sz w:val="14"/>
                <w:szCs w:val="14"/>
                <w:lang w:eastAsia="en-US"/>
              </w:rPr>
              <w:t>EL</w:t>
            </w:r>
            <w:r w:rsidRPr="00A57ABC">
              <w:rPr>
                <w:rFonts w:eastAsiaTheme="minorHAnsi"/>
                <w:spacing w:val="-5"/>
                <w:sz w:val="14"/>
                <w:szCs w:val="14"/>
                <w:lang w:eastAsia="en-US"/>
              </w:rPr>
              <w:t xml:space="preserve"> </w:t>
            </w:r>
            <w:r w:rsidRPr="00A57ABC">
              <w:rPr>
                <w:rFonts w:eastAsiaTheme="minorHAnsi"/>
                <w:sz w:val="14"/>
                <w:szCs w:val="14"/>
                <w:lang w:eastAsia="en-US"/>
              </w:rPr>
              <w:t>FARO</w:t>
            </w:r>
          </w:p>
        </w:tc>
        <w:tc>
          <w:tcPr>
            <w:tcW w:w="613" w:type="pct"/>
            <w:vAlign w:val="center"/>
          </w:tcPr>
          <w:p w14:paraId="2744F7B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15/08/2005</w:t>
            </w:r>
          </w:p>
        </w:tc>
        <w:tc>
          <w:tcPr>
            <w:tcW w:w="625" w:type="pct"/>
            <w:vAlign w:val="center"/>
          </w:tcPr>
          <w:p w14:paraId="05F4017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14/08/2030</w:t>
            </w:r>
          </w:p>
        </w:tc>
        <w:tc>
          <w:tcPr>
            <w:tcW w:w="306" w:type="pct"/>
            <w:vAlign w:val="center"/>
          </w:tcPr>
          <w:p w14:paraId="2B6B8CC0"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3F1D7D9"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BASALTO</w:t>
            </w:r>
          </w:p>
        </w:tc>
        <w:tc>
          <w:tcPr>
            <w:tcW w:w="589" w:type="pct"/>
            <w:vAlign w:val="center"/>
          </w:tcPr>
          <w:p w14:paraId="4F0E0863"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Fraijanes</w:t>
            </w:r>
            <w:proofErr w:type="spellEnd"/>
          </w:p>
        </w:tc>
        <w:tc>
          <w:tcPr>
            <w:tcW w:w="716" w:type="pct"/>
            <w:vAlign w:val="center"/>
          </w:tcPr>
          <w:p w14:paraId="77347F17"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0B691F27" w14:textId="77777777" w:rsidTr="005105AC">
        <w:trPr>
          <w:trHeight w:val="394"/>
          <w:jc w:val="center"/>
        </w:trPr>
        <w:tc>
          <w:tcPr>
            <w:tcW w:w="1367" w:type="pct"/>
            <w:vAlign w:val="center"/>
          </w:tcPr>
          <w:p w14:paraId="7A253629" w14:textId="77777777" w:rsidR="00C36261" w:rsidRPr="00A57ABC" w:rsidRDefault="00C36261" w:rsidP="00624091">
            <w:pPr>
              <w:widowControl w:val="0"/>
              <w:ind w:left="166" w:right="141"/>
              <w:jc w:val="center"/>
              <w:rPr>
                <w:rFonts w:eastAsiaTheme="minorHAnsi"/>
                <w:sz w:val="14"/>
                <w:szCs w:val="14"/>
                <w:lang w:eastAsia="en-US"/>
              </w:rPr>
            </w:pPr>
            <w:r w:rsidRPr="00A57ABC">
              <w:rPr>
                <w:rFonts w:eastAsiaTheme="minorHAnsi"/>
                <w:sz w:val="14"/>
                <w:szCs w:val="14"/>
                <w:lang w:eastAsia="en-US"/>
              </w:rPr>
              <w:t>EXPLOTACION</w:t>
            </w:r>
            <w:r w:rsidRPr="00A57ABC">
              <w:rPr>
                <w:rFonts w:eastAsiaTheme="minorHAnsi"/>
                <w:spacing w:val="-34"/>
                <w:sz w:val="14"/>
                <w:szCs w:val="14"/>
                <w:lang w:eastAsia="en-US"/>
              </w:rPr>
              <w:t xml:space="preserve"> </w:t>
            </w:r>
            <w:r w:rsidRPr="00A57ABC">
              <w:rPr>
                <w:rFonts w:eastAsiaTheme="minorHAnsi"/>
                <w:sz w:val="14"/>
                <w:szCs w:val="14"/>
                <w:lang w:eastAsia="en-US"/>
              </w:rPr>
              <w:t>MINERA LA</w:t>
            </w:r>
            <w:r w:rsidRPr="00A57ABC">
              <w:rPr>
                <w:rFonts w:eastAsiaTheme="minorHAnsi"/>
                <w:spacing w:val="1"/>
                <w:sz w:val="14"/>
                <w:szCs w:val="14"/>
                <w:lang w:eastAsia="en-US"/>
              </w:rPr>
              <w:t xml:space="preserve"> </w:t>
            </w:r>
            <w:r w:rsidRPr="00A57ABC">
              <w:rPr>
                <w:rFonts w:eastAsiaTheme="minorHAnsi"/>
                <w:sz w:val="14"/>
                <w:szCs w:val="14"/>
                <w:lang w:eastAsia="en-US"/>
              </w:rPr>
              <w:t>CAMPANA</w:t>
            </w:r>
          </w:p>
        </w:tc>
        <w:tc>
          <w:tcPr>
            <w:tcW w:w="613" w:type="pct"/>
            <w:vAlign w:val="center"/>
          </w:tcPr>
          <w:p w14:paraId="729B479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18/05/2010</w:t>
            </w:r>
          </w:p>
        </w:tc>
        <w:tc>
          <w:tcPr>
            <w:tcW w:w="625" w:type="pct"/>
            <w:vAlign w:val="center"/>
          </w:tcPr>
          <w:p w14:paraId="068AEED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17/05/2025</w:t>
            </w:r>
          </w:p>
        </w:tc>
        <w:tc>
          <w:tcPr>
            <w:tcW w:w="306" w:type="pct"/>
            <w:vAlign w:val="center"/>
          </w:tcPr>
          <w:p w14:paraId="6395E53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15 AÑOS</w:t>
            </w:r>
          </w:p>
        </w:tc>
        <w:tc>
          <w:tcPr>
            <w:tcW w:w="784" w:type="pct"/>
            <w:vAlign w:val="center"/>
          </w:tcPr>
          <w:p w14:paraId="08876512" w14:textId="77777777" w:rsidR="00C36261" w:rsidRPr="00A57ABC" w:rsidRDefault="00C36261" w:rsidP="00624091">
            <w:pPr>
              <w:widowControl w:val="0"/>
              <w:ind w:left="35"/>
              <w:jc w:val="center"/>
              <w:rPr>
                <w:rFonts w:eastAsiaTheme="minorHAnsi"/>
                <w:sz w:val="14"/>
                <w:szCs w:val="14"/>
                <w:lang w:val="es-GT" w:eastAsia="en-US"/>
              </w:rPr>
            </w:pPr>
            <w:r w:rsidRPr="00A57ABC">
              <w:rPr>
                <w:rFonts w:eastAsiaTheme="minorHAnsi"/>
                <w:sz w:val="14"/>
                <w:szCs w:val="14"/>
                <w:lang w:val="es-GT" w:eastAsia="en-US"/>
              </w:rPr>
              <w:t>ARENA, GRAVA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BASE PARA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CARRETERAS</w:t>
            </w:r>
          </w:p>
        </w:tc>
        <w:tc>
          <w:tcPr>
            <w:tcW w:w="589" w:type="pct"/>
            <w:vAlign w:val="center"/>
          </w:tcPr>
          <w:p w14:paraId="3D2FB48A" w14:textId="77777777" w:rsidR="00C36261" w:rsidRPr="00A57ABC" w:rsidRDefault="00C36261" w:rsidP="00624091">
            <w:pPr>
              <w:widowControl w:val="0"/>
              <w:ind w:left="33" w:right="2"/>
              <w:jc w:val="center"/>
              <w:rPr>
                <w:rFonts w:eastAsiaTheme="minorHAnsi"/>
                <w:sz w:val="14"/>
                <w:szCs w:val="14"/>
                <w:lang w:eastAsia="en-US"/>
              </w:rPr>
            </w:pPr>
            <w:r w:rsidRPr="00A57ABC">
              <w:rPr>
                <w:rFonts w:eastAsiaTheme="minorHAnsi"/>
                <w:sz w:val="14"/>
                <w:szCs w:val="14"/>
                <w:lang w:eastAsia="en-US"/>
              </w:rPr>
              <w:t>San</w:t>
            </w:r>
            <w:r w:rsidRPr="00A57ABC">
              <w:rPr>
                <w:rFonts w:eastAsiaTheme="minorHAnsi"/>
                <w:spacing w:val="-1"/>
                <w:sz w:val="14"/>
                <w:szCs w:val="14"/>
                <w:lang w:eastAsia="en-US"/>
              </w:rPr>
              <w:t xml:space="preserve"> </w:t>
            </w:r>
            <w:r w:rsidRPr="00A57ABC">
              <w:rPr>
                <w:rFonts w:eastAsiaTheme="minorHAnsi"/>
                <w:sz w:val="14"/>
                <w:szCs w:val="14"/>
                <w:lang w:eastAsia="en-US"/>
              </w:rPr>
              <w:t xml:space="preserve">Jose </w:t>
            </w:r>
            <w:proofErr w:type="spellStart"/>
            <w:r w:rsidRPr="00A57ABC">
              <w:rPr>
                <w:rFonts w:eastAsiaTheme="minorHAnsi"/>
                <w:sz w:val="14"/>
                <w:szCs w:val="14"/>
                <w:lang w:eastAsia="en-US"/>
              </w:rPr>
              <w:t>Pinula</w:t>
            </w:r>
            <w:proofErr w:type="spellEnd"/>
          </w:p>
        </w:tc>
        <w:tc>
          <w:tcPr>
            <w:tcW w:w="716" w:type="pct"/>
            <w:vAlign w:val="center"/>
          </w:tcPr>
          <w:p w14:paraId="7B306A40"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76E3464E" w14:textId="77777777" w:rsidTr="005105AC">
        <w:trPr>
          <w:trHeight w:val="471"/>
          <w:jc w:val="center"/>
        </w:trPr>
        <w:tc>
          <w:tcPr>
            <w:tcW w:w="1367" w:type="pct"/>
            <w:vAlign w:val="center"/>
          </w:tcPr>
          <w:p w14:paraId="5ADCBF0F" w14:textId="77777777" w:rsidR="00C36261" w:rsidRPr="00A57ABC" w:rsidRDefault="00C36261" w:rsidP="00624091">
            <w:pPr>
              <w:widowControl w:val="0"/>
              <w:ind w:left="36" w:right="10" w:firstLine="115"/>
              <w:jc w:val="both"/>
              <w:rPr>
                <w:rFonts w:eastAsiaTheme="minorHAnsi"/>
                <w:sz w:val="14"/>
                <w:szCs w:val="14"/>
                <w:lang w:val="es-GT" w:eastAsia="en-US"/>
              </w:rPr>
            </w:pPr>
            <w:r w:rsidRPr="00A57ABC">
              <w:rPr>
                <w:rFonts w:eastAsiaTheme="minorHAnsi"/>
                <w:sz w:val="14"/>
                <w:szCs w:val="14"/>
                <w:lang w:val="es-GT" w:eastAsia="en-US"/>
              </w:rPr>
              <w:t>EXTRACCION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TRASLADO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PIEDRA POMEZ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LOS</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AMATES</w:t>
            </w:r>
            <w:r w:rsidRPr="00A57ABC">
              <w:rPr>
                <w:rFonts w:eastAsiaTheme="minorHAnsi"/>
                <w:spacing w:val="-4"/>
                <w:sz w:val="14"/>
                <w:szCs w:val="14"/>
                <w:lang w:val="es-GT" w:eastAsia="en-US"/>
              </w:rPr>
              <w:t xml:space="preserve"> </w:t>
            </w:r>
            <w:r w:rsidRPr="00A57ABC">
              <w:rPr>
                <w:rFonts w:eastAsiaTheme="minorHAnsi"/>
                <w:sz w:val="14"/>
                <w:szCs w:val="14"/>
                <w:lang w:val="es-GT" w:eastAsia="en-US"/>
              </w:rPr>
              <w:t>UNO</w:t>
            </w:r>
          </w:p>
        </w:tc>
        <w:tc>
          <w:tcPr>
            <w:tcW w:w="613" w:type="pct"/>
            <w:vAlign w:val="center"/>
          </w:tcPr>
          <w:p w14:paraId="7DEC02A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10/12/2004</w:t>
            </w:r>
          </w:p>
        </w:tc>
        <w:tc>
          <w:tcPr>
            <w:tcW w:w="625" w:type="pct"/>
            <w:vAlign w:val="center"/>
          </w:tcPr>
          <w:p w14:paraId="4A29061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9/12/2024</w:t>
            </w:r>
          </w:p>
        </w:tc>
        <w:tc>
          <w:tcPr>
            <w:tcW w:w="306" w:type="pct"/>
            <w:vAlign w:val="center"/>
          </w:tcPr>
          <w:p w14:paraId="2482E7B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20 AÑOS</w:t>
            </w:r>
          </w:p>
        </w:tc>
        <w:tc>
          <w:tcPr>
            <w:tcW w:w="784" w:type="pct"/>
            <w:vAlign w:val="center"/>
          </w:tcPr>
          <w:p w14:paraId="21A672D0"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PIEDRA POMEZ</w:t>
            </w:r>
          </w:p>
        </w:tc>
        <w:tc>
          <w:tcPr>
            <w:tcW w:w="589" w:type="pct"/>
            <w:vAlign w:val="center"/>
          </w:tcPr>
          <w:p w14:paraId="61B62F31" w14:textId="77777777" w:rsidR="00C36261" w:rsidRPr="00A57ABC" w:rsidRDefault="00C36261" w:rsidP="00624091">
            <w:pPr>
              <w:widowControl w:val="0"/>
              <w:ind w:left="37" w:right="2"/>
              <w:jc w:val="center"/>
              <w:rPr>
                <w:rFonts w:eastAsiaTheme="minorHAnsi"/>
                <w:sz w:val="14"/>
                <w:szCs w:val="14"/>
                <w:lang w:eastAsia="en-US"/>
              </w:rPr>
            </w:pPr>
            <w:proofErr w:type="spellStart"/>
            <w:r w:rsidRPr="00A57ABC">
              <w:rPr>
                <w:rFonts w:eastAsiaTheme="minorHAnsi"/>
                <w:sz w:val="14"/>
                <w:szCs w:val="14"/>
                <w:lang w:eastAsia="en-US"/>
              </w:rPr>
              <w:t>Amatitlan</w:t>
            </w:r>
            <w:proofErr w:type="spellEnd"/>
          </w:p>
        </w:tc>
        <w:tc>
          <w:tcPr>
            <w:tcW w:w="716" w:type="pct"/>
            <w:vAlign w:val="center"/>
          </w:tcPr>
          <w:p w14:paraId="22D595DF"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5C90C132" w14:textId="77777777" w:rsidTr="005105AC">
        <w:trPr>
          <w:trHeight w:val="556"/>
          <w:jc w:val="center"/>
        </w:trPr>
        <w:tc>
          <w:tcPr>
            <w:tcW w:w="1367" w:type="pct"/>
            <w:vAlign w:val="center"/>
          </w:tcPr>
          <w:p w14:paraId="0E61835E"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LA</w:t>
            </w:r>
            <w:r w:rsidRPr="00A57ABC">
              <w:rPr>
                <w:rFonts w:eastAsiaTheme="minorHAnsi"/>
                <w:spacing w:val="-1"/>
                <w:sz w:val="14"/>
                <w:szCs w:val="14"/>
                <w:lang w:eastAsia="en-US"/>
              </w:rPr>
              <w:t xml:space="preserve"> </w:t>
            </w:r>
            <w:r w:rsidRPr="00A57ABC">
              <w:rPr>
                <w:rFonts w:eastAsiaTheme="minorHAnsi"/>
                <w:sz w:val="14"/>
                <w:szCs w:val="14"/>
                <w:lang w:eastAsia="en-US"/>
              </w:rPr>
              <w:t>CALDERA</w:t>
            </w:r>
          </w:p>
        </w:tc>
        <w:tc>
          <w:tcPr>
            <w:tcW w:w="613" w:type="pct"/>
            <w:vAlign w:val="center"/>
          </w:tcPr>
          <w:p w14:paraId="4A8BF0E0"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26/10/2006</w:t>
            </w:r>
          </w:p>
        </w:tc>
        <w:tc>
          <w:tcPr>
            <w:tcW w:w="625" w:type="pct"/>
            <w:vAlign w:val="center"/>
          </w:tcPr>
          <w:p w14:paraId="4E5D52C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25/10/2031</w:t>
            </w:r>
          </w:p>
        </w:tc>
        <w:tc>
          <w:tcPr>
            <w:tcW w:w="306" w:type="pct"/>
            <w:vAlign w:val="center"/>
          </w:tcPr>
          <w:p w14:paraId="015CCA3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FC76CBC" w14:textId="77777777" w:rsidR="00C36261" w:rsidRPr="00A57ABC" w:rsidRDefault="00C36261" w:rsidP="00624091">
            <w:pPr>
              <w:widowControl w:val="0"/>
              <w:ind w:left="33"/>
              <w:jc w:val="center"/>
              <w:rPr>
                <w:rFonts w:eastAsiaTheme="minorHAnsi"/>
                <w:sz w:val="14"/>
                <w:szCs w:val="14"/>
                <w:lang w:val="es-GT" w:eastAsia="en-US"/>
              </w:rPr>
            </w:pPr>
            <w:r w:rsidRPr="00A57ABC">
              <w:rPr>
                <w:rFonts w:eastAsiaTheme="minorHAnsi"/>
                <w:sz w:val="14"/>
                <w:szCs w:val="14"/>
                <w:lang w:val="es-GT" w:eastAsia="en-US"/>
              </w:rPr>
              <w:t>ARENA, GRAVA, PO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MEZ, BASALTO, AN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DECITA Y 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w:t>
            </w:r>
          </w:p>
        </w:tc>
        <w:tc>
          <w:tcPr>
            <w:tcW w:w="589" w:type="pct"/>
            <w:vAlign w:val="center"/>
          </w:tcPr>
          <w:p w14:paraId="4A772A49" w14:textId="77777777" w:rsidR="00C36261" w:rsidRPr="00A57ABC" w:rsidRDefault="00C36261" w:rsidP="00624091">
            <w:pPr>
              <w:widowControl w:val="0"/>
              <w:ind w:left="37" w:right="2"/>
              <w:jc w:val="center"/>
              <w:rPr>
                <w:rFonts w:eastAsiaTheme="minorHAnsi"/>
                <w:sz w:val="14"/>
                <w:szCs w:val="14"/>
                <w:lang w:eastAsia="en-US"/>
              </w:rPr>
            </w:pPr>
            <w:proofErr w:type="spellStart"/>
            <w:r w:rsidRPr="00A57ABC">
              <w:rPr>
                <w:rFonts w:eastAsiaTheme="minorHAnsi"/>
                <w:sz w:val="14"/>
                <w:szCs w:val="14"/>
                <w:lang w:eastAsia="en-US"/>
              </w:rPr>
              <w:t>Amatitlan</w:t>
            </w:r>
            <w:proofErr w:type="spellEnd"/>
          </w:p>
        </w:tc>
        <w:tc>
          <w:tcPr>
            <w:tcW w:w="716" w:type="pct"/>
            <w:vAlign w:val="center"/>
          </w:tcPr>
          <w:p w14:paraId="356AC83E"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428FBF6A" w14:textId="77777777" w:rsidTr="005105AC">
        <w:trPr>
          <w:trHeight w:val="707"/>
          <w:jc w:val="center"/>
        </w:trPr>
        <w:tc>
          <w:tcPr>
            <w:tcW w:w="1367" w:type="pct"/>
            <w:vAlign w:val="center"/>
          </w:tcPr>
          <w:p w14:paraId="05CD0930"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LA</w:t>
            </w:r>
            <w:r w:rsidRPr="00A57ABC">
              <w:rPr>
                <w:rFonts w:eastAsiaTheme="minorHAnsi"/>
                <w:spacing w:val="-1"/>
                <w:sz w:val="14"/>
                <w:szCs w:val="14"/>
                <w:lang w:eastAsia="en-US"/>
              </w:rPr>
              <w:t xml:space="preserve"> </w:t>
            </w:r>
            <w:r w:rsidRPr="00A57ABC">
              <w:rPr>
                <w:rFonts w:eastAsiaTheme="minorHAnsi"/>
                <w:sz w:val="14"/>
                <w:szCs w:val="14"/>
                <w:lang w:eastAsia="en-US"/>
              </w:rPr>
              <w:t>PEDRERA</w:t>
            </w:r>
          </w:p>
        </w:tc>
        <w:tc>
          <w:tcPr>
            <w:tcW w:w="613" w:type="pct"/>
            <w:vAlign w:val="center"/>
          </w:tcPr>
          <w:p w14:paraId="25E63335" w14:textId="77777777" w:rsidR="00C36261" w:rsidRPr="00A57ABC" w:rsidRDefault="00C36261" w:rsidP="00624091">
            <w:pPr>
              <w:widowControl w:val="0"/>
              <w:ind w:left="146"/>
              <w:rPr>
                <w:rFonts w:eastAsiaTheme="minorHAnsi"/>
                <w:sz w:val="14"/>
                <w:szCs w:val="14"/>
                <w:lang w:eastAsia="en-US"/>
              </w:rPr>
            </w:pPr>
            <w:r w:rsidRPr="00A57ABC">
              <w:rPr>
                <w:rFonts w:eastAsiaTheme="minorHAnsi"/>
                <w:sz w:val="14"/>
                <w:szCs w:val="14"/>
                <w:lang w:eastAsia="en-US"/>
              </w:rPr>
              <w:t>16/11/1970</w:t>
            </w:r>
            <w:r w:rsidRPr="00A57ABC">
              <w:rPr>
                <w:rFonts w:eastAsiaTheme="minorHAnsi"/>
                <w:spacing w:val="1"/>
                <w:sz w:val="14"/>
                <w:szCs w:val="14"/>
                <w:lang w:eastAsia="en-US"/>
              </w:rPr>
              <w:t xml:space="preserve"> </w:t>
            </w:r>
            <w:r w:rsidRPr="00A57ABC">
              <w:rPr>
                <w:rFonts w:eastAsiaTheme="minorHAnsi"/>
                <w:sz w:val="14"/>
                <w:szCs w:val="14"/>
                <w:lang w:eastAsia="en-US"/>
              </w:rPr>
              <w:t>AL</w:t>
            </w:r>
          </w:p>
          <w:p w14:paraId="0B4737A6" w14:textId="77777777" w:rsidR="00C36261" w:rsidRPr="00A57ABC" w:rsidRDefault="00C36261" w:rsidP="00624091">
            <w:pPr>
              <w:widowControl w:val="0"/>
              <w:ind w:left="213"/>
              <w:rPr>
                <w:rFonts w:eastAsiaTheme="minorHAnsi"/>
                <w:sz w:val="14"/>
                <w:szCs w:val="14"/>
                <w:lang w:eastAsia="en-US"/>
              </w:rPr>
            </w:pPr>
            <w:r w:rsidRPr="00A57ABC">
              <w:rPr>
                <w:rFonts w:eastAsiaTheme="minorHAnsi"/>
                <w:sz w:val="14"/>
                <w:szCs w:val="14"/>
                <w:lang w:eastAsia="en-US"/>
              </w:rPr>
              <w:t>15/11/2010/</w:t>
            </w:r>
          </w:p>
          <w:p w14:paraId="462E820B" w14:textId="77777777" w:rsidR="00C36261" w:rsidRPr="00A57ABC" w:rsidRDefault="00C36261" w:rsidP="00624091">
            <w:pPr>
              <w:widowControl w:val="0"/>
              <w:ind w:left="146"/>
              <w:rPr>
                <w:rFonts w:eastAsiaTheme="minorHAnsi"/>
                <w:sz w:val="14"/>
                <w:szCs w:val="14"/>
                <w:lang w:eastAsia="en-US"/>
              </w:rPr>
            </w:pPr>
            <w:r w:rsidRPr="00A57ABC">
              <w:rPr>
                <w:rFonts w:eastAsiaTheme="minorHAnsi"/>
                <w:sz w:val="14"/>
                <w:szCs w:val="14"/>
                <w:lang w:eastAsia="en-US"/>
              </w:rPr>
              <w:t>16/11/2010</w:t>
            </w:r>
            <w:r w:rsidRPr="00A57ABC">
              <w:rPr>
                <w:rFonts w:eastAsiaTheme="minorHAnsi"/>
                <w:spacing w:val="4"/>
                <w:sz w:val="14"/>
                <w:szCs w:val="14"/>
                <w:lang w:eastAsia="en-US"/>
              </w:rPr>
              <w:t xml:space="preserve"> </w:t>
            </w:r>
            <w:r w:rsidRPr="00A57ABC">
              <w:rPr>
                <w:rFonts w:eastAsiaTheme="minorHAnsi"/>
                <w:sz w:val="14"/>
                <w:szCs w:val="14"/>
                <w:lang w:eastAsia="en-US"/>
              </w:rPr>
              <w:t>AL</w:t>
            </w:r>
          </w:p>
          <w:p w14:paraId="013FB651" w14:textId="77777777" w:rsidR="00C36261" w:rsidRPr="00A57ABC" w:rsidRDefault="00C36261" w:rsidP="00624091">
            <w:pPr>
              <w:widowControl w:val="0"/>
              <w:ind w:left="244"/>
              <w:rPr>
                <w:rFonts w:eastAsiaTheme="minorHAnsi"/>
                <w:sz w:val="14"/>
                <w:szCs w:val="14"/>
                <w:lang w:eastAsia="en-US"/>
              </w:rPr>
            </w:pPr>
            <w:r w:rsidRPr="00A57ABC">
              <w:rPr>
                <w:rFonts w:eastAsiaTheme="minorHAnsi"/>
                <w:sz w:val="14"/>
                <w:szCs w:val="14"/>
                <w:lang w:eastAsia="en-US"/>
              </w:rPr>
              <w:t>15/11/2035</w:t>
            </w:r>
          </w:p>
        </w:tc>
        <w:tc>
          <w:tcPr>
            <w:tcW w:w="625" w:type="pct"/>
            <w:vAlign w:val="center"/>
          </w:tcPr>
          <w:p w14:paraId="72CD030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15/11/2035</w:t>
            </w:r>
          </w:p>
        </w:tc>
        <w:tc>
          <w:tcPr>
            <w:tcW w:w="306" w:type="pct"/>
            <w:vAlign w:val="center"/>
          </w:tcPr>
          <w:p w14:paraId="4911A45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4D9BCF3" w14:textId="77777777" w:rsidR="00C36261" w:rsidRPr="00A57ABC" w:rsidRDefault="00C36261" w:rsidP="00624091">
            <w:pPr>
              <w:widowControl w:val="0"/>
              <w:ind w:left="148" w:right="114" w:firstLine="2"/>
              <w:jc w:val="center"/>
              <w:rPr>
                <w:rFonts w:eastAsiaTheme="minorHAnsi"/>
                <w:sz w:val="14"/>
                <w:szCs w:val="14"/>
                <w:lang w:val="es-GT" w:eastAsia="en-US"/>
              </w:rPr>
            </w:pPr>
            <w:r w:rsidRPr="00A57ABC">
              <w:rPr>
                <w:rFonts w:eastAsiaTheme="minorHAnsi"/>
                <w:sz w:val="14"/>
                <w:szCs w:val="14"/>
                <w:lang w:val="es-GT" w:eastAsia="en-US"/>
              </w:rPr>
              <w:t>CALIZA,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DOLOMITA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w:t>
            </w:r>
            <w:r w:rsidRPr="00A57ABC">
              <w:rPr>
                <w:rFonts w:eastAsiaTheme="minorHAnsi"/>
                <w:spacing w:val="-8"/>
                <w:sz w:val="14"/>
                <w:szCs w:val="14"/>
                <w:lang w:val="es-GT" w:eastAsia="en-US"/>
              </w:rPr>
              <w:t xml:space="preserve"> </w:t>
            </w:r>
            <w:r w:rsidRPr="00A57ABC">
              <w:rPr>
                <w:rFonts w:eastAsiaTheme="minorHAnsi"/>
                <w:sz w:val="14"/>
                <w:szCs w:val="14"/>
                <w:lang w:val="es-GT" w:eastAsia="en-US"/>
              </w:rPr>
              <w:t>SILICEA</w:t>
            </w:r>
          </w:p>
        </w:tc>
        <w:tc>
          <w:tcPr>
            <w:tcW w:w="589" w:type="pct"/>
            <w:vAlign w:val="center"/>
          </w:tcPr>
          <w:p w14:paraId="5CFDF585" w14:textId="77777777" w:rsidR="00C36261" w:rsidRPr="00A57ABC" w:rsidRDefault="00C36261" w:rsidP="00624091">
            <w:pPr>
              <w:widowControl w:val="0"/>
              <w:ind w:left="213" w:right="148" w:hanging="20"/>
              <w:jc w:val="center"/>
              <w:rPr>
                <w:rFonts w:eastAsiaTheme="minorHAnsi"/>
                <w:sz w:val="14"/>
                <w:szCs w:val="14"/>
                <w:lang w:eastAsia="en-US"/>
              </w:rPr>
            </w:pPr>
            <w:proofErr w:type="spellStart"/>
            <w:r w:rsidRPr="00A57ABC">
              <w:rPr>
                <w:rFonts w:eastAsiaTheme="minorHAnsi"/>
                <w:sz w:val="14"/>
                <w:szCs w:val="14"/>
                <w:lang w:eastAsia="en-US"/>
              </w:rPr>
              <w:t>Chinautla</w:t>
            </w:r>
            <w:proofErr w:type="spellEnd"/>
            <w:r w:rsidRPr="00A57ABC">
              <w:rPr>
                <w:rFonts w:eastAsiaTheme="minorHAnsi"/>
                <w:sz w:val="14"/>
                <w:szCs w:val="14"/>
                <w:lang w:eastAsia="en-US"/>
              </w:rPr>
              <w:t xml:space="preserve"> Y</w:t>
            </w:r>
            <w:r w:rsidRPr="00A57ABC">
              <w:rPr>
                <w:rFonts w:eastAsiaTheme="minorHAnsi"/>
                <w:spacing w:val="-34"/>
                <w:sz w:val="14"/>
                <w:szCs w:val="14"/>
                <w:lang w:eastAsia="en-US"/>
              </w:rPr>
              <w:t xml:space="preserve"> </w:t>
            </w:r>
            <w:r w:rsidRPr="00A57ABC">
              <w:rPr>
                <w:rFonts w:eastAsiaTheme="minorHAnsi"/>
                <w:sz w:val="14"/>
                <w:szCs w:val="14"/>
                <w:lang w:eastAsia="en-US"/>
              </w:rPr>
              <w:t>Guatemala</w:t>
            </w:r>
          </w:p>
        </w:tc>
        <w:tc>
          <w:tcPr>
            <w:tcW w:w="716" w:type="pct"/>
            <w:vAlign w:val="center"/>
          </w:tcPr>
          <w:p w14:paraId="2230BB57"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04CACF0B" w14:textId="77777777" w:rsidTr="005105AC">
        <w:trPr>
          <w:trHeight w:val="1342"/>
          <w:jc w:val="center"/>
        </w:trPr>
        <w:tc>
          <w:tcPr>
            <w:tcW w:w="1367" w:type="pct"/>
            <w:vAlign w:val="center"/>
          </w:tcPr>
          <w:p w14:paraId="33200C4A"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LA PRESA</w:t>
            </w:r>
          </w:p>
        </w:tc>
        <w:tc>
          <w:tcPr>
            <w:tcW w:w="613" w:type="pct"/>
            <w:vAlign w:val="center"/>
          </w:tcPr>
          <w:p w14:paraId="250157D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20/04/2005</w:t>
            </w:r>
          </w:p>
        </w:tc>
        <w:tc>
          <w:tcPr>
            <w:tcW w:w="625" w:type="pct"/>
            <w:vAlign w:val="center"/>
          </w:tcPr>
          <w:p w14:paraId="09C31DAE"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19/04/2030</w:t>
            </w:r>
          </w:p>
        </w:tc>
        <w:tc>
          <w:tcPr>
            <w:tcW w:w="306" w:type="pct"/>
            <w:vAlign w:val="center"/>
          </w:tcPr>
          <w:p w14:paraId="3307D58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E976420" w14:textId="77777777" w:rsidR="00C36261" w:rsidRPr="00A57ABC" w:rsidRDefault="00C36261" w:rsidP="00624091">
            <w:pPr>
              <w:widowControl w:val="0"/>
              <w:ind w:left="91" w:right="57" w:firstLine="1"/>
              <w:jc w:val="center"/>
              <w:rPr>
                <w:rFonts w:eastAsiaTheme="minorHAnsi"/>
                <w:sz w:val="14"/>
                <w:szCs w:val="14"/>
                <w:lang w:val="es-GT" w:eastAsia="en-US"/>
              </w:rPr>
            </w:pP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 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 RIO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ARCILLAS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DERIVADAS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LAS ROCAS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IGNEAS,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SEDIMENTOS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METAMORFICAS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(BASALTO,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ANDESITA Y</w:t>
            </w:r>
          </w:p>
          <w:p w14:paraId="20E8EF6D"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GRANITO)</w:t>
            </w:r>
          </w:p>
        </w:tc>
        <w:tc>
          <w:tcPr>
            <w:tcW w:w="589" w:type="pct"/>
            <w:vAlign w:val="center"/>
          </w:tcPr>
          <w:p w14:paraId="609A435C"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Chinautla</w:t>
            </w:r>
            <w:proofErr w:type="spellEnd"/>
          </w:p>
        </w:tc>
        <w:tc>
          <w:tcPr>
            <w:tcW w:w="716" w:type="pct"/>
            <w:vAlign w:val="center"/>
          </w:tcPr>
          <w:p w14:paraId="1E2ECF13"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6A3FE377" w14:textId="77777777" w:rsidTr="005105AC">
        <w:trPr>
          <w:trHeight w:val="602"/>
          <w:jc w:val="center"/>
        </w:trPr>
        <w:tc>
          <w:tcPr>
            <w:tcW w:w="1367" w:type="pct"/>
            <w:vAlign w:val="center"/>
          </w:tcPr>
          <w:p w14:paraId="4DE73B06"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LAS</w:t>
            </w:r>
            <w:r w:rsidRPr="00A57ABC">
              <w:rPr>
                <w:rFonts w:eastAsiaTheme="minorHAnsi"/>
                <w:spacing w:val="-1"/>
                <w:sz w:val="14"/>
                <w:szCs w:val="14"/>
                <w:lang w:eastAsia="en-US"/>
              </w:rPr>
              <w:t xml:space="preserve"> </w:t>
            </w:r>
            <w:r w:rsidRPr="00A57ABC">
              <w:rPr>
                <w:rFonts w:eastAsiaTheme="minorHAnsi"/>
                <w:sz w:val="14"/>
                <w:szCs w:val="14"/>
                <w:lang w:eastAsia="en-US"/>
              </w:rPr>
              <w:t>NUBES</w:t>
            </w:r>
          </w:p>
        </w:tc>
        <w:tc>
          <w:tcPr>
            <w:tcW w:w="613" w:type="pct"/>
            <w:vAlign w:val="center"/>
          </w:tcPr>
          <w:p w14:paraId="0953734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14/03/2007</w:t>
            </w:r>
          </w:p>
        </w:tc>
        <w:tc>
          <w:tcPr>
            <w:tcW w:w="625" w:type="pct"/>
            <w:vAlign w:val="center"/>
          </w:tcPr>
          <w:p w14:paraId="46AC119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13/03/2032</w:t>
            </w:r>
          </w:p>
        </w:tc>
        <w:tc>
          <w:tcPr>
            <w:tcW w:w="306" w:type="pct"/>
            <w:vAlign w:val="center"/>
          </w:tcPr>
          <w:p w14:paraId="638B61F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53A947A" w14:textId="77777777" w:rsidR="00C36261" w:rsidRPr="00A57ABC" w:rsidRDefault="00C36261" w:rsidP="00624091">
            <w:pPr>
              <w:widowControl w:val="0"/>
              <w:ind w:left="67" w:right="32"/>
              <w:jc w:val="center"/>
              <w:rPr>
                <w:rFonts w:eastAsiaTheme="minorHAnsi"/>
                <w:sz w:val="14"/>
                <w:szCs w:val="14"/>
                <w:lang w:val="es-GT" w:eastAsia="en-US"/>
              </w:rPr>
            </w:pPr>
            <w:r w:rsidRPr="00A57ABC">
              <w:rPr>
                <w:rFonts w:eastAsiaTheme="minorHAnsi"/>
                <w:sz w:val="14"/>
                <w:szCs w:val="14"/>
                <w:lang w:val="es-GT" w:eastAsia="en-US"/>
              </w:rPr>
              <w:t>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AMARILLA,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 BLANCA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MATERIAL</w:t>
            </w:r>
          </w:p>
          <w:p w14:paraId="635EF24C"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SELECTO</w:t>
            </w:r>
          </w:p>
        </w:tc>
        <w:tc>
          <w:tcPr>
            <w:tcW w:w="589" w:type="pct"/>
            <w:vAlign w:val="center"/>
          </w:tcPr>
          <w:p w14:paraId="0F33ED25" w14:textId="77777777" w:rsidR="00C36261" w:rsidRPr="00A57ABC" w:rsidRDefault="00C36261" w:rsidP="00624091">
            <w:pPr>
              <w:widowControl w:val="0"/>
              <w:ind w:left="33" w:right="2"/>
              <w:jc w:val="center"/>
              <w:rPr>
                <w:rFonts w:eastAsiaTheme="minorHAnsi"/>
                <w:sz w:val="14"/>
                <w:szCs w:val="14"/>
                <w:lang w:eastAsia="en-US"/>
              </w:rPr>
            </w:pPr>
            <w:r w:rsidRPr="00A57ABC">
              <w:rPr>
                <w:rFonts w:eastAsiaTheme="minorHAnsi"/>
                <w:sz w:val="14"/>
                <w:szCs w:val="14"/>
                <w:lang w:eastAsia="en-US"/>
              </w:rPr>
              <w:t>Villa</w:t>
            </w:r>
            <w:r w:rsidRPr="00A57ABC">
              <w:rPr>
                <w:rFonts w:eastAsiaTheme="minorHAnsi"/>
                <w:spacing w:val="-2"/>
                <w:sz w:val="14"/>
                <w:szCs w:val="14"/>
                <w:lang w:eastAsia="en-US"/>
              </w:rPr>
              <w:t xml:space="preserve"> </w:t>
            </w:r>
            <w:r w:rsidRPr="00A57ABC">
              <w:rPr>
                <w:rFonts w:eastAsiaTheme="minorHAnsi"/>
                <w:sz w:val="14"/>
                <w:szCs w:val="14"/>
                <w:lang w:eastAsia="en-US"/>
              </w:rPr>
              <w:t>Nueva</w:t>
            </w:r>
          </w:p>
        </w:tc>
        <w:tc>
          <w:tcPr>
            <w:tcW w:w="716" w:type="pct"/>
            <w:vAlign w:val="center"/>
          </w:tcPr>
          <w:p w14:paraId="65EDAE2D"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1BE2DF33" w14:textId="77777777" w:rsidTr="005105AC">
        <w:trPr>
          <w:trHeight w:val="214"/>
          <w:jc w:val="center"/>
        </w:trPr>
        <w:tc>
          <w:tcPr>
            <w:tcW w:w="1367" w:type="pct"/>
            <w:vAlign w:val="center"/>
          </w:tcPr>
          <w:p w14:paraId="30063462" w14:textId="77777777" w:rsidR="00C36261" w:rsidRPr="00A57ABC" w:rsidRDefault="00C36261" w:rsidP="00624091">
            <w:pPr>
              <w:widowControl w:val="0"/>
              <w:ind w:left="27"/>
              <w:jc w:val="center"/>
              <w:rPr>
                <w:rFonts w:eastAsiaTheme="minorHAnsi"/>
                <w:sz w:val="14"/>
                <w:szCs w:val="14"/>
                <w:lang w:eastAsia="en-US"/>
              </w:rPr>
            </w:pPr>
            <w:r w:rsidRPr="00A57ABC">
              <w:rPr>
                <w:rFonts w:eastAsiaTheme="minorHAnsi"/>
                <w:sz w:val="14"/>
                <w:szCs w:val="14"/>
                <w:lang w:eastAsia="en-US"/>
              </w:rPr>
              <w:t>LOMA</w:t>
            </w:r>
            <w:r w:rsidRPr="00A57ABC">
              <w:rPr>
                <w:rFonts w:eastAsiaTheme="minorHAnsi"/>
                <w:spacing w:val="-1"/>
                <w:sz w:val="14"/>
                <w:szCs w:val="14"/>
                <w:lang w:eastAsia="en-US"/>
              </w:rPr>
              <w:t xml:space="preserve"> </w:t>
            </w:r>
            <w:r w:rsidRPr="00A57ABC">
              <w:rPr>
                <w:rFonts w:eastAsiaTheme="minorHAnsi"/>
                <w:sz w:val="14"/>
                <w:szCs w:val="14"/>
                <w:lang w:eastAsia="en-US"/>
              </w:rPr>
              <w:t>DE TRIGO</w:t>
            </w:r>
          </w:p>
        </w:tc>
        <w:tc>
          <w:tcPr>
            <w:tcW w:w="613" w:type="pct"/>
            <w:vAlign w:val="center"/>
          </w:tcPr>
          <w:p w14:paraId="7914598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25/04/2003</w:t>
            </w:r>
          </w:p>
        </w:tc>
        <w:tc>
          <w:tcPr>
            <w:tcW w:w="625" w:type="pct"/>
            <w:vAlign w:val="center"/>
          </w:tcPr>
          <w:p w14:paraId="1CBABC2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24/04/2026</w:t>
            </w:r>
          </w:p>
        </w:tc>
        <w:tc>
          <w:tcPr>
            <w:tcW w:w="306" w:type="pct"/>
            <w:vAlign w:val="center"/>
          </w:tcPr>
          <w:p w14:paraId="42CFE0A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23 AÑOS</w:t>
            </w:r>
          </w:p>
        </w:tc>
        <w:tc>
          <w:tcPr>
            <w:tcW w:w="784" w:type="pct"/>
            <w:vAlign w:val="center"/>
          </w:tcPr>
          <w:p w14:paraId="3BEB50DF"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ARENA POMEZ</w:t>
            </w:r>
          </w:p>
        </w:tc>
        <w:tc>
          <w:tcPr>
            <w:tcW w:w="589" w:type="pct"/>
            <w:vAlign w:val="center"/>
          </w:tcPr>
          <w:p w14:paraId="4D8A56CC" w14:textId="77777777" w:rsidR="00C36261" w:rsidRPr="00A57ABC" w:rsidRDefault="00C36261" w:rsidP="00624091">
            <w:pPr>
              <w:widowControl w:val="0"/>
              <w:ind w:left="33" w:right="2"/>
              <w:jc w:val="center"/>
              <w:rPr>
                <w:rFonts w:eastAsiaTheme="minorHAnsi"/>
                <w:sz w:val="14"/>
                <w:szCs w:val="14"/>
                <w:lang w:eastAsia="en-US"/>
              </w:rPr>
            </w:pPr>
            <w:r w:rsidRPr="00A57ABC">
              <w:rPr>
                <w:rFonts w:eastAsiaTheme="minorHAnsi"/>
                <w:sz w:val="14"/>
                <w:szCs w:val="14"/>
                <w:lang w:eastAsia="en-US"/>
              </w:rPr>
              <w:t>Villa</w:t>
            </w:r>
            <w:r w:rsidRPr="00A57ABC">
              <w:rPr>
                <w:rFonts w:eastAsiaTheme="minorHAnsi"/>
                <w:spacing w:val="-2"/>
                <w:sz w:val="14"/>
                <w:szCs w:val="14"/>
                <w:lang w:eastAsia="en-US"/>
              </w:rPr>
              <w:t xml:space="preserve"> </w:t>
            </w:r>
            <w:r w:rsidRPr="00A57ABC">
              <w:rPr>
                <w:rFonts w:eastAsiaTheme="minorHAnsi"/>
                <w:sz w:val="14"/>
                <w:szCs w:val="14"/>
                <w:lang w:eastAsia="en-US"/>
              </w:rPr>
              <w:t>Nueva</w:t>
            </w:r>
          </w:p>
        </w:tc>
        <w:tc>
          <w:tcPr>
            <w:tcW w:w="716" w:type="pct"/>
            <w:vAlign w:val="center"/>
          </w:tcPr>
          <w:p w14:paraId="4F30BD81"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549B7E64" w14:textId="77777777" w:rsidTr="005105AC">
        <w:trPr>
          <w:trHeight w:val="823"/>
          <w:jc w:val="center"/>
        </w:trPr>
        <w:tc>
          <w:tcPr>
            <w:tcW w:w="1367" w:type="pct"/>
            <w:vAlign w:val="center"/>
          </w:tcPr>
          <w:p w14:paraId="70A3F58C"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LOS</w:t>
            </w:r>
            <w:r w:rsidRPr="00A57ABC">
              <w:rPr>
                <w:rFonts w:eastAsiaTheme="minorHAnsi"/>
                <w:spacing w:val="-2"/>
                <w:sz w:val="14"/>
                <w:szCs w:val="14"/>
                <w:lang w:eastAsia="en-US"/>
              </w:rPr>
              <w:t xml:space="preserve"> </w:t>
            </w:r>
            <w:r w:rsidRPr="00A57ABC">
              <w:rPr>
                <w:rFonts w:eastAsiaTheme="minorHAnsi"/>
                <w:sz w:val="14"/>
                <w:szCs w:val="14"/>
                <w:lang w:eastAsia="en-US"/>
              </w:rPr>
              <w:t>ANGELES</w:t>
            </w:r>
          </w:p>
        </w:tc>
        <w:tc>
          <w:tcPr>
            <w:tcW w:w="613" w:type="pct"/>
            <w:vAlign w:val="center"/>
          </w:tcPr>
          <w:p w14:paraId="081EE43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10/12/1983</w:t>
            </w:r>
          </w:p>
        </w:tc>
        <w:tc>
          <w:tcPr>
            <w:tcW w:w="625" w:type="pct"/>
            <w:vAlign w:val="center"/>
          </w:tcPr>
          <w:p w14:paraId="1FEE4CE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9/12/2023</w:t>
            </w:r>
          </w:p>
        </w:tc>
        <w:tc>
          <w:tcPr>
            <w:tcW w:w="306" w:type="pct"/>
            <w:vAlign w:val="center"/>
          </w:tcPr>
          <w:p w14:paraId="283F22F0"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40</w:t>
            </w:r>
            <w:r w:rsidRPr="00A57ABC">
              <w:rPr>
                <w:rFonts w:eastAsiaTheme="minorHAnsi"/>
                <w:spacing w:val="35"/>
                <w:sz w:val="14"/>
                <w:szCs w:val="14"/>
                <w:lang w:eastAsia="en-US"/>
              </w:rPr>
              <w:t xml:space="preserve"> </w:t>
            </w:r>
            <w:r w:rsidRPr="00A57ABC">
              <w:rPr>
                <w:rFonts w:eastAsiaTheme="minorHAnsi"/>
                <w:sz w:val="14"/>
                <w:szCs w:val="14"/>
                <w:lang w:eastAsia="en-US"/>
              </w:rPr>
              <w:t>AÑOS</w:t>
            </w:r>
          </w:p>
        </w:tc>
        <w:tc>
          <w:tcPr>
            <w:tcW w:w="784" w:type="pct"/>
            <w:vAlign w:val="center"/>
          </w:tcPr>
          <w:p w14:paraId="192C2197" w14:textId="77777777" w:rsidR="00C36261" w:rsidRPr="00A57ABC" w:rsidRDefault="00C36261" w:rsidP="00624091">
            <w:pPr>
              <w:widowControl w:val="0"/>
              <w:ind w:left="76" w:right="42"/>
              <w:jc w:val="center"/>
              <w:rPr>
                <w:rFonts w:eastAsiaTheme="minorHAnsi"/>
                <w:sz w:val="14"/>
                <w:szCs w:val="14"/>
                <w:lang w:val="es-GT" w:eastAsia="en-US"/>
              </w:rPr>
            </w:pPr>
            <w:r w:rsidRPr="00A57ABC">
              <w:rPr>
                <w:rFonts w:eastAsiaTheme="minorHAnsi"/>
                <w:sz w:val="14"/>
                <w:szCs w:val="14"/>
                <w:lang w:val="es-GT" w:eastAsia="en-US"/>
              </w:rPr>
              <w:t>ESTIBINA,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ANTIMONIO,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CALIZA, TOBAS,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ARENA DE RÍO,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GRAVAS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CANTOS</w:t>
            </w:r>
          </w:p>
          <w:p w14:paraId="4D114D82"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RODADOS</w:t>
            </w:r>
          </w:p>
        </w:tc>
        <w:tc>
          <w:tcPr>
            <w:tcW w:w="589" w:type="pct"/>
            <w:vAlign w:val="center"/>
          </w:tcPr>
          <w:p w14:paraId="7E460045"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Palencia</w:t>
            </w:r>
          </w:p>
        </w:tc>
        <w:tc>
          <w:tcPr>
            <w:tcW w:w="716" w:type="pct"/>
            <w:vAlign w:val="center"/>
          </w:tcPr>
          <w:p w14:paraId="3235CA37"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608ECA51" w14:textId="77777777" w:rsidTr="005105AC">
        <w:trPr>
          <w:trHeight w:val="316"/>
          <w:jc w:val="center"/>
        </w:trPr>
        <w:tc>
          <w:tcPr>
            <w:tcW w:w="1367" w:type="pct"/>
            <w:vAlign w:val="center"/>
          </w:tcPr>
          <w:p w14:paraId="514C7816" w14:textId="77777777" w:rsidR="00C36261" w:rsidRPr="00A57ABC" w:rsidRDefault="00C36261" w:rsidP="00624091">
            <w:pPr>
              <w:widowControl w:val="0"/>
              <w:ind w:left="346" w:right="228" w:hanging="82"/>
              <w:rPr>
                <w:rFonts w:eastAsiaTheme="minorHAnsi"/>
                <w:sz w:val="14"/>
                <w:szCs w:val="14"/>
                <w:lang w:eastAsia="en-US"/>
              </w:rPr>
            </w:pPr>
            <w:r w:rsidRPr="00A57ABC">
              <w:rPr>
                <w:rFonts w:eastAsiaTheme="minorHAnsi"/>
                <w:spacing w:val="-1"/>
                <w:sz w:val="14"/>
                <w:szCs w:val="14"/>
                <w:lang w:eastAsia="en-US"/>
              </w:rPr>
              <w:lastRenderedPageBreak/>
              <w:t xml:space="preserve">MINERO </w:t>
            </w:r>
            <w:r w:rsidRPr="00A57ABC">
              <w:rPr>
                <w:rFonts w:eastAsiaTheme="minorHAnsi"/>
                <w:sz w:val="14"/>
                <w:szCs w:val="14"/>
                <w:lang w:eastAsia="en-US"/>
              </w:rPr>
              <w:t>EL</w:t>
            </w:r>
            <w:r w:rsidRPr="00A57ABC">
              <w:rPr>
                <w:rFonts w:eastAsiaTheme="minorHAnsi"/>
                <w:spacing w:val="-34"/>
                <w:sz w:val="14"/>
                <w:szCs w:val="14"/>
                <w:lang w:eastAsia="en-US"/>
              </w:rPr>
              <w:t xml:space="preserve"> </w:t>
            </w:r>
            <w:r w:rsidRPr="00A57ABC">
              <w:rPr>
                <w:rFonts w:eastAsiaTheme="minorHAnsi"/>
                <w:sz w:val="14"/>
                <w:szCs w:val="14"/>
                <w:lang w:eastAsia="en-US"/>
              </w:rPr>
              <w:t>CEIBILLO</w:t>
            </w:r>
          </w:p>
        </w:tc>
        <w:tc>
          <w:tcPr>
            <w:tcW w:w="613" w:type="pct"/>
            <w:vAlign w:val="center"/>
          </w:tcPr>
          <w:p w14:paraId="28DF526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21/09/2007</w:t>
            </w:r>
          </w:p>
        </w:tc>
        <w:tc>
          <w:tcPr>
            <w:tcW w:w="625" w:type="pct"/>
            <w:vAlign w:val="center"/>
          </w:tcPr>
          <w:p w14:paraId="3EA6B753"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20/09/2032</w:t>
            </w:r>
          </w:p>
        </w:tc>
        <w:tc>
          <w:tcPr>
            <w:tcW w:w="306" w:type="pct"/>
            <w:vAlign w:val="center"/>
          </w:tcPr>
          <w:p w14:paraId="0025796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8AE6843" w14:textId="77777777" w:rsidR="00C36261" w:rsidRPr="00A57ABC" w:rsidRDefault="00C36261" w:rsidP="00624091">
            <w:pPr>
              <w:widowControl w:val="0"/>
              <w:ind w:left="35"/>
              <w:jc w:val="center"/>
              <w:rPr>
                <w:rFonts w:eastAsiaTheme="minorHAnsi"/>
                <w:sz w:val="14"/>
                <w:szCs w:val="14"/>
                <w:lang w:val="es-GT" w:eastAsia="en-US"/>
              </w:rPr>
            </w:pPr>
            <w:r w:rsidRPr="00A57ABC">
              <w:rPr>
                <w:rFonts w:eastAsiaTheme="minorHAnsi"/>
                <w:sz w:val="14"/>
                <w:szCs w:val="14"/>
                <w:lang w:val="es-GT" w:eastAsia="en-US"/>
              </w:rPr>
              <w:t>ARENA POMEZ,</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BASALTO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ANDESITA</w:t>
            </w:r>
          </w:p>
        </w:tc>
        <w:tc>
          <w:tcPr>
            <w:tcW w:w="589" w:type="pct"/>
            <w:vAlign w:val="center"/>
          </w:tcPr>
          <w:p w14:paraId="3413DF59" w14:textId="77777777" w:rsidR="00C36261" w:rsidRPr="00A57ABC" w:rsidRDefault="00C36261" w:rsidP="00624091">
            <w:pPr>
              <w:widowControl w:val="0"/>
              <w:ind w:left="37" w:right="2"/>
              <w:jc w:val="center"/>
              <w:rPr>
                <w:rFonts w:eastAsiaTheme="minorHAnsi"/>
                <w:sz w:val="14"/>
                <w:szCs w:val="14"/>
                <w:lang w:eastAsia="en-US"/>
              </w:rPr>
            </w:pPr>
            <w:proofErr w:type="spellStart"/>
            <w:r w:rsidRPr="00A57ABC">
              <w:rPr>
                <w:rFonts w:eastAsiaTheme="minorHAnsi"/>
                <w:sz w:val="14"/>
                <w:szCs w:val="14"/>
                <w:lang w:eastAsia="en-US"/>
              </w:rPr>
              <w:t>Amatitlan</w:t>
            </w:r>
            <w:proofErr w:type="spellEnd"/>
          </w:p>
        </w:tc>
        <w:tc>
          <w:tcPr>
            <w:tcW w:w="716" w:type="pct"/>
            <w:vAlign w:val="center"/>
          </w:tcPr>
          <w:p w14:paraId="451F65BD"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6ED76EB8" w14:textId="77777777" w:rsidTr="005105AC">
        <w:trPr>
          <w:trHeight w:val="250"/>
          <w:jc w:val="center"/>
        </w:trPr>
        <w:tc>
          <w:tcPr>
            <w:tcW w:w="1367" w:type="pct"/>
            <w:vAlign w:val="center"/>
          </w:tcPr>
          <w:p w14:paraId="1B9E125E" w14:textId="77777777" w:rsidR="00C36261" w:rsidRPr="00A57ABC" w:rsidRDefault="00C36261" w:rsidP="00624091">
            <w:pPr>
              <w:widowControl w:val="0"/>
              <w:ind w:left="291" w:right="132" w:hanging="125"/>
              <w:rPr>
                <w:rFonts w:eastAsiaTheme="minorHAnsi"/>
                <w:sz w:val="14"/>
                <w:szCs w:val="14"/>
                <w:lang w:eastAsia="en-US"/>
              </w:rPr>
            </w:pPr>
            <w:r w:rsidRPr="00A57ABC">
              <w:rPr>
                <w:rFonts w:eastAsiaTheme="minorHAnsi"/>
                <w:spacing w:val="-1"/>
                <w:sz w:val="14"/>
                <w:szCs w:val="14"/>
                <w:lang w:eastAsia="en-US"/>
              </w:rPr>
              <w:t xml:space="preserve">PROGRESO </w:t>
            </w:r>
            <w:r w:rsidRPr="00A57ABC">
              <w:rPr>
                <w:rFonts w:eastAsiaTheme="minorHAnsi"/>
                <w:sz w:val="14"/>
                <w:szCs w:val="14"/>
                <w:lang w:eastAsia="en-US"/>
              </w:rPr>
              <w:t>VII</w:t>
            </w:r>
            <w:r w:rsidRPr="00A57ABC">
              <w:rPr>
                <w:rFonts w:eastAsiaTheme="minorHAnsi"/>
                <w:spacing w:val="-34"/>
                <w:sz w:val="14"/>
                <w:szCs w:val="14"/>
                <w:lang w:eastAsia="en-US"/>
              </w:rPr>
              <w:t xml:space="preserve"> </w:t>
            </w:r>
            <w:r w:rsidRPr="00A57ABC">
              <w:rPr>
                <w:rFonts w:eastAsiaTheme="minorHAnsi"/>
                <w:sz w:val="14"/>
                <w:szCs w:val="14"/>
                <w:lang w:eastAsia="en-US"/>
              </w:rPr>
              <w:t>DERIVADA</w:t>
            </w:r>
          </w:p>
        </w:tc>
        <w:tc>
          <w:tcPr>
            <w:tcW w:w="613" w:type="pct"/>
            <w:vAlign w:val="center"/>
          </w:tcPr>
          <w:p w14:paraId="3F3E45B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23/11/2011</w:t>
            </w:r>
          </w:p>
        </w:tc>
        <w:tc>
          <w:tcPr>
            <w:tcW w:w="625" w:type="pct"/>
            <w:vAlign w:val="center"/>
          </w:tcPr>
          <w:p w14:paraId="2C7E823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22/11/2036</w:t>
            </w:r>
          </w:p>
        </w:tc>
        <w:tc>
          <w:tcPr>
            <w:tcW w:w="306" w:type="pct"/>
            <w:vAlign w:val="center"/>
          </w:tcPr>
          <w:p w14:paraId="576245A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423A2C3"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ORO</w:t>
            </w:r>
            <w:r w:rsidRPr="00A57ABC">
              <w:rPr>
                <w:rFonts w:eastAsiaTheme="minorHAnsi"/>
                <w:spacing w:val="-2"/>
                <w:sz w:val="14"/>
                <w:szCs w:val="14"/>
                <w:lang w:eastAsia="en-US"/>
              </w:rPr>
              <w:t xml:space="preserve"> </w:t>
            </w:r>
            <w:r w:rsidRPr="00A57ABC">
              <w:rPr>
                <w:rFonts w:eastAsiaTheme="minorHAnsi"/>
                <w:sz w:val="14"/>
                <w:szCs w:val="14"/>
                <w:lang w:eastAsia="en-US"/>
              </w:rPr>
              <w:t>Y PLATA</w:t>
            </w:r>
          </w:p>
        </w:tc>
        <w:tc>
          <w:tcPr>
            <w:tcW w:w="589" w:type="pct"/>
            <w:vAlign w:val="center"/>
          </w:tcPr>
          <w:p w14:paraId="462805B4" w14:textId="77777777" w:rsidR="00C36261" w:rsidRPr="00A57ABC" w:rsidRDefault="00C36261" w:rsidP="00624091">
            <w:pPr>
              <w:widowControl w:val="0"/>
              <w:ind w:left="39" w:right="2"/>
              <w:jc w:val="center"/>
              <w:rPr>
                <w:rFonts w:eastAsiaTheme="minorHAnsi"/>
                <w:sz w:val="14"/>
                <w:szCs w:val="14"/>
                <w:lang w:val="es-GT" w:eastAsia="en-US"/>
              </w:rPr>
            </w:pPr>
            <w:r w:rsidRPr="00A57ABC">
              <w:rPr>
                <w:rFonts w:eastAsiaTheme="minorHAnsi"/>
                <w:sz w:val="14"/>
                <w:szCs w:val="14"/>
                <w:lang w:val="es-GT" w:eastAsia="en-US"/>
              </w:rPr>
              <w:t>San Jose Del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Golfo Y 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Pedro</w:t>
            </w:r>
            <w:r w:rsidRPr="00A57ABC">
              <w:rPr>
                <w:rFonts w:eastAsiaTheme="minorHAnsi"/>
                <w:spacing w:val="-8"/>
                <w:sz w:val="14"/>
                <w:szCs w:val="14"/>
                <w:lang w:val="es-GT" w:eastAsia="en-US"/>
              </w:rPr>
              <w:t xml:space="preserve"> </w:t>
            </w:r>
            <w:r w:rsidRPr="00A57ABC">
              <w:rPr>
                <w:rFonts w:eastAsiaTheme="minorHAnsi"/>
                <w:sz w:val="14"/>
                <w:szCs w:val="14"/>
                <w:lang w:val="es-GT" w:eastAsia="en-US"/>
              </w:rPr>
              <w:t>Ayampuc</w:t>
            </w:r>
          </w:p>
        </w:tc>
        <w:tc>
          <w:tcPr>
            <w:tcW w:w="716" w:type="pct"/>
            <w:vAlign w:val="center"/>
          </w:tcPr>
          <w:p w14:paraId="4099FEF9"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0C8B5B80" w14:textId="77777777" w:rsidTr="005105AC">
        <w:trPr>
          <w:trHeight w:val="697"/>
          <w:jc w:val="center"/>
        </w:trPr>
        <w:tc>
          <w:tcPr>
            <w:tcW w:w="1367" w:type="pct"/>
            <w:vAlign w:val="center"/>
          </w:tcPr>
          <w:p w14:paraId="298218B3"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PROHINSA</w:t>
            </w:r>
          </w:p>
        </w:tc>
        <w:tc>
          <w:tcPr>
            <w:tcW w:w="613" w:type="pct"/>
            <w:vAlign w:val="center"/>
          </w:tcPr>
          <w:p w14:paraId="5F83D3F1"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1/01/1999</w:t>
            </w:r>
          </w:p>
        </w:tc>
        <w:tc>
          <w:tcPr>
            <w:tcW w:w="625" w:type="pct"/>
            <w:vAlign w:val="center"/>
          </w:tcPr>
          <w:p w14:paraId="10E1D12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31/01/2024</w:t>
            </w:r>
          </w:p>
        </w:tc>
        <w:tc>
          <w:tcPr>
            <w:tcW w:w="306" w:type="pct"/>
            <w:vAlign w:val="center"/>
          </w:tcPr>
          <w:p w14:paraId="5414E91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13E2816" w14:textId="77777777" w:rsidR="00C36261" w:rsidRPr="00A57ABC" w:rsidRDefault="00C36261" w:rsidP="00624091">
            <w:pPr>
              <w:widowControl w:val="0"/>
              <w:ind w:left="103" w:right="70" w:firstLine="3"/>
              <w:jc w:val="center"/>
              <w:rPr>
                <w:rFonts w:eastAsiaTheme="minorHAnsi"/>
                <w:sz w:val="14"/>
                <w:szCs w:val="14"/>
                <w:lang w:val="es-GT" w:eastAsia="en-US"/>
              </w:rPr>
            </w:pPr>
            <w:r w:rsidRPr="00A57ABC">
              <w:rPr>
                <w:rFonts w:eastAsiaTheme="minorHAnsi"/>
                <w:sz w:val="14"/>
                <w:szCs w:val="14"/>
                <w:lang w:val="es-GT" w:eastAsia="en-US"/>
              </w:rPr>
              <w:t>POMEZ, 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BLANCA, ARENA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AMARILLA,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SELECTO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p>
          <w:p w14:paraId="0894B7F3"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DIATOMITA</w:t>
            </w:r>
          </w:p>
        </w:tc>
        <w:tc>
          <w:tcPr>
            <w:tcW w:w="589" w:type="pct"/>
            <w:vAlign w:val="center"/>
          </w:tcPr>
          <w:p w14:paraId="28B05423" w14:textId="77777777" w:rsidR="00C36261" w:rsidRPr="00A57ABC" w:rsidRDefault="00C36261" w:rsidP="00624091">
            <w:pPr>
              <w:widowControl w:val="0"/>
              <w:ind w:left="37" w:right="2"/>
              <w:jc w:val="center"/>
              <w:rPr>
                <w:rFonts w:eastAsiaTheme="minorHAnsi"/>
                <w:sz w:val="14"/>
                <w:szCs w:val="14"/>
                <w:lang w:eastAsia="en-US"/>
              </w:rPr>
            </w:pPr>
            <w:proofErr w:type="spellStart"/>
            <w:r w:rsidRPr="00A57ABC">
              <w:rPr>
                <w:rFonts w:eastAsiaTheme="minorHAnsi"/>
                <w:sz w:val="14"/>
                <w:szCs w:val="14"/>
                <w:lang w:eastAsia="en-US"/>
              </w:rPr>
              <w:t>Amatitlan</w:t>
            </w:r>
            <w:proofErr w:type="spellEnd"/>
          </w:p>
        </w:tc>
        <w:tc>
          <w:tcPr>
            <w:tcW w:w="716" w:type="pct"/>
            <w:vAlign w:val="center"/>
          </w:tcPr>
          <w:p w14:paraId="432F66E6"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36616E4F" w14:textId="77777777" w:rsidTr="005105AC">
        <w:trPr>
          <w:trHeight w:val="296"/>
          <w:jc w:val="center"/>
        </w:trPr>
        <w:tc>
          <w:tcPr>
            <w:tcW w:w="1367" w:type="pct"/>
            <w:vAlign w:val="center"/>
          </w:tcPr>
          <w:p w14:paraId="53BD81DC"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REAL</w:t>
            </w:r>
            <w:r w:rsidRPr="00A57ABC">
              <w:rPr>
                <w:rFonts w:eastAsiaTheme="minorHAnsi"/>
                <w:spacing w:val="-1"/>
                <w:sz w:val="14"/>
                <w:szCs w:val="14"/>
                <w:lang w:eastAsia="en-US"/>
              </w:rPr>
              <w:t xml:space="preserve"> </w:t>
            </w:r>
            <w:r w:rsidRPr="00A57ABC">
              <w:rPr>
                <w:rFonts w:eastAsiaTheme="minorHAnsi"/>
                <w:sz w:val="14"/>
                <w:szCs w:val="14"/>
                <w:lang w:eastAsia="en-US"/>
              </w:rPr>
              <w:t>MADRID</w:t>
            </w:r>
          </w:p>
        </w:tc>
        <w:tc>
          <w:tcPr>
            <w:tcW w:w="613" w:type="pct"/>
            <w:vAlign w:val="center"/>
          </w:tcPr>
          <w:p w14:paraId="2FF313F8"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19/01/1999</w:t>
            </w:r>
          </w:p>
        </w:tc>
        <w:tc>
          <w:tcPr>
            <w:tcW w:w="625" w:type="pct"/>
            <w:vAlign w:val="center"/>
          </w:tcPr>
          <w:p w14:paraId="2E33611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18/01/2024</w:t>
            </w:r>
          </w:p>
        </w:tc>
        <w:tc>
          <w:tcPr>
            <w:tcW w:w="306" w:type="pct"/>
            <w:vAlign w:val="center"/>
          </w:tcPr>
          <w:p w14:paraId="5C6D4D7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8415845" w14:textId="77777777" w:rsidR="00C36261" w:rsidRPr="00A57ABC" w:rsidRDefault="00C36261" w:rsidP="00624091">
            <w:pPr>
              <w:widowControl w:val="0"/>
              <w:ind w:left="208" w:right="159" w:firstLine="141"/>
              <w:rPr>
                <w:rFonts w:eastAsiaTheme="minorHAnsi"/>
                <w:sz w:val="14"/>
                <w:szCs w:val="14"/>
                <w:lang w:eastAsia="en-US"/>
              </w:rPr>
            </w:pPr>
            <w:r w:rsidRPr="00A57ABC">
              <w:rPr>
                <w:rFonts w:eastAsiaTheme="minorHAnsi"/>
                <w:sz w:val="14"/>
                <w:szCs w:val="14"/>
                <w:lang w:eastAsia="en-US"/>
              </w:rPr>
              <w:t>CALIZA Y</w:t>
            </w:r>
            <w:r w:rsidRPr="00A57ABC">
              <w:rPr>
                <w:rFonts w:eastAsiaTheme="minorHAnsi"/>
                <w:spacing w:val="1"/>
                <w:sz w:val="14"/>
                <w:szCs w:val="14"/>
                <w:lang w:eastAsia="en-US"/>
              </w:rPr>
              <w:t xml:space="preserve"> </w:t>
            </w:r>
            <w:r w:rsidRPr="00A57ABC">
              <w:rPr>
                <w:rFonts w:eastAsiaTheme="minorHAnsi"/>
                <w:sz w:val="14"/>
                <w:szCs w:val="14"/>
                <w:lang w:eastAsia="en-US"/>
              </w:rPr>
              <w:t>DOLOMITICA</w:t>
            </w:r>
          </w:p>
        </w:tc>
        <w:tc>
          <w:tcPr>
            <w:tcW w:w="589" w:type="pct"/>
            <w:vAlign w:val="center"/>
          </w:tcPr>
          <w:p w14:paraId="26F64774"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Guatemala</w:t>
            </w:r>
          </w:p>
        </w:tc>
        <w:tc>
          <w:tcPr>
            <w:tcW w:w="716" w:type="pct"/>
            <w:vAlign w:val="center"/>
          </w:tcPr>
          <w:p w14:paraId="50ADCB69"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1A3DD39E" w14:textId="77777777" w:rsidTr="005105AC">
        <w:trPr>
          <w:trHeight w:val="1251"/>
          <w:jc w:val="center"/>
        </w:trPr>
        <w:tc>
          <w:tcPr>
            <w:tcW w:w="1367" w:type="pct"/>
            <w:vAlign w:val="center"/>
          </w:tcPr>
          <w:p w14:paraId="7B393E92" w14:textId="77777777" w:rsidR="00C36261" w:rsidRPr="00A57ABC" w:rsidRDefault="00C36261" w:rsidP="00624091">
            <w:pPr>
              <w:widowControl w:val="0"/>
              <w:ind w:left="324" w:right="284" w:hanging="3"/>
              <w:rPr>
                <w:rFonts w:eastAsiaTheme="minorHAnsi"/>
                <w:sz w:val="14"/>
                <w:szCs w:val="14"/>
                <w:lang w:eastAsia="en-US"/>
              </w:rPr>
            </w:pPr>
            <w:r w:rsidRPr="00A57ABC">
              <w:rPr>
                <w:rFonts w:eastAsiaTheme="minorHAnsi"/>
                <w:spacing w:val="-1"/>
                <w:sz w:val="14"/>
                <w:szCs w:val="14"/>
                <w:lang w:eastAsia="en-US"/>
              </w:rPr>
              <w:t xml:space="preserve">SAN </w:t>
            </w:r>
            <w:r w:rsidRPr="00A57ABC">
              <w:rPr>
                <w:rFonts w:eastAsiaTheme="minorHAnsi"/>
                <w:sz w:val="14"/>
                <w:szCs w:val="14"/>
                <w:lang w:eastAsia="en-US"/>
              </w:rPr>
              <w:t>JOSE</w:t>
            </w:r>
            <w:r w:rsidRPr="00A57ABC">
              <w:rPr>
                <w:rFonts w:eastAsiaTheme="minorHAnsi"/>
                <w:spacing w:val="-34"/>
                <w:sz w:val="14"/>
                <w:szCs w:val="14"/>
                <w:lang w:eastAsia="en-US"/>
              </w:rPr>
              <w:t xml:space="preserve"> </w:t>
            </w:r>
            <w:r w:rsidRPr="00A57ABC">
              <w:rPr>
                <w:rFonts w:eastAsiaTheme="minorHAnsi"/>
                <w:sz w:val="14"/>
                <w:szCs w:val="14"/>
                <w:lang w:eastAsia="en-US"/>
              </w:rPr>
              <w:t>MINCESA</w:t>
            </w:r>
          </w:p>
        </w:tc>
        <w:tc>
          <w:tcPr>
            <w:tcW w:w="613" w:type="pct"/>
            <w:vAlign w:val="center"/>
          </w:tcPr>
          <w:p w14:paraId="0EA85C5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25/04/2007</w:t>
            </w:r>
          </w:p>
        </w:tc>
        <w:tc>
          <w:tcPr>
            <w:tcW w:w="625" w:type="pct"/>
            <w:vAlign w:val="center"/>
          </w:tcPr>
          <w:p w14:paraId="33B18826"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24/04/2032</w:t>
            </w:r>
          </w:p>
        </w:tc>
        <w:tc>
          <w:tcPr>
            <w:tcW w:w="306" w:type="pct"/>
            <w:vAlign w:val="center"/>
          </w:tcPr>
          <w:p w14:paraId="601AD458"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0512A36" w14:textId="77777777" w:rsidR="00C36261" w:rsidRPr="00A57ABC" w:rsidRDefault="00C36261" w:rsidP="00624091">
            <w:pPr>
              <w:widowControl w:val="0"/>
              <w:ind w:left="50" w:right="15" w:hanging="1"/>
              <w:jc w:val="center"/>
              <w:rPr>
                <w:rFonts w:eastAsiaTheme="minorHAnsi"/>
                <w:sz w:val="14"/>
                <w:szCs w:val="14"/>
                <w:lang w:val="es-GT" w:eastAsia="en-US"/>
              </w:rPr>
            </w:pPr>
            <w:r w:rsidRPr="00A57ABC">
              <w:rPr>
                <w:rFonts w:eastAsiaTheme="minorHAnsi"/>
                <w:sz w:val="14"/>
                <w:szCs w:val="14"/>
                <w:lang w:val="es-GT" w:eastAsia="en-US"/>
              </w:rPr>
              <w:t>CALIZA, CALIZA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DOLOMITICA,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DOLOMITA,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CONGLOMERADO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AGLOMERADOS,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TOBAS, CENIZAS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BRECHA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DOLOMITICIA,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ARENISCA,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LIMOLITA,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LUTITA, PIZARRA,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w:t>
            </w:r>
          </w:p>
        </w:tc>
        <w:tc>
          <w:tcPr>
            <w:tcW w:w="589" w:type="pct"/>
            <w:vAlign w:val="center"/>
          </w:tcPr>
          <w:p w14:paraId="0B2FB918" w14:textId="77777777" w:rsidR="00C36261" w:rsidRPr="00A57ABC" w:rsidRDefault="00C36261" w:rsidP="00624091">
            <w:pPr>
              <w:widowControl w:val="0"/>
              <w:ind w:left="117" w:right="75" w:firstLine="189"/>
              <w:jc w:val="center"/>
              <w:rPr>
                <w:rFonts w:eastAsiaTheme="minorHAnsi"/>
                <w:sz w:val="14"/>
                <w:szCs w:val="14"/>
                <w:lang w:eastAsia="en-US"/>
              </w:rPr>
            </w:pPr>
            <w:r w:rsidRPr="00A57ABC">
              <w:rPr>
                <w:rFonts w:eastAsiaTheme="minorHAnsi"/>
                <w:sz w:val="14"/>
                <w:szCs w:val="14"/>
                <w:lang w:eastAsia="en-US"/>
              </w:rPr>
              <w:t>San Juan</w:t>
            </w:r>
            <w:r w:rsidRPr="00A57ABC">
              <w:rPr>
                <w:rFonts w:eastAsiaTheme="minorHAnsi"/>
                <w:spacing w:val="1"/>
                <w:sz w:val="14"/>
                <w:szCs w:val="14"/>
                <w:lang w:eastAsia="en-US"/>
              </w:rPr>
              <w:t xml:space="preserve"> </w:t>
            </w:r>
            <w:r w:rsidRPr="00A57ABC">
              <w:rPr>
                <w:rFonts w:eastAsiaTheme="minorHAnsi"/>
                <w:sz w:val="14"/>
                <w:szCs w:val="14"/>
                <w:lang w:eastAsia="en-US"/>
              </w:rPr>
              <w:t>Sacatepéquez</w:t>
            </w:r>
          </w:p>
        </w:tc>
        <w:tc>
          <w:tcPr>
            <w:tcW w:w="716" w:type="pct"/>
            <w:vAlign w:val="center"/>
          </w:tcPr>
          <w:p w14:paraId="40DC7F06" w14:textId="77777777" w:rsidR="00C36261" w:rsidRPr="00A57ABC" w:rsidRDefault="00C36261" w:rsidP="00624091">
            <w:pPr>
              <w:widowControl w:val="0"/>
              <w:jc w:val="center"/>
              <w:rPr>
                <w:rFonts w:eastAsiaTheme="minorHAnsi"/>
                <w:b/>
                <w:sz w:val="14"/>
                <w:szCs w:val="14"/>
                <w:lang w:eastAsia="en-US"/>
              </w:rPr>
            </w:pPr>
          </w:p>
          <w:p w14:paraId="5EC3D7E2" w14:textId="77777777" w:rsidR="00C36261" w:rsidRPr="00A57ABC" w:rsidRDefault="00C36261" w:rsidP="00624091">
            <w:pPr>
              <w:widowControl w:val="0"/>
              <w:ind w:right="223"/>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25AD2C57" w14:textId="77777777" w:rsidTr="005105AC">
        <w:trPr>
          <w:trHeight w:val="477"/>
          <w:jc w:val="center"/>
        </w:trPr>
        <w:tc>
          <w:tcPr>
            <w:tcW w:w="1367" w:type="pct"/>
            <w:vAlign w:val="center"/>
          </w:tcPr>
          <w:p w14:paraId="6C807421"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SAN MATEO</w:t>
            </w:r>
          </w:p>
        </w:tc>
        <w:tc>
          <w:tcPr>
            <w:tcW w:w="613" w:type="pct"/>
            <w:vAlign w:val="center"/>
          </w:tcPr>
          <w:p w14:paraId="6E30332B"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1/11/2001</w:t>
            </w:r>
          </w:p>
        </w:tc>
        <w:tc>
          <w:tcPr>
            <w:tcW w:w="625" w:type="pct"/>
            <w:vAlign w:val="center"/>
          </w:tcPr>
          <w:p w14:paraId="64657C80"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31/11/2026</w:t>
            </w:r>
          </w:p>
        </w:tc>
        <w:tc>
          <w:tcPr>
            <w:tcW w:w="306" w:type="pct"/>
            <w:vAlign w:val="center"/>
          </w:tcPr>
          <w:p w14:paraId="11030AA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CBB7285" w14:textId="77777777" w:rsidR="00C36261" w:rsidRPr="00A57ABC" w:rsidRDefault="00C36261" w:rsidP="00624091">
            <w:pPr>
              <w:widowControl w:val="0"/>
              <w:ind w:left="36"/>
              <w:jc w:val="center"/>
              <w:rPr>
                <w:rFonts w:eastAsiaTheme="minorHAnsi"/>
                <w:sz w:val="14"/>
                <w:szCs w:val="14"/>
                <w:lang w:val="es-GT" w:eastAsia="en-US"/>
              </w:rPr>
            </w:pPr>
            <w:r w:rsidRPr="00A57ABC">
              <w:rPr>
                <w:rFonts w:eastAsiaTheme="minorHAnsi"/>
                <w:sz w:val="14"/>
                <w:szCs w:val="14"/>
                <w:lang w:val="es-GT" w:eastAsia="en-US"/>
              </w:rPr>
              <w:t>ARENA BLANCA,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w:t>
            </w:r>
            <w:r w:rsidRPr="00A57ABC">
              <w:rPr>
                <w:rFonts w:eastAsiaTheme="minorHAnsi"/>
                <w:spacing w:val="-8"/>
                <w:sz w:val="14"/>
                <w:szCs w:val="14"/>
                <w:lang w:val="es-GT" w:eastAsia="en-US"/>
              </w:rPr>
              <w:t xml:space="preserve"> </w:t>
            </w:r>
            <w:r w:rsidRPr="00A57ABC">
              <w:rPr>
                <w:rFonts w:eastAsiaTheme="minorHAnsi"/>
                <w:sz w:val="14"/>
                <w:szCs w:val="14"/>
                <w:lang w:val="es-GT" w:eastAsia="en-US"/>
              </w:rPr>
              <w:t>AMARILLA</w:t>
            </w:r>
          </w:p>
          <w:p w14:paraId="7E251C59" w14:textId="77777777" w:rsidR="00C36261" w:rsidRPr="00A57ABC" w:rsidRDefault="00C36261" w:rsidP="00624091">
            <w:pPr>
              <w:widowControl w:val="0"/>
              <w:ind w:left="35"/>
              <w:jc w:val="center"/>
              <w:rPr>
                <w:rFonts w:eastAsiaTheme="minorHAnsi"/>
                <w:sz w:val="14"/>
                <w:szCs w:val="14"/>
                <w:lang w:val="es-GT" w:eastAsia="en-US"/>
              </w:rPr>
            </w:pPr>
            <w:r w:rsidRPr="00A57ABC">
              <w:rPr>
                <w:rFonts w:eastAsiaTheme="minorHAnsi"/>
                <w:sz w:val="14"/>
                <w:szCs w:val="14"/>
                <w:lang w:val="es-GT" w:eastAsia="en-US"/>
              </w:rPr>
              <w:t>, PIEDRA POMEZ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BASALTO.</w:t>
            </w:r>
          </w:p>
        </w:tc>
        <w:tc>
          <w:tcPr>
            <w:tcW w:w="589" w:type="pct"/>
            <w:vAlign w:val="center"/>
          </w:tcPr>
          <w:p w14:paraId="53522B52" w14:textId="77777777" w:rsidR="00C36261" w:rsidRPr="00A57ABC" w:rsidRDefault="00C36261" w:rsidP="00624091">
            <w:pPr>
              <w:widowControl w:val="0"/>
              <w:ind w:left="36" w:right="2"/>
              <w:jc w:val="center"/>
              <w:rPr>
                <w:rFonts w:eastAsiaTheme="minorHAnsi"/>
                <w:sz w:val="14"/>
                <w:szCs w:val="14"/>
                <w:lang w:eastAsia="en-US"/>
              </w:rPr>
            </w:pPr>
            <w:proofErr w:type="spellStart"/>
            <w:r w:rsidRPr="00A57ABC">
              <w:rPr>
                <w:rFonts w:eastAsiaTheme="minorHAnsi"/>
                <w:sz w:val="14"/>
                <w:szCs w:val="14"/>
                <w:lang w:eastAsia="en-US"/>
              </w:rPr>
              <w:t>Petapa</w:t>
            </w:r>
            <w:proofErr w:type="spellEnd"/>
          </w:p>
        </w:tc>
        <w:tc>
          <w:tcPr>
            <w:tcW w:w="716" w:type="pct"/>
            <w:vAlign w:val="center"/>
          </w:tcPr>
          <w:p w14:paraId="465428C7" w14:textId="77777777" w:rsidR="00C36261" w:rsidRPr="00A57ABC" w:rsidRDefault="00C36261" w:rsidP="00624091">
            <w:pPr>
              <w:widowControl w:val="0"/>
              <w:ind w:right="223"/>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0D777F5F" w14:textId="77777777" w:rsidTr="005105AC">
        <w:trPr>
          <w:trHeight w:val="388"/>
          <w:jc w:val="center"/>
        </w:trPr>
        <w:tc>
          <w:tcPr>
            <w:tcW w:w="1367" w:type="pct"/>
            <w:vAlign w:val="center"/>
          </w:tcPr>
          <w:p w14:paraId="0D1290F2"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SINDY</w:t>
            </w:r>
          </w:p>
        </w:tc>
        <w:tc>
          <w:tcPr>
            <w:tcW w:w="613" w:type="pct"/>
            <w:vAlign w:val="center"/>
          </w:tcPr>
          <w:p w14:paraId="26A0EDF4"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6/12/2006</w:t>
            </w:r>
          </w:p>
        </w:tc>
        <w:tc>
          <w:tcPr>
            <w:tcW w:w="625" w:type="pct"/>
            <w:vAlign w:val="center"/>
          </w:tcPr>
          <w:p w14:paraId="44A0FFB5" w14:textId="77777777" w:rsidR="00C36261" w:rsidRPr="00A57ABC" w:rsidRDefault="00C36261" w:rsidP="00624091">
            <w:pPr>
              <w:widowControl w:val="0"/>
              <w:ind w:left="285"/>
              <w:rPr>
                <w:rFonts w:eastAsiaTheme="minorHAnsi"/>
                <w:sz w:val="14"/>
                <w:szCs w:val="14"/>
                <w:lang w:eastAsia="en-US"/>
              </w:rPr>
            </w:pPr>
            <w:r w:rsidRPr="00A57ABC">
              <w:rPr>
                <w:rFonts w:eastAsiaTheme="minorHAnsi"/>
                <w:sz w:val="14"/>
                <w:szCs w:val="14"/>
                <w:lang w:eastAsia="en-US"/>
              </w:rPr>
              <w:t>5/12/2031</w:t>
            </w:r>
          </w:p>
        </w:tc>
        <w:tc>
          <w:tcPr>
            <w:tcW w:w="306" w:type="pct"/>
            <w:vAlign w:val="center"/>
          </w:tcPr>
          <w:p w14:paraId="647025B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98D7711" w14:textId="77777777" w:rsidR="00C36261" w:rsidRPr="00A57ABC" w:rsidRDefault="00C36261" w:rsidP="00624091">
            <w:pPr>
              <w:widowControl w:val="0"/>
              <w:ind w:left="396"/>
              <w:jc w:val="center"/>
              <w:rPr>
                <w:rFonts w:eastAsiaTheme="minorHAnsi"/>
                <w:sz w:val="14"/>
                <w:szCs w:val="14"/>
                <w:lang w:eastAsia="en-US"/>
              </w:rPr>
            </w:pPr>
            <w:r w:rsidRPr="00A57ABC">
              <w:rPr>
                <w:rFonts w:eastAsiaTheme="minorHAnsi"/>
                <w:sz w:val="14"/>
                <w:szCs w:val="14"/>
                <w:lang w:eastAsia="en-US"/>
              </w:rPr>
              <w:t>POMEZ</w:t>
            </w:r>
          </w:p>
        </w:tc>
        <w:tc>
          <w:tcPr>
            <w:tcW w:w="589" w:type="pct"/>
            <w:vAlign w:val="center"/>
          </w:tcPr>
          <w:p w14:paraId="426C2B7D" w14:textId="77777777" w:rsidR="00C36261" w:rsidRPr="00A57ABC" w:rsidRDefault="00C36261" w:rsidP="00624091">
            <w:pPr>
              <w:widowControl w:val="0"/>
              <w:ind w:left="37" w:right="2"/>
              <w:jc w:val="center"/>
              <w:rPr>
                <w:rFonts w:eastAsiaTheme="minorHAnsi"/>
                <w:sz w:val="14"/>
                <w:szCs w:val="14"/>
                <w:lang w:eastAsia="en-US"/>
              </w:rPr>
            </w:pPr>
            <w:proofErr w:type="spellStart"/>
            <w:r w:rsidRPr="00A57ABC">
              <w:rPr>
                <w:rFonts w:eastAsiaTheme="minorHAnsi"/>
                <w:sz w:val="14"/>
                <w:szCs w:val="14"/>
                <w:lang w:eastAsia="en-US"/>
              </w:rPr>
              <w:t>Amatitlan</w:t>
            </w:r>
            <w:proofErr w:type="spellEnd"/>
          </w:p>
        </w:tc>
        <w:tc>
          <w:tcPr>
            <w:tcW w:w="716" w:type="pct"/>
            <w:vAlign w:val="center"/>
          </w:tcPr>
          <w:p w14:paraId="3C185B68" w14:textId="77777777" w:rsidR="00C36261" w:rsidRPr="00A57ABC" w:rsidRDefault="00C36261" w:rsidP="00624091">
            <w:pPr>
              <w:widowControl w:val="0"/>
              <w:ind w:right="223"/>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14D70037" w14:textId="77777777" w:rsidTr="005105AC">
        <w:trPr>
          <w:trHeight w:val="535"/>
          <w:jc w:val="center"/>
        </w:trPr>
        <w:tc>
          <w:tcPr>
            <w:tcW w:w="1367" w:type="pct"/>
            <w:vAlign w:val="center"/>
          </w:tcPr>
          <w:p w14:paraId="66770EBB" w14:textId="77777777" w:rsidR="00C36261" w:rsidRPr="00A57ABC" w:rsidRDefault="00C36261" w:rsidP="00624091">
            <w:pPr>
              <w:widowControl w:val="0"/>
              <w:ind w:left="21"/>
              <w:jc w:val="center"/>
              <w:rPr>
                <w:rFonts w:eastAsiaTheme="minorHAnsi"/>
                <w:sz w:val="14"/>
                <w:szCs w:val="14"/>
                <w:lang w:eastAsia="en-US"/>
              </w:rPr>
            </w:pPr>
            <w:r w:rsidRPr="00A57ABC">
              <w:rPr>
                <w:rFonts w:eastAsiaTheme="minorHAnsi"/>
                <w:sz w:val="14"/>
                <w:szCs w:val="14"/>
                <w:lang w:eastAsia="en-US"/>
              </w:rPr>
              <w:t>VUELTA</w:t>
            </w:r>
            <w:r w:rsidRPr="00A57ABC">
              <w:rPr>
                <w:rFonts w:eastAsiaTheme="minorHAnsi"/>
                <w:spacing w:val="-1"/>
                <w:sz w:val="14"/>
                <w:szCs w:val="14"/>
                <w:lang w:eastAsia="en-US"/>
              </w:rPr>
              <w:t xml:space="preserve"> </w:t>
            </w:r>
            <w:r w:rsidRPr="00A57ABC">
              <w:rPr>
                <w:rFonts w:eastAsiaTheme="minorHAnsi"/>
                <w:sz w:val="14"/>
                <w:szCs w:val="14"/>
                <w:lang w:eastAsia="en-US"/>
              </w:rPr>
              <w:t>GRANDE</w:t>
            </w:r>
          </w:p>
        </w:tc>
        <w:tc>
          <w:tcPr>
            <w:tcW w:w="613" w:type="pct"/>
            <w:vAlign w:val="center"/>
          </w:tcPr>
          <w:p w14:paraId="5ECA1751"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1/04/2008</w:t>
            </w:r>
          </w:p>
        </w:tc>
        <w:tc>
          <w:tcPr>
            <w:tcW w:w="625" w:type="pct"/>
            <w:vAlign w:val="center"/>
          </w:tcPr>
          <w:p w14:paraId="5265D656"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31/04/2033</w:t>
            </w:r>
          </w:p>
        </w:tc>
        <w:tc>
          <w:tcPr>
            <w:tcW w:w="306" w:type="pct"/>
            <w:vAlign w:val="center"/>
          </w:tcPr>
          <w:p w14:paraId="200B5688"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E036430" w14:textId="77777777" w:rsidR="00C36261" w:rsidRPr="00A57ABC" w:rsidRDefault="00C36261" w:rsidP="00624091">
            <w:pPr>
              <w:widowControl w:val="0"/>
              <w:ind w:left="252" w:right="216" w:firstLine="1"/>
              <w:jc w:val="center"/>
              <w:rPr>
                <w:rFonts w:eastAsiaTheme="minorHAnsi"/>
                <w:sz w:val="14"/>
                <w:szCs w:val="14"/>
                <w:lang w:val="es-GT" w:eastAsia="en-US"/>
              </w:rPr>
            </w:pPr>
            <w:r w:rsidRPr="00A57ABC">
              <w:rPr>
                <w:rFonts w:eastAsiaTheme="minorHAnsi"/>
                <w:sz w:val="14"/>
                <w:szCs w:val="14"/>
                <w:lang w:val="es-GT" w:eastAsia="en-US"/>
              </w:rPr>
              <w:t>CALIZA,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DOLOMITA,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BASALTO,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ANDESITA,</w:t>
            </w:r>
          </w:p>
          <w:p w14:paraId="13277BE7" w14:textId="77777777" w:rsidR="00C36261" w:rsidRPr="00A57ABC" w:rsidRDefault="00C36261" w:rsidP="00624091">
            <w:pPr>
              <w:widowControl w:val="0"/>
              <w:ind w:left="36"/>
              <w:jc w:val="center"/>
              <w:rPr>
                <w:rFonts w:eastAsiaTheme="minorHAnsi"/>
                <w:sz w:val="14"/>
                <w:szCs w:val="14"/>
                <w:lang w:val="es-GT" w:eastAsia="en-US"/>
              </w:rPr>
            </w:pPr>
            <w:r w:rsidRPr="00A57ABC">
              <w:rPr>
                <w:rFonts w:eastAsiaTheme="minorHAnsi"/>
                <w:sz w:val="14"/>
                <w:szCs w:val="14"/>
                <w:lang w:val="es-GT" w:eastAsia="en-US"/>
              </w:rPr>
              <w:t>ARCILLA</w:t>
            </w:r>
          </w:p>
        </w:tc>
        <w:tc>
          <w:tcPr>
            <w:tcW w:w="589" w:type="pct"/>
            <w:vAlign w:val="center"/>
          </w:tcPr>
          <w:p w14:paraId="2E0CA756" w14:textId="77777777" w:rsidR="00C36261" w:rsidRPr="00A57ABC" w:rsidRDefault="00C36261" w:rsidP="00624091">
            <w:pPr>
              <w:widowControl w:val="0"/>
              <w:ind w:left="35" w:right="2"/>
              <w:jc w:val="center"/>
              <w:rPr>
                <w:rFonts w:eastAsiaTheme="minorHAnsi"/>
                <w:sz w:val="14"/>
                <w:szCs w:val="14"/>
                <w:lang w:eastAsia="en-US"/>
              </w:rPr>
            </w:pPr>
            <w:r w:rsidRPr="00A57ABC">
              <w:rPr>
                <w:rFonts w:eastAsiaTheme="minorHAnsi"/>
                <w:sz w:val="14"/>
                <w:szCs w:val="14"/>
                <w:lang w:eastAsia="en-US"/>
              </w:rPr>
              <w:t>Guatemala</w:t>
            </w:r>
          </w:p>
        </w:tc>
        <w:tc>
          <w:tcPr>
            <w:tcW w:w="716" w:type="pct"/>
            <w:vAlign w:val="center"/>
          </w:tcPr>
          <w:p w14:paraId="7B9B6DFA" w14:textId="77777777" w:rsidR="00C36261" w:rsidRPr="00A57ABC" w:rsidRDefault="00C36261" w:rsidP="00624091">
            <w:pPr>
              <w:widowControl w:val="0"/>
              <w:ind w:right="223"/>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70F5A191" w14:textId="77777777" w:rsidTr="005105AC">
        <w:trPr>
          <w:trHeight w:val="419"/>
          <w:jc w:val="center"/>
        </w:trPr>
        <w:tc>
          <w:tcPr>
            <w:tcW w:w="1367" w:type="pct"/>
            <w:vAlign w:val="center"/>
          </w:tcPr>
          <w:p w14:paraId="27F548A8"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ZACARIAS</w:t>
            </w:r>
          </w:p>
        </w:tc>
        <w:tc>
          <w:tcPr>
            <w:tcW w:w="613" w:type="pct"/>
            <w:vAlign w:val="center"/>
          </w:tcPr>
          <w:p w14:paraId="48894AB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14/02/2004</w:t>
            </w:r>
          </w:p>
        </w:tc>
        <w:tc>
          <w:tcPr>
            <w:tcW w:w="625" w:type="pct"/>
            <w:vAlign w:val="center"/>
          </w:tcPr>
          <w:p w14:paraId="1ADC183E"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13/02/2029</w:t>
            </w:r>
          </w:p>
        </w:tc>
        <w:tc>
          <w:tcPr>
            <w:tcW w:w="306" w:type="pct"/>
            <w:vAlign w:val="center"/>
          </w:tcPr>
          <w:p w14:paraId="365580D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93D2F4C" w14:textId="77777777" w:rsidR="00C36261" w:rsidRPr="00A57ABC" w:rsidRDefault="00C36261" w:rsidP="00624091">
            <w:pPr>
              <w:widowControl w:val="0"/>
              <w:ind w:left="350" w:right="45" w:hanging="260"/>
              <w:jc w:val="center"/>
              <w:rPr>
                <w:rFonts w:eastAsiaTheme="minorHAnsi"/>
                <w:sz w:val="14"/>
                <w:szCs w:val="14"/>
                <w:lang w:eastAsia="en-US"/>
              </w:rPr>
            </w:pPr>
            <w:r w:rsidRPr="00A57ABC">
              <w:rPr>
                <w:rFonts w:eastAsiaTheme="minorHAnsi"/>
                <w:sz w:val="14"/>
                <w:szCs w:val="14"/>
                <w:lang w:eastAsia="en-US"/>
              </w:rPr>
              <w:t>ARENA POMEZ Y</w:t>
            </w:r>
            <w:r w:rsidRPr="00A57ABC">
              <w:rPr>
                <w:rFonts w:eastAsiaTheme="minorHAnsi"/>
                <w:spacing w:val="-34"/>
                <w:sz w:val="14"/>
                <w:szCs w:val="14"/>
                <w:lang w:eastAsia="en-US"/>
              </w:rPr>
              <w:t xml:space="preserve"> </w:t>
            </w:r>
            <w:r w:rsidRPr="00A57ABC">
              <w:rPr>
                <w:rFonts w:eastAsiaTheme="minorHAnsi"/>
                <w:sz w:val="14"/>
                <w:szCs w:val="14"/>
                <w:lang w:eastAsia="en-US"/>
              </w:rPr>
              <w:t>SELECTO</w:t>
            </w:r>
          </w:p>
        </w:tc>
        <w:tc>
          <w:tcPr>
            <w:tcW w:w="589" w:type="pct"/>
            <w:vAlign w:val="center"/>
          </w:tcPr>
          <w:p w14:paraId="054D7047" w14:textId="77777777" w:rsidR="00C36261" w:rsidRPr="00A57ABC" w:rsidRDefault="00C36261" w:rsidP="00624091">
            <w:pPr>
              <w:widowControl w:val="0"/>
              <w:ind w:left="37" w:right="2"/>
              <w:jc w:val="center"/>
              <w:rPr>
                <w:rFonts w:eastAsiaTheme="minorHAnsi"/>
                <w:sz w:val="14"/>
                <w:szCs w:val="14"/>
                <w:lang w:eastAsia="en-US"/>
              </w:rPr>
            </w:pPr>
            <w:proofErr w:type="spellStart"/>
            <w:r w:rsidRPr="00A57ABC">
              <w:rPr>
                <w:rFonts w:eastAsiaTheme="minorHAnsi"/>
                <w:sz w:val="14"/>
                <w:szCs w:val="14"/>
                <w:lang w:eastAsia="en-US"/>
              </w:rPr>
              <w:t>Amatitlan</w:t>
            </w:r>
            <w:proofErr w:type="spellEnd"/>
          </w:p>
        </w:tc>
        <w:tc>
          <w:tcPr>
            <w:tcW w:w="716" w:type="pct"/>
            <w:vAlign w:val="center"/>
          </w:tcPr>
          <w:p w14:paraId="50268629" w14:textId="77777777" w:rsidR="00C36261" w:rsidRPr="00A57ABC" w:rsidRDefault="00C36261" w:rsidP="00624091">
            <w:pPr>
              <w:widowControl w:val="0"/>
              <w:ind w:right="223"/>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2F8C4409" w14:textId="77777777" w:rsidTr="005105AC">
        <w:trPr>
          <w:trHeight w:val="837"/>
          <w:jc w:val="center"/>
        </w:trPr>
        <w:tc>
          <w:tcPr>
            <w:tcW w:w="1367" w:type="pct"/>
            <w:vAlign w:val="center"/>
          </w:tcPr>
          <w:p w14:paraId="5F364E31" w14:textId="77777777" w:rsidR="00C36261" w:rsidRPr="00A57ABC" w:rsidRDefault="00C36261" w:rsidP="00624091">
            <w:pPr>
              <w:widowControl w:val="0"/>
              <w:ind w:left="31" w:right="6" w:firstLine="3"/>
              <w:jc w:val="center"/>
              <w:rPr>
                <w:rFonts w:eastAsiaTheme="minorHAnsi"/>
                <w:sz w:val="14"/>
                <w:szCs w:val="14"/>
                <w:lang w:eastAsia="en-US"/>
              </w:rPr>
            </w:pPr>
            <w:r w:rsidRPr="00A57ABC">
              <w:rPr>
                <w:rFonts w:eastAsiaTheme="minorHAnsi"/>
                <w:sz w:val="14"/>
                <w:szCs w:val="14"/>
                <w:lang w:eastAsia="en-US"/>
              </w:rPr>
              <w:t>TABLONCILLOS</w:t>
            </w:r>
            <w:r w:rsidRPr="00A57ABC">
              <w:rPr>
                <w:rFonts w:eastAsiaTheme="minorHAnsi"/>
                <w:spacing w:val="1"/>
                <w:sz w:val="14"/>
                <w:szCs w:val="14"/>
                <w:lang w:eastAsia="en-US"/>
              </w:rPr>
              <w:t xml:space="preserve"> </w:t>
            </w:r>
            <w:r w:rsidRPr="00A57ABC">
              <w:rPr>
                <w:rFonts w:eastAsiaTheme="minorHAnsi"/>
                <w:sz w:val="14"/>
                <w:szCs w:val="14"/>
                <w:lang w:eastAsia="en-US"/>
              </w:rPr>
              <w:t>DEL RODEO, SEXT-</w:t>
            </w:r>
            <w:r w:rsidRPr="00A57ABC">
              <w:rPr>
                <w:rFonts w:eastAsiaTheme="minorHAnsi"/>
                <w:spacing w:val="-34"/>
                <w:sz w:val="14"/>
                <w:szCs w:val="14"/>
                <w:lang w:eastAsia="en-US"/>
              </w:rPr>
              <w:t xml:space="preserve"> </w:t>
            </w:r>
            <w:r w:rsidRPr="00A57ABC">
              <w:rPr>
                <w:rFonts w:eastAsiaTheme="minorHAnsi"/>
                <w:sz w:val="14"/>
                <w:szCs w:val="14"/>
                <w:lang w:eastAsia="en-US"/>
              </w:rPr>
              <w:t>013-12</w:t>
            </w:r>
          </w:p>
        </w:tc>
        <w:tc>
          <w:tcPr>
            <w:tcW w:w="613" w:type="pct"/>
            <w:vAlign w:val="center"/>
          </w:tcPr>
          <w:p w14:paraId="24D850D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10/09/2019</w:t>
            </w:r>
          </w:p>
        </w:tc>
        <w:tc>
          <w:tcPr>
            <w:tcW w:w="625" w:type="pct"/>
            <w:vAlign w:val="center"/>
          </w:tcPr>
          <w:p w14:paraId="36A95A16" w14:textId="77777777" w:rsidR="00C36261" w:rsidRPr="00A57ABC" w:rsidRDefault="00C36261" w:rsidP="00624091">
            <w:pPr>
              <w:widowControl w:val="0"/>
              <w:ind w:left="269"/>
              <w:rPr>
                <w:rFonts w:eastAsiaTheme="minorHAnsi"/>
                <w:sz w:val="14"/>
                <w:szCs w:val="14"/>
                <w:lang w:eastAsia="en-US"/>
              </w:rPr>
            </w:pPr>
            <w:r w:rsidRPr="00A57ABC">
              <w:rPr>
                <w:rFonts w:eastAsiaTheme="minorHAnsi"/>
                <w:spacing w:val="-1"/>
                <w:sz w:val="14"/>
                <w:szCs w:val="14"/>
                <w:lang w:eastAsia="en-US"/>
              </w:rPr>
              <w:t>10/09/2044</w:t>
            </w:r>
          </w:p>
        </w:tc>
        <w:tc>
          <w:tcPr>
            <w:tcW w:w="306" w:type="pct"/>
            <w:vAlign w:val="center"/>
          </w:tcPr>
          <w:p w14:paraId="65BD6F3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F61B1BC" w14:textId="77777777" w:rsidR="00C36261" w:rsidRPr="00A57ABC" w:rsidRDefault="00C36261" w:rsidP="00624091">
            <w:pPr>
              <w:widowControl w:val="0"/>
              <w:ind w:left="40"/>
              <w:jc w:val="center"/>
              <w:rPr>
                <w:rFonts w:eastAsiaTheme="minorHAnsi"/>
                <w:sz w:val="14"/>
                <w:szCs w:val="14"/>
                <w:lang w:val="es-GT" w:eastAsia="en-US"/>
              </w:rPr>
            </w:pPr>
            <w:r w:rsidRPr="00A57ABC">
              <w:rPr>
                <w:rFonts w:eastAsiaTheme="minorHAnsi"/>
                <w:sz w:val="14"/>
                <w:szCs w:val="14"/>
                <w:lang w:val="es-GT" w:eastAsia="en-US"/>
              </w:rPr>
              <w:t>BASALTO,</w:t>
            </w:r>
          </w:p>
          <w:p w14:paraId="51EC37B6" w14:textId="77777777" w:rsidR="00C36261" w:rsidRPr="00A57ABC" w:rsidRDefault="00C36261" w:rsidP="00624091">
            <w:pPr>
              <w:widowControl w:val="0"/>
              <w:ind w:left="40" w:right="8"/>
              <w:jc w:val="center"/>
              <w:rPr>
                <w:rFonts w:eastAsiaTheme="minorHAnsi"/>
                <w:sz w:val="14"/>
                <w:szCs w:val="14"/>
                <w:lang w:val="es-GT" w:eastAsia="en-US"/>
              </w:rPr>
            </w:pPr>
            <w:r w:rsidRPr="00A57ABC">
              <w:rPr>
                <w:rFonts w:eastAsiaTheme="minorHAnsi"/>
                <w:sz w:val="14"/>
                <w:szCs w:val="14"/>
                <w:lang w:val="es-GT" w:eastAsia="en-US"/>
              </w:rPr>
              <w:t>TOBA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OBSIDIANA,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 DE RIO</w:t>
            </w:r>
            <w:r w:rsidRPr="00A57ABC">
              <w:rPr>
                <w:rFonts w:eastAsiaTheme="minorHAnsi"/>
                <w:spacing w:val="-44"/>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3"/>
                <w:sz w:val="14"/>
                <w:szCs w:val="14"/>
                <w:lang w:val="es-GT" w:eastAsia="en-US"/>
              </w:rPr>
              <w:t xml:space="preserve"> </w:t>
            </w:r>
            <w:r w:rsidRPr="00A57ABC">
              <w:rPr>
                <w:rFonts w:eastAsiaTheme="minorHAnsi"/>
                <w:sz w:val="14"/>
                <w:szCs w:val="14"/>
                <w:lang w:val="es-GT" w:eastAsia="en-US"/>
              </w:rPr>
              <w:t>CENIZA</w:t>
            </w:r>
          </w:p>
          <w:p w14:paraId="6E2226B8" w14:textId="77777777" w:rsidR="00C36261" w:rsidRPr="00A57ABC" w:rsidRDefault="00C36261" w:rsidP="00624091">
            <w:pPr>
              <w:widowControl w:val="0"/>
              <w:ind w:left="40"/>
              <w:jc w:val="center"/>
              <w:rPr>
                <w:rFonts w:eastAsiaTheme="minorHAnsi"/>
                <w:sz w:val="14"/>
                <w:szCs w:val="14"/>
                <w:lang w:eastAsia="en-US"/>
              </w:rPr>
            </w:pPr>
            <w:r w:rsidRPr="00A57ABC">
              <w:rPr>
                <w:rFonts w:eastAsiaTheme="minorHAnsi"/>
                <w:sz w:val="14"/>
                <w:szCs w:val="14"/>
                <w:lang w:eastAsia="en-US"/>
              </w:rPr>
              <w:t>VOLCANICA</w:t>
            </w:r>
          </w:p>
        </w:tc>
        <w:tc>
          <w:tcPr>
            <w:tcW w:w="589" w:type="pct"/>
            <w:vAlign w:val="center"/>
          </w:tcPr>
          <w:p w14:paraId="130F628B" w14:textId="77777777" w:rsidR="00C36261" w:rsidRPr="00A57ABC" w:rsidRDefault="00C36261" w:rsidP="00624091">
            <w:pPr>
              <w:widowControl w:val="0"/>
              <w:ind w:left="41" w:right="75"/>
              <w:jc w:val="center"/>
              <w:rPr>
                <w:rFonts w:eastAsiaTheme="minorHAnsi"/>
                <w:sz w:val="14"/>
                <w:szCs w:val="14"/>
                <w:lang w:val="es-GT" w:eastAsia="en-US"/>
              </w:rPr>
            </w:pPr>
            <w:r w:rsidRPr="00A57ABC">
              <w:rPr>
                <w:rFonts w:eastAsiaTheme="minorHAnsi"/>
                <w:sz w:val="14"/>
                <w:szCs w:val="14"/>
                <w:lang w:val="es-GT" w:eastAsia="en-US"/>
              </w:rPr>
              <w:t>Palencia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San</w:t>
            </w:r>
            <w:r w:rsidRPr="00A57ABC">
              <w:rPr>
                <w:rFonts w:eastAsiaTheme="minorHAnsi"/>
                <w:spacing w:val="-9"/>
                <w:sz w:val="14"/>
                <w:szCs w:val="14"/>
                <w:lang w:val="es-GT" w:eastAsia="en-US"/>
              </w:rPr>
              <w:t xml:space="preserve"> </w:t>
            </w:r>
            <w:r w:rsidRPr="00A57ABC">
              <w:rPr>
                <w:rFonts w:eastAsiaTheme="minorHAnsi"/>
                <w:sz w:val="14"/>
                <w:szCs w:val="14"/>
                <w:lang w:val="es-GT" w:eastAsia="en-US"/>
              </w:rPr>
              <w:t>Jose</w:t>
            </w:r>
            <w:r w:rsidRPr="00A57ABC">
              <w:rPr>
                <w:rFonts w:eastAsiaTheme="minorHAnsi"/>
                <w:spacing w:val="-8"/>
                <w:sz w:val="14"/>
                <w:szCs w:val="14"/>
                <w:lang w:val="es-GT" w:eastAsia="en-US"/>
              </w:rPr>
              <w:t xml:space="preserve"> </w:t>
            </w:r>
            <w:r w:rsidRPr="00A57ABC">
              <w:rPr>
                <w:rFonts w:eastAsiaTheme="minorHAnsi"/>
                <w:sz w:val="14"/>
                <w:szCs w:val="14"/>
                <w:lang w:val="es-GT" w:eastAsia="en-US"/>
              </w:rPr>
              <w:t>Del</w:t>
            </w:r>
            <w:r w:rsidRPr="00A57ABC">
              <w:rPr>
                <w:rFonts w:eastAsiaTheme="minorHAnsi"/>
                <w:spacing w:val="-43"/>
                <w:sz w:val="14"/>
                <w:szCs w:val="14"/>
                <w:lang w:val="es-GT" w:eastAsia="en-US"/>
              </w:rPr>
              <w:t xml:space="preserve"> </w:t>
            </w:r>
            <w:r w:rsidRPr="00A57ABC">
              <w:rPr>
                <w:rFonts w:eastAsiaTheme="minorHAnsi"/>
                <w:sz w:val="14"/>
                <w:szCs w:val="14"/>
                <w:lang w:val="es-GT" w:eastAsia="en-US"/>
              </w:rPr>
              <w:t>Golfo</w:t>
            </w:r>
          </w:p>
        </w:tc>
        <w:tc>
          <w:tcPr>
            <w:tcW w:w="716" w:type="pct"/>
            <w:vAlign w:val="center"/>
          </w:tcPr>
          <w:p w14:paraId="6AEA09F1" w14:textId="77777777" w:rsidR="00C36261" w:rsidRPr="00A57ABC" w:rsidRDefault="00C36261" w:rsidP="00624091">
            <w:pPr>
              <w:widowControl w:val="0"/>
              <w:ind w:right="242"/>
              <w:jc w:val="center"/>
              <w:rPr>
                <w:rFonts w:eastAsiaTheme="minorHAnsi"/>
                <w:sz w:val="14"/>
                <w:szCs w:val="14"/>
                <w:lang w:eastAsia="en-US"/>
              </w:rPr>
            </w:pPr>
            <w:r w:rsidRPr="00A57ABC">
              <w:rPr>
                <w:rFonts w:eastAsiaTheme="minorHAnsi"/>
                <w:sz w:val="14"/>
                <w:szCs w:val="14"/>
                <w:lang w:eastAsia="en-US"/>
              </w:rPr>
              <w:t>Guatemala</w:t>
            </w:r>
          </w:p>
        </w:tc>
      </w:tr>
      <w:tr w:rsidR="00C36261" w:rsidRPr="00A57ABC" w14:paraId="65F4466D" w14:textId="77777777" w:rsidTr="005105AC">
        <w:trPr>
          <w:trHeight w:val="568"/>
          <w:jc w:val="center"/>
        </w:trPr>
        <w:tc>
          <w:tcPr>
            <w:tcW w:w="1367" w:type="pct"/>
            <w:vAlign w:val="center"/>
          </w:tcPr>
          <w:p w14:paraId="331ACCE3" w14:textId="77777777" w:rsidR="00C36261" w:rsidRPr="00A57ABC" w:rsidRDefault="00C36261" w:rsidP="00624091">
            <w:pPr>
              <w:widowControl w:val="0"/>
              <w:ind w:left="63" w:right="34" w:hanging="1"/>
              <w:jc w:val="center"/>
              <w:rPr>
                <w:rFonts w:eastAsiaTheme="minorHAnsi"/>
                <w:sz w:val="14"/>
                <w:szCs w:val="14"/>
                <w:lang w:val="es-GT" w:eastAsia="en-US"/>
              </w:rPr>
            </w:pPr>
            <w:r w:rsidRPr="00A57ABC">
              <w:rPr>
                <w:rFonts w:eastAsiaTheme="minorHAnsi"/>
                <w:sz w:val="14"/>
                <w:szCs w:val="14"/>
                <w:lang w:val="es-GT" w:eastAsia="en-US"/>
              </w:rPr>
              <w:t>AMPLIACION DEL</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PROYECTO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MINERO EL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SASTRE NUMERO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DOS</w:t>
            </w:r>
          </w:p>
        </w:tc>
        <w:tc>
          <w:tcPr>
            <w:tcW w:w="613" w:type="pct"/>
            <w:vAlign w:val="center"/>
          </w:tcPr>
          <w:p w14:paraId="2DE0CD69"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6/11/2014</w:t>
            </w:r>
          </w:p>
        </w:tc>
        <w:tc>
          <w:tcPr>
            <w:tcW w:w="625" w:type="pct"/>
            <w:vAlign w:val="center"/>
          </w:tcPr>
          <w:p w14:paraId="32AF8FC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5/11/2039</w:t>
            </w:r>
          </w:p>
        </w:tc>
        <w:tc>
          <w:tcPr>
            <w:tcW w:w="306" w:type="pct"/>
            <w:vAlign w:val="center"/>
          </w:tcPr>
          <w:p w14:paraId="0B3827C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45A6907" w14:textId="77777777" w:rsidR="00C36261" w:rsidRPr="00A57ABC" w:rsidRDefault="00C36261" w:rsidP="00624091">
            <w:pPr>
              <w:widowControl w:val="0"/>
              <w:ind w:left="103" w:right="70" w:hanging="1"/>
              <w:jc w:val="center"/>
              <w:rPr>
                <w:rFonts w:eastAsiaTheme="minorHAnsi"/>
                <w:sz w:val="14"/>
                <w:szCs w:val="14"/>
                <w:lang w:val="es-GT" w:eastAsia="en-US"/>
              </w:rPr>
            </w:pPr>
            <w:r w:rsidRPr="00A57ABC">
              <w:rPr>
                <w:rFonts w:eastAsiaTheme="minorHAnsi"/>
                <w:sz w:val="14"/>
                <w:szCs w:val="14"/>
                <w:lang w:val="es-GT" w:eastAsia="en-US"/>
              </w:rPr>
              <w:t>ORO, PLATA,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COBRE, NIQUEL,</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MATERIAL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SELECTO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YESQUISTOS.</w:t>
            </w:r>
          </w:p>
        </w:tc>
        <w:tc>
          <w:tcPr>
            <w:tcW w:w="589" w:type="pct"/>
            <w:vAlign w:val="center"/>
          </w:tcPr>
          <w:p w14:paraId="7D28BA3C" w14:textId="77777777" w:rsidR="00C36261" w:rsidRPr="00A57ABC" w:rsidRDefault="00C36261" w:rsidP="00624091">
            <w:pPr>
              <w:widowControl w:val="0"/>
              <w:ind w:left="77" w:right="41" w:firstLine="2"/>
              <w:jc w:val="center"/>
              <w:rPr>
                <w:rFonts w:eastAsiaTheme="minorHAnsi"/>
                <w:sz w:val="14"/>
                <w:szCs w:val="14"/>
                <w:lang w:val="es-GT" w:eastAsia="en-US"/>
              </w:rPr>
            </w:pPr>
            <w:r w:rsidRPr="00A57ABC">
              <w:rPr>
                <w:rFonts w:eastAsiaTheme="minorHAnsi"/>
                <w:sz w:val="14"/>
                <w:szCs w:val="14"/>
                <w:lang w:val="es-GT" w:eastAsia="en-US"/>
              </w:rPr>
              <w:t>San Jose Del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Golfo Y 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Antonio</w:t>
            </w:r>
            <w:r w:rsidRPr="00A57ABC">
              <w:rPr>
                <w:rFonts w:eastAsiaTheme="minorHAnsi"/>
                <w:spacing w:val="-6"/>
                <w:sz w:val="14"/>
                <w:szCs w:val="14"/>
                <w:lang w:val="es-GT" w:eastAsia="en-US"/>
              </w:rPr>
              <w:t xml:space="preserve"> </w:t>
            </w:r>
            <w:r w:rsidRPr="00A57ABC">
              <w:rPr>
                <w:rFonts w:eastAsiaTheme="minorHAnsi"/>
                <w:sz w:val="14"/>
                <w:szCs w:val="14"/>
                <w:lang w:val="es-GT" w:eastAsia="en-US"/>
              </w:rPr>
              <w:t>La</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Paz</w:t>
            </w:r>
          </w:p>
        </w:tc>
        <w:tc>
          <w:tcPr>
            <w:tcW w:w="716" w:type="pct"/>
            <w:vAlign w:val="center"/>
          </w:tcPr>
          <w:p w14:paraId="5F915845" w14:textId="77777777" w:rsidR="00C36261" w:rsidRPr="00A57ABC" w:rsidRDefault="00C36261" w:rsidP="00624091">
            <w:pPr>
              <w:widowControl w:val="0"/>
              <w:ind w:left="322" w:right="65" w:hanging="212"/>
              <w:jc w:val="center"/>
              <w:rPr>
                <w:rFonts w:eastAsiaTheme="minorHAnsi"/>
                <w:sz w:val="14"/>
                <w:szCs w:val="14"/>
                <w:lang w:eastAsia="en-US"/>
              </w:rPr>
            </w:pPr>
            <w:r w:rsidRPr="00A57ABC">
              <w:rPr>
                <w:rFonts w:eastAsiaTheme="minorHAnsi"/>
                <w:sz w:val="14"/>
                <w:szCs w:val="14"/>
                <w:lang w:eastAsia="en-US"/>
              </w:rPr>
              <w:t>Guatemala Y El</w:t>
            </w:r>
            <w:r w:rsidRPr="00A57ABC">
              <w:rPr>
                <w:rFonts w:eastAsiaTheme="minorHAnsi"/>
                <w:spacing w:val="-34"/>
                <w:sz w:val="14"/>
                <w:szCs w:val="14"/>
                <w:lang w:eastAsia="en-US"/>
              </w:rPr>
              <w:t xml:space="preserve"> </w:t>
            </w:r>
            <w:r w:rsidRPr="00A57ABC">
              <w:rPr>
                <w:rFonts w:eastAsiaTheme="minorHAnsi"/>
                <w:sz w:val="14"/>
                <w:szCs w:val="14"/>
                <w:lang w:eastAsia="en-US"/>
              </w:rPr>
              <w:t>Progreso</w:t>
            </w:r>
          </w:p>
        </w:tc>
      </w:tr>
      <w:tr w:rsidR="00C36261" w:rsidRPr="00A57ABC" w14:paraId="7BF34942" w14:textId="77777777" w:rsidTr="005105AC">
        <w:trPr>
          <w:trHeight w:val="779"/>
          <w:jc w:val="center"/>
        </w:trPr>
        <w:tc>
          <w:tcPr>
            <w:tcW w:w="1367" w:type="pct"/>
            <w:vAlign w:val="center"/>
          </w:tcPr>
          <w:p w14:paraId="1DAA837E"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EL</w:t>
            </w:r>
            <w:r w:rsidRPr="00A57ABC">
              <w:rPr>
                <w:rFonts w:eastAsiaTheme="minorHAnsi"/>
                <w:spacing w:val="-1"/>
                <w:sz w:val="14"/>
                <w:szCs w:val="14"/>
                <w:lang w:eastAsia="en-US"/>
              </w:rPr>
              <w:t xml:space="preserve"> </w:t>
            </w:r>
            <w:r w:rsidRPr="00A57ABC">
              <w:rPr>
                <w:rFonts w:eastAsiaTheme="minorHAnsi"/>
                <w:sz w:val="14"/>
                <w:szCs w:val="14"/>
                <w:lang w:eastAsia="en-US"/>
              </w:rPr>
              <w:t>PLANETA</w:t>
            </w:r>
          </w:p>
        </w:tc>
        <w:tc>
          <w:tcPr>
            <w:tcW w:w="613" w:type="pct"/>
            <w:vAlign w:val="center"/>
          </w:tcPr>
          <w:p w14:paraId="5EBDEAA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21/06/2008</w:t>
            </w:r>
          </w:p>
        </w:tc>
        <w:tc>
          <w:tcPr>
            <w:tcW w:w="625" w:type="pct"/>
            <w:vAlign w:val="center"/>
          </w:tcPr>
          <w:p w14:paraId="67E7A2F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20/06/2033</w:t>
            </w:r>
          </w:p>
        </w:tc>
        <w:tc>
          <w:tcPr>
            <w:tcW w:w="306" w:type="pct"/>
            <w:vAlign w:val="center"/>
          </w:tcPr>
          <w:p w14:paraId="393F147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4009D20" w14:textId="77777777" w:rsidR="00C36261" w:rsidRPr="00A57ABC" w:rsidRDefault="00C36261" w:rsidP="00624091">
            <w:pPr>
              <w:widowControl w:val="0"/>
              <w:ind w:left="77" w:right="42"/>
              <w:jc w:val="center"/>
              <w:rPr>
                <w:rFonts w:eastAsiaTheme="minorHAnsi"/>
                <w:sz w:val="14"/>
                <w:szCs w:val="14"/>
                <w:lang w:val="es-GT" w:eastAsia="en-US"/>
              </w:rPr>
            </w:pPr>
            <w:r w:rsidRPr="00A57ABC">
              <w:rPr>
                <w:rFonts w:eastAsiaTheme="minorHAnsi"/>
                <w:sz w:val="14"/>
                <w:szCs w:val="14"/>
                <w:lang w:val="es-GT" w:eastAsia="en-US"/>
              </w:rPr>
              <w:t>CENIZAS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VOLCANICAS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ROCAS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POMACEAS,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 GRAVA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CANTOS</w:t>
            </w:r>
          </w:p>
          <w:p w14:paraId="6698BF8C"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RODADOS</w:t>
            </w:r>
          </w:p>
        </w:tc>
        <w:tc>
          <w:tcPr>
            <w:tcW w:w="589" w:type="pct"/>
            <w:vAlign w:val="center"/>
          </w:tcPr>
          <w:p w14:paraId="6F820A27" w14:textId="77777777" w:rsidR="00C36261" w:rsidRPr="00A57ABC" w:rsidRDefault="00C36261" w:rsidP="00624091">
            <w:pPr>
              <w:widowControl w:val="0"/>
              <w:ind w:left="77" w:right="41" w:firstLine="2"/>
              <w:jc w:val="center"/>
              <w:rPr>
                <w:rFonts w:eastAsiaTheme="minorHAnsi"/>
                <w:sz w:val="14"/>
                <w:szCs w:val="14"/>
                <w:lang w:val="es-GT" w:eastAsia="en-US"/>
              </w:rPr>
            </w:pPr>
            <w:r w:rsidRPr="00A57ABC">
              <w:rPr>
                <w:rFonts w:eastAsiaTheme="minorHAnsi"/>
                <w:sz w:val="14"/>
                <w:szCs w:val="14"/>
                <w:lang w:val="es-GT" w:eastAsia="en-US"/>
              </w:rPr>
              <w:t>San Jose Del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Golfo Y 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Antonio</w:t>
            </w:r>
            <w:r w:rsidRPr="00A57ABC">
              <w:rPr>
                <w:rFonts w:eastAsiaTheme="minorHAnsi"/>
                <w:spacing w:val="-6"/>
                <w:sz w:val="14"/>
                <w:szCs w:val="14"/>
                <w:lang w:val="es-GT" w:eastAsia="en-US"/>
              </w:rPr>
              <w:t xml:space="preserve"> </w:t>
            </w:r>
            <w:r w:rsidRPr="00A57ABC">
              <w:rPr>
                <w:rFonts w:eastAsiaTheme="minorHAnsi"/>
                <w:sz w:val="14"/>
                <w:szCs w:val="14"/>
                <w:lang w:val="es-GT" w:eastAsia="en-US"/>
              </w:rPr>
              <w:t>La</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Paz</w:t>
            </w:r>
          </w:p>
        </w:tc>
        <w:tc>
          <w:tcPr>
            <w:tcW w:w="716" w:type="pct"/>
            <w:vAlign w:val="center"/>
          </w:tcPr>
          <w:p w14:paraId="750C8265" w14:textId="77777777" w:rsidR="00C36261" w:rsidRPr="00A57ABC" w:rsidRDefault="00C36261" w:rsidP="00624091">
            <w:pPr>
              <w:widowControl w:val="0"/>
              <w:ind w:left="322" w:right="65" w:hanging="212"/>
              <w:jc w:val="center"/>
              <w:rPr>
                <w:rFonts w:eastAsiaTheme="minorHAnsi"/>
                <w:sz w:val="14"/>
                <w:szCs w:val="14"/>
                <w:lang w:eastAsia="en-US"/>
              </w:rPr>
            </w:pPr>
            <w:r w:rsidRPr="00A57ABC">
              <w:rPr>
                <w:rFonts w:eastAsiaTheme="minorHAnsi"/>
                <w:sz w:val="14"/>
                <w:szCs w:val="14"/>
                <w:lang w:eastAsia="en-US"/>
              </w:rPr>
              <w:t>Guatemala Y El</w:t>
            </w:r>
            <w:r w:rsidRPr="00A57ABC">
              <w:rPr>
                <w:rFonts w:eastAsiaTheme="minorHAnsi"/>
                <w:spacing w:val="-34"/>
                <w:sz w:val="14"/>
                <w:szCs w:val="14"/>
                <w:lang w:eastAsia="en-US"/>
              </w:rPr>
              <w:t xml:space="preserve"> </w:t>
            </w:r>
            <w:r w:rsidRPr="00A57ABC">
              <w:rPr>
                <w:rFonts w:eastAsiaTheme="minorHAnsi"/>
                <w:sz w:val="14"/>
                <w:szCs w:val="14"/>
                <w:lang w:eastAsia="en-US"/>
              </w:rPr>
              <w:t>Progreso</w:t>
            </w:r>
          </w:p>
        </w:tc>
      </w:tr>
      <w:tr w:rsidR="00C36261" w:rsidRPr="00A57ABC" w14:paraId="6A868ED1" w14:textId="77777777" w:rsidTr="005105AC">
        <w:trPr>
          <w:trHeight w:val="387"/>
          <w:jc w:val="center"/>
        </w:trPr>
        <w:tc>
          <w:tcPr>
            <w:tcW w:w="1367" w:type="pct"/>
            <w:vAlign w:val="center"/>
          </w:tcPr>
          <w:p w14:paraId="6C799812"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GENERETICA</w:t>
            </w:r>
          </w:p>
        </w:tc>
        <w:tc>
          <w:tcPr>
            <w:tcW w:w="613" w:type="pct"/>
            <w:vAlign w:val="center"/>
          </w:tcPr>
          <w:p w14:paraId="72B47A4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30/06/2001</w:t>
            </w:r>
          </w:p>
        </w:tc>
        <w:tc>
          <w:tcPr>
            <w:tcW w:w="625" w:type="pct"/>
            <w:vAlign w:val="center"/>
          </w:tcPr>
          <w:p w14:paraId="24AC50A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29/06/2026</w:t>
            </w:r>
          </w:p>
        </w:tc>
        <w:tc>
          <w:tcPr>
            <w:tcW w:w="306" w:type="pct"/>
            <w:vAlign w:val="center"/>
          </w:tcPr>
          <w:p w14:paraId="0AD8424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D988F01" w14:textId="77777777" w:rsidR="00C36261" w:rsidRPr="00A57ABC" w:rsidRDefault="00C36261" w:rsidP="00624091">
            <w:pPr>
              <w:widowControl w:val="0"/>
              <w:ind w:left="77" w:right="42"/>
              <w:jc w:val="center"/>
              <w:rPr>
                <w:rFonts w:eastAsiaTheme="minorHAnsi"/>
                <w:sz w:val="14"/>
                <w:szCs w:val="14"/>
                <w:lang w:val="es-GT" w:eastAsia="en-US"/>
              </w:rPr>
            </w:pPr>
            <w:r w:rsidRPr="00A57ABC">
              <w:rPr>
                <w:rFonts w:eastAsiaTheme="minorHAnsi"/>
                <w:sz w:val="14"/>
                <w:szCs w:val="14"/>
                <w:lang w:val="es-GT" w:eastAsia="en-US"/>
              </w:rPr>
              <w:t>ARENA, GRAVA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(PIEDRA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RIO)</w:t>
            </w:r>
          </w:p>
        </w:tc>
        <w:tc>
          <w:tcPr>
            <w:tcW w:w="589" w:type="pct"/>
            <w:vAlign w:val="center"/>
          </w:tcPr>
          <w:p w14:paraId="3D28B80E" w14:textId="77777777" w:rsidR="00C36261" w:rsidRPr="00A57ABC" w:rsidRDefault="00C36261" w:rsidP="00624091">
            <w:pPr>
              <w:widowControl w:val="0"/>
              <w:ind w:left="77" w:right="41" w:firstLine="2"/>
              <w:jc w:val="center"/>
              <w:rPr>
                <w:rFonts w:eastAsiaTheme="minorHAnsi"/>
                <w:sz w:val="14"/>
                <w:szCs w:val="14"/>
                <w:lang w:val="es-GT" w:eastAsia="en-US"/>
              </w:rPr>
            </w:pPr>
            <w:r w:rsidRPr="00A57ABC">
              <w:rPr>
                <w:rFonts w:eastAsiaTheme="minorHAnsi"/>
                <w:sz w:val="14"/>
                <w:szCs w:val="14"/>
                <w:lang w:val="es-GT" w:eastAsia="en-US"/>
              </w:rPr>
              <w:t>San Jose Del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Golfo Y 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Antonio</w:t>
            </w:r>
            <w:r w:rsidRPr="00A57ABC">
              <w:rPr>
                <w:rFonts w:eastAsiaTheme="minorHAnsi"/>
                <w:spacing w:val="-6"/>
                <w:sz w:val="14"/>
                <w:szCs w:val="14"/>
                <w:lang w:val="es-GT" w:eastAsia="en-US"/>
              </w:rPr>
              <w:t xml:space="preserve"> </w:t>
            </w:r>
            <w:r w:rsidRPr="00A57ABC">
              <w:rPr>
                <w:rFonts w:eastAsiaTheme="minorHAnsi"/>
                <w:sz w:val="14"/>
                <w:szCs w:val="14"/>
                <w:lang w:val="es-GT" w:eastAsia="en-US"/>
              </w:rPr>
              <w:t>La</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Paz</w:t>
            </w:r>
          </w:p>
        </w:tc>
        <w:tc>
          <w:tcPr>
            <w:tcW w:w="716" w:type="pct"/>
            <w:vAlign w:val="center"/>
          </w:tcPr>
          <w:p w14:paraId="70B1A7FD" w14:textId="77777777" w:rsidR="00C36261" w:rsidRPr="00A57ABC" w:rsidRDefault="00C36261" w:rsidP="00624091">
            <w:pPr>
              <w:widowControl w:val="0"/>
              <w:ind w:left="322" w:right="65" w:hanging="212"/>
              <w:jc w:val="center"/>
              <w:rPr>
                <w:rFonts w:eastAsiaTheme="minorHAnsi"/>
                <w:sz w:val="14"/>
                <w:szCs w:val="14"/>
                <w:lang w:eastAsia="en-US"/>
              </w:rPr>
            </w:pPr>
            <w:r w:rsidRPr="00A57ABC">
              <w:rPr>
                <w:rFonts w:eastAsiaTheme="minorHAnsi"/>
                <w:sz w:val="14"/>
                <w:szCs w:val="14"/>
                <w:lang w:eastAsia="en-US"/>
              </w:rPr>
              <w:t>Guatemala Y El</w:t>
            </w:r>
            <w:r w:rsidRPr="00A57ABC">
              <w:rPr>
                <w:rFonts w:eastAsiaTheme="minorHAnsi"/>
                <w:spacing w:val="-34"/>
                <w:sz w:val="14"/>
                <w:szCs w:val="14"/>
                <w:lang w:eastAsia="en-US"/>
              </w:rPr>
              <w:t xml:space="preserve"> </w:t>
            </w:r>
            <w:r w:rsidRPr="00A57ABC">
              <w:rPr>
                <w:rFonts w:eastAsiaTheme="minorHAnsi"/>
                <w:sz w:val="14"/>
                <w:szCs w:val="14"/>
                <w:lang w:eastAsia="en-US"/>
              </w:rPr>
              <w:t>Progreso</w:t>
            </w:r>
          </w:p>
        </w:tc>
      </w:tr>
      <w:tr w:rsidR="00C36261" w:rsidRPr="00A57ABC" w14:paraId="517E7C02" w14:textId="77777777" w:rsidTr="005105AC">
        <w:trPr>
          <w:trHeight w:val="103"/>
          <w:jc w:val="center"/>
        </w:trPr>
        <w:tc>
          <w:tcPr>
            <w:tcW w:w="1367" w:type="pct"/>
            <w:vAlign w:val="center"/>
          </w:tcPr>
          <w:p w14:paraId="79DBD6C7"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ASTURICA</w:t>
            </w:r>
          </w:p>
        </w:tc>
        <w:tc>
          <w:tcPr>
            <w:tcW w:w="613" w:type="pct"/>
            <w:vAlign w:val="center"/>
          </w:tcPr>
          <w:p w14:paraId="7AC09AE1"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22/01/1999</w:t>
            </w:r>
          </w:p>
        </w:tc>
        <w:tc>
          <w:tcPr>
            <w:tcW w:w="625" w:type="pct"/>
            <w:vAlign w:val="center"/>
          </w:tcPr>
          <w:p w14:paraId="61921E9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21/01/2024</w:t>
            </w:r>
          </w:p>
        </w:tc>
        <w:tc>
          <w:tcPr>
            <w:tcW w:w="306" w:type="pct"/>
            <w:vAlign w:val="center"/>
          </w:tcPr>
          <w:p w14:paraId="7BEE8D6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F6C71DB"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YESO</w:t>
            </w:r>
          </w:p>
        </w:tc>
        <w:tc>
          <w:tcPr>
            <w:tcW w:w="589" w:type="pct"/>
            <w:vAlign w:val="center"/>
          </w:tcPr>
          <w:p w14:paraId="117DDAFE" w14:textId="77777777" w:rsidR="00C36261" w:rsidRPr="00A57ABC" w:rsidRDefault="00C36261" w:rsidP="00624091">
            <w:pPr>
              <w:widowControl w:val="0"/>
              <w:ind w:right="176"/>
              <w:jc w:val="center"/>
              <w:rPr>
                <w:rFonts w:eastAsiaTheme="minorHAnsi"/>
                <w:sz w:val="14"/>
                <w:szCs w:val="14"/>
                <w:lang w:eastAsia="en-US"/>
              </w:rPr>
            </w:pPr>
            <w:proofErr w:type="spellStart"/>
            <w:r w:rsidRPr="00A57ABC">
              <w:rPr>
                <w:rFonts w:eastAsiaTheme="minorHAnsi"/>
                <w:sz w:val="14"/>
                <w:szCs w:val="14"/>
                <w:lang w:eastAsia="en-US"/>
              </w:rPr>
              <w:t>Aguacatan</w:t>
            </w:r>
            <w:proofErr w:type="spellEnd"/>
          </w:p>
        </w:tc>
        <w:tc>
          <w:tcPr>
            <w:tcW w:w="716" w:type="pct"/>
            <w:vAlign w:val="center"/>
          </w:tcPr>
          <w:p w14:paraId="4F858CFC" w14:textId="77777777" w:rsidR="00C36261" w:rsidRPr="00A57ABC" w:rsidRDefault="00C36261" w:rsidP="00624091">
            <w:pPr>
              <w:widowControl w:val="0"/>
              <w:ind w:left="68"/>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7244DA6F" w14:textId="77777777" w:rsidTr="005105AC">
        <w:trPr>
          <w:trHeight w:val="488"/>
          <w:jc w:val="center"/>
        </w:trPr>
        <w:tc>
          <w:tcPr>
            <w:tcW w:w="1367" w:type="pct"/>
            <w:vAlign w:val="center"/>
          </w:tcPr>
          <w:p w14:paraId="453D6CC7"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CLAVITO</w:t>
            </w:r>
            <w:r w:rsidRPr="00A57ABC">
              <w:rPr>
                <w:rFonts w:eastAsiaTheme="minorHAnsi"/>
                <w:spacing w:val="-1"/>
                <w:sz w:val="14"/>
                <w:szCs w:val="14"/>
                <w:lang w:eastAsia="en-US"/>
              </w:rPr>
              <w:t xml:space="preserve"> </w:t>
            </w:r>
            <w:r w:rsidRPr="00A57ABC">
              <w:rPr>
                <w:rFonts w:eastAsiaTheme="minorHAnsi"/>
                <w:sz w:val="14"/>
                <w:szCs w:val="14"/>
                <w:lang w:eastAsia="en-US"/>
              </w:rPr>
              <w:t>IV</w:t>
            </w:r>
          </w:p>
        </w:tc>
        <w:tc>
          <w:tcPr>
            <w:tcW w:w="613" w:type="pct"/>
            <w:vAlign w:val="center"/>
          </w:tcPr>
          <w:p w14:paraId="6082E9A1" w14:textId="77777777" w:rsidR="00C36261" w:rsidRPr="00A57ABC" w:rsidRDefault="00C36261" w:rsidP="00624091">
            <w:pPr>
              <w:widowControl w:val="0"/>
              <w:ind w:left="45" w:right="-44"/>
              <w:jc w:val="center"/>
              <w:rPr>
                <w:rFonts w:eastAsiaTheme="minorHAnsi"/>
                <w:sz w:val="14"/>
                <w:szCs w:val="14"/>
                <w:lang w:eastAsia="en-US"/>
              </w:rPr>
            </w:pPr>
            <w:r w:rsidRPr="00A57ABC">
              <w:rPr>
                <w:rFonts w:eastAsiaTheme="minorHAnsi"/>
                <w:sz w:val="14"/>
                <w:szCs w:val="14"/>
                <w:lang w:eastAsia="en-US"/>
              </w:rPr>
              <w:t>26/06/1961</w:t>
            </w:r>
            <w:r w:rsidRPr="00A57ABC">
              <w:rPr>
                <w:rFonts w:eastAsiaTheme="minorHAnsi"/>
                <w:spacing w:val="2"/>
                <w:sz w:val="14"/>
                <w:szCs w:val="14"/>
                <w:lang w:eastAsia="en-US"/>
              </w:rPr>
              <w:t xml:space="preserve"> </w:t>
            </w:r>
            <w:r w:rsidRPr="00A57ABC">
              <w:rPr>
                <w:rFonts w:eastAsiaTheme="minorHAnsi"/>
                <w:sz w:val="14"/>
                <w:szCs w:val="14"/>
                <w:lang w:eastAsia="en-US"/>
              </w:rPr>
              <w:t>AL</w:t>
            </w:r>
            <w:r w:rsidRPr="00A57ABC">
              <w:rPr>
                <w:rFonts w:eastAsiaTheme="minorHAnsi"/>
                <w:spacing w:val="2"/>
                <w:sz w:val="14"/>
                <w:szCs w:val="14"/>
                <w:lang w:eastAsia="en-US"/>
              </w:rPr>
              <w:t xml:space="preserve"> </w:t>
            </w:r>
            <w:r w:rsidRPr="00A57ABC">
              <w:rPr>
                <w:rFonts w:eastAsiaTheme="minorHAnsi"/>
                <w:sz w:val="14"/>
                <w:szCs w:val="14"/>
                <w:lang w:eastAsia="en-US"/>
              </w:rPr>
              <w:t>25-</w:t>
            </w:r>
          </w:p>
          <w:p w14:paraId="1949AF71" w14:textId="77777777" w:rsidR="00C36261" w:rsidRPr="00A57ABC" w:rsidRDefault="00C36261" w:rsidP="00624091">
            <w:pPr>
              <w:widowControl w:val="0"/>
              <w:ind w:left="29" w:right="2"/>
              <w:jc w:val="center"/>
              <w:rPr>
                <w:rFonts w:eastAsiaTheme="minorHAnsi"/>
                <w:sz w:val="14"/>
                <w:szCs w:val="14"/>
                <w:lang w:eastAsia="en-US"/>
              </w:rPr>
            </w:pPr>
            <w:r w:rsidRPr="00A57ABC">
              <w:rPr>
                <w:rFonts w:eastAsiaTheme="minorHAnsi"/>
                <w:sz w:val="14"/>
                <w:szCs w:val="14"/>
                <w:lang w:eastAsia="en-US"/>
              </w:rPr>
              <w:t>06-2001/</w:t>
            </w:r>
            <w:r w:rsidRPr="00A57ABC">
              <w:rPr>
                <w:rFonts w:eastAsiaTheme="minorHAnsi"/>
                <w:spacing w:val="6"/>
                <w:sz w:val="14"/>
                <w:szCs w:val="14"/>
                <w:lang w:eastAsia="en-US"/>
              </w:rPr>
              <w:t xml:space="preserve"> </w:t>
            </w:r>
            <w:r w:rsidRPr="00A57ABC">
              <w:rPr>
                <w:rFonts w:eastAsiaTheme="minorHAnsi"/>
                <w:sz w:val="14"/>
                <w:szCs w:val="14"/>
                <w:lang w:eastAsia="en-US"/>
              </w:rPr>
              <w:t>26-06-</w:t>
            </w:r>
          </w:p>
          <w:p w14:paraId="3ADC2F62" w14:textId="77777777" w:rsidR="00C36261" w:rsidRPr="00A57ABC" w:rsidRDefault="00C36261" w:rsidP="00624091">
            <w:pPr>
              <w:widowControl w:val="0"/>
              <w:ind w:left="28" w:right="2"/>
              <w:jc w:val="center"/>
              <w:rPr>
                <w:rFonts w:eastAsiaTheme="minorHAnsi"/>
                <w:sz w:val="14"/>
                <w:szCs w:val="14"/>
                <w:lang w:eastAsia="en-US"/>
              </w:rPr>
            </w:pPr>
            <w:r w:rsidRPr="00A57ABC">
              <w:rPr>
                <w:rFonts w:eastAsiaTheme="minorHAnsi"/>
                <w:sz w:val="14"/>
                <w:szCs w:val="14"/>
                <w:lang w:eastAsia="en-US"/>
              </w:rPr>
              <w:t>2001</w:t>
            </w:r>
            <w:r w:rsidRPr="00A57ABC">
              <w:rPr>
                <w:rFonts w:eastAsiaTheme="minorHAnsi"/>
                <w:spacing w:val="2"/>
                <w:sz w:val="14"/>
                <w:szCs w:val="14"/>
                <w:lang w:eastAsia="en-US"/>
              </w:rPr>
              <w:t xml:space="preserve"> </w:t>
            </w:r>
            <w:r w:rsidRPr="00A57ABC">
              <w:rPr>
                <w:rFonts w:eastAsiaTheme="minorHAnsi"/>
                <w:sz w:val="14"/>
                <w:szCs w:val="14"/>
                <w:lang w:eastAsia="en-US"/>
              </w:rPr>
              <w:t>AL</w:t>
            </w:r>
            <w:r w:rsidRPr="00A57ABC">
              <w:rPr>
                <w:rFonts w:eastAsiaTheme="minorHAnsi"/>
                <w:spacing w:val="3"/>
                <w:sz w:val="14"/>
                <w:szCs w:val="14"/>
                <w:lang w:eastAsia="en-US"/>
              </w:rPr>
              <w:t xml:space="preserve"> </w:t>
            </w:r>
            <w:r w:rsidRPr="00A57ABC">
              <w:rPr>
                <w:rFonts w:eastAsiaTheme="minorHAnsi"/>
                <w:sz w:val="14"/>
                <w:szCs w:val="14"/>
                <w:lang w:eastAsia="en-US"/>
              </w:rPr>
              <w:t>26-06-</w:t>
            </w:r>
          </w:p>
          <w:p w14:paraId="2C12985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2026</w:t>
            </w:r>
          </w:p>
        </w:tc>
        <w:tc>
          <w:tcPr>
            <w:tcW w:w="625" w:type="pct"/>
            <w:vAlign w:val="center"/>
          </w:tcPr>
          <w:p w14:paraId="6A1F0E9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26/06/2026</w:t>
            </w:r>
          </w:p>
        </w:tc>
        <w:tc>
          <w:tcPr>
            <w:tcW w:w="306" w:type="pct"/>
            <w:vAlign w:val="center"/>
          </w:tcPr>
          <w:p w14:paraId="0A8938A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D4F65C3" w14:textId="77777777" w:rsidR="00C36261" w:rsidRPr="00A57ABC" w:rsidRDefault="00C36261" w:rsidP="00624091">
            <w:pPr>
              <w:widowControl w:val="0"/>
              <w:ind w:left="151" w:right="118" w:firstLine="60"/>
              <w:jc w:val="both"/>
              <w:rPr>
                <w:rFonts w:eastAsiaTheme="minorHAnsi"/>
                <w:sz w:val="14"/>
                <w:szCs w:val="14"/>
                <w:lang w:val="es-GT" w:eastAsia="en-US"/>
              </w:rPr>
            </w:pPr>
            <w:r w:rsidRPr="00A57ABC">
              <w:rPr>
                <w:rFonts w:eastAsiaTheme="minorHAnsi"/>
                <w:sz w:val="14"/>
                <w:szCs w:val="14"/>
                <w:lang w:val="es-GT" w:eastAsia="en-US"/>
              </w:rPr>
              <w:t>ANTIMONIO,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TUNGSTENO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ARSENOPIRITA</w:t>
            </w:r>
          </w:p>
          <w:p w14:paraId="79FFD6C8" w14:textId="77777777" w:rsidR="00C36261" w:rsidRPr="00A57ABC" w:rsidRDefault="00C36261" w:rsidP="00624091">
            <w:pPr>
              <w:widowControl w:val="0"/>
              <w:ind w:left="307"/>
              <w:rPr>
                <w:rFonts w:eastAsiaTheme="minorHAnsi"/>
                <w:sz w:val="14"/>
                <w:szCs w:val="14"/>
                <w:lang w:val="es-GT" w:eastAsia="en-US"/>
              </w:rPr>
            </w:pPr>
            <w:r w:rsidRPr="00A57ABC">
              <w:rPr>
                <w:rFonts w:eastAsiaTheme="minorHAnsi"/>
                <w:sz w:val="14"/>
                <w:szCs w:val="14"/>
                <w:lang w:val="es-GT" w:eastAsia="en-US"/>
              </w:rPr>
              <w:t>AURIFERA</w:t>
            </w:r>
          </w:p>
        </w:tc>
        <w:tc>
          <w:tcPr>
            <w:tcW w:w="589" w:type="pct"/>
            <w:vAlign w:val="center"/>
          </w:tcPr>
          <w:p w14:paraId="301220B0" w14:textId="77777777" w:rsidR="00C36261" w:rsidRPr="00A57ABC" w:rsidRDefault="00C36261" w:rsidP="00624091">
            <w:pPr>
              <w:widowControl w:val="0"/>
              <w:ind w:left="197" w:right="57" w:hanging="89"/>
              <w:jc w:val="center"/>
              <w:rPr>
                <w:rFonts w:eastAsiaTheme="minorHAnsi"/>
                <w:sz w:val="14"/>
                <w:szCs w:val="14"/>
                <w:lang w:eastAsia="en-US"/>
              </w:rPr>
            </w:pPr>
            <w:r w:rsidRPr="00A57ABC">
              <w:rPr>
                <w:rFonts w:eastAsiaTheme="minorHAnsi"/>
                <w:sz w:val="14"/>
                <w:szCs w:val="14"/>
                <w:lang w:eastAsia="en-US"/>
              </w:rPr>
              <w:t xml:space="preserve">San </w:t>
            </w:r>
            <w:proofErr w:type="spellStart"/>
            <w:r w:rsidRPr="00A57ABC">
              <w:rPr>
                <w:rFonts w:eastAsiaTheme="minorHAnsi"/>
                <w:sz w:val="14"/>
                <w:szCs w:val="14"/>
                <w:lang w:eastAsia="en-US"/>
              </w:rPr>
              <w:t>Idelfonso</w:t>
            </w:r>
            <w:proofErr w:type="spellEnd"/>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Ixtahuacan</w:t>
            </w:r>
            <w:proofErr w:type="spellEnd"/>
          </w:p>
        </w:tc>
        <w:tc>
          <w:tcPr>
            <w:tcW w:w="716" w:type="pct"/>
            <w:vAlign w:val="center"/>
          </w:tcPr>
          <w:p w14:paraId="471B02BD"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418E48D0" w14:textId="77777777" w:rsidTr="005105AC">
        <w:trPr>
          <w:trHeight w:val="217"/>
          <w:jc w:val="center"/>
        </w:trPr>
        <w:tc>
          <w:tcPr>
            <w:tcW w:w="1367" w:type="pct"/>
            <w:vAlign w:val="center"/>
          </w:tcPr>
          <w:p w14:paraId="7670F4AD" w14:textId="77777777" w:rsidR="00C36261" w:rsidRPr="00A57ABC" w:rsidRDefault="00C36261" w:rsidP="00624091">
            <w:pPr>
              <w:widowControl w:val="0"/>
              <w:ind w:left="48" w:right="24"/>
              <w:jc w:val="center"/>
              <w:rPr>
                <w:rFonts w:eastAsiaTheme="minorHAnsi"/>
                <w:sz w:val="14"/>
                <w:szCs w:val="14"/>
                <w:lang w:val="es-GT" w:eastAsia="en-US"/>
              </w:rPr>
            </w:pPr>
            <w:r w:rsidRPr="00A57ABC">
              <w:rPr>
                <w:rFonts w:eastAsiaTheme="minorHAnsi"/>
                <w:sz w:val="14"/>
                <w:szCs w:val="14"/>
                <w:lang w:val="es-GT" w:eastAsia="en-US"/>
              </w:rPr>
              <w:t>EL ROSARIO BOLA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DE</w:t>
            </w:r>
            <w:r w:rsidRPr="00A57ABC">
              <w:rPr>
                <w:rFonts w:eastAsiaTheme="minorHAnsi"/>
                <w:spacing w:val="2"/>
                <w:sz w:val="14"/>
                <w:szCs w:val="14"/>
                <w:lang w:val="es-GT" w:eastAsia="en-US"/>
              </w:rPr>
              <w:t xml:space="preserve"> </w:t>
            </w:r>
            <w:r w:rsidRPr="00A57ABC">
              <w:rPr>
                <w:rFonts w:eastAsiaTheme="minorHAnsi"/>
                <w:sz w:val="14"/>
                <w:szCs w:val="14"/>
                <w:lang w:val="es-GT" w:eastAsia="en-US"/>
              </w:rPr>
              <w:t>ORO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ANEXOS</w:t>
            </w:r>
          </w:p>
        </w:tc>
        <w:tc>
          <w:tcPr>
            <w:tcW w:w="613" w:type="pct"/>
            <w:vAlign w:val="center"/>
          </w:tcPr>
          <w:p w14:paraId="6E8B95F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21/03/1950</w:t>
            </w:r>
          </w:p>
        </w:tc>
        <w:tc>
          <w:tcPr>
            <w:tcW w:w="625" w:type="pct"/>
            <w:vAlign w:val="center"/>
          </w:tcPr>
          <w:p w14:paraId="7C04EFE1" w14:textId="77777777" w:rsidR="00C36261" w:rsidRPr="00A57ABC" w:rsidRDefault="00C36261" w:rsidP="00624091">
            <w:pPr>
              <w:widowControl w:val="0"/>
              <w:rPr>
                <w:rFonts w:eastAsiaTheme="minorHAnsi"/>
                <w:sz w:val="14"/>
                <w:szCs w:val="14"/>
                <w:lang w:eastAsia="en-US"/>
              </w:rPr>
            </w:pPr>
          </w:p>
        </w:tc>
        <w:tc>
          <w:tcPr>
            <w:tcW w:w="306" w:type="pct"/>
            <w:vAlign w:val="center"/>
          </w:tcPr>
          <w:p w14:paraId="0DCCC81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5ECD7CA" w14:textId="77777777" w:rsidR="00C36261" w:rsidRPr="00A57ABC" w:rsidRDefault="00C36261" w:rsidP="00624091">
            <w:pPr>
              <w:widowControl w:val="0"/>
              <w:ind w:left="477" w:right="35" w:hanging="396"/>
              <w:rPr>
                <w:rFonts w:eastAsiaTheme="minorHAnsi"/>
                <w:sz w:val="14"/>
                <w:szCs w:val="14"/>
                <w:lang w:eastAsia="en-US"/>
              </w:rPr>
            </w:pPr>
            <w:r w:rsidRPr="00A57ABC">
              <w:rPr>
                <w:rFonts w:eastAsiaTheme="minorHAnsi"/>
                <w:sz w:val="14"/>
                <w:szCs w:val="14"/>
                <w:lang w:eastAsia="en-US"/>
              </w:rPr>
              <w:t>PLOMO, PLATA Y</w:t>
            </w:r>
            <w:r w:rsidRPr="00A57ABC">
              <w:rPr>
                <w:rFonts w:eastAsiaTheme="minorHAnsi"/>
                <w:spacing w:val="-34"/>
                <w:sz w:val="14"/>
                <w:szCs w:val="14"/>
                <w:lang w:eastAsia="en-US"/>
              </w:rPr>
              <w:t xml:space="preserve"> </w:t>
            </w:r>
            <w:r w:rsidRPr="00A57ABC">
              <w:rPr>
                <w:rFonts w:eastAsiaTheme="minorHAnsi"/>
                <w:sz w:val="14"/>
                <w:szCs w:val="14"/>
                <w:lang w:eastAsia="en-US"/>
              </w:rPr>
              <w:t>CINC</w:t>
            </w:r>
          </w:p>
        </w:tc>
        <w:tc>
          <w:tcPr>
            <w:tcW w:w="589" w:type="pct"/>
            <w:vAlign w:val="center"/>
          </w:tcPr>
          <w:p w14:paraId="19AB112E" w14:textId="77777777" w:rsidR="00C36261" w:rsidRPr="00A57ABC" w:rsidRDefault="00C36261" w:rsidP="00624091">
            <w:pPr>
              <w:widowControl w:val="0"/>
              <w:ind w:left="389" w:right="147" w:hanging="195"/>
              <w:jc w:val="center"/>
              <w:rPr>
                <w:rFonts w:eastAsiaTheme="minorHAnsi"/>
                <w:sz w:val="14"/>
                <w:szCs w:val="14"/>
                <w:lang w:eastAsia="en-US"/>
              </w:rPr>
            </w:pPr>
            <w:r w:rsidRPr="00A57ABC">
              <w:rPr>
                <w:rFonts w:eastAsiaTheme="minorHAnsi"/>
                <w:sz w:val="14"/>
                <w:szCs w:val="14"/>
                <w:lang w:eastAsia="en-US"/>
              </w:rPr>
              <w:t>Concepcion</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Huista</w:t>
            </w:r>
            <w:proofErr w:type="spellEnd"/>
          </w:p>
        </w:tc>
        <w:tc>
          <w:tcPr>
            <w:tcW w:w="716" w:type="pct"/>
            <w:vAlign w:val="center"/>
          </w:tcPr>
          <w:p w14:paraId="21EDF9A1"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17E1A6CC" w14:textId="77777777" w:rsidTr="005105AC">
        <w:trPr>
          <w:trHeight w:val="321"/>
          <w:jc w:val="center"/>
        </w:trPr>
        <w:tc>
          <w:tcPr>
            <w:tcW w:w="1367" w:type="pct"/>
            <w:vAlign w:val="center"/>
          </w:tcPr>
          <w:p w14:paraId="41265E07"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EL SACRAMENTO</w:t>
            </w:r>
          </w:p>
        </w:tc>
        <w:tc>
          <w:tcPr>
            <w:tcW w:w="613" w:type="pct"/>
            <w:vAlign w:val="center"/>
          </w:tcPr>
          <w:p w14:paraId="19F7929D"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2/06/1999</w:t>
            </w:r>
          </w:p>
        </w:tc>
        <w:tc>
          <w:tcPr>
            <w:tcW w:w="625" w:type="pct"/>
            <w:vAlign w:val="center"/>
          </w:tcPr>
          <w:p w14:paraId="742D37E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1/06/2024</w:t>
            </w:r>
          </w:p>
        </w:tc>
        <w:tc>
          <w:tcPr>
            <w:tcW w:w="306" w:type="pct"/>
            <w:vAlign w:val="center"/>
          </w:tcPr>
          <w:p w14:paraId="4F88947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5B3BB92" w14:textId="77777777" w:rsidR="00C36261" w:rsidRPr="00A57ABC" w:rsidRDefault="00C36261" w:rsidP="00624091">
            <w:pPr>
              <w:widowControl w:val="0"/>
              <w:ind w:left="427" w:right="89" w:hanging="291"/>
              <w:rPr>
                <w:rFonts w:eastAsiaTheme="minorHAnsi"/>
                <w:sz w:val="14"/>
                <w:szCs w:val="14"/>
                <w:lang w:eastAsia="en-US"/>
              </w:rPr>
            </w:pPr>
            <w:r w:rsidRPr="00A57ABC">
              <w:rPr>
                <w:rFonts w:eastAsiaTheme="minorHAnsi"/>
                <w:sz w:val="14"/>
                <w:szCs w:val="14"/>
                <w:lang w:eastAsia="en-US"/>
              </w:rPr>
              <w:t>PLOMO, ZINC Y</w:t>
            </w:r>
            <w:r w:rsidRPr="00A57ABC">
              <w:rPr>
                <w:rFonts w:eastAsiaTheme="minorHAnsi"/>
                <w:spacing w:val="-34"/>
                <w:sz w:val="14"/>
                <w:szCs w:val="14"/>
                <w:lang w:eastAsia="en-US"/>
              </w:rPr>
              <w:t xml:space="preserve"> </w:t>
            </w:r>
            <w:r w:rsidRPr="00A57ABC">
              <w:rPr>
                <w:rFonts w:eastAsiaTheme="minorHAnsi"/>
                <w:sz w:val="14"/>
                <w:szCs w:val="14"/>
                <w:lang w:eastAsia="en-US"/>
              </w:rPr>
              <w:t>PLATA</w:t>
            </w:r>
          </w:p>
        </w:tc>
        <w:tc>
          <w:tcPr>
            <w:tcW w:w="589" w:type="pct"/>
            <w:vAlign w:val="center"/>
          </w:tcPr>
          <w:p w14:paraId="0E4A31C7" w14:textId="77777777" w:rsidR="00C36261" w:rsidRPr="00A57ABC" w:rsidRDefault="00C36261" w:rsidP="00624091">
            <w:pPr>
              <w:widowControl w:val="0"/>
              <w:ind w:left="35" w:right="2"/>
              <w:jc w:val="center"/>
              <w:rPr>
                <w:rFonts w:eastAsiaTheme="minorHAnsi"/>
                <w:sz w:val="14"/>
                <w:szCs w:val="14"/>
                <w:lang w:eastAsia="en-US"/>
              </w:rPr>
            </w:pPr>
            <w:proofErr w:type="spellStart"/>
            <w:r w:rsidRPr="00A57ABC">
              <w:rPr>
                <w:rFonts w:eastAsiaTheme="minorHAnsi"/>
                <w:sz w:val="14"/>
                <w:szCs w:val="14"/>
                <w:lang w:eastAsia="en-US"/>
              </w:rPr>
              <w:t>Nenton</w:t>
            </w:r>
            <w:proofErr w:type="spellEnd"/>
          </w:p>
        </w:tc>
        <w:tc>
          <w:tcPr>
            <w:tcW w:w="716" w:type="pct"/>
            <w:vAlign w:val="center"/>
          </w:tcPr>
          <w:p w14:paraId="55862FB9"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1A79A4A7" w14:textId="77777777" w:rsidTr="005105AC">
        <w:trPr>
          <w:trHeight w:val="254"/>
          <w:jc w:val="center"/>
        </w:trPr>
        <w:tc>
          <w:tcPr>
            <w:tcW w:w="1367" w:type="pct"/>
            <w:vAlign w:val="center"/>
          </w:tcPr>
          <w:p w14:paraId="1B4AEB34" w14:textId="77777777" w:rsidR="00C36261" w:rsidRPr="00A57ABC" w:rsidRDefault="00C36261" w:rsidP="00624091">
            <w:pPr>
              <w:widowControl w:val="0"/>
              <w:ind w:left="120" w:right="91" w:firstLine="45"/>
              <w:rPr>
                <w:rFonts w:eastAsiaTheme="minorHAnsi"/>
                <w:sz w:val="14"/>
                <w:szCs w:val="14"/>
                <w:lang w:eastAsia="en-US"/>
              </w:rPr>
            </w:pPr>
            <w:r w:rsidRPr="00A57ABC">
              <w:rPr>
                <w:rFonts w:eastAsiaTheme="minorHAnsi"/>
                <w:sz w:val="14"/>
                <w:szCs w:val="14"/>
                <w:lang w:eastAsia="en-US"/>
              </w:rPr>
              <w:t>EXPLOTACION</w:t>
            </w:r>
            <w:r w:rsidRPr="00A57ABC">
              <w:rPr>
                <w:rFonts w:eastAsiaTheme="minorHAnsi"/>
                <w:spacing w:val="1"/>
                <w:sz w:val="14"/>
                <w:szCs w:val="14"/>
                <w:lang w:eastAsia="en-US"/>
              </w:rPr>
              <w:t xml:space="preserve"> </w:t>
            </w:r>
            <w:r w:rsidRPr="00A57ABC">
              <w:rPr>
                <w:rFonts w:eastAsiaTheme="minorHAnsi"/>
                <w:sz w:val="14"/>
                <w:szCs w:val="14"/>
                <w:lang w:eastAsia="en-US"/>
              </w:rPr>
              <w:t>MINERA</w:t>
            </w:r>
            <w:r w:rsidRPr="00A57ABC">
              <w:rPr>
                <w:rFonts w:eastAsiaTheme="minorHAnsi"/>
                <w:spacing w:val="-9"/>
                <w:sz w:val="14"/>
                <w:szCs w:val="14"/>
                <w:lang w:eastAsia="en-US"/>
              </w:rPr>
              <w:t xml:space="preserve"> </w:t>
            </w:r>
            <w:r w:rsidRPr="00A57ABC">
              <w:rPr>
                <w:rFonts w:eastAsiaTheme="minorHAnsi"/>
                <w:sz w:val="14"/>
                <w:szCs w:val="14"/>
                <w:lang w:eastAsia="en-US"/>
              </w:rPr>
              <w:t>TROYA</w:t>
            </w:r>
          </w:p>
        </w:tc>
        <w:tc>
          <w:tcPr>
            <w:tcW w:w="613" w:type="pct"/>
            <w:vAlign w:val="center"/>
          </w:tcPr>
          <w:p w14:paraId="13241C30"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6/10/2016</w:t>
            </w:r>
          </w:p>
        </w:tc>
        <w:tc>
          <w:tcPr>
            <w:tcW w:w="625" w:type="pct"/>
            <w:vAlign w:val="center"/>
          </w:tcPr>
          <w:p w14:paraId="7AD180F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5/10/2041</w:t>
            </w:r>
          </w:p>
        </w:tc>
        <w:tc>
          <w:tcPr>
            <w:tcW w:w="306" w:type="pct"/>
            <w:vAlign w:val="center"/>
          </w:tcPr>
          <w:p w14:paraId="78DE2BE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D81FE0F"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YESO</w:t>
            </w:r>
          </w:p>
        </w:tc>
        <w:tc>
          <w:tcPr>
            <w:tcW w:w="589" w:type="pct"/>
            <w:vAlign w:val="center"/>
          </w:tcPr>
          <w:p w14:paraId="39861F12" w14:textId="77777777" w:rsidR="00C36261" w:rsidRPr="00A57ABC" w:rsidRDefault="00C36261" w:rsidP="00624091">
            <w:pPr>
              <w:widowControl w:val="0"/>
              <w:ind w:left="35" w:right="2"/>
              <w:jc w:val="center"/>
              <w:rPr>
                <w:rFonts w:eastAsiaTheme="minorHAnsi"/>
                <w:sz w:val="14"/>
                <w:szCs w:val="14"/>
                <w:lang w:eastAsia="en-US"/>
              </w:rPr>
            </w:pPr>
            <w:proofErr w:type="spellStart"/>
            <w:r w:rsidRPr="00A57ABC">
              <w:rPr>
                <w:rFonts w:eastAsiaTheme="minorHAnsi"/>
                <w:sz w:val="14"/>
                <w:szCs w:val="14"/>
                <w:lang w:eastAsia="en-US"/>
              </w:rPr>
              <w:t>Aguacatan</w:t>
            </w:r>
            <w:proofErr w:type="spellEnd"/>
          </w:p>
        </w:tc>
        <w:tc>
          <w:tcPr>
            <w:tcW w:w="716" w:type="pct"/>
            <w:vAlign w:val="center"/>
          </w:tcPr>
          <w:p w14:paraId="0C4DA9D9"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66B5526B" w14:textId="77777777" w:rsidTr="005105AC">
        <w:trPr>
          <w:trHeight w:val="189"/>
          <w:jc w:val="center"/>
        </w:trPr>
        <w:tc>
          <w:tcPr>
            <w:tcW w:w="1367" w:type="pct"/>
            <w:vAlign w:val="center"/>
          </w:tcPr>
          <w:p w14:paraId="0859EC31"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LA CAÑADA</w:t>
            </w:r>
          </w:p>
        </w:tc>
        <w:tc>
          <w:tcPr>
            <w:tcW w:w="613" w:type="pct"/>
            <w:vAlign w:val="center"/>
          </w:tcPr>
          <w:p w14:paraId="6EDAF75A"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23/06/1925</w:t>
            </w:r>
          </w:p>
        </w:tc>
        <w:tc>
          <w:tcPr>
            <w:tcW w:w="625" w:type="pct"/>
            <w:vAlign w:val="center"/>
          </w:tcPr>
          <w:p w14:paraId="5D83040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22/06/3000</w:t>
            </w:r>
          </w:p>
        </w:tc>
        <w:tc>
          <w:tcPr>
            <w:tcW w:w="306" w:type="pct"/>
            <w:vAlign w:val="center"/>
          </w:tcPr>
          <w:p w14:paraId="37DB0D6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 AÑOS</w:t>
            </w:r>
          </w:p>
        </w:tc>
        <w:tc>
          <w:tcPr>
            <w:tcW w:w="784" w:type="pct"/>
            <w:vAlign w:val="center"/>
          </w:tcPr>
          <w:p w14:paraId="596DFA1D"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PLOMO</w:t>
            </w:r>
          </w:p>
        </w:tc>
        <w:tc>
          <w:tcPr>
            <w:tcW w:w="589" w:type="pct"/>
            <w:vAlign w:val="center"/>
          </w:tcPr>
          <w:p w14:paraId="6B2120EB" w14:textId="77777777" w:rsidR="00C36261" w:rsidRPr="00A57ABC" w:rsidRDefault="00C36261" w:rsidP="00624091">
            <w:pPr>
              <w:widowControl w:val="0"/>
              <w:ind w:left="72" w:firstLine="48"/>
              <w:jc w:val="center"/>
              <w:rPr>
                <w:rFonts w:eastAsiaTheme="minorHAnsi"/>
                <w:sz w:val="14"/>
                <w:szCs w:val="14"/>
                <w:lang w:eastAsia="en-US"/>
              </w:rPr>
            </w:pPr>
            <w:r w:rsidRPr="00A57ABC">
              <w:rPr>
                <w:rFonts w:eastAsiaTheme="minorHAnsi"/>
                <w:sz w:val="14"/>
                <w:szCs w:val="14"/>
                <w:lang w:eastAsia="en-US"/>
              </w:rPr>
              <w:t>San</w:t>
            </w:r>
            <w:r w:rsidRPr="00A57ABC">
              <w:rPr>
                <w:rFonts w:eastAsiaTheme="minorHAnsi"/>
                <w:spacing w:val="-1"/>
                <w:sz w:val="14"/>
                <w:szCs w:val="14"/>
                <w:lang w:eastAsia="en-US"/>
              </w:rPr>
              <w:t xml:space="preserve"> </w:t>
            </w:r>
            <w:r w:rsidRPr="00A57ABC">
              <w:rPr>
                <w:rFonts w:eastAsiaTheme="minorHAnsi"/>
                <w:sz w:val="14"/>
                <w:szCs w:val="14"/>
                <w:lang w:eastAsia="en-US"/>
              </w:rPr>
              <w:t>Sebastian</w:t>
            </w:r>
          </w:p>
          <w:p w14:paraId="70F8D745" w14:textId="77777777" w:rsidR="00C36261" w:rsidRPr="00A57ABC" w:rsidRDefault="00C36261" w:rsidP="00624091">
            <w:pPr>
              <w:widowControl w:val="0"/>
              <w:ind w:left="583" w:right="28" w:hanging="512"/>
              <w:jc w:val="center"/>
              <w:rPr>
                <w:rFonts w:eastAsiaTheme="minorHAnsi"/>
                <w:sz w:val="14"/>
                <w:szCs w:val="14"/>
                <w:lang w:eastAsia="en-US"/>
              </w:rPr>
            </w:pPr>
            <w:r w:rsidRPr="00A57ABC">
              <w:rPr>
                <w:rFonts w:eastAsiaTheme="minorHAnsi"/>
                <w:sz w:val="14"/>
                <w:szCs w:val="14"/>
                <w:lang w:eastAsia="en-US"/>
              </w:rPr>
              <w:t>Huehuetenango</w:t>
            </w:r>
            <w:r w:rsidRPr="00A57ABC">
              <w:rPr>
                <w:rFonts w:eastAsiaTheme="minorHAnsi"/>
                <w:spacing w:val="-34"/>
                <w:sz w:val="14"/>
                <w:szCs w:val="14"/>
                <w:lang w:eastAsia="en-US"/>
              </w:rPr>
              <w:t xml:space="preserve"> </w:t>
            </w:r>
            <w:r w:rsidRPr="00A57ABC">
              <w:rPr>
                <w:rFonts w:eastAsiaTheme="minorHAnsi"/>
                <w:sz w:val="14"/>
                <w:szCs w:val="14"/>
                <w:lang w:eastAsia="en-US"/>
              </w:rPr>
              <w:t>O</w:t>
            </w:r>
          </w:p>
        </w:tc>
        <w:tc>
          <w:tcPr>
            <w:tcW w:w="716" w:type="pct"/>
            <w:vAlign w:val="center"/>
          </w:tcPr>
          <w:p w14:paraId="3CF38EAD"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146732D3" w14:textId="77777777" w:rsidTr="005105AC">
        <w:trPr>
          <w:trHeight w:val="278"/>
          <w:jc w:val="center"/>
        </w:trPr>
        <w:tc>
          <w:tcPr>
            <w:tcW w:w="1367" w:type="pct"/>
            <w:vAlign w:val="center"/>
          </w:tcPr>
          <w:p w14:paraId="7349980A"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lastRenderedPageBreak/>
              <w:t>LA ESPERANZA</w:t>
            </w:r>
          </w:p>
        </w:tc>
        <w:tc>
          <w:tcPr>
            <w:tcW w:w="613" w:type="pct"/>
            <w:vAlign w:val="center"/>
          </w:tcPr>
          <w:p w14:paraId="549C88E8"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18/05/1906</w:t>
            </w:r>
          </w:p>
        </w:tc>
        <w:tc>
          <w:tcPr>
            <w:tcW w:w="625" w:type="pct"/>
            <w:vAlign w:val="center"/>
          </w:tcPr>
          <w:p w14:paraId="0673AA2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17/05/3000</w:t>
            </w:r>
          </w:p>
        </w:tc>
        <w:tc>
          <w:tcPr>
            <w:tcW w:w="306" w:type="pct"/>
            <w:vAlign w:val="center"/>
          </w:tcPr>
          <w:p w14:paraId="12686C2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 AÑOS</w:t>
            </w:r>
          </w:p>
        </w:tc>
        <w:tc>
          <w:tcPr>
            <w:tcW w:w="784" w:type="pct"/>
            <w:vAlign w:val="center"/>
          </w:tcPr>
          <w:p w14:paraId="7D1B7D55"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PLOMO</w:t>
            </w:r>
          </w:p>
        </w:tc>
        <w:tc>
          <w:tcPr>
            <w:tcW w:w="589" w:type="pct"/>
            <w:vAlign w:val="center"/>
          </w:tcPr>
          <w:p w14:paraId="10021209" w14:textId="77777777" w:rsidR="00C36261" w:rsidRPr="00A57ABC" w:rsidRDefault="00C36261" w:rsidP="00624091">
            <w:pPr>
              <w:widowControl w:val="0"/>
              <w:ind w:left="34" w:right="2"/>
              <w:jc w:val="center"/>
              <w:rPr>
                <w:rFonts w:eastAsiaTheme="minorHAnsi"/>
                <w:sz w:val="14"/>
                <w:szCs w:val="14"/>
                <w:lang w:eastAsia="en-US"/>
              </w:rPr>
            </w:pPr>
            <w:proofErr w:type="spellStart"/>
            <w:r w:rsidRPr="00A57ABC">
              <w:rPr>
                <w:rFonts w:eastAsiaTheme="minorHAnsi"/>
                <w:sz w:val="14"/>
                <w:szCs w:val="14"/>
                <w:lang w:eastAsia="en-US"/>
              </w:rPr>
              <w:t>Chiantla</w:t>
            </w:r>
            <w:proofErr w:type="spellEnd"/>
          </w:p>
        </w:tc>
        <w:tc>
          <w:tcPr>
            <w:tcW w:w="716" w:type="pct"/>
            <w:vAlign w:val="center"/>
          </w:tcPr>
          <w:p w14:paraId="0BDC103A"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5F9C4B1F" w14:textId="77777777" w:rsidTr="005105AC">
        <w:trPr>
          <w:trHeight w:val="212"/>
          <w:jc w:val="center"/>
        </w:trPr>
        <w:tc>
          <w:tcPr>
            <w:tcW w:w="1367" w:type="pct"/>
            <w:vAlign w:val="center"/>
          </w:tcPr>
          <w:p w14:paraId="56159381"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LA QUEBRADILLA</w:t>
            </w:r>
          </w:p>
        </w:tc>
        <w:tc>
          <w:tcPr>
            <w:tcW w:w="613" w:type="pct"/>
            <w:vAlign w:val="center"/>
          </w:tcPr>
          <w:p w14:paraId="14C8A750"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25/10/1908</w:t>
            </w:r>
          </w:p>
        </w:tc>
        <w:tc>
          <w:tcPr>
            <w:tcW w:w="625" w:type="pct"/>
            <w:vAlign w:val="center"/>
          </w:tcPr>
          <w:p w14:paraId="70C76DA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24/10/3000</w:t>
            </w:r>
          </w:p>
        </w:tc>
        <w:tc>
          <w:tcPr>
            <w:tcW w:w="306" w:type="pct"/>
            <w:vAlign w:val="center"/>
          </w:tcPr>
          <w:p w14:paraId="2DC72F8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 AÑOS</w:t>
            </w:r>
          </w:p>
        </w:tc>
        <w:tc>
          <w:tcPr>
            <w:tcW w:w="784" w:type="pct"/>
            <w:vAlign w:val="center"/>
          </w:tcPr>
          <w:p w14:paraId="4D7667C4"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PLOMO</w:t>
            </w:r>
          </w:p>
        </w:tc>
        <w:tc>
          <w:tcPr>
            <w:tcW w:w="589" w:type="pct"/>
            <w:vAlign w:val="center"/>
          </w:tcPr>
          <w:p w14:paraId="5277A65D" w14:textId="77777777" w:rsidR="00C36261" w:rsidRPr="00A57ABC" w:rsidRDefault="00C36261" w:rsidP="00624091">
            <w:pPr>
              <w:widowControl w:val="0"/>
              <w:ind w:left="34" w:right="2"/>
              <w:jc w:val="center"/>
              <w:rPr>
                <w:rFonts w:eastAsiaTheme="minorHAnsi"/>
                <w:sz w:val="14"/>
                <w:szCs w:val="14"/>
                <w:lang w:eastAsia="en-US"/>
              </w:rPr>
            </w:pPr>
            <w:proofErr w:type="spellStart"/>
            <w:r w:rsidRPr="00A57ABC">
              <w:rPr>
                <w:rFonts w:eastAsiaTheme="minorHAnsi"/>
                <w:sz w:val="14"/>
                <w:szCs w:val="14"/>
                <w:lang w:eastAsia="en-US"/>
              </w:rPr>
              <w:t>Chiantla</w:t>
            </w:r>
            <w:proofErr w:type="spellEnd"/>
          </w:p>
        </w:tc>
        <w:tc>
          <w:tcPr>
            <w:tcW w:w="716" w:type="pct"/>
            <w:vAlign w:val="center"/>
          </w:tcPr>
          <w:p w14:paraId="533627A8"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2DA02914" w14:textId="77777777" w:rsidTr="005105AC">
        <w:trPr>
          <w:trHeight w:val="160"/>
          <w:jc w:val="center"/>
        </w:trPr>
        <w:tc>
          <w:tcPr>
            <w:tcW w:w="1367" w:type="pct"/>
            <w:vAlign w:val="center"/>
          </w:tcPr>
          <w:p w14:paraId="735BBD1D"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LA</w:t>
            </w:r>
            <w:r w:rsidRPr="00A57ABC">
              <w:rPr>
                <w:rFonts w:eastAsiaTheme="minorHAnsi"/>
                <w:spacing w:val="-1"/>
                <w:sz w:val="14"/>
                <w:szCs w:val="14"/>
                <w:lang w:eastAsia="en-US"/>
              </w:rPr>
              <w:t xml:space="preserve"> </w:t>
            </w:r>
            <w:r w:rsidRPr="00A57ABC">
              <w:rPr>
                <w:rFonts w:eastAsiaTheme="minorHAnsi"/>
                <w:sz w:val="14"/>
                <w:szCs w:val="14"/>
                <w:lang w:eastAsia="en-US"/>
              </w:rPr>
              <w:t>SEVERA</w:t>
            </w:r>
          </w:p>
        </w:tc>
        <w:tc>
          <w:tcPr>
            <w:tcW w:w="613" w:type="pct"/>
            <w:vAlign w:val="center"/>
          </w:tcPr>
          <w:p w14:paraId="5405422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18/05/1906</w:t>
            </w:r>
          </w:p>
        </w:tc>
        <w:tc>
          <w:tcPr>
            <w:tcW w:w="625" w:type="pct"/>
            <w:vAlign w:val="center"/>
          </w:tcPr>
          <w:p w14:paraId="7C0B74F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17/05/3000</w:t>
            </w:r>
          </w:p>
        </w:tc>
        <w:tc>
          <w:tcPr>
            <w:tcW w:w="306" w:type="pct"/>
            <w:vAlign w:val="center"/>
          </w:tcPr>
          <w:p w14:paraId="49CCA30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 AÑOS</w:t>
            </w:r>
          </w:p>
        </w:tc>
        <w:tc>
          <w:tcPr>
            <w:tcW w:w="784" w:type="pct"/>
            <w:vAlign w:val="center"/>
          </w:tcPr>
          <w:p w14:paraId="4EAC2B4E"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PLOMO</w:t>
            </w:r>
          </w:p>
        </w:tc>
        <w:tc>
          <w:tcPr>
            <w:tcW w:w="589" w:type="pct"/>
            <w:vAlign w:val="center"/>
          </w:tcPr>
          <w:p w14:paraId="10A52FA6" w14:textId="77777777" w:rsidR="00C36261" w:rsidRPr="00A57ABC" w:rsidRDefault="00C36261" w:rsidP="00624091">
            <w:pPr>
              <w:widowControl w:val="0"/>
              <w:ind w:left="34" w:right="2"/>
              <w:jc w:val="center"/>
              <w:rPr>
                <w:rFonts w:eastAsiaTheme="minorHAnsi"/>
                <w:sz w:val="14"/>
                <w:szCs w:val="14"/>
                <w:lang w:eastAsia="en-US"/>
              </w:rPr>
            </w:pPr>
            <w:proofErr w:type="spellStart"/>
            <w:r w:rsidRPr="00A57ABC">
              <w:rPr>
                <w:rFonts w:eastAsiaTheme="minorHAnsi"/>
                <w:sz w:val="14"/>
                <w:szCs w:val="14"/>
                <w:lang w:eastAsia="en-US"/>
              </w:rPr>
              <w:t>Chiantla</w:t>
            </w:r>
            <w:proofErr w:type="spellEnd"/>
          </w:p>
        </w:tc>
        <w:tc>
          <w:tcPr>
            <w:tcW w:w="716" w:type="pct"/>
            <w:vAlign w:val="center"/>
          </w:tcPr>
          <w:p w14:paraId="21B4BC15"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25D29359" w14:textId="77777777" w:rsidTr="005105AC">
        <w:trPr>
          <w:trHeight w:val="250"/>
          <w:jc w:val="center"/>
        </w:trPr>
        <w:tc>
          <w:tcPr>
            <w:tcW w:w="1367" w:type="pct"/>
            <w:vAlign w:val="center"/>
          </w:tcPr>
          <w:p w14:paraId="7454A7A0"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LAS</w:t>
            </w:r>
            <w:r w:rsidRPr="00A57ABC">
              <w:rPr>
                <w:rFonts w:eastAsiaTheme="minorHAnsi"/>
                <w:spacing w:val="-1"/>
                <w:sz w:val="14"/>
                <w:szCs w:val="14"/>
                <w:lang w:eastAsia="en-US"/>
              </w:rPr>
              <w:t xml:space="preserve"> </w:t>
            </w:r>
            <w:r w:rsidRPr="00A57ABC">
              <w:rPr>
                <w:rFonts w:eastAsiaTheme="minorHAnsi"/>
                <w:sz w:val="14"/>
                <w:szCs w:val="14"/>
                <w:lang w:eastAsia="en-US"/>
              </w:rPr>
              <w:t>DELICIAS</w:t>
            </w:r>
          </w:p>
        </w:tc>
        <w:tc>
          <w:tcPr>
            <w:tcW w:w="613" w:type="pct"/>
            <w:vAlign w:val="center"/>
          </w:tcPr>
          <w:p w14:paraId="6EAF8A47"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3/11/1929</w:t>
            </w:r>
          </w:p>
        </w:tc>
        <w:tc>
          <w:tcPr>
            <w:tcW w:w="625" w:type="pct"/>
            <w:vAlign w:val="center"/>
          </w:tcPr>
          <w:p w14:paraId="5F58A80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2/11/3000</w:t>
            </w:r>
          </w:p>
        </w:tc>
        <w:tc>
          <w:tcPr>
            <w:tcW w:w="306" w:type="pct"/>
            <w:vAlign w:val="center"/>
          </w:tcPr>
          <w:p w14:paraId="6732CD1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 AÑOS</w:t>
            </w:r>
          </w:p>
        </w:tc>
        <w:tc>
          <w:tcPr>
            <w:tcW w:w="784" w:type="pct"/>
            <w:vAlign w:val="center"/>
          </w:tcPr>
          <w:p w14:paraId="22F3B0B2"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PLOMO</w:t>
            </w:r>
          </w:p>
        </w:tc>
        <w:tc>
          <w:tcPr>
            <w:tcW w:w="589" w:type="pct"/>
            <w:vAlign w:val="center"/>
          </w:tcPr>
          <w:p w14:paraId="79CE6A5D" w14:textId="77777777" w:rsidR="00C36261" w:rsidRPr="00A57ABC" w:rsidRDefault="00C36261" w:rsidP="00624091">
            <w:pPr>
              <w:widowControl w:val="0"/>
              <w:ind w:left="38" w:right="2"/>
              <w:jc w:val="center"/>
              <w:rPr>
                <w:rFonts w:eastAsiaTheme="minorHAnsi"/>
                <w:sz w:val="14"/>
                <w:szCs w:val="14"/>
                <w:lang w:eastAsia="en-US"/>
              </w:rPr>
            </w:pPr>
            <w:r w:rsidRPr="00A57ABC">
              <w:rPr>
                <w:rFonts w:eastAsiaTheme="minorHAnsi"/>
                <w:sz w:val="14"/>
                <w:szCs w:val="14"/>
                <w:lang w:eastAsia="en-US"/>
              </w:rPr>
              <w:t>San Miguel</w:t>
            </w:r>
          </w:p>
          <w:p w14:paraId="7ED3597B" w14:textId="77777777" w:rsidR="00C36261" w:rsidRPr="00A57ABC" w:rsidRDefault="00C36261" w:rsidP="00624091">
            <w:pPr>
              <w:widowControl w:val="0"/>
              <w:ind w:left="39" w:right="2"/>
              <w:jc w:val="center"/>
              <w:rPr>
                <w:rFonts w:eastAsiaTheme="minorHAnsi"/>
                <w:sz w:val="14"/>
                <w:szCs w:val="14"/>
                <w:lang w:eastAsia="en-US"/>
              </w:rPr>
            </w:pPr>
            <w:proofErr w:type="spellStart"/>
            <w:r w:rsidRPr="00A57ABC">
              <w:rPr>
                <w:rFonts w:eastAsiaTheme="minorHAnsi"/>
                <w:sz w:val="14"/>
                <w:szCs w:val="14"/>
                <w:lang w:eastAsia="en-US"/>
              </w:rPr>
              <w:t>Acatan</w:t>
            </w:r>
            <w:proofErr w:type="spellEnd"/>
          </w:p>
        </w:tc>
        <w:tc>
          <w:tcPr>
            <w:tcW w:w="716" w:type="pct"/>
            <w:vAlign w:val="center"/>
          </w:tcPr>
          <w:p w14:paraId="0D1CD2E0"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2FFE7CEC" w14:textId="77777777" w:rsidTr="005105AC">
        <w:trPr>
          <w:trHeight w:val="326"/>
          <w:jc w:val="center"/>
        </w:trPr>
        <w:tc>
          <w:tcPr>
            <w:tcW w:w="1367" w:type="pct"/>
            <w:vAlign w:val="center"/>
          </w:tcPr>
          <w:p w14:paraId="2AC4797B"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LOS</w:t>
            </w:r>
            <w:r w:rsidRPr="00A57ABC">
              <w:rPr>
                <w:rFonts w:eastAsiaTheme="minorHAnsi"/>
                <w:spacing w:val="-1"/>
                <w:sz w:val="14"/>
                <w:szCs w:val="14"/>
                <w:lang w:eastAsia="en-US"/>
              </w:rPr>
              <w:t xml:space="preserve"> </w:t>
            </w:r>
            <w:r w:rsidRPr="00A57ABC">
              <w:rPr>
                <w:rFonts w:eastAsiaTheme="minorHAnsi"/>
                <w:sz w:val="14"/>
                <w:szCs w:val="14"/>
                <w:lang w:eastAsia="en-US"/>
              </w:rPr>
              <w:t>ALISOS</w:t>
            </w:r>
          </w:p>
        </w:tc>
        <w:tc>
          <w:tcPr>
            <w:tcW w:w="613" w:type="pct"/>
            <w:vAlign w:val="center"/>
          </w:tcPr>
          <w:p w14:paraId="7EA71ED0"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30/11/2001</w:t>
            </w:r>
          </w:p>
        </w:tc>
        <w:tc>
          <w:tcPr>
            <w:tcW w:w="625" w:type="pct"/>
            <w:vAlign w:val="center"/>
          </w:tcPr>
          <w:p w14:paraId="399324F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29/11/2026</w:t>
            </w:r>
          </w:p>
        </w:tc>
        <w:tc>
          <w:tcPr>
            <w:tcW w:w="306" w:type="pct"/>
            <w:vAlign w:val="center"/>
          </w:tcPr>
          <w:p w14:paraId="021E1B0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59FAB90" w14:textId="77777777" w:rsidR="00C36261" w:rsidRPr="00A57ABC" w:rsidRDefault="00C36261" w:rsidP="00624091">
            <w:pPr>
              <w:widowControl w:val="0"/>
              <w:ind w:left="208" w:right="59" w:hanging="106"/>
              <w:rPr>
                <w:rFonts w:eastAsiaTheme="minorHAnsi"/>
                <w:sz w:val="14"/>
                <w:szCs w:val="14"/>
                <w:lang w:eastAsia="en-US"/>
              </w:rPr>
            </w:pPr>
            <w:r w:rsidRPr="00A57ABC">
              <w:rPr>
                <w:rFonts w:eastAsiaTheme="minorHAnsi"/>
                <w:sz w:val="14"/>
                <w:szCs w:val="14"/>
                <w:lang w:eastAsia="en-US"/>
              </w:rPr>
              <w:t>CALIZA Y CALIZA</w:t>
            </w:r>
            <w:r w:rsidRPr="00A57ABC">
              <w:rPr>
                <w:rFonts w:eastAsiaTheme="minorHAnsi"/>
                <w:spacing w:val="-34"/>
                <w:sz w:val="14"/>
                <w:szCs w:val="14"/>
                <w:lang w:eastAsia="en-US"/>
              </w:rPr>
              <w:t xml:space="preserve"> </w:t>
            </w:r>
            <w:r w:rsidRPr="00A57ABC">
              <w:rPr>
                <w:rFonts w:eastAsiaTheme="minorHAnsi"/>
                <w:sz w:val="14"/>
                <w:szCs w:val="14"/>
                <w:lang w:eastAsia="en-US"/>
              </w:rPr>
              <w:t>DOLOMITICA</w:t>
            </w:r>
          </w:p>
        </w:tc>
        <w:tc>
          <w:tcPr>
            <w:tcW w:w="589" w:type="pct"/>
            <w:vAlign w:val="center"/>
          </w:tcPr>
          <w:p w14:paraId="79858A14" w14:textId="28272467" w:rsidR="00C36261" w:rsidRPr="00A57ABC" w:rsidRDefault="00C36261" w:rsidP="00624091">
            <w:pPr>
              <w:widowControl w:val="0"/>
              <w:ind w:left="72" w:right="37" w:hanging="2"/>
              <w:jc w:val="center"/>
              <w:rPr>
                <w:rFonts w:eastAsiaTheme="minorHAnsi"/>
                <w:sz w:val="14"/>
                <w:szCs w:val="14"/>
                <w:lang w:eastAsia="en-US"/>
              </w:rPr>
            </w:pPr>
            <w:proofErr w:type="spellStart"/>
            <w:r w:rsidRPr="00A57ABC">
              <w:rPr>
                <w:rFonts w:eastAsiaTheme="minorHAnsi"/>
                <w:sz w:val="14"/>
                <w:szCs w:val="14"/>
                <w:lang w:eastAsia="en-US"/>
              </w:rPr>
              <w:t>Chiantla</w:t>
            </w:r>
            <w:proofErr w:type="spellEnd"/>
            <w:r w:rsidRPr="00A57ABC">
              <w:rPr>
                <w:rFonts w:eastAsiaTheme="minorHAnsi"/>
                <w:sz w:val="14"/>
                <w:szCs w:val="14"/>
                <w:lang w:eastAsia="en-US"/>
              </w:rPr>
              <w:t xml:space="preserve"> </w:t>
            </w:r>
            <w:r w:rsidR="00704D47">
              <w:rPr>
                <w:rFonts w:eastAsiaTheme="minorHAnsi"/>
                <w:sz w:val="14"/>
                <w:szCs w:val="14"/>
                <w:lang w:eastAsia="en-US"/>
              </w:rPr>
              <w:t>y</w:t>
            </w:r>
            <w:r w:rsidRPr="00A57ABC">
              <w:rPr>
                <w:rFonts w:eastAsiaTheme="minorHAnsi"/>
                <w:spacing w:val="1"/>
                <w:sz w:val="14"/>
                <w:szCs w:val="14"/>
                <w:lang w:eastAsia="en-US"/>
              </w:rPr>
              <w:t xml:space="preserve"> </w:t>
            </w:r>
            <w:r w:rsidRPr="00A57ABC">
              <w:rPr>
                <w:rFonts w:eastAsiaTheme="minorHAnsi"/>
                <w:sz w:val="14"/>
                <w:szCs w:val="14"/>
                <w:lang w:eastAsia="en-US"/>
              </w:rPr>
              <w:t>Huehuetenango</w:t>
            </w:r>
            <w:r w:rsidRPr="00A57ABC">
              <w:rPr>
                <w:rFonts w:eastAsiaTheme="minorHAnsi"/>
                <w:spacing w:val="-34"/>
                <w:sz w:val="14"/>
                <w:szCs w:val="14"/>
                <w:lang w:eastAsia="en-US"/>
              </w:rPr>
              <w:t xml:space="preserve"> </w:t>
            </w:r>
          </w:p>
        </w:tc>
        <w:tc>
          <w:tcPr>
            <w:tcW w:w="716" w:type="pct"/>
            <w:vAlign w:val="center"/>
          </w:tcPr>
          <w:p w14:paraId="42B8360E"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4CA70A3E" w14:textId="77777777" w:rsidTr="005105AC">
        <w:trPr>
          <w:trHeight w:val="274"/>
          <w:jc w:val="center"/>
        </w:trPr>
        <w:tc>
          <w:tcPr>
            <w:tcW w:w="1367" w:type="pct"/>
            <w:vAlign w:val="center"/>
          </w:tcPr>
          <w:p w14:paraId="461E9217"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LOS</w:t>
            </w:r>
            <w:r w:rsidRPr="00A57ABC">
              <w:rPr>
                <w:rFonts w:eastAsiaTheme="minorHAnsi"/>
                <w:spacing w:val="-2"/>
                <w:sz w:val="14"/>
                <w:szCs w:val="14"/>
                <w:lang w:eastAsia="en-US"/>
              </w:rPr>
              <w:t xml:space="preserve"> </w:t>
            </w:r>
            <w:r w:rsidRPr="00A57ABC">
              <w:rPr>
                <w:rFonts w:eastAsiaTheme="minorHAnsi"/>
                <w:sz w:val="14"/>
                <w:szCs w:val="14"/>
                <w:lang w:eastAsia="en-US"/>
              </w:rPr>
              <w:t>LIRIOS</w:t>
            </w:r>
          </w:p>
        </w:tc>
        <w:tc>
          <w:tcPr>
            <w:tcW w:w="613" w:type="pct"/>
            <w:vAlign w:val="center"/>
          </w:tcPr>
          <w:p w14:paraId="79EC562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10/05/1994</w:t>
            </w:r>
          </w:p>
        </w:tc>
        <w:tc>
          <w:tcPr>
            <w:tcW w:w="625" w:type="pct"/>
            <w:vAlign w:val="center"/>
          </w:tcPr>
          <w:p w14:paraId="0E2B6D6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9/05/2034</w:t>
            </w:r>
          </w:p>
        </w:tc>
        <w:tc>
          <w:tcPr>
            <w:tcW w:w="306" w:type="pct"/>
            <w:vAlign w:val="center"/>
          </w:tcPr>
          <w:p w14:paraId="64FED8A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40 AÑOS</w:t>
            </w:r>
          </w:p>
        </w:tc>
        <w:tc>
          <w:tcPr>
            <w:tcW w:w="784" w:type="pct"/>
            <w:vAlign w:val="center"/>
          </w:tcPr>
          <w:p w14:paraId="1FCB8413" w14:textId="77777777" w:rsidR="00C36261" w:rsidRPr="00A57ABC" w:rsidRDefault="00C36261" w:rsidP="00624091">
            <w:pPr>
              <w:widowControl w:val="0"/>
              <w:ind w:left="35"/>
              <w:jc w:val="center"/>
              <w:rPr>
                <w:rFonts w:eastAsiaTheme="minorHAnsi"/>
                <w:sz w:val="14"/>
                <w:szCs w:val="14"/>
                <w:lang w:val="es-GT" w:eastAsia="en-US"/>
              </w:rPr>
            </w:pPr>
            <w:r w:rsidRPr="00A57ABC">
              <w:rPr>
                <w:rFonts w:eastAsiaTheme="minorHAnsi"/>
                <w:sz w:val="14"/>
                <w:szCs w:val="14"/>
                <w:lang w:val="es-GT" w:eastAsia="en-US"/>
              </w:rPr>
              <w:t>ANTIMONIO,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PLOMO, PLATA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ARSENOPIRITA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AURÍFERA</w:t>
            </w:r>
          </w:p>
        </w:tc>
        <w:tc>
          <w:tcPr>
            <w:tcW w:w="589" w:type="pct"/>
            <w:vAlign w:val="center"/>
          </w:tcPr>
          <w:p w14:paraId="71B3BBD0" w14:textId="77777777" w:rsidR="00C36261" w:rsidRPr="00A57ABC" w:rsidRDefault="00C36261" w:rsidP="00624091">
            <w:pPr>
              <w:widowControl w:val="0"/>
              <w:ind w:left="197" w:right="57" w:hanging="89"/>
              <w:jc w:val="center"/>
              <w:rPr>
                <w:rFonts w:eastAsiaTheme="minorHAnsi"/>
                <w:sz w:val="14"/>
                <w:szCs w:val="14"/>
                <w:lang w:eastAsia="en-US"/>
              </w:rPr>
            </w:pPr>
            <w:r w:rsidRPr="00A57ABC">
              <w:rPr>
                <w:rFonts w:eastAsiaTheme="minorHAnsi"/>
                <w:sz w:val="14"/>
                <w:szCs w:val="14"/>
                <w:lang w:eastAsia="en-US"/>
              </w:rPr>
              <w:t xml:space="preserve">San </w:t>
            </w:r>
            <w:proofErr w:type="spellStart"/>
            <w:r w:rsidRPr="00A57ABC">
              <w:rPr>
                <w:rFonts w:eastAsiaTheme="minorHAnsi"/>
                <w:sz w:val="14"/>
                <w:szCs w:val="14"/>
                <w:lang w:eastAsia="en-US"/>
              </w:rPr>
              <w:t>Idelfonso</w:t>
            </w:r>
            <w:proofErr w:type="spellEnd"/>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Ixtahuacan</w:t>
            </w:r>
            <w:proofErr w:type="spellEnd"/>
          </w:p>
        </w:tc>
        <w:tc>
          <w:tcPr>
            <w:tcW w:w="716" w:type="pct"/>
            <w:vAlign w:val="center"/>
          </w:tcPr>
          <w:p w14:paraId="3C1A010C"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0A86730F" w14:textId="77777777" w:rsidTr="005105AC">
        <w:trPr>
          <w:trHeight w:val="43"/>
          <w:jc w:val="center"/>
        </w:trPr>
        <w:tc>
          <w:tcPr>
            <w:tcW w:w="1367" w:type="pct"/>
            <w:vAlign w:val="center"/>
          </w:tcPr>
          <w:p w14:paraId="126AB346"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SAN</w:t>
            </w:r>
            <w:r w:rsidRPr="00A57ABC">
              <w:rPr>
                <w:rFonts w:eastAsiaTheme="minorHAnsi"/>
                <w:spacing w:val="-2"/>
                <w:sz w:val="14"/>
                <w:szCs w:val="14"/>
                <w:lang w:eastAsia="en-US"/>
              </w:rPr>
              <w:t xml:space="preserve"> </w:t>
            </w:r>
            <w:r w:rsidRPr="00A57ABC">
              <w:rPr>
                <w:rFonts w:eastAsiaTheme="minorHAnsi"/>
                <w:sz w:val="14"/>
                <w:szCs w:val="14"/>
                <w:lang w:eastAsia="en-US"/>
              </w:rPr>
              <w:t>CRISTOBAL</w:t>
            </w:r>
          </w:p>
        </w:tc>
        <w:tc>
          <w:tcPr>
            <w:tcW w:w="613" w:type="pct"/>
            <w:vAlign w:val="center"/>
          </w:tcPr>
          <w:p w14:paraId="4D6A8FE3"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7/08/1922</w:t>
            </w:r>
          </w:p>
        </w:tc>
        <w:tc>
          <w:tcPr>
            <w:tcW w:w="625" w:type="pct"/>
            <w:vAlign w:val="center"/>
          </w:tcPr>
          <w:p w14:paraId="7D168CAA" w14:textId="77777777" w:rsidR="00C36261" w:rsidRPr="00A57ABC" w:rsidRDefault="00C36261" w:rsidP="00624091">
            <w:pPr>
              <w:widowControl w:val="0"/>
              <w:ind w:left="33" w:right="2"/>
              <w:jc w:val="center"/>
              <w:rPr>
                <w:rFonts w:eastAsiaTheme="minorHAnsi"/>
                <w:sz w:val="14"/>
                <w:szCs w:val="14"/>
                <w:lang w:eastAsia="en-US"/>
              </w:rPr>
            </w:pPr>
            <w:r w:rsidRPr="00A57ABC">
              <w:rPr>
                <w:rFonts w:eastAsiaTheme="minorHAnsi"/>
                <w:sz w:val="14"/>
                <w:szCs w:val="14"/>
                <w:lang w:eastAsia="en-US"/>
              </w:rPr>
              <w:t>&lt;Null&gt;</w:t>
            </w:r>
          </w:p>
        </w:tc>
        <w:tc>
          <w:tcPr>
            <w:tcW w:w="306" w:type="pct"/>
            <w:vAlign w:val="center"/>
          </w:tcPr>
          <w:p w14:paraId="2D83F4D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1000 AÑOS</w:t>
            </w:r>
          </w:p>
        </w:tc>
        <w:tc>
          <w:tcPr>
            <w:tcW w:w="784" w:type="pct"/>
            <w:vAlign w:val="center"/>
          </w:tcPr>
          <w:p w14:paraId="1DF6F104" w14:textId="77777777" w:rsidR="00C36261" w:rsidRPr="00A57ABC" w:rsidRDefault="00C36261" w:rsidP="00624091">
            <w:pPr>
              <w:widowControl w:val="0"/>
              <w:ind w:left="386"/>
              <w:rPr>
                <w:rFonts w:eastAsiaTheme="minorHAnsi"/>
                <w:sz w:val="14"/>
                <w:szCs w:val="14"/>
                <w:lang w:eastAsia="en-US"/>
              </w:rPr>
            </w:pPr>
            <w:r w:rsidRPr="00A57ABC">
              <w:rPr>
                <w:rFonts w:eastAsiaTheme="minorHAnsi"/>
                <w:sz w:val="14"/>
                <w:szCs w:val="14"/>
                <w:lang w:eastAsia="en-US"/>
              </w:rPr>
              <w:t>PLOMO</w:t>
            </w:r>
          </w:p>
        </w:tc>
        <w:tc>
          <w:tcPr>
            <w:tcW w:w="589" w:type="pct"/>
            <w:vAlign w:val="center"/>
          </w:tcPr>
          <w:p w14:paraId="7DAC67A9"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 xml:space="preserve">San Juan </w:t>
            </w:r>
            <w:proofErr w:type="spellStart"/>
            <w:r w:rsidRPr="00A57ABC">
              <w:rPr>
                <w:rFonts w:eastAsiaTheme="minorHAnsi"/>
                <w:sz w:val="14"/>
                <w:szCs w:val="14"/>
                <w:lang w:eastAsia="en-US"/>
              </w:rPr>
              <w:t>Atitan</w:t>
            </w:r>
            <w:proofErr w:type="spellEnd"/>
          </w:p>
        </w:tc>
        <w:tc>
          <w:tcPr>
            <w:tcW w:w="716" w:type="pct"/>
            <w:vAlign w:val="center"/>
          </w:tcPr>
          <w:p w14:paraId="36703AA4"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1C19C951" w14:textId="77777777" w:rsidTr="005105AC">
        <w:trPr>
          <w:trHeight w:val="130"/>
          <w:jc w:val="center"/>
        </w:trPr>
        <w:tc>
          <w:tcPr>
            <w:tcW w:w="1367" w:type="pct"/>
            <w:vAlign w:val="center"/>
          </w:tcPr>
          <w:p w14:paraId="62F8B2E1"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SANTA RITA</w:t>
            </w:r>
          </w:p>
        </w:tc>
        <w:tc>
          <w:tcPr>
            <w:tcW w:w="613" w:type="pct"/>
            <w:vAlign w:val="center"/>
          </w:tcPr>
          <w:p w14:paraId="79F356EC"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9/08/1922</w:t>
            </w:r>
          </w:p>
        </w:tc>
        <w:tc>
          <w:tcPr>
            <w:tcW w:w="625" w:type="pct"/>
            <w:vAlign w:val="center"/>
          </w:tcPr>
          <w:p w14:paraId="075A9F3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8/08/3000</w:t>
            </w:r>
          </w:p>
        </w:tc>
        <w:tc>
          <w:tcPr>
            <w:tcW w:w="306" w:type="pct"/>
            <w:vAlign w:val="center"/>
          </w:tcPr>
          <w:p w14:paraId="3A9B923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1000 AÑOS</w:t>
            </w:r>
          </w:p>
        </w:tc>
        <w:tc>
          <w:tcPr>
            <w:tcW w:w="784" w:type="pct"/>
            <w:vAlign w:val="center"/>
          </w:tcPr>
          <w:p w14:paraId="7D463F5E" w14:textId="77777777" w:rsidR="00C36261" w:rsidRPr="00A57ABC" w:rsidRDefault="00C36261" w:rsidP="00624091">
            <w:pPr>
              <w:widowControl w:val="0"/>
              <w:ind w:left="386"/>
              <w:rPr>
                <w:rFonts w:eastAsiaTheme="minorHAnsi"/>
                <w:sz w:val="14"/>
                <w:szCs w:val="14"/>
                <w:lang w:eastAsia="en-US"/>
              </w:rPr>
            </w:pPr>
            <w:r w:rsidRPr="00A57ABC">
              <w:rPr>
                <w:rFonts w:eastAsiaTheme="minorHAnsi"/>
                <w:sz w:val="14"/>
                <w:szCs w:val="14"/>
                <w:lang w:eastAsia="en-US"/>
              </w:rPr>
              <w:t>PLOMO</w:t>
            </w:r>
          </w:p>
        </w:tc>
        <w:tc>
          <w:tcPr>
            <w:tcW w:w="589" w:type="pct"/>
            <w:vAlign w:val="center"/>
          </w:tcPr>
          <w:p w14:paraId="0AF9FA1B"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 xml:space="preserve">San Juan </w:t>
            </w:r>
            <w:proofErr w:type="spellStart"/>
            <w:r w:rsidRPr="00A57ABC">
              <w:rPr>
                <w:rFonts w:eastAsiaTheme="minorHAnsi"/>
                <w:sz w:val="14"/>
                <w:szCs w:val="14"/>
                <w:lang w:eastAsia="en-US"/>
              </w:rPr>
              <w:t>Atitan</w:t>
            </w:r>
            <w:proofErr w:type="spellEnd"/>
          </w:p>
        </w:tc>
        <w:tc>
          <w:tcPr>
            <w:tcW w:w="716" w:type="pct"/>
            <w:vAlign w:val="center"/>
          </w:tcPr>
          <w:p w14:paraId="32FC8226"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078BC455" w14:textId="77777777" w:rsidTr="005105AC">
        <w:trPr>
          <w:trHeight w:val="64"/>
          <w:jc w:val="center"/>
        </w:trPr>
        <w:tc>
          <w:tcPr>
            <w:tcW w:w="1367" w:type="pct"/>
            <w:vAlign w:val="center"/>
          </w:tcPr>
          <w:p w14:paraId="49B159C2"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SANTO</w:t>
            </w:r>
            <w:r w:rsidRPr="00A57ABC">
              <w:rPr>
                <w:rFonts w:eastAsiaTheme="minorHAnsi"/>
                <w:spacing w:val="-1"/>
                <w:sz w:val="14"/>
                <w:szCs w:val="14"/>
                <w:lang w:eastAsia="en-US"/>
              </w:rPr>
              <w:t xml:space="preserve"> </w:t>
            </w:r>
            <w:r w:rsidRPr="00A57ABC">
              <w:rPr>
                <w:rFonts w:eastAsiaTheme="minorHAnsi"/>
                <w:sz w:val="14"/>
                <w:szCs w:val="14"/>
                <w:lang w:eastAsia="en-US"/>
              </w:rPr>
              <w:t>DOMINGO</w:t>
            </w:r>
          </w:p>
        </w:tc>
        <w:tc>
          <w:tcPr>
            <w:tcW w:w="613" w:type="pct"/>
            <w:vAlign w:val="center"/>
          </w:tcPr>
          <w:p w14:paraId="149F2CEE"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30/09/1909</w:t>
            </w:r>
          </w:p>
        </w:tc>
        <w:tc>
          <w:tcPr>
            <w:tcW w:w="625" w:type="pct"/>
            <w:vAlign w:val="center"/>
          </w:tcPr>
          <w:p w14:paraId="07F6F18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29/09/3000</w:t>
            </w:r>
          </w:p>
        </w:tc>
        <w:tc>
          <w:tcPr>
            <w:tcW w:w="306" w:type="pct"/>
            <w:vAlign w:val="center"/>
          </w:tcPr>
          <w:p w14:paraId="4670206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1000 AÑOS</w:t>
            </w:r>
          </w:p>
        </w:tc>
        <w:tc>
          <w:tcPr>
            <w:tcW w:w="784" w:type="pct"/>
            <w:vAlign w:val="center"/>
          </w:tcPr>
          <w:p w14:paraId="1BF361F4" w14:textId="77777777" w:rsidR="00C36261" w:rsidRPr="00A57ABC" w:rsidRDefault="00C36261" w:rsidP="00624091">
            <w:pPr>
              <w:widowControl w:val="0"/>
              <w:ind w:left="398"/>
              <w:rPr>
                <w:rFonts w:eastAsiaTheme="minorHAnsi"/>
                <w:sz w:val="14"/>
                <w:szCs w:val="14"/>
                <w:lang w:eastAsia="en-US"/>
              </w:rPr>
            </w:pPr>
            <w:r w:rsidRPr="00A57ABC">
              <w:rPr>
                <w:rFonts w:eastAsiaTheme="minorHAnsi"/>
                <w:sz w:val="14"/>
                <w:szCs w:val="14"/>
                <w:lang w:eastAsia="en-US"/>
              </w:rPr>
              <w:t>SALINA</w:t>
            </w:r>
          </w:p>
        </w:tc>
        <w:tc>
          <w:tcPr>
            <w:tcW w:w="589" w:type="pct"/>
            <w:vAlign w:val="center"/>
          </w:tcPr>
          <w:p w14:paraId="07FE7D53" w14:textId="77777777" w:rsidR="00C36261" w:rsidRPr="00A57ABC" w:rsidRDefault="00C36261" w:rsidP="00624091">
            <w:pPr>
              <w:widowControl w:val="0"/>
              <w:ind w:left="37" w:right="2"/>
              <w:jc w:val="center"/>
              <w:rPr>
                <w:rFonts w:eastAsiaTheme="minorHAnsi"/>
                <w:sz w:val="14"/>
                <w:szCs w:val="14"/>
                <w:lang w:eastAsia="en-US"/>
              </w:rPr>
            </w:pPr>
            <w:proofErr w:type="spellStart"/>
            <w:r w:rsidRPr="00A57ABC">
              <w:rPr>
                <w:rFonts w:eastAsiaTheme="minorHAnsi"/>
                <w:sz w:val="14"/>
                <w:szCs w:val="14"/>
                <w:lang w:eastAsia="en-US"/>
              </w:rPr>
              <w:t>Jacaltenango</w:t>
            </w:r>
            <w:proofErr w:type="spellEnd"/>
          </w:p>
        </w:tc>
        <w:tc>
          <w:tcPr>
            <w:tcW w:w="716" w:type="pct"/>
            <w:vAlign w:val="center"/>
          </w:tcPr>
          <w:p w14:paraId="495CC8AF"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45E27383" w14:textId="77777777" w:rsidTr="005105AC">
        <w:trPr>
          <w:trHeight w:val="1288"/>
          <w:jc w:val="center"/>
        </w:trPr>
        <w:tc>
          <w:tcPr>
            <w:tcW w:w="1367" w:type="pct"/>
            <w:vAlign w:val="center"/>
          </w:tcPr>
          <w:p w14:paraId="36DCB3E1"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TORLON</w:t>
            </w:r>
          </w:p>
        </w:tc>
        <w:tc>
          <w:tcPr>
            <w:tcW w:w="613" w:type="pct"/>
            <w:vAlign w:val="center"/>
          </w:tcPr>
          <w:p w14:paraId="320B640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28/06/1901</w:t>
            </w:r>
          </w:p>
        </w:tc>
        <w:tc>
          <w:tcPr>
            <w:tcW w:w="625" w:type="pct"/>
            <w:vAlign w:val="center"/>
          </w:tcPr>
          <w:p w14:paraId="71D86C1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27/06/3000</w:t>
            </w:r>
          </w:p>
        </w:tc>
        <w:tc>
          <w:tcPr>
            <w:tcW w:w="306" w:type="pct"/>
            <w:vAlign w:val="center"/>
          </w:tcPr>
          <w:p w14:paraId="7E922C3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1000 AÑOS</w:t>
            </w:r>
          </w:p>
        </w:tc>
        <w:tc>
          <w:tcPr>
            <w:tcW w:w="784" w:type="pct"/>
            <w:vAlign w:val="center"/>
          </w:tcPr>
          <w:p w14:paraId="51CB68AE" w14:textId="77777777" w:rsidR="00C36261" w:rsidRPr="00A57ABC" w:rsidRDefault="00C36261" w:rsidP="00624091">
            <w:pPr>
              <w:widowControl w:val="0"/>
              <w:ind w:left="38" w:right="5"/>
              <w:jc w:val="center"/>
              <w:rPr>
                <w:rFonts w:eastAsiaTheme="minorHAnsi"/>
                <w:sz w:val="14"/>
                <w:szCs w:val="14"/>
                <w:lang w:val="es-GT" w:eastAsia="en-US"/>
              </w:rPr>
            </w:pPr>
            <w:r w:rsidRPr="00A57ABC">
              <w:rPr>
                <w:rFonts w:eastAsiaTheme="minorHAnsi"/>
                <w:sz w:val="14"/>
                <w:szCs w:val="14"/>
                <w:lang w:val="es-GT" w:eastAsia="en-US"/>
              </w:rPr>
              <w:t>PLOMO, PLOMO,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ARGENTITA,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PLATA, GALENA,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CERUSITA,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SMITHSONITA,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BLENDA,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HEMIMORFITA,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ZINC,</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CALCOPIRITA,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COBRE,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ANTIMONITA,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ANTIMONIO,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PENTLANDITA,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NICO</w:t>
            </w:r>
          </w:p>
        </w:tc>
        <w:tc>
          <w:tcPr>
            <w:tcW w:w="589" w:type="pct"/>
            <w:vAlign w:val="center"/>
          </w:tcPr>
          <w:p w14:paraId="6F6A8EC7" w14:textId="77777777" w:rsidR="00C36261" w:rsidRPr="00A57ABC" w:rsidRDefault="00C36261" w:rsidP="00624091">
            <w:pPr>
              <w:widowControl w:val="0"/>
              <w:ind w:left="72" w:right="37" w:firstLine="2"/>
              <w:jc w:val="center"/>
              <w:rPr>
                <w:rFonts w:eastAsiaTheme="minorHAnsi"/>
                <w:sz w:val="14"/>
                <w:szCs w:val="14"/>
                <w:lang w:eastAsia="en-US"/>
              </w:rPr>
            </w:pPr>
            <w:r w:rsidRPr="00A57ABC">
              <w:rPr>
                <w:rFonts w:eastAsiaTheme="minorHAnsi"/>
                <w:sz w:val="14"/>
                <w:szCs w:val="14"/>
                <w:lang w:eastAsia="en-US"/>
              </w:rPr>
              <w:t>San Sebastian</w:t>
            </w:r>
            <w:r w:rsidRPr="00A57ABC">
              <w:rPr>
                <w:rFonts w:eastAsiaTheme="minorHAnsi"/>
                <w:spacing w:val="1"/>
                <w:sz w:val="14"/>
                <w:szCs w:val="14"/>
                <w:lang w:eastAsia="en-US"/>
              </w:rPr>
              <w:t xml:space="preserve"> </w:t>
            </w:r>
            <w:r w:rsidRPr="00A57ABC">
              <w:rPr>
                <w:rFonts w:eastAsiaTheme="minorHAnsi"/>
                <w:sz w:val="14"/>
                <w:szCs w:val="14"/>
                <w:lang w:eastAsia="en-US"/>
              </w:rPr>
              <w:t>Huehuetenango</w:t>
            </w:r>
            <w:r w:rsidRPr="00A57ABC">
              <w:rPr>
                <w:rFonts w:eastAsiaTheme="minorHAnsi"/>
                <w:spacing w:val="-34"/>
                <w:sz w:val="14"/>
                <w:szCs w:val="14"/>
                <w:lang w:eastAsia="en-US"/>
              </w:rPr>
              <w:t xml:space="preserve"> </w:t>
            </w:r>
            <w:r w:rsidRPr="00A57ABC">
              <w:rPr>
                <w:rFonts w:eastAsiaTheme="minorHAnsi"/>
                <w:sz w:val="14"/>
                <w:szCs w:val="14"/>
                <w:lang w:eastAsia="en-US"/>
              </w:rPr>
              <w:t>O</w:t>
            </w:r>
          </w:p>
        </w:tc>
        <w:tc>
          <w:tcPr>
            <w:tcW w:w="716" w:type="pct"/>
            <w:vAlign w:val="center"/>
          </w:tcPr>
          <w:p w14:paraId="63A4D73F"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7E57F485" w14:textId="77777777" w:rsidTr="005105AC">
        <w:trPr>
          <w:trHeight w:val="105"/>
          <w:jc w:val="center"/>
        </w:trPr>
        <w:tc>
          <w:tcPr>
            <w:tcW w:w="1367" w:type="pct"/>
            <w:vAlign w:val="center"/>
          </w:tcPr>
          <w:p w14:paraId="1B764A73"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VICTORIA</w:t>
            </w:r>
          </w:p>
        </w:tc>
        <w:tc>
          <w:tcPr>
            <w:tcW w:w="613" w:type="pct"/>
            <w:vAlign w:val="center"/>
          </w:tcPr>
          <w:p w14:paraId="2412D9CC"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4/05/1910</w:t>
            </w:r>
          </w:p>
        </w:tc>
        <w:tc>
          <w:tcPr>
            <w:tcW w:w="625" w:type="pct"/>
            <w:vAlign w:val="center"/>
          </w:tcPr>
          <w:p w14:paraId="023A2D8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3/05/3000</w:t>
            </w:r>
          </w:p>
        </w:tc>
        <w:tc>
          <w:tcPr>
            <w:tcW w:w="306" w:type="pct"/>
            <w:vAlign w:val="center"/>
          </w:tcPr>
          <w:p w14:paraId="0CF1FD7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1000 AÑOS</w:t>
            </w:r>
          </w:p>
        </w:tc>
        <w:tc>
          <w:tcPr>
            <w:tcW w:w="784" w:type="pct"/>
            <w:vAlign w:val="center"/>
          </w:tcPr>
          <w:p w14:paraId="3A94D0FD"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PLOMO</w:t>
            </w:r>
            <w:r w:rsidRPr="00A57ABC">
              <w:rPr>
                <w:rFonts w:eastAsiaTheme="minorHAnsi"/>
                <w:spacing w:val="-2"/>
                <w:sz w:val="14"/>
                <w:szCs w:val="14"/>
                <w:lang w:eastAsia="en-US"/>
              </w:rPr>
              <w:t xml:space="preserve"> </w:t>
            </w:r>
            <w:r w:rsidRPr="00A57ABC">
              <w:rPr>
                <w:rFonts w:eastAsiaTheme="minorHAnsi"/>
                <w:sz w:val="14"/>
                <w:szCs w:val="14"/>
                <w:lang w:eastAsia="en-US"/>
              </w:rPr>
              <w:t>Y PLATA</w:t>
            </w:r>
          </w:p>
        </w:tc>
        <w:tc>
          <w:tcPr>
            <w:tcW w:w="589" w:type="pct"/>
            <w:vAlign w:val="center"/>
          </w:tcPr>
          <w:p w14:paraId="7A224AD2" w14:textId="77777777" w:rsidR="00C36261" w:rsidRPr="00A57ABC" w:rsidRDefault="00C36261" w:rsidP="00624091">
            <w:pPr>
              <w:widowControl w:val="0"/>
              <w:ind w:left="34" w:right="2"/>
              <w:jc w:val="center"/>
              <w:rPr>
                <w:rFonts w:eastAsiaTheme="minorHAnsi"/>
                <w:sz w:val="14"/>
                <w:szCs w:val="14"/>
                <w:lang w:eastAsia="en-US"/>
              </w:rPr>
            </w:pPr>
            <w:proofErr w:type="spellStart"/>
            <w:r w:rsidRPr="00A57ABC">
              <w:rPr>
                <w:rFonts w:eastAsiaTheme="minorHAnsi"/>
                <w:sz w:val="14"/>
                <w:szCs w:val="14"/>
                <w:lang w:eastAsia="en-US"/>
              </w:rPr>
              <w:t>Chiantla</w:t>
            </w:r>
            <w:proofErr w:type="spellEnd"/>
          </w:p>
        </w:tc>
        <w:tc>
          <w:tcPr>
            <w:tcW w:w="716" w:type="pct"/>
            <w:vAlign w:val="center"/>
          </w:tcPr>
          <w:p w14:paraId="109D51CE"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Huehuetenango</w:t>
            </w:r>
          </w:p>
        </w:tc>
      </w:tr>
      <w:tr w:rsidR="00C36261" w:rsidRPr="00A57ABC" w14:paraId="2574490A" w14:textId="77777777" w:rsidTr="005105AC">
        <w:trPr>
          <w:trHeight w:val="322"/>
          <w:jc w:val="center"/>
        </w:trPr>
        <w:tc>
          <w:tcPr>
            <w:tcW w:w="1367" w:type="pct"/>
            <w:vAlign w:val="center"/>
          </w:tcPr>
          <w:p w14:paraId="0F4C845C" w14:textId="77777777" w:rsidR="00C36261" w:rsidRPr="00A57ABC" w:rsidRDefault="00C36261" w:rsidP="00624091">
            <w:pPr>
              <w:widowControl w:val="0"/>
              <w:ind w:left="317" w:right="71" w:hanging="212"/>
              <w:rPr>
                <w:rFonts w:eastAsiaTheme="minorHAnsi"/>
                <w:sz w:val="14"/>
                <w:szCs w:val="14"/>
                <w:lang w:eastAsia="en-US"/>
              </w:rPr>
            </w:pPr>
            <w:r w:rsidRPr="00A57ABC">
              <w:rPr>
                <w:rFonts w:eastAsiaTheme="minorHAnsi"/>
                <w:sz w:val="14"/>
                <w:szCs w:val="14"/>
                <w:lang w:eastAsia="en-US"/>
              </w:rPr>
              <w:t>CANTERA AGUA</w:t>
            </w:r>
            <w:r w:rsidRPr="00A57ABC">
              <w:rPr>
                <w:rFonts w:eastAsiaTheme="minorHAnsi"/>
                <w:spacing w:val="-34"/>
                <w:sz w:val="14"/>
                <w:szCs w:val="14"/>
                <w:lang w:eastAsia="en-US"/>
              </w:rPr>
              <w:t xml:space="preserve"> </w:t>
            </w:r>
            <w:r w:rsidRPr="00A57ABC">
              <w:rPr>
                <w:rFonts w:eastAsiaTheme="minorHAnsi"/>
                <w:sz w:val="14"/>
                <w:szCs w:val="14"/>
                <w:lang w:eastAsia="en-US"/>
              </w:rPr>
              <w:t>CALIENTE</w:t>
            </w:r>
          </w:p>
        </w:tc>
        <w:tc>
          <w:tcPr>
            <w:tcW w:w="613" w:type="pct"/>
            <w:vAlign w:val="center"/>
          </w:tcPr>
          <w:p w14:paraId="61645AB4"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16/05/2008</w:t>
            </w:r>
          </w:p>
        </w:tc>
        <w:tc>
          <w:tcPr>
            <w:tcW w:w="625" w:type="pct"/>
            <w:vAlign w:val="center"/>
          </w:tcPr>
          <w:p w14:paraId="19C50FF3"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15/05/2033</w:t>
            </w:r>
          </w:p>
        </w:tc>
        <w:tc>
          <w:tcPr>
            <w:tcW w:w="306" w:type="pct"/>
            <w:vAlign w:val="center"/>
          </w:tcPr>
          <w:p w14:paraId="2EED0FD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7861328" w14:textId="77777777" w:rsidR="00C36261" w:rsidRPr="00A57ABC" w:rsidRDefault="00C36261" w:rsidP="00624091">
            <w:pPr>
              <w:widowControl w:val="0"/>
              <w:ind w:left="32"/>
              <w:jc w:val="center"/>
              <w:rPr>
                <w:rFonts w:eastAsiaTheme="minorHAnsi"/>
                <w:sz w:val="14"/>
                <w:szCs w:val="14"/>
                <w:lang w:val="es-GT" w:eastAsia="en-US"/>
              </w:rPr>
            </w:pPr>
            <w:r w:rsidRPr="00A57ABC">
              <w:rPr>
                <w:rFonts w:eastAsiaTheme="minorHAnsi"/>
                <w:sz w:val="14"/>
                <w:szCs w:val="14"/>
                <w:lang w:val="es-GT" w:eastAsia="en-US"/>
              </w:rPr>
              <w:t>CALIZA,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 Y</w:t>
            </w:r>
          </w:p>
          <w:p w14:paraId="4D99D420" w14:textId="77777777" w:rsidR="00C36261" w:rsidRPr="00A57ABC" w:rsidRDefault="00C36261" w:rsidP="00624091">
            <w:pPr>
              <w:widowControl w:val="0"/>
              <w:ind w:left="208" w:right="172" w:hanging="1"/>
              <w:jc w:val="center"/>
              <w:rPr>
                <w:rFonts w:eastAsiaTheme="minorHAnsi"/>
                <w:sz w:val="14"/>
                <w:szCs w:val="14"/>
                <w:lang w:val="es-GT" w:eastAsia="en-US"/>
              </w:rPr>
            </w:pPr>
            <w:r w:rsidRPr="00A57ABC">
              <w:rPr>
                <w:rFonts w:eastAsiaTheme="minorHAnsi"/>
                <w:sz w:val="14"/>
                <w:szCs w:val="14"/>
                <w:lang w:val="es-GT" w:eastAsia="en-US"/>
              </w:rPr>
              <w:t>CALIZA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DOLOMITICA</w:t>
            </w:r>
          </w:p>
        </w:tc>
        <w:tc>
          <w:tcPr>
            <w:tcW w:w="589" w:type="pct"/>
            <w:vAlign w:val="center"/>
          </w:tcPr>
          <w:p w14:paraId="3AE6852E"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Puerto</w:t>
            </w:r>
            <w:r w:rsidRPr="00A57ABC">
              <w:rPr>
                <w:rFonts w:eastAsiaTheme="minorHAnsi"/>
                <w:spacing w:val="-2"/>
                <w:sz w:val="14"/>
                <w:szCs w:val="14"/>
                <w:lang w:eastAsia="en-US"/>
              </w:rPr>
              <w:t xml:space="preserve"> </w:t>
            </w:r>
            <w:r w:rsidRPr="00A57ABC">
              <w:rPr>
                <w:rFonts w:eastAsiaTheme="minorHAnsi"/>
                <w:sz w:val="14"/>
                <w:szCs w:val="14"/>
                <w:lang w:eastAsia="en-US"/>
              </w:rPr>
              <w:t>Barrios</w:t>
            </w:r>
          </w:p>
        </w:tc>
        <w:tc>
          <w:tcPr>
            <w:tcW w:w="716" w:type="pct"/>
            <w:vAlign w:val="center"/>
          </w:tcPr>
          <w:p w14:paraId="0641CD79"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0449DC83" w14:textId="77777777" w:rsidTr="005105AC">
        <w:trPr>
          <w:trHeight w:val="953"/>
          <w:jc w:val="center"/>
        </w:trPr>
        <w:tc>
          <w:tcPr>
            <w:tcW w:w="1367" w:type="pct"/>
            <w:vAlign w:val="center"/>
          </w:tcPr>
          <w:p w14:paraId="6D0A262A" w14:textId="77777777" w:rsidR="00C36261" w:rsidRPr="00A57ABC" w:rsidRDefault="00C36261" w:rsidP="00624091">
            <w:pPr>
              <w:widowControl w:val="0"/>
              <w:ind w:left="406" w:right="141" w:hanging="226"/>
              <w:rPr>
                <w:rFonts w:eastAsiaTheme="minorHAnsi"/>
                <w:sz w:val="14"/>
                <w:szCs w:val="14"/>
                <w:lang w:eastAsia="en-US"/>
              </w:rPr>
            </w:pPr>
            <w:r w:rsidRPr="00A57ABC">
              <w:rPr>
                <w:rFonts w:eastAsiaTheme="minorHAnsi"/>
                <w:sz w:val="14"/>
                <w:szCs w:val="14"/>
                <w:lang w:eastAsia="en-US"/>
              </w:rPr>
              <w:t>CANTERA DEL</w:t>
            </w:r>
            <w:r w:rsidRPr="00A57ABC">
              <w:rPr>
                <w:rFonts w:eastAsiaTheme="minorHAnsi"/>
                <w:spacing w:val="-34"/>
                <w:sz w:val="14"/>
                <w:szCs w:val="14"/>
                <w:lang w:eastAsia="en-US"/>
              </w:rPr>
              <w:t xml:space="preserve"> </w:t>
            </w:r>
            <w:r w:rsidRPr="00A57ABC">
              <w:rPr>
                <w:rFonts w:eastAsiaTheme="minorHAnsi"/>
                <w:sz w:val="14"/>
                <w:szCs w:val="14"/>
                <w:lang w:eastAsia="en-US"/>
              </w:rPr>
              <w:t>NORTE</w:t>
            </w:r>
          </w:p>
        </w:tc>
        <w:tc>
          <w:tcPr>
            <w:tcW w:w="613" w:type="pct"/>
            <w:vAlign w:val="center"/>
          </w:tcPr>
          <w:p w14:paraId="64AA1928"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10/04/2012</w:t>
            </w:r>
          </w:p>
        </w:tc>
        <w:tc>
          <w:tcPr>
            <w:tcW w:w="625" w:type="pct"/>
            <w:vAlign w:val="center"/>
          </w:tcPr>
          <w:p w14:paraId="3F75160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9/04/2037</w:t>
            </w:r>
          </w:p>
        </w:tc>
        <w:tc>
          <w:tcPr>
            <w:tcW w:w="306" w:type="pct"/>
            <w:vAlign w:val="center"/>
          </w:tcPr>
          <w:p w14:paraId="051452B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7B5D8A5" w14:textId="77777777" w:rsidR="00C36261" w:rsidRPr="00A57ABC" w:rsidRDefault="00C36261" w:rsidP="00624091">
            <w:pPr>
              <w:widowControl w:val="0"/>
              <w:ind w:left="50" w:right="15" w:hanging="1"/>
              <w:jc w:val="center"/>
              <w:rPr>
                <w:rFonts w:eastAsiaTheme="minorHAnsi"/>
                <w:sz w:val="14"/>
                <w:szCs w:val="14"/>
                <w:lang w:val="es-GT" w:eastAsia="en-US"/>
              </w:rPr>
            </w:pPr>
            <w:r w:rsidRPr="00A57ABC">
              <w:rPr>
                <w:rFonts w:eastAsiaTheme="minorHAnsi"/>
                <w:sz w:val="14"/>
                <w:szCs w:val="14"/>
                <w:lang w:val="es-GT" w:eastAsia="en-US"/>
              </w:rPr>
              <w:t>ARENA POMEZ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BLANCA, 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POMEZ GRIZ,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 POMEZ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AMARILLA,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GRAVAS, CANTOS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CONGLOMERADO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S, TOBAS,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SERPENTNITAS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CALIZAS.</w:t>
            </w:r>
          </w:p>
        </w:tc>
        <w:tc>
          <w:tcPr>
            <w:tcW w:w="589" w:type="pct"/>
            <w:vAlign w:val="center"/>
          </w:tcPr>
          <w:p w14:paraId="1A68D395" w14:textId="77777777" w:rsidR="00C36261" w:rsidRPr="00A57ABC" w:rsidRDefault="00C36261" w:rsidP="00624091">
            <w:pPr>
              <w:widowControl w:val="0"/>
              <w:ind w:left="37" w:right="2"/>
              <w:jc w:val="center"/>
              <w:rPr>
                <w:rFonts w:eastAsiaTheme="minorHAnsi"/>
                <w:sz w:val="14"/>
                <w:szCs w:val="14"/>
                <w:lang w:eastAsia="en-US"/>
              </w:rPr>
            </w:pPr>
            <w:r w:rsidRPr="00A57ABC">
              <w:rPr>
                <w:rFonts w:eastAsiaTheme="minorHAnsi"/>
                <w:sz w:val="14"/>
                <w:szCs w:val="14"/>
                <w:lang w:eastAsia="en-US"/>
              </w:rPr>
              <w:t>Livingston</w:t>
            </w:r>
          </w:p>
        </w:tc>
        <w:tc>
          <w:tcPr>
            <w:tcW w:w="716" w:type="pct"/>
            <w:vAlign w:val="center"/>
          </w:tcPr>
          <w:p w14:paraId="1C870EA7"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54CC24AB" w14:textId="77777777" w:rsidTr="005105AC">
        <w:trPr>
          <w:trHeight w:val="206"/>
          <w:jc w:val="center"/>
        </w:trPr>
        <w:tc>
          <w:tcPr>
            <w:tcW w:w="1367" w:type="pct"/>
            <w:vAlign w:val="center"/>
          </w:tcPr>
          <w:p w14:paraId="209D37C7" w14:textId="77777777" w:rsidR="00C36261" w:rsidRPr="00A57ABC" w:rsidRDefault="00C36261" w:rsidP="00624091">
            <w:pPr>
              <w:widowControl w:val="0"/>
              <w:ind w:left="262" w:right="191" w:hanging="34"/>
              <w:rPr>
                <w:rFonts w:eastAsiaTheme="minorHAnsi"/>
                <w:sz w:val="14"/>
                <w:szCs w:val="14"/>
                <w:lang w:eastAsia="en-US"/>
              </w:rPr>
            </w:pPr>
            <w:r w:rsidRPr="00A57ABC">
              <w:rPr>
                <w:rFonts w:eastAsiaTheme="minorHAnsi"/>
                <w:sz w:val="14"/>
                <w:szCs w:val="14"/>
                <w:lang w:eastAsia="en-US"/>
              </w:rPr>
              <w:t>CANTERA EL</w:t>
            </w:r>
            <w:r w:rsidRPr="00A57ABC">
              <w:rPr>
                <w:rFonts w:eastAsiaTheme="minorHAnsi"/>
                <w:spacing w:val="-34"/>
                <w:sz w:val="14"/>
                <w:szCs w:val="14"/>
                <w:lang w:eastAsia="en-US"/>
              </w:rPr>
              <w:t xml:space="preserve"> </w:t>
            </w:r>
            <w:r w:rsidRPr="00A57ABC">
              <w:rPr>
                <w:rFonts w:eastAsiaTheme="minorHAnsi"/>
                <w:sz w:val="14"/>
                <w:szCs w:val="14"/>
                <w:lang w:eastAsia="en-US"/>
              </w:rPr>
              <w:t>CIMARRÓN</w:t>
            </w:r>
          </w:p>
        </w:tc>
        <w:tc>
          <w:tcPr>
            <w:tcW w:w="613" w:type="pct"/>
            <w:vAlign w:val="center"/>
          </w:tcPr>
          <w:p w14:paraId="00E9E5C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26/08/2003</w:t>
            </w:r>
          </w:p>
        </w:tc>
        <w:tc>
          <w:tcPr>
            <w:tcW w:w="625" w:type="pct"/>
            <w:vAlign w:val="center"/>
          </w:tcPr>
          <w:p w14:paraId="129BF2D3"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25/08/2028</w:t>
            </w:r>
          </w:p>
        </w:tc>
        <w:tc>
          <w:tcPr>
            <w:tcW w:w="306" w:type="pct"/>
            <w:vAlign w:val="center"/>
          </w:tcPr>
          <w:p w14:paraId="5D8D5BE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B02D046"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CALIZA</w:t>
            </w:r>
          </w:p>
        </w:tc>
        <w:tc>
          <w:tcPr>
            <w:tcW w:w="589" w:type="pct"/>
            <w:vAlign w:val="center"/>
          </w:tcPr>
          <w:p w14:paraId="75FCDA3A" w14:textId="77777777" w:rsidR="00C36261" w:rsidRPr="00A57ABC" w:rsidRDefault="00C36261" w:rsidP="00624091">
            <w:pPr>
              <w:widowControl w:val="0"/>
              <w:ind w:left="257" w:right="18" w:hanging="195"/>
              <w:jc w:val="center"/>
              <w:rPr>
                <w:rFonts w:eastAsiaTheme="minorHAnsi"/>
                <w:sz w:val="14"/>
                <w:szCs w:val="14"/>
                <w:lang w:eastAsia="en-US"/>
              </w:rPr>
            </w:pPr>
            <w:r w:rsidRPr="00A57ABC">
              <w:rPr>
                <w:rFonts w:eastAsiaTheme="minorHAnsi"/>
                <w:spacing w:val="-1"/>
                <w:sz w:val="14"/>
                <w:szCs w:val="14"/>
                <w:lang w:eastAsia="en-US"/>
              </w:rPr>
              <w:t xml:space="preserve">Puerto </w:t>
            </w:r>
            <w:r w:rsidRPr="00A57ABC">
              <w:rPr>
                <w:rFonts w:eastAsiaTheme="minorHAnsi"/>
                <w:sz w:val="14"/>
                <w:szCs w:val="14"/>
                <w:lang w:eastAsia="en-US"/>
              </w:rPr>
              <w:t>Barrios</w:t>
            </w:r>
            <w:r w:rsidRPr="00A57ABC">
              <w:rPr>
                <w:rFonts w:eastAsiaTheme="minorHAnsi"/>
                <w:spacing w:val="-34"/>
                <w:sz w:val="14"/>
                <w:szCs w:val="14"/>
                <w:lang w:eastAsia="en-US"/>
              </w:rPr>
              <w:t xml:space="preserve"> </w:t>
            </w:r>
            <w:r w:rsidRPr="00A57ABC">
              <w:rPr>
                <w:rFonts w:eastAsiaTheme="minorHAnsi"/>
                <w:sz w:val="14"/>
                <w:szCs w:val="14"/>
                <w:lang w:eastAsia="en-US"/>
              </w:rPr>
              <w:t>Y</w:t>
            </w:r>
            <w:r w:rsidRPr="00A57ABC">
              <w:rPr>
                <w:rFonts w:eastAsiaTheme="minorHAnsi"/>
                <w:spacing w:val="-1"/>
                <w:sz w:val="14"/>
                <w:szCs w:val="14"/>
                <w:lang w:eastAsia="en-US"/>
              </w:rPr>
              <w:t xml:space="preserve"> </w:t>
            </w:r>
            <w:r w:rsidRPr="00A57ABC">
              <w:rPr>
                <w:rFonts w:eastAsiaTheme="minorHAnsi"/>
                <w:sz w:val="14"/>
                <w:szCs w:val="14"/>
                <w:lang w:eastAsia="en-US"/>
              </w:rPr>
              <w:t>Morales</w:t>
            </w:r>
          </w:p>
        </w:tc>
        <w:tc>
          <w:tcPr>
            <w:tcW w:w="716" w:type="pct"/>
            <w:vAlign w:val="center"/>
          </w:tcPr>
          <w:p w14:paraId="21C31A14"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5A8CBE56" w14:textId="77777777" w:rsidTr="005105AC">
        <w:trPr>
          <w:trHeight w:val="168"/>
          <w:jc w:val="center"/>
        </w:trPr>
        <w:tc>
          <w:tcPr>
            <w:tcW w:w="1367" w:type="pct"/>
            <w:vAlign w:val="center"/>
          </w:tcPr>
          <w:p w14:paraId="36A78D36" w14:textId="77777777" w:rsidR="00C36261" w:rsidRPr="00A57ABC" w:rsidRDefault="00C36261" w:rsidP="00624091">
            <w:pPr>
              <w:widowControl w:val="0"/>
              <w:ind w:left="329" w:right="184" w:hanging="108"/>
              <w:rPr>
                <w:rFonts w:eastAsiaTheme="minorHAnsi"/>
                <w:sz w:val="14"/>
                <w:szCs w:val="14"/>
                <w:lang w:eastAsia="en-US"/>
              </w:rPr>
            </w:pPr>
            <w:r w:rsidRPr="00A57ABC">
              <w:rPr>
                <w:rFonts w:eastAsiaTheme="minorHAnsi"/>
                <w:sz w:val="14"/>
                <w:szCs w:val="14"/>
                <w:lang w:eastAsia="en-US"/>
              </w:rPr>
              <w:t>CANTERA LA</w:t>
            </w:r>
            <w:r w:rsidRPr="00A57ABC">
              <w:rPr>
                <w:rFonts w:eastAsiaTheme="minorHAnsi"/>
                <w:spacing w:val="-34"/>
                <w:sz w:val="14"/>
                <w:szCs w:val="14"/>
                <w:lang w:eastAsia="en-US"/>
              </w:rPr>
              <w:t xml:space="preserve"> </w:t>
            </w:r>
            <w:r w:rsidRPr="00A57ABC">
              <w:rPr>
                <w:rFonts w:eastAsiaTheme="minorHAnsi"/>
                <w:sz w:val="14"/>
                <w:szCs w:val="14"/>
                <w:lang w:eastAsia="en-US"/>
              </w:rPr>
              <w:t>BÁSCULA</w:t>
            </w:r>
          </w:p>
        </w:tc>
        <w:tc>
          <w:tcPr>
            <w:tcW w:w="613" w:type="pct"/>
            <w:vAlign w:val="center"/>
          </w:tcPr>
          <w:p w14:paraId="5CFB7E1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26/08/2003</w:t>
            </w:r>
          </w:p>
        </w:tc>
        <w:tc>
          <w:tcPr>
            <w:tcW w:w="625" w:type="pct"/>
            <w:vAlign w:val="center"/>
          </w:tcPr>
          <w:p w14:paraId="30B4C4D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25/08/2028</w:t>
            </w:r>
          </w:p>
        </w:tc>
        <w:tc>
          <w:tcPr>
            <w:tcW w:w="306" w:type="pct"/>
            <w:vAlign w:val="center"/>
          </w:tcPr>
          <w:p w14:paraId="1F8643B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E17A228"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CALIZA</w:t>
            </w:r>
          </w:p>
        </w:tc>
        <w:tc>
          <w:tcPr>
            <w:tcW w:w="589" w:type="pct"/>
            <w:vAlign w:val="center"/>
          </w:tcPr>
          <w:p w14:paraId="6F2E6C8B"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Puerto</w:t>
            </w:r>
            <w:r w:rsidRPr="00A57ABC">
              <w:rPr>
                <w:rFonts w:eastAsiaTheme="minorHAnsi"/>
                <w:spacing w:val="-2"/>
                <w:sz w:val="14"/>
                <w:szCs w:val="14"/>
                <w:lang w:eastAsia="en-US"/>
              </w:rPr>
              <w:t xml:space="preserve"> </w:t>
            </w:r>
            <w:r w:rsidRPr="00A57ABC">
              <w:rPr>
                <w:rFonts w:eastAsiaTheme="minorHAnsi"/>
                <w:sz w:val="14"/>
                <w:szCs w:val="14"/>
                <w:lang w:eastAsia="en-US"/>
              </w:rPr>
              <w:t>Barrios</w:t>
            </w:r>
          </w:p>
        </w:tc>
        <w:tc>
          <w:tcPr>
            <w:tcW w:w="716" w:type="pct"/>
            <w:vAlign w:val="center"/>
          </w:tcPr>
          <w:p w14:paraId="1D3021C8"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39A0528B" w14:textId="77777777" w:rsidTr="005105AC">
        <w:trPr>
          <w:trHeight w:val="103"/>
          <w:jc w:val="center"/>
        </w:trPr>
        <w:tc>
          <w:tcPr>
            <w:tcW w:w="1367" w:type="pct"/>
            <w:vAlign w:val="center"/>
          </w:tcPr>
          <w:p w14:paraId="095881A1"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CARBON</w:t>
            </w:r>
            <w:r w:rsidRPr="00A57ABC">
              <w:rPr>
                <w:rFonts w:eastAsiaTheme="minorHAnsi"/>
                <w:spacing w:val="-2"/>
                <w:sz w:val="14"/>
                <w:szCs w:val="14"/>
                <w:lang w:eastAsia="en-US"/>
              </w:rPr>
              <w:t xml:space="preserve"> </w:t>
            </w:r>
            <w:r w:rsidRPr="00A57ABC">
              <w:rPr>
                <w:rFonts w:eastAsiaTheme="minorHAnsi"/>
                <w:sz w:val="14"/>
                <w:szCs w:val="14"/>
                <w:lang w:eastAsia="en-US"/>
              </w:rPr>
              <w:t>12</w:t>
            </w:r>
          </w:p>
        </w:tc>
        <w:tc>
          <w:tcPr>
            <w:tcW w:w="613" w:type="pct"/>
            <w:vAlign w:val="center"/>
          </w:tcPr>
          <w:p w14:paraId="5E4526E1"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13/03/1999</w:t>
            </w:r>
          </w:p>
        </w:tc>
        <w:tc>
          <w:tcPr>
            <w:tcW w:w="625" w:type="pct"/>
            <w:vAlign w:val="center"/>
          </w:tcPr>
          <w:p w14:paraId="53959847"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12/03/2024</w:t>
            </w:r>
          </w:p>
        </w:tc>
        <w:tc>
          <w:tcPr>
            <w:tcW w:w="306" w:type="pct"/>
            <w:vAlign w:val="center"/>
          </w:tcPr>
          <w:p w14:paraId="68B9DB9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4D35486"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CARBON</w:t>
            </w:r>
          </w:p>
        </w:tc>
        <w:tc>
          <w:tcPr>
            <w:tcW w:w="589" w:type="pct"/>
            <w:vAlign w:val="center"/>
          </w:tcPr>
          <w:p w14:paraId="5F31E57A" w14:textId="77777777" w:rsidR="00C36261" w:rsidRPr="00A57ABC" w:rsidRDefault="00C36261" w:rsidP="00624091">
            <w:pPr>
              <w:widowControl w:val="0"/>
              <w:ind w:left="37" w:right="2"/>
              <w:jc w:val="center"/>
              <w:rPr>
                <w:rFonts w:eastAsiaTheme="minorHAnsi"/>
                <w:sz w:val="14"/>
                <w:szCs w:val="14"/>
                <w:lang w:eastAsia="en-US"/>
              </w:rPr>
            </w:pPr>
            <w:r w:rsidRPr="00A57ABC">
              <w:rPr>
                <w:rFonts w:eastAsiaTheme="minorHAnsi"/>
                <w:sz w:val="14"/>
                <w:szCs w:val="14"/>
                <w:lang w:eastAsia="en-US"/>
              </w:rPr>
              <w:t>Livingston</w:t>
            </w:r>
          </w:p>
        </w:tc>
        <w:tc>
          <w:tcPr>
            <w:tcW w:w="716" w:type="pct"/>
            <w:vAlign w:val="center"/>
          </w:tcPr>
          <w:p w14:paraId="05FC42EE"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3F23C7B4" w14:textId="77777777" w:rsidTr="005105AC">
        <w:trPr>
          <w:trHeight w:val="603"/>
          <w:jc w:val="center"/>
        </w:trPr>
        <w:tc>
          <w:tcPr>
            <w:tcW w:w="1367" w:type="pct"/>
            <w:vAlign w:val="center"/>
          </w:tcPr>
          <w:p w14:paraId="48611711" w14:textId="77777777" w:rsidR="00C36261" w:rsidRPr="00A57ABC" w:rsidRDefault="00C36261" w:rsidP="00624091">
            <w:pPr>
              <w:widowControl w:val="0"/>
              <w:ind w:left="228"/>
              <w:rPr>
                <w:rFonts w:eastAsiaTheme="minorHAnsi"/>
                <w:sz w:val="14"/>
                <w:szCs w:val="14"/>
                <w:lang w:eastAsia="en-US"/>
              </w:rPr>
            </w:pPr>
            <w:r w:rsidRPr="00A57ABC">
              <w:rPr>
                <w:rFonts w:eastAsiaTheme="minorHAnsi"/>
                <w:sz w:val="14"/>
                <w:szCs w:val="14"/>
                <w:lang w:eastAsia="en-US"/>
              </w:rPr>
              <w:t>CHAMPONA</w:t>
            </w:r>
          </w:p>
        </w:tc>
        <w:tc>
          <w:tcPr>
            <w:tcW w:w="613" w:type="pct"/>
            <w:vAlign w:val="center"/>
          </w:tcPr>
          <w:p w14:paraId="3E63F0EB"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27/11/2002</w:t>
            </w:r>
          </w:p>
        </w:tc>
        <w:tc>
          <w:tcPr>
            <w:tcW w:w="625" w:type="pct"/>
            <w:vAlign w:val="center"/>
          </w:tcPr>
          <w:p w14:paraId="06E2A583"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26/11/2027</w:t>
            </w:r>
          </w:p>
        </w:tc>
        <w:tc>
          <w:tcPr>
            <w:tcW w:w="306" w:type="pct"/>
            <w:vAlign w:val="center"/>
          </w:tcPr>
          <w:p w14:paraId="3CB50660"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7C2659F" w14:textId="77777777" w:rsidR="00C36261" w:rsidRPr="00A57ABC" w:rsidRDefault="00C36261" w:rsidP="00624091">
            <w:pPr>
              <w:widowControl w:val="0"/>
              <w:ind w:left="45" w:right="11"/>
              <w:jc w:val="center"/>
              <w:rPr>
                <w:rFonts w:eastAsiaTheme="minorHAnsi"/>
                <w:sz w:val="14"/>
                <w:szCs w:val="14"/>
                <w:lang w:val="es-GT" w:eastAsia="en-US"/>
              </w:rPr>
            </w:pPr>
            <w:r w:rsidRPr="00A57ABC">
              <w:rPr>
                <w:rFonts w:eastAsiaTheme="minorHAnsi"/>
                <w:sz w:val="14"/>
                <w:szCs w:val="14"/>
                <w:lang w:val="es-GT" w:eastAsia="en-US"/>
              </w:rPr>
              <w:t>ARCILLAS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(GRUPOS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CAOLINITA, ILLITA</w:t>
            </w:r>
            <w:r w:rsidRPr="00A57ABC">
              <w:rPr>
                <w:rFonts w:eastAsiaTheme="minorHAnsi"/>
                <w:spacing w:val="-33"/>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MONTMORILLONI</w:t>
            </w:r>
          </w:p>
          <w:p w14:paraId="47C148F2"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TA)</w:t>
            </w:r>
          </w:p>
        </w:tc>
        <w:tc>
          <w:tcPr>
            <w:tcW w:w="589" w:type="pct"/>
            <w:vAlign w:val="center"/>
          </w:tcPr>
          <w:p w14:paraId="46A3DA02" w14:textId="77777777" w:rsidR="00C36261" w:rsidRPr="00A57ABC" w:rsidRDefault="00C36261" w:rsidP="00624091">
            <w:pPr>
              <w:widowControl w:val="0"/>
              <w:ind w:left="257" w:right="18" w:hanging="195"/>
              <w:jc w:val="center"/>
              <w:rPr>
                <w:rFonts w:eastAsiaTheme="minorHAnsi"/>
                <w:sz w:val="14"/>
                <w:szCs w:val="14"/>
                <w:lang w:eastAsia="en-US"/>
              </w:rPr>
            </w:pPr>
            <w:r w:rsidRPr="00A57ABC">
              <w:rPr>
                <w:rFonts w:eastAsiaTheme="minorHAnsi"/>
                <w:spacing w:val="-1"/>
                <w:sz w:val="14"/>
                <w:szCs w:val="14"/>
                <w:lang w:eastAsia="en-US"/>
              </w:rPr>
              <w:t xml:space="preserve">Puerto </w:t>
            </w:r>
            <w:r w:rsidRPr="00A57ABC">
              <w:rPr>
                <w:rFonts w:eastAsiaTheme="minorHAnsi"/>
                <w:sz w:val="14"/>
                <w:szCs w:val="14"/>
                <w:lang w:eastAsia="en-US"/>
              </w:rPr>
              <w:t>Barrios</w:t>
            </w:r>
            <w:r w:rsidRPr="00A57ABC">
              <w:rPr>
                <w:rFonts w:eastAsiaTheme="minorHAnsi"/>
                <w:spacing w:val="-34"/>
                <w:sz w:val="14"/>
                <w:szCs w:val="14"/>
                <w:lang w:eastAsia="en-US"/>
              </w:rPr>
              <w:t xml:space="preserve"> </w:t>
            </w:r>
            <w:r w:rsidRPr="00A57ABC">
              <w:rPr>
                <w:rFonts w:eastAsiaTheme="minorHAnsi"/>
                <w:sz w:val="14"/>
                <w:szCs w:val="14"/>
                <w:lang w:eastAsia="en-US"/>
              </w:rPr>
              <w:t>Y</w:t>
            </w:r>
            <w:r w:rsidRPr="00A57ABC">
              <w:rPr>
                <w:rFonts w:eastAsiaTheme="minorHAnsi"/>
                <w:spacing w:val="-1"/>
                <w:sz w:val="14"/>
                <w:szCs w:val="14"/>
                <w:lang w:eastAsia="en-US"/>
              </w:rPr>
              <w:t xml:space="preserve"> </w:t>
            </w:r>
            <w:r w:rsidRPr="00A57ABC">
              <w:rPr>
                <w:rFonts w:eastAsiaTheme="minorHAnsi"/>
                <w:sz w:val="14"/>
                <w:szCs w:val="14"/>
                <w:lang w:eastAsia="en-US"/>
              </w:rPr>
              <w:t>Morales</w:t>
            </w:r>
          </w:p>
        </w:tc>
        <w:tc>
          <w:tcPr>
            <w:tcW w:w="716" w:type="pct"/>
            <w:vAlign w:val="center"/>
          </w:tcPr>
          <w:p w14:paraId="234C3F44" w14:textId="77777777" w:rsidR="00C36261" w:rsidRPr="00A57ABC" w:rsidRDefault="00C36261" w:rsidP="00704D47">
            <w:pPr>
              <w:widowControl w:val="0"/>
              <w:ind w:left="456"/>
              <w:rPr>
                <w:rFonts w:eastAsiaTheme="minorHAnsi"/>
                <w:sz w:val="14"/>
                <w:szCs w:val="14"/>
                <w:lang w:eastAsia="en-US"/>
              </w:rPr>
            </w:pPr>
            <w:r w:rsidRPr="00A57ABC">
              <w:rPr>
                <w:rFonts w:eastAsiaTheme="minorHAnsi"/>
                <w:sz w:val="14"/>
                <w:szCs w:val="14"/>
                <w:lang w:eastAsia="en-US"/>
              </w:rPr>
              <w:t>Izabal</w:t>
            </w:r>
          </w:p>
        </w:tc>
      </w:tr>
      <w:tr w:rsidR="00C36261" w:rsidRPr="00A57ABC" w14:paraId="56E88775" w14:textId="77777777" w:rsidTr="005105AC">
        <w:trPr>
          <w:trHeight w:val="230"/>
          <w:jc w:val="center"/>
        </w:trPr>
        <w:tc>
          <w:tcPr>
            <w:tcW w:w="1367" w:type="pct"/>
            <w:vAlign w:val="center"/>
          </w:tcPr>
          <w:p w14:paraId="5AB1207A" w14:textId="77777777" w:rsidR="00C36261" w:rsidRPr="00A57ABC" w:rsidRDefault="00C36261" w:rsidP="00624091">
            <w:pPr>
              <w:widowControl w:val="0"/>
              <w:ind w:left="72" w:right="46" w:hanging="1"/>
              <w:jc w:val="center"/>
              <w:rPr>
                <w:rFonts w:eastAsiaTheme="minorHAnsi"/>
                <w:sz w:val="14"/>
                <w:szCs w:val="14"/>
                <w:lang w:val="es-GT" w:eastAsia="en-US"/>
              </w:rPr>
            </w:pPr>
            <w:r w:rsidRPr="00A57ABC">
              <w:rPr>
                <w:rFonts w:eastAsiaTheme="minorHAnsi"/>
                <w:sz w:val="14"/>
                <w:szCs w:val="14"/>
                <w:lang w:val="es-GT" w:eastAsia="en-US"/>
              </w:rPr>
              <w:t>EXTRACCION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TRITURACION DE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MATERIAL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CANTERA</w:t>
            </w:r>
          </w:p>
          <w:p w14:paraId="5837CB39"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CAYUGA</w:t>
            </w:r>
          </w:p>
        </w:tc>
        <w:tc>
          <w:tcPr>
            <w:tcW w:w="613" w:type="pct"/>
            <w:vAlign w:val="center"/>
          </w:tcPr>
          <w:p w14:paraId="21D0F71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13/02/2015</w:t>
            </w:r>
          </w:p>
        </w:tc>
        <w:tc>
          <w:tcPr>
            <w:tcW w:w="625" w:type="pct"/>
            <w:vAlign w:val="center"/>
          </w:tcPr>
          <w:p w14:paraId="55BAC15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12/02/2040</w:t>
            </w:r>
          </w:p>
        </w:tc>
        <w:tc>
          <w:tcPr>
            <w:tcW w:w="306" w:type="pct"/>
            <w:vAlign w:val="center"/>
          </w:tcPr>
          <w:p w14:paraId="5D30A0A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37D2487"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PIEDRA</w:t>
            </w:r>
            <w:r w:rsidRPr="00A57ABC">
              <w:rPr>
                <w:rFonts w:eastAsiaTheme="minorHAnsi"/>
                <w:spacing w:val="-1"/>
                <w:sz w:val="14"/>
                <w:szCs w:val="14"/>
                <w:lang w:eastAsia="en-US"/>
              </w:rPr>
              <w:t xml:space="preserve"> </w:t>
            </w:r>
            <w:r w:rsidRPr="00A57ABC">
              <w:rPr>
                <w:rFonts w:eastAsiaTheme="minorHAnsi"/>
                <w:sz w:val="14"/>
                <w:szCs w:val="14"/>
                <w:lang w:eastAsia="en-US"/>
              </w:rPr>
              <w:t>CALIZA</w:t>
            </w:r>
          </w:p>
        </w:tc>
        <w:tc>
          <w:tcPr>
            <w:tcW w:w="589" w:type="pct"/>
            <w:vAlign w:val="center"/>
          </w:tcPr>
          <w:p w14:paraId="7BDBADD0"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Morales</w:t>
            </w:r>
          </w:p>
        </w:tc>
        <w:tc>
          <w:tcPr>
            <w:tcW w:w="716" w:type="pct"/>
            <w:vAlign w:val="center"/>
          </w:tcPr>
          <w:p w14:paraId="6E448D2A" w14:textId="77777777" w:rsidR="00C36261" w:rsidRPr="00A57ABC" w:rsidRDefault="00C36261" w:rsidP="00624091">
            <w:pPr>
              <w:widowControl w:val="0"/>
              <w:ind w:left="45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03327700" w14:textId="77777777" w:rsidTr="005105AC">
        <w:trPr>
          <w:trHeight w:val="126"/>
          <w:jc w:val="center"/>
        </w:trPr>
        <w:tc>
          <w:tcPr>
            <w:tcW w:w="1367" w:type="pct"/>
            <w:vAlign w:val="center"/>
          </w:tcPr>
          <w:p w14:paraId="193D1706" w14:textId="77777777" w:rsidR="00C36261" w:rsidRPr="00A57ABC" w:rsidRDefault="00C36261" w:rsidP="00624091">
            <w:pPr>
              <w:widowControl w:val="0"/>
              <w:ind w:right="147"/>
              <w:jc w:val="right"/>
              <w:rPr>
                <w:rFonts w:eastAsiaTheme="minorHAnsi"/>
                <w:sz w:val="14"/>
                <w:szCs w:val="14"/>
                <w:lang w:eastAsia="en-US"/>
              </w:rPr>
            </w:pPr>
            <w:r w:rsidRPr="00A57ABC">
              <w:rPr>
                <w:rFonts w:eastAsiaTheme="minorHAnsi"/>
                <w:sz w:val="14"/>
                <w:szCs w:val="14"/>
                <w:lang w:eastAsia="en-US"/>
              </w:rPr>
              <w:t>GRAN</w:t>
            </w:r>
            <w:r w:rsidRPr="00A57ABC">
              <w:rPr>
                <w:rFonts w:eastAsiaTheme="minorHAnsi"/>
                <w:spacing w:val="-2"/>
                <w:sz w:val="14"/>
                <w:szCs w:val="14"/>
                <w:lang w:eastAsia="en-US"/>
              </w:rPr>
              <w:t xml:space="preserve"> </w:t>
            </w:r>
            <w:r w:rsidRPr="00A57ABC">
              <w:rPr>
                <w:rFonts w:eastAsiaTheme="minorHAnsi"/>
                <w:sz w:val="14"/>
                <w:szCs w:val="14"/>
                <w:lang w:eastAsia="en-US"/>
              </w:rPr>
              <w:t>CAÑON</w:t>
            </w:r>
          </w:p>
        </w:tc>
        <w:tc>
          <w:tcPr>
            <w:tcW w:w="613" w:type="pct"/>
            <w:vAlign w:val="center"/>
          </w:tcPr>
          <w:p w14:paraId="07A1E400"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2/12/2006</w:t>
            </w:r>
          </w:p>
        </w:tc>
        <w:tc>
          <w:tcPr>
            <w:tcW w:w="625" w:type="pct"/>
            <w:vAlign w:val="center"/>
          </w:tcPr>
          <w:p w14:paraId="711A20D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1/12/2031</w:t>
            </w:r>
          </w:p>
        </w:tc>
        <w:tc>
          <w:tcPr>
            <w:tcW w:w="306" w:type="pct"/>
            <w:vAlign w:val="center"/>
          </w:tcPr>
          <w:p w14:paraId="36A3378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9F5BFD8" w14:textId="77777777" w:rsidR="00C36261" w:rsidRPr="00A57ABC" w:rsidRDefault="00C36261" w:rsidP="00624091">
            <w:pPr>
              <w:widowControl w:val="0"/>
              <w:ind w:left="31"/>
              <w:jc w:val="center"/>
              <w:rPr>
                <w:rFonts w:eastAsiaTheme="minorHAnsi"/>
                <w:sz w:val="14"/>
                <w:szCs w:val="14"/>
                <w:lang w:eastAsia="en-US"/>
              </w:rPr>
            </w:pPr>
            <w:r w:rsidRPr="00A57ABC">
              <w:rPr>
                <w:rFonts w:eastAsiaTheme="minorHAnsi"/>
                <w:sz w:val="14"/>
                <w:szCs w:val="14"/>
                <w:lang w:eastAsia="en-US"/>
              </w:rPr>
              <w:t>ARCILLA</w:t>
            </w:r>
          </w:p>
        </w:tc>
        <w:tc>
          <w:tcPr>
            <w:tcW w:w="589" w:type="pct"/>
            <w:vAlign w:val="center"/>
          </w:tcPr>
          <w:p w14:paraId="56246552"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Morales</w:t>
            </w:r>
          </w:p>
        </w:tc>
        <w:tc>
          <w:tcPr>
            <w:tcW w:w="716" w:type="pct"/>
            <w:vAlign w:val="center"/>
          </w:tcPr>
          <w:p w14:paraId="0D013A9E" w14:textId="77777777" w:rsidR="00C36261" w:rsidRPr="00A57ABC" w:rsidRDefault="00C36261" w:rsidP="00624091">
            <w:pPr>
              <w:widowControl w:val="0"/>
              <w:ind w:left="45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550CD016" w14:textId="77777777" w:rsidTr="005105AC">
        <w:trPr>
          <w:trHeight w:val="632"/>
          <w:jc w:val="center"/>
        </w:trPr>
        <w:tc>
          <w:tcPr>
            <w:tcW w:w="1367" w:type="pct"/>
            <w:vAlign w:val="center"/>
          </w:tcPr>
          <w:p w14:paraId="420BE5EF" w14:textId="77777777" w:rsidR="00C36261" w:rsidRPr="00A57ABC" w:rsidRDefault="00C36261" w:rsidP="00624091">
            <w:pPr>
              <w:widowControl w:val="0"/>
              <w:ind w:left="403" w:right="121" w:hanging="245"/>
              <w:rPr>
                <w:rFonts w:eastAsiaTheme="minorHAnsi"/>
                <w:sz w:val="14"/>
                <w:szCs w:val="14"/>
                <w:lang w:eastAsia="en-US"/>
              </w:rPr>
            </w:pPr>
            <w:r w:rsidRPr="00A57ABC">
              <w:rPr>
                <w:rFonts w:eastAsiaTheme="minorHAnsi"/>
                <w:sz w:val="14"/>
                <w:szCs w:val="14"/>
                <w:lang w:eastAsia="en-US"/>
              </w:rPr>
              <w:t>MADERAS DEL</w:t>
            </w:r>
            <w:r w:rsidRPr="00A57ABC">
              <w:rPr>
                <w:rFonts w:eastAsiaTheme="minorHAnsi"/>
                <w:spacing w:val="-34"/>
                <w:sz w:val="14"/>
                <w:szCs w:val="14"/>
                <w:lang w:eastAsia="en-US"/>
              </w:rPr>
              <w:t xml:space="preserve"> </w:t>
            </w:r>
            <w:r w:rsidRPr="00A57ABC">
              <w:rPr>
                <w:rFonts w:eastAsiaTheme="minorHAnsi"/>
                <w:sz w:val="14"/>
                <w:szCs w:val="14"/>
                <w:lang w:eastAsia="en-US"/>
              </w:rPr>
              <w:t>NORTE</w:t>
            </w:r>
          </w:p>
        </w:tc>
        <w:tc>
          <w:tcPr>
            <w:tcW w:w="613" w:type="pct"/>
            <w:vAlign w:val="center"/>
          </w:tcPr>
          <w:p w14:paraId="33EDCC2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16/05/2012</w:t>
            </w:r>
          </w:p>
        </w:tc>
        <w:tc>
          <w:tcPr>
            <w:tcW w:w="625" w:type="pct"/>
            <w:vAlign w:val="center"/>
          </w:tcPr>
          <w:p w14:paraId="20162AA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15/05/2037</w:t>
            </w:r>
          </w:p>
        </w:tc>
        <w:tc>
          <w:tcPr>
            <w:tcW w:w="306" w:type="pct"/>
            <w:vAlign w:val="center"/>
          </w:tcPr>
          <w:p w14:paraId="11C726D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7B0C99D"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Y GRAVA</w:t>
            </w:r>
          </w:p>
        </w:tc>
        <w:tc>
          <w:tcPr>
            <w:tcW w:w="589" w:type="pct"/>
            <w:vAlign w:val="center"/>
          </w:tcPr>
          <w:p w14:paraId="57DFDA2F"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Morales</w:t>
            </w:r>
          </w:p>
        </w:tc>
        <w:tc>
          <w:tcPr>
            <w:tcW w:w="716" w:type="pct"/>
            <w:vAlign w:val="center"/>
          </w:tcPr>
          <w:p w14:paraId="4E37FDB4" w14:textId="77777777" w:rsidR="00C36261" w:rsidRPr="00A57ABC" w:rsidRDefault="00C36261" w:rsidP="00624091">
            <w:pPr>
              <w:widowControl w:val="0"/>
              <w:ind w:left="45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7BA6BDF9" w14:textId="77777777" w:rsidTr="005105AC">
        <w:trPr>
          <w:trHeight w:val="43"/>
          <w:jc w:val="center"/>
        </w:trPr>
        <w:tc>
          <w:tcPr>
            <w:tcW w:w="1367" w:type="pct"/>
            <w:vAlign w:val="center"/>
          </w:tcPr>
          <w:p w14:paraId="6797B2D5" w14:textId="77777777" w:rsidR="00C36261" w:rsidRPr="00A57ABC" w:rsidRDefault="00C36261" w:rsidP="00624091">
            <w:pPr>
              <w:widowControl w:val="0"/>
              <w:ind w:left="166" w:right="141" w:hanging="1"/>
              <w:jc w:val="center"/>
              <w:rPr>
                <w:rFonts w:eastAsiaTheme="minorHAnsi"/>
                <w:sz w:val="14"/>
                <w:szCs w:val="14"/>
                <w:lang w:val="es-GT" w:eastAsia="en-US"/>
              </w:rPr>
            </w:pPr>
            <w:r w:rsidRPr="00A57ABC">
              <w:rPr>
                <w:rFonts w:eastAsiaTheme="minorHAnsi"/>
                <w:sz w:val="14"/>
                <w:szCs w:val="14"/>
                <w:lang w:val="es-GT" w:eastAsia="en-US"/>
              </w:rPr>
              <w:t>PROYECTO DE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EXPLOTACION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MINERO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NIQUEGUA</w:t>
            </w:r>
          </w:p>
          <w:p w14:paraId="41B48339" w14:textId="77777777" w:rsidR="00C36261" w:rsidRPr="00A57ABC" w:rsidRDefault="00C36261" w:rsidP="00624091">
            <w:pPr>
              <w:widowControl w:val="0"/>
              <w:ind w:left="23"/>
              <w:jc w:val="center"/>
              <w:rPr>
                <w:rFonts w:eastAsiaTheme="minorHAnsi"/>
                <w:sz w:val="14"/>
                <w:szCs w:val="14"/>
                <w:lang w:val="es-GT" w:eastAsia="en-US"/>
              </w:rPr>
            </w:pPr>
            <w:r w:rsidRPr="00A57ABC">
              <w:rPr>
                <w:rFonts w:eastAsiaTheme="minorHAnsi"/>
                <w:sz w:val="14"/>
                <w:szCs w:val="14"/>
                <w:lang w:val="es-GT" w:eastAsia="en-US"/>
              </w:rPr>
              <w:t>MONTUFAR</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II</w:t>
            </w:r>
          </w:p>
        </w:tc>
        <w:tc>
          <w:tcPr>
            <w:tcW w:w="613" w:type="pct"/>
            <w:vAlign w:val="center"/>
          </w:tcPr>
          <w:p w14:paraId="5156CDD5"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4/04/2013</w:t>
            </w:r>
          </w:p>
        </w:tc>
        <w:tc>
          <w:tcPr>
            <w:tcW w:w="625" w:type="pct"/>
            <w:vAlign w:val="center"/>
          </w:tcPr>
          <w:p w14:paraId="778BCDF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3/04/2038</w:t>
            </w:r>
          </w:p>
        </w:tc>
        <w:tc>
          <w:tcPr>
            <w:tcW w:w="306" w:type="pct"/>
            <w:vAlign w:val="center"/>
          </w:tcPr>
          <w:p w14:paraId="74EB05D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F2F6E6F" w14:textId="77777777" w:rsidR="00C36261" w:rsidRPr="00A57ABC" w:rsidRDefault="00C36261" w:rsidP="00624091">
            <w:pPr>
              <w:widowControl w:val="0"/>
              <w:ind w:left="36" w:firstLine="1"/>
              <w:jc w:val="center"/>
              <w:rPr>
                <w:rFonts w:eastAsiaTheme="minorHAnsi"/>
                <w:sz w:val="14"/>
                <w:szCs w:val="14"/>
                <w:lang w:val="es-GT" w:eastAsia="en-US"/>
              </w:rPr>
            </w:pPr>
            <w:r w:rsidRPr="00A57ABC">
              <w:rPr>
                <w:rFonts w:eastAsiaTheme="minorHAnsi"/>
                <w:sz w:val="14"/>
                <w:szCs w:val="14"/>
                <w:lang w:val="es-GT" w:eastAsia="en-US"/>
              </w:rPr>
              <w:t>NIQUEL, CROMO,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COBALTO, HIERRO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MAGNESIO</w:t>
            </w:r>
          </w:p>
        </w:tc>
        <w:tc>
          <w:tcPr>
            <w:tcW w:w="589" w:type="pct"/>
            <w:vAlign w:val="center"/>
          </w:tcPr>
          <w:p w14:paraId="04B15972" w14:textId="77777777" w:rsidR="00C36261" w:rsidRPr="00A57ABC" w:rsidRDefault="00C36261" w:rsidP="00624091">
            <w:pPr>
              <w:widowControl w:val="0"/>
              <w:ind w:left="37" w:right="2"/>
              <w:jc w:val="center"/>
              <w:rPr>
                <w:rFonts w:eastAsiaTheme="minorHAnsi"/>
                <w:sz w:val="14"/>
                <w:szCs w:val="14"/>
                <w:lang w:eastAsia="en-US"/>
              </w:rPr>
            </w:pPr>
            <w:r w:rsidRPr="00A57ABC">
              <w:rPr>
                <w:rFonts w:eastAsiaTheme="minorHAnsi"/>
                <w:sz w:val="14"/>
                <w:szCs w:val="14"/>
                <w:lang w:eastAsia="en-US"/>
              </w:rPr>
              <w:t>Los Amates</w:t>
            </w:r>
          </w:p>
        </w:tc>
        <w:tc>
          <w:tcPr>
            <w:tcW w:w="716" w:type="pct"/>
            <w:vAlign w:val="center"/>
          </w:tcPr>
          <w:p w14:paraId="6E0CC9CD" w14:textId="77777777" w:rsidR="00C36261" w:rsidRPr="00A57ABC" w:rsidRDefault="00C36261" w:rsidP="00704D47">
            <w:pPr>
              <w:widowControl w:val="0"/>
              <w:ind w:left="456"/>
              <w:rPr>
                <w:rFonts w:eastAsiaTheme="minorHAnsi"/>
                <w:sz w:val="14"/>
                <w:szCs w:val="14"/>
                <w:lang w:eastAsia="en-US"/>
              </w:rPr>
            </w:pPr>
            <w:r w:rsidRPr="00A57ABC">
              <w:rPr>
                <w:rFonts w:eastAsiaTheme="minorHAnsi"/>
                <w:sz w:val="14"/>
                <w:szCs w:val="14"/>
                <w:lang w:eastAsia="en-US"/>
              </w:rPr>
              <w:t>Izabal</w:t>
            </w:r>
          </w:p>
        </w:tc>
      </w:tr>
      <w:tr w:rsidR="00C36261" w:rsidRPr="00A57ABC" w14:paraId="1D9E9CCD" w14:textId="77777777" w:rsidTr="005105AC">
        <w:trPr>
          <w:trHeight w:val="43"/>
          <w:jc w:val="center"/>
        </w:trPr>
        <w:tc>
          <w:tcPr>
            <w:tcW w:w="1367" w:type="pct"/>
            <w:vAlign w:val="center"/>
          </w:tcPr>
          <w:p w14:paraId="23F7BA37" w14:textId="77777777" w:rsidR="00C36261" w:rsidRPr="00A57ABC" w:rsidRDefault="00C36261" w:rsidP="00624091">
            <w:pPr>
              <w:widowControl w:val="0"/>
              <w:ind w:right="143"/>
              <w:jc w:val="right"/>
              <w:rPr>
                <w:rFonts w:eastAsiaTheme="minorHAnsi"/>
                <w:sz w:val="14"/>
                <w:szCs w:val="14"/>
                <w:lang w:eastAsia="en-US"/>
              </w:rPr>
            </w:pPr>
            <w:r w:rsidRPr="00A57ABC">
              <w:rPr>
                <w:rFonts w:eastAsiaTheme="minorHAnsi"/>
                <w:sz w:val="14"/>
                <w:szCs w:val="14"/>
                <w:lang w:eastAsia="en-US"/>
              </w:rPr>
              <w:t>SANTA ISABEL</w:t>
            </w:r>
          </w:p>
        </w:tc>
        <w:tc>
          <w:tcPr>
            <w:tcW w:w="613" w:type="pct"/>
            <w:vAlign w:val="center"/>
          </w:tcPr>
          <w:p w14:paraId="79FBDB81"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12/01/2005</w:t>
            </w:r>
          </w:p>
        </w:tc>
        <w:tc>
          <w:tcPr>
            <w:tcW w:w="625" w:type="pct"/>
            <w:vAlign w:val="center"/>
          </w:tcPr>
          <w:p w14:paraId="5B7618F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11/01/2030</w:t>
            </w:r>
          </w:p>
        </w:tc>
        <w:tc>
          <w:tcPr>
            <w:tcW w:w="306" w:type="pct"/>
            <w:vAlign w:val="center"/>
          </w:tcPr>
          <w:p w14:paraId="5F41C49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BD77E5E"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ROCA</w:t>
            </w:r>
            <w:r w:rsidRPr="00A57ABC">
              <w:rPr>
                <w:rFonts w:eastAsiaTheme="minorHAnsi"/>
                <w:spacing w:val="-2"/>
                <w:sz w:val="14"/>
                <w:szCs w:val="14"/>
                <w:lang w:eastAsia="en-US"/>
              </w:rPr>
              <w:t xml:space="preserve"> </w:t>
            </w:r>
            <w:r w:rsidRPr="00A57ABC">
              <w:rPr>
                <w:rFonts w:eastAsiaTheme="minorHAnsi"/>
                <w:sz w:val="14"/>
                <w:szCs w:val="14"/>
                <w:lang w:eastAsia="en-US"/>
              </w:rPr>
              <w:t>CALIZA</w:t>
            </w:r>
          </w:p>
        </w:tc>
        <w:tc>
          <w:tcPr>
            <w:tcW w:w="589" w:type="pct"/>
            <w:vAlign w:val="center"/>
          </w:tcPr>
          <w:p w14:paraId="191DC30D"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Puerto</w:t>
            </w:r>
            <w:r w:rsidRPr="00A57ABC">
              <w:rPr>
                <w:rFonts w:eastAsiaTheme="minorHAnsi"/>
                <w:spacing w:val="-2"/>
                <w:sz w:val="14"/>
                <w:szCs w:val="14"/>
                <w:lang w:eastAsia="en-US"/>
              </w:rPr>
              <w:t xml:space="preserve"> </w:t>
            </w:r>
            <w:r w:rsidRPr="00A57ABC">
              <w:rPr>
                <w:rFonts w:eastAsiaTheme="minorHAnsi"/>
                <w:sz w:val="14"/>
                <w:szCs w:val="14"/>
                <w:lang w:eastAsia="en-US"/>
              </w:rPr>
              <w:t>Barrios</w:t>
            </w:r>
          </w:p>
        </w:tc>
        <w:tc>
          <w:tcPr>
            <w:tcW w:w="716" w:type="pct"/>
            <w:vAlign w:val="center"/>
          </w:tcPr>
          <w:p w14:paraId="4C70C767" w14:textId="77777777" w:rsidR="00C36261" w:rsidRPr="00A57ABC" w:rsidRDefault="00C36261" w:rsidP="00624091">
            <w:pPr>
              <w:widowControl w:val="0"/>
              <w:ind w:left="45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3E2E1DE3" w14:textId="77777777" w:rsidTr="005105AC">
        <w:trPr>
          <w:trHeight w:val="102"/>
          <w:jc w:val="center"/>
        </w:trPr>
        <w:tc>
          <w:tcPr>
            <w:tcW w:w="1367" w:type="pct"/>
            <w:vAlign w:val="center"/>
          </w:tcPr>
          <w:p w14:paraId="68F22AE7" w14:textId="77777777" w:rsidR="00C36261" w:rsidRPr="00A57ABC" w:rsidRDefault="00C36261" w:rsidP="00624091">
            <w:pPr>
              <w:widowControl w:val="0"/>
              <w:ind w:right="119"/>
              <w:jc w:val="right"/>
              <w:rPr>
                <w:rFonts w:eastAsiaTheme="minorHAnsi"/>
                <w:sz w:val="14"/>
                <w:szCs w:val="14"/>
                <w:lang w:eastAsia="en-US"/>
              </w:rPr>
            </w:pPr>
            <w:r w:rsidRPr="00A57ABC">
              <w:rPr>
                <w:rFonts w:eastAsiaTheme="minorHAnsi"/>
                <w:sz w:val="14"/>
                <w:szCs w:val="14"/>
                <w:lang w:eastAsia="en-US"/>
              </w:rPr>
              <w:t>VIVA AMERICA</w:t>
            </w:r>
          </w:p>
        </w:tc>
        <w:tc>
          <w:tcPr>
            <w:tcW w:w="613" w:type="pct"/>
            <w:vAlign w:val="center"/>
          </w:tcPr>
          <w:p w14:paraId="2D64D63B"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8/02/2003</w:t>
            </w:r>
          </w:p>
        </w:tc>
        <w:tc>
          <w:tcPr>
            <w:tcW w:w="625" w:type="pct"/>
            <w:vAlign w:val="center"/>
          </w:tcPr>
          <w:p w14:paraId="107B680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7/02/2028</w:t>
            </w:r>
          </w:p>
        </w:tc>
        <w:tc>
          <w:tcPr>
            <w:tcW w:w="306" w:type="pct"/>
            <w:vAlign w:val="center"/>
          </w:tcPr>
          <w:p w14:paraId="6951CEA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 xml:space="preserve">25 </w:t>
            </w:r>
            <w:r w:rsidRPr="00A57ABC">
              <w:rPr>
                <w:rFonts w:eastAsiaTheme="minorHAnsi"/>
                <w:sz w:val="14"/>
                <w:szCs w:val="14"/>
                <w:lang w:eastAsia="en-US"/>
              </w:rPr>
              <w:lastRenderedPageBreak/>
              <w:t>AÑOS</w:t>
            </w:r>
          </w:p>
        </w:tc>
        <w:tc>
          <w:tcPr>
            <w:tcW w:w="784" w:type="pct"/>
            <w:vAlign w:val="center"/>
          </w:tcPr>
          <w:p w14:paraId="02717972"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lastRenderedPageBreak/>
              <w:t>ROCA</w:t>
            </w:r>
            <w:r w:rsidRPr="00A57ABC">
              <w:rPr>
                <w:rFonts w:eastAsiaTheme="minorHAnsi"/>
                <w:spacing w:val="-2"/>
                <w:sz w:val="14"/>
                <w:szCs w:val="14"/>
                <w:lang w:eastAsia="en-US"/>
              </w:rPr>
              <w:t xml:space="preserve"> </w:t>
            </w:r>
            <w:r w:rsidRPr="00A57ABC">
              <w:rPr>
                <w:rFonts w:eastAsiaTheme="minorHAnsi"/>
                <w:sz w:val="14"/>
                <w:szCs w:val="14"/>
                <w:lang w:eastAsia="en-US"/>
              </w:rPr>
              <w:t>CALIZA</w:t>
            </w:r>
          </w:p>
        </w:tc>
        <w:tc>
          <w:tcPr>
            <w:tcW w:w="589" w:type="pct"/>
            <w:vAlign w:val="center"/>
          </w:tcPr>
          <w:p w14:paraId="564CB44C"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Puerto</w:t>
            </w:r>
            <w:r w:rsidRPr="00A57ABC">
              <w:rPr>
                <w:rFonts w:eastAsiaTheme="minorHAnsi"/>
                <w:spacing w:val="-2"/>
                <w:sz w:val="14"/>
                <w:szCs w:val="14"/>
                <w:lang w:eastAsia="en-US"/>
              </w:rPr>
              <w:t xml:space="preserve"> </w:t>
            </w:r>
            <w:r w:rsidRPr="00A57ABC">
              <w:rPr>
                <w:rFonts w:eastAsiaTheme="minorHAnsi"/>
                <w:sz w:val="14"/>
                <w:szCs w:val="14"/>
                <w:lang w:eastAsia="en-US"/>
              </w:rPr>
              <w:t>Barrios</w:t>
            </w:r>
          </w:p>
        </w:tc>
        <w:tc>
          <w:tcPr>
            <w:tcW w:w="716" w:type="pct"/>
            <w:vAlign w:val="center"/>
          </w:tcPr>
          <w:p w14:paraId="57ADB60E" w14:textId="77777777" w:rsidR="00C36261" w:rsidRPr="00A57ABC" w:rsidRDefault="00C36261" w:rsidP="00624091">
            <w:pPr>
              <w:widowControl w:val="0"/>
              <w:ind w:left="456"/>
              <w:jc w:val="center"/>
              <w:rPr>
                <w:rFonts w:eastAsiaTheme="minorHAnsi"/>
                <w:sz w:val="14"/>
                <w:szCs w:val="14"/>
                <w:lang w:eastAsia="en-US"/>
              </w:rPr>
            </w:pPr>
            <w:r w:rsidRPr="00A57ABC">
              <w:rPr>
                <w:rFonts w:eastAsiaTheme="minorHAnsi"/>
                <w:sz w:val="14"/>
                <w:szCs w:val="14"/>
                <w:lang w:eastAsia="en-US"/>
              </w:rPr>
              <w:t>Izabal</w:t>
            </w:r>
          </w:p>
        </w:tc>
      </w:tr>
      <w:tr w:rsidR="00C36261" w:rsidRPr="00A57ABC" w14:paraId="732BCEEB" w14:textId="77777777" w:rsidTr="005105AC">
        <w:trPr>
          <w:trHeight w:val="191"/>
          <w:jc w:val="center"/>
        </w:trPr>
        <w:tc>
          <w:tcPr>
            <w:tcW w:w="1367" w:type="pct"/>
            <w:vAlign w:val="center"/>
          </w:tcPr>
          <w:p w14:paraId="0A3D6F66" w14:textId="77777777" w:rsidR="00C36261" w:rsidRPr="00A57ABC" w:rsidRDefault="00C36261" w:rsidP="00624091">
            <w:pPr>
              <w:widowControl w:val="0"/>
              <w:ind w:left="41" w:right="13" w:hanging="2"/>
              <w:jc w:val="center"/>
              <w:rPr>
                <w:rFonts w:eastAsiaTheme="minorHAnsi"/>
                <w:sz w:val="14"/>
                <w:szCs w:val="14"/>
                <w:lang w:val="es-GT" w:eastAsia="en-US"/>
              </w:rPr>
            </w:pPr>
            <w:r w:rsidRPr="00A57ABC">
              <w:rPr>
                <w:rFonts w:eastAsiaTheme="minorHAnsi"/>
                <w:sz w:val="14"/>
                <w:szCs w:val="14"/>
                <w:lang w:val="es-GT" w:eastAsia="en-US"/>
              </w:rPr>
              <w:t>AREA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APROVECHAMIEN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TO MINERO 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VENTANA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VERDE</w:t>
            </w:r>
          </w:p>
        </w:tc>
        <w:tc>
          <w:tcPr>
            <w:tcW w:w="613" w:type="pct"/>
            <w:vAlign w:val="center"/>
          </w:tcPr>
          <w:p w14:paraId="3391061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13/12/2014</w:t>
            </w:r>
          </w:p>
        </w:tc>
        <w:tc>
          <w:tcPr>
            <w:tcW w:w="625" w:type="pct"/>
            <w:vAlign w:val="center"/>
          </w:tcPr>
          <w:p w14:paraId="5354DFB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12/12/2039</w:t>
            </w:r>
          </w:p>
        </w:tc>
        <w:tc>
          <w:tcPr>
            <w:tcW w:w="306" w:type="pct"/>
            <w:vAlign w:val="center"/>
          </w:tcPr>
          <w:p w14:paraId="64A5ED3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AD15D5F"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JADE</w:t>
            </w:r>
          </w:p>
        </w:tc>
        <w:tc>
          <w:tcPr>
            <w:tcW w:w="589" w:type="pct"/>
            <w:vAlign w:val="center"/>
          </w:tcPr>
          <w:p w14:paraId="62730A0D" w14:textId="77777777" w:rsidR="00C36261" w:rsidRPr="00A57ABC" w:rsidRDefault="00C36261" w:rsidP="00624091">
            <w:pPr>
              <w:widowControl w:val="0"/>
              <w:ind w:left="389" w:right="205" w:hanging="135"/>
              <w:jc w:val="center"/>
              <w:rPr>
                <w:rFonts w:eastAsiaTheme="minorHAnsi"/>
                <w:sz w:val="14"/>
                <w:szCs w:val="14"/>
                <w:lang w:eastAsia="en-US"/>
              </w:rPr>
            </w:pPr>
            <w:r w:rsidRPr="00A57ABC">
              <w:rPr>
                <w:rFonts w:eastAsiaTheme="minorHAnsi"/>
                <w:sz w:val="14"/>
                <w:szCs w:val="14"/>
                <w:lang w:eastAsia="en-US"/>
              </w:rPr>
              <w:t>San Pedro</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Pinula</w:t>
            </w:r>
            <w:proofErr w:type="spellEnd"/>
          </w:p>
        </w:tc>
        <w:tc>
          <w:tcPr>
            <w:tcW w:w="716" w:type="pct"/>
            <w:vAlign w:val="center"/>
          </w:tcPr>
          <w:p w14:paraId="07EB9124" w14:textId="77777777" w:rsidR="00C36261" w:rsidRPr="00A57ABC" w:rsidRDefault="00C36261" w:rsidP="00624091">
            <w:pPr>
              <w:widowControl w:val="0"/>
              <w:ind w:left="442"/>
              <w:jc w:val="center"/>
              <w:rPr>
                <w:rFonts w:eastAsiaTheme="minorHAnsi"/>
                <w:sz w:val="14"/>
                <w:szCs w:val="14"/>
                <w:lang w:eastAsia="en-US"/>
              </w:rPr>
            </w:pPr>
            <w:r w:rsidRPr="00A57ABC">
              <w:rPr>
                <w:rFonts w:eastAsiaTheme="minorHAnsi"/>
                <w:sz w:val="14"/>
                <w:szCs w:val="14"/>
                <w:lang w:eastAsia="en-US"/>
              </w:rPr>
              <w:t>Jalapa</w:t>
            </w:r>
          </w:p>
        </w:tc>
      </w:tr>
      <w:tr w:rsidR="00C36261" w:rsidRPr="00A57ABC" w14:paraId="3912A06C" w14:textId="77777777" w:rsidTr="005105AC">
        <w:trPr>
          <w:trHeight w:val="242"/>
          <w:jc w:val="center"/>
        </w:trPr>
        <w:tc>
          <w:tcPr>
            <w:tcW w:w="1367" w:type="pct"/>
            <w:vAlign w:val="center"/>
          </w:tcPr>
          <w:p w14:paraId="176033C7" w14:textId="77777777" w:rsidR="00C36261" w:rsidRPr="00A57ABC" w:rsidRDefault="00C36261" w:rsidP="00624091">
            <w:pPr>
              <w:widowControl w:val="0"/>
              <w:ind w:left="307" w:right="270" w:firstLine="12"/>
              <w:rPr>
                <w:rFonts w:eastAsiaTheme="minorHAnsi"/>
                <w:sz w:val="14"/>
                <w:szCs w:val="14"/>
                <w:lang w:eastAsia="en-US"/>
              </w:rPr>
            </w:pPr>
            <w:r w:rsidRPr="00A57ABC">
              <w:rPr>
                <w:rFonts w:eastAsiaTheme="minorHAnsi"/>
                <w:sz w:val="14"/>
                <w:szCs w:val="14"/>
                <w:lang w:eastAsia="en-US"/>
              </w:rPr>
              <w:t>CANTERA</w:t>
            </w:r>
            <w:r w:rsidRPr="00A57ABC">
              <w:rPr>
                <w:rFonts w:eastAsiaTheme="minorHAnsi"/>
                <w:spacing w:val="-34"/>
                <w:sz w:val="14"/>
                <w:szCs w:val="14"/>
                <w:lang w:eastAsia="en-US"/>
              </w:rPr>
              <w:t xml:space="preserve"> </w:t>
            </w:r>
            <w:r w:rsidRPr="00A57ABC">
              <w:rPr>
                <w:rFonts w:eastAsiaTheme="minorHAnsi"/>
                <w:sz w:val="14"/>
                <w:szCs w:val="14"/>
                <w:lang w:eastAsia="en-US"/>
              </w:rPr>
              <w:t>PIÑUELAS</w:t>
            </w:r>
          </w:p>
        </w:tc>
        <w:tc>
          <w:tcPr>
            <w:tcW w:w="613" w:type="pct"/>
            <w:vAlign w:val="center"/>
          </w:tcPr>
          <w:p w14:paraId="371F2C84"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8/09/2007</w:t>
            </w:r>
          </w:p>
        </w:tc>
        <w:tc>
          <w:tcPr>
            <w:tcW w:w="625" w:type="pct"/>
            <w:vAlign w:val="center"/>
          </w:tcPr>
          <w:p w14:paraId="6971ADF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7/09/2032</w:t>
            </w:r>
          </w:p>
        </w:tc>
        <w:tc>
          <w:tcPr>
            <w:tcW w:w="306" w:type="pct"/>
            <w:vAlign w:val="center"/>
          </w:tcPr>
          <w:p w14:paraId="54770A8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BEC2490" w14:textId="77777777" w:rsidR="00C36261" w:rsidRPr="00A57ABC" w:rsidRDefault="00C36261" w:rsidP="00624091">
            <w:pPr>
              <w:widowControl w:val="0"/>
              <w:ind w:left="386" w:right="146" w:hanging="195"/>
              <w:rPr>
                <w:rFonts w:eastAsiaTheme="minorHAnsi"/>
                <w:sz w:val="14"/>
                <w:szCs w:val="14"/>
                <w:lang w:eastAsia="en-US"/>
              </w:rPr>
            </w:pPr>
            <w:r w:rsidRPr="00A57ABC">
              <w:rPr>
                <w:rFonts w:eastAsiaTheme="minorHAnsi"/>
                <w:sz w:val="14"/>
                <w:szCs w:val="14"/>
                <w:lang w:eastAsia="en-US"/>
              </w:rPr>
              <w:t>BENTONITA Y</w:t>
            </w:r>
            <w:r w:rsidRPr="00A57ABC">
              <w:rPr>
                <w:rFonts w:eastAsiaTheme="minorHAnsi"/>
                <w:spacing w:val="-34"/>
                <w:sz w:val="14"/>
                <w:szCs w:val="14"/>
                <w:lang w:eastAsia="en-US"/>
              </w:rPr>
              <w:t xml:space="preserve"> </w:t>
            </w:r>
            <w:r w:rsidRPr="00A57ABC">
              <w:rPr>
                <w:rFonts w:eastAsiaTheme="minorHAnsi"/>
                <w:sz w:val="14"/>
                <w:szCs w:val="14"/>
                <w:lang w:eastAsia="en-US"/>
              </w:rPr>
              <w:t>CAOLIN</w:t>
            </w:r>
          </w:p>
        </w:tc>
        <w:tc>
          <w:tcPr>
            <w:tcW w:w="589" w:type="pct"/>
            <w:vAlign w:val="center"/>
          </w:tcPr>
          <w:p w14:paraId="190911AB" w14:textId="77777777" w:rsidR="00C36261" w:rsidRPr="00A57ABC" w:rsidRDefault="00C36261" w:rsidP="00624091">
            <w:pPr>
              <w:widowControl w:val="0"/>
              <w:ind w:left="197" w:right="150" w:firstLine="141"/>
              <w:jc w:val="center"/>
              <w:rPr>
                <w:rFonts w:eastAsiaTheme="minorHAnsi"/>
                <w:sz w:val="14"/>
                <w:szCs w:val="14"/>
                <w:lang w:eastAsia="en-US"/>
              </w:rPr>
            </w:pPr>
            <w:r w:rsidRPr="00A57ABC">
              <w:rPr>
                <w:rFonts w:eastAsiaTheme="minorHAnsi"/>
                <w:sz w:val="14"/>
                <w:szCs w:val="14"/>
                <w:lang w:eastAsia="en-US"/>
              </w:rPr>
              <w:t>San Luis</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Jilotepeque</w:t>
            </w:r>
            <w:proofErr w:type="spellEnd"/>
          </w:p>
        </w:tc>
        <w:tc>
          <w:tcPr>
            <w:tcW w:w="716" w:type="pct"/>
            <w:vAlign w:val="center"/>
          </w:tcPr>
          <w:p w14:paraId="302FE937" w14:textId="77777777" w:rsidR="00C36261" w:rsidRPr="00A57ABC" w:rsidRDefault="00C36261" w:rsidP="00624091">
            <w:pPr>
              <w:widowControl w:val="0"/>
              <w:ind w:left="442"/>
              <w:jc w:val="center"/>
              <w:rPr>
                <w:rFonts w:eastAsiaTheme="minorHAnsi"/>
                <w:sz w:val="14"/>
                <w:szCs w:val="14"/>
                <w:lang w:eastAsia="en-US"/>
              </w:rPr>
            </w:pPr>
            <w:r w:rsidRPr="00A57ABC">
              <w:rPr>
                <w:rFonts w:eastAsiaTheme="minorHAnsi"/>
                <w:sz w:val="14"/>
                <w:szCs w:val="14"/>
                <w:lang w:eastAsia="en-US"/>
              </w:rPr>
              <w:t>Jalapa</w:t>
            </w:r>
          </w:p>
        </w:tc>
      </w:tr>
      <w:tr w:rsidR="00C36261" w:rsidRPr="00A57ABC" w14:paraId="3B6EE873" w14:textId="77777777" w:rsidTr="005105AC">
        <w:trPr>
          <w:trHeight w:val="534"/>
          <w:jc w:val="center"/>
        </w:trPr>
        <w:tc>
          <w:tcPr>
            <w:tcW w:w="1367" w:type="pct"/>
            <w:vAlign w:val="center"/>
          </w:tcPr>
          <w:p w14:paraId="1AA126FA" w14:textId="77777777" w:rsidR="00C36261" w:rsidRPr="00A57ABC" w:rsidRDefault="00C36261" w:rsidP="00624091">
            <w:pPr>
              <w:widowControl w:val="0"/>
              <w:ind w:left="166" w:right="141"/>
              <w:jc w:val="center"/>
              <w:rPr>
                <w:rFonts w:eastAsiaTheme="minorHAnsi"/>
                <w:sz w:val="14"/>
                <w:szCs w:val="14"/>
                <w:lang w:eastAsia="en-US"/>
              </w:rPr>
            </w:pPr>
            <w:r w:rsidRPr="00A57ABC">
              <w:rPr>
                <w:rFonts w:eastAsiaTheme="minorHAnsi"/>
                <w:sz w:val="14"/>
                <w:szCs w:val="14"/>
                <w:lang w:eastAsia="en-US"/>
              </w:rPr>
              <w:t>EXPLOTACION</w:t>
            </w:r>
            <w:r w:rsidRPr="00A57ABC">
              <w:rPr>
                <w:rFonts w:eastAsiaTheme="minorHAnsi"/>
                <w:spacing w:val="-34"/>
                <w:sz w:val="14"/>
                <w:szCs w:val="14"/>
                <w:lang w:eastAsia="en-US"/>
              </w:rPr>
              <w:t xml:space="preserve"> </w:t>
            </w:r>
            <w:r w:rsidRPr="00A57ABC">
              <w:rPr>
                <w:rFonts w:eastAsiaTheme="minorHAnsi"/>
                <w:sz w:val="14"/>
                <w:szCs w:val="14"/>
                <w:lang w:eastAsia="en-US"/>
              </w:rPr>
              <w:t>MINERA EL</w:t>
            </w:r>
            <w:r w:rsidRPr="00A57ABC">
              <w:rPr>
                <w:rFonts w:eastAsiaTheme="minorHAnsi"/>
                <w:spacing w:val="1"/>
                <w:sz w:val="14"/>
                <w:szCs w:val="14"/>
                <w:lang w:eastAsia="en-US"/>
              </w:rPr>
              <w:t xml:space="preserve"> </w:t>
            </w:r>
            <w:r w:rsidRPr="00A57ABC">
              <w:rPr>
                <w:rFonts w:eastAsiaTheme="minorHAnsi"/>
                <w:sz w:val="14"/>
                <w:szCs w:val="14"/>
                <w:lang w:eastAsia="en-US"/>
              </w:rPr>
              <w:t>CARAMO</w:t>
            </w:r>
          </w:p>
        </w:tc>
        <w:tc>
          <w:tcPr>
            <w:tcW w:w="613" w:type="pct"/>
            <w:vAlign w:val="center"/>
          </w:tcPr>
          <w:p w14:paraId="2E2A3EDB"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15/06/2012</w:t>
            </w:r>
          </w:p>
        </w:tc>
        <w:tc>
          <w:tcPr>
            <w:tcW w:w="625" w:type="pct"/>
            <w:vAlign w:val="center"/>
          </w:tcPr>
          <w:p w14:paraId="6FB5EDE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14/06/2037</w:t>
            </w:r>
          </w:p>
        </w:tc>
        <w:tc>
          <w:tcPr>
            <w:tcW w:w="306" w:type="pct"/>
            <w:vAlign w:val="center"/>
          </w:tcPr>
          <w:p w14:paraId="3B8976E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F0C52D0"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Y GRAVA</w:t>
            </w:r>
          </w:p>
        </w:tc>
        <w:tc>
          <w:tcPr>
            <w:tcW w:w="589" w:type="pct"/>
            <w:vAlign w:val="center"/>
          </w:tcPr>
          <w:p w14:paraId="7EA61F31" w14:textId="77777777" w:rsidR="00C36261" w:rsidRPr="00A57ABC" w:rsidRDefault="00C36261" w:rsidP="00624091">
            <w:pPr>
              <w:widowControl w:val="0"/>
              <w:ind w:left="33" w:right="2"/>
              <w:jc w:val="center"/>
              <w:rPr>
                <w:rFonts w:eastAsiaTheme="minorHAnsi"/>
                <w:sz w:val="14"/>
                <w:szCs w:val="14"/>
                <w:lang w:eastAsia="en-US"/>
              </w:rPr>
            </w:pPr>
            <w:r w:rsidRPr="00A57ABC">
              <w:rPr>
                <w:rFonts w:eastAsiaTheme="minorHAnsi"/>
                <w:sz w:val="14"/>
                <w:szCs w:val="14"/>
                <w:lang w:eastAsia="en-US"/>
              </w:rPr>
              <w:t>Jalapa</w:t>
            </w:r>
          </w:p>
        </w:tc>
        <w:tc>
          <w:tcPr>
            <w:tcW w:w="716" w:type="pct"/>
            <w:vAlign w:val="center"/>
          </w:tcPr>
          <w:p w14:paraId="2D1FE3B2" w14:textId="77777777" w:rsidR="00C36261" w:rsidRPr="00A57ABC" w:rsidRDefault="00C36261" w:rsidP="00624091">
            <w:pPr>
              <w:widowControl w:val="0"/>
              <w:ind w:left="442"/>
              <w:jc w:val="center"/>
              <w:rPr>
                <w:rFonts w:eastAsiaTheme="minorHAnsi"/>
                <w:sz w:val="14"/>
                <w:szCs w:val="14"/>
                <w:lang w:eastAsia="en-US"/>
              </w:rPr>
            </w:pPr>
            <w:r w:rsidRPr="00A57ABC">
              <w:rPr>
                <w:rFonts w:eastAsiaTheme="minorHAnsi"/>
                <w:sz w:val="14"/>
                <w:szCs w:val="14"/>
                <w:lang w:eastAsia="en-US"/>
              </w:rPr>
              <w:t>Jalapa</w:t>
            </w:r>
          </w:p>
        </w:tc>
      </w:tr>
      <w:tr w:rsidR="00C36261" w:rsidRPr="00A57ABC" w14:paraId="5BD17929" w14:textId="77777777" w:rsidTr="005105AC">
        <w:trPr>
          <w:trHeight w:val="326"/>
          <w:jc w:val="center"/>
        </w:trPr>
        <w:tc>
          <w:tcPr>
            <w:tcW w:w="1367" w:type="pct"/>
            <w:vAlign w:val="center"/>
          </w:tcPr>
          <w:p w14:paraId="0E1698E3"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CAMINOS</w:t>
            </w:r>
          </w:p>
        </w:tc>
        <w:tc>
          <w:tcPr>
            <w:tcW w:w="613" w:type="pct"/>
            <w:vAlign w:val="center"/>
          </w:tcPr>
          <w:p w14:paraId="1003C554"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30/11/1999</w:t>
            </w:r>
          </w:p>
        </w:tc>
        <w:tc>
          <w:tcPr>
            <w:tcW w:w="625" w:type="pct"/>
            <w:vAlign w:val="center"/>
          </w:tcPr>
          <w:p w14:paraId="0DE0AE7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30/11/2024</w:t>
            </w:r>
          </w:p>
        </w:tc>
        <w:tc>
          <w:tcPr>
            <w:tcW w:w="306" w:type="pct"/>
            <w:vAlign w:val="center"/>
          </w:tcPr>
          <w:p w14:paraId="779DCD5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C0BC4D6" w14:textId="77777777" w:rsidR="00C36261" w:rsidRPr="00A57ABC" w:rsidRDefault="00C36261" w:rsidP="00624091">
            <w:pPr>
              <w:widowControl w:val="0"/>
              <w:ind w:left="31"/>
              <w:jc w:val="center"/>
              <w:rPr>
                <w:rFonts w:eastAsiaTheme="minorHAnsi"/>
                <w:sz w:val="14"/>
                <w:szCs w:val="14"/>
                <w:lang w:eastAsia="en-US"/>
              </w:rPr>
            </w:pPr>
            <w:r w:rsidRPr="00A57ABC">
              <w:rPr>
                <w:rFonts w:eastAsiaTheme="minorHAnsi"/>
                <w:sz w:val="14"/>
                <w:szCs w:val="14"/>
                <w:lang w:eastAsia="en-US"/>
              </w:rPr>
              <w:t>BENTONITA</w:t>
            </w:r>
          </w:p>
        </w:tc>
        <w:tc>
          <w:tcPr>
            <w:tcW w:w="589" w:type="pct"/>
            <w:vAlign w:val="center"/>
          </w:tcPr>
          <w:p w14:paraId="7A8B2B91" w14:textId="77777777" w:rsidR="00C36261" w:rsidRPr="00A57ABC" w:rsidRDefault="00C36261" w:rsidP="00624091">
            <w:pPr>
              <w:widowControl w:val="0"/>
              <w:ind w:left="177" w:right="141" w:hanging="2"/>
              <w:jc w:val="center"/>
              <w:rPr>
                <w:rFonts w:eastAsiaTheme="minorHAnsi"/>
                <w:sz w:val="14"/>
                <w:szCs w:val="14"/>
                <w:lang w:val="es-GT" w:eastAsia="en-US"/>
              </w:rPr>
            </w:pPr>
            <w:r w:rsidRPr="00A57ABC">
              <w:rPr>
                <w:rFonts w:eastAsiaTheme="minorHAnsi"/>
                <w:sz w:val="14"/>
                <w:szCs w:val="14"/>
                <w:lang w:val="es-GT" w:eastAsia="en-US"/>
              </w:rPr>
              <w:t>San Luis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Jilotepeque,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San</w:t>
            </w:r>
            <w:r w:rsidRPr="00A57ABC">
              <w:rPr>
                <w:rFonts w:eastAsiaTheme="minorHAnsi"/>
                <w:spacing w:val="-2"/>
                <w:sz w:val="14"/>
                <w:szCs w:val="14"/>
                <w:lang w:val="es-GT" w:eastAsia="en-US"/>
              </w:rPr>
              <w:t xml:space="preserve"> </w:t>
            </w:r>
            <w:r w:rsidRPr="00A57ABC">
              <w:rPr>
                <w:rFonts w:eastAsiaTheme="minorHAnsi"/>
                <w:sz w:val="14"/>
                <w:szCs w:val="14"/>
                <w:lang w:val="es-GT" w:eastAsia="en-US"/>
              </w:rPr>
              <w:t>Jose La</w:t>
            </w:r>
          </w:p>
          <w:p w14:paraId="4813541C" w14:textId="77777777" w:rsidR="00C36261" w:rsidRPr="00A57ABC" w:rsidRDefault="00C36261" w:rsidP="00624091">
            <w:pPr>
              <w:widowControl w:val="0"/>
              <w:ind w:left="33" w:right="2"/>
              <w:jc w:val="center"/>
              <w:rPr>
                <w:rFonts w:eastAsiaTheme="minorHAnsi"/>
                <w:sz w:val="14"/>
                <w:szCs w:val="14"/>
                <w:lang w:eastAsia="en-US"/>
              </w:rPr>
            </w:pPr>
            <w:proofErr w:type="spellStart"/>
            <w:r w:rsidRPr="00A57ABC">
              <w:rPr>
                <w:rFonts w:eastAsiaTheme="minorHAnsi"/>
                <w:sz w:val="14"/>
                <w:szCs w:val="14"/>
                <w:lang w:eastAsia="en-US"/>
              </w:rPr>
              <w:t>Arada</w:t>
            </w:r>
            <w:proofErr w:type="spellEnd"/>
            <w:r w:rsidRPr="00A57ABC">
              <w:rPr>
                <w:rFonts w:eastAsiaTheme="minorHAnsi"/>
                <w:sz w:val="14"/>
                <w:szCs w:val="14"/>
                <w:lang w:eastAsia="en-US"/>
              </w:rPr>
              <w:t xml:space="preserve"> E </w:t>
            </w:r>
            <w:proofErr w:type="spellStart"/>
            <w:r w:rsidRPr="00A57ABC">
              <w:rPr>
                <w:rFonts w:eastAsiaTheme="minorHAnsi"/>
                <w:sz w:val="14"/>
                <w:szCs w:val="14"/>
                <w:lang w:eastAsia="en-US"/>
              </w:rPr>
              <w:t>Ipala</w:t>
            </w:r>
            <w:proofErr w:type="spellEnd"/>
          </w:p>
        </w:tc>
        <w:tc>
          <w:tcPr>
            <w:tcW w:w="716" w:type="pct"/>
            <w:vAlign w:val="center"/>
          </w:tcPr>
          <w:p w14:paraId="7F1821B1" w14:textId="77777777" w:rsidR="00C36261" w:rsidRPr="00A57ABC" w:rsidRDefault="00C36261" w:rsidP="00624091">
            <w:pPr>
              <w:widowControl w:val="0"/>
              <w:ind w:left="243" w:right="194" w:firstLine="141"/>
              <w:jc w:val="center"/>
              <w:rPr>
                <w:rFonts w:eastAsiaTheme="minorHAnsi"/>
                <w:sz w:val="14"/>
                <w:szCs w:val="14"/>
                <w:lang w:eastAsia="en-US"/>
              </w:rPr>
            </w:pPr>
            <w:r w:rsidRPr="00A57ABC">
              <w:rPr>
                <w:rFonts w:eastAsiaTheme="minorHAnsi"/>
                <w:sz w:val="14"/>
                <w:szCs w:val="14"/>
                <w:lang w:eastAsia="en-US"/>
              </w:rPr>
              <w:t>Jalapa Y</w:t>
            </w:r>
            <w:r w:rsidRPr="00A57ABC">
              <w:rPr>
                <w:rFonts w:eastAsiaTheme="minorHAnsi"/>
                <w:spacing w:val="1"/>
                <w:sz w:val="14"/>
                <w:szCs w:val="14"/>
                <w:lang w:eastAsia="en-US"/>
              </w:rPr>
              <w:t xml:space="preserve"> </w:t>
            </w:r>
            <w:r w:rsidRPr="00A57ABC">
              <w:rPr>
                <w:rFonts w:eastAsiaTheme="minorHAnsi"/>
                <w:sz w:val="14"/>
                <w:szCs w:val="14"/>
                <w:lang w:eastAsia="en-US"/>
              </w:rPr>
              <w:t>Chiquimula</w:t>
            </w:r>
          </w:p>
        </w:tc>
      </w:tr>
      <w:tr w:rsidR="00C36261" w:rsidRPr="00A57ABC" w14:paraId="74BF5568" w14:textId="77777777" w:rsidTr="005105AC">
        <w:trPr>
          <w:trHeight w:val="519"/>
          <w:jc w:val="center"/>
        </w:trPr>
        <w:tc>
          <w:tcPr>
            <w:tcW w:w="1367" w:type="pct"/>
            <w:vAlign w:val="center"/>
          </w:tcPr>
          <w:p w14:paraId="4BB7D51E"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MITCH</w:t>
            </w:r>
          </w:p>
        </w:tc>
        <w:tc>
          <w:tcPr>
            <w:tcW w:w="613" w:type="pct"/>
            <w:vAlign w:val="center"/>
          </w:tcPr>
          <w:p w14:paraId="1B81C94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21/01/2000</w:t>
            </w:r>
          </w:p>
        </w:tc>
        <w:tc>
          <w:tcPr>
            <w:tcW w:w="625" w:type="pct"/>
            <w:vAlign w:val="center"/>
          </w:tcPr>
          <w:p w14:paraId="6B5D5D6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20/01/2025</w:t>
            </w:r>
          </w:p>
        </w:tc>
        <w:tc>
          <w:tcPr>
            <w:tcW w:w="306" w:type="pct"/>
            <w:vAlign w:val="center"/>
          </w:tcPr>
          <w:p w14:paraId="73981D7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174C937" w14:textId="77777777" w:rsidR="00C36261" w:rsidRPr="00A57ABC" w:rsidRDefault="00C36261" w:rsidP="00624091">
            <w:pPr>
              <w:widowControl w:val="0"/>
              <w:ind w:left="386" w:right="146" w:hanging="195"/>
              <w:rPr>
                <w:rFonts w:eastAsiaTheme="minorHAnsi"/>
                <w:sz w:val="14"/>
                <w:szCs w:val="14"/>
                <w:lang w:eastAsia="en-US"/>
              </w:rPr>
            </w:pPr>
            <w:r w:rsidRPr="00A57ABC">
              <w:rPr>
                <w:rFonts w:eastAsiaTheme="minorHAnsi"/>
                <w:sz w:val="14"/>
                <w:szCs w:val="14"/>
                <w:lang w:eastAsia="en-US"/>
              </w:rPr>
              <w:t>BENTONITA Y</w:t>
            </w:r>
            <w:r w:rsidRPr="00A57ABC">
              <w:rPr>
                <w:rFonts w:eastAsiaTheme="minorHAnsi"/>
                <w:spacing w:val="-34"/>
                <w:sz w:val="14"/>
                <w:szCs w:val="14"/>
                <w:lang w:eastAsia="en-US"/>
              </w:rPr>
              <w:t xml:space="preserve"> </w:t>
            </w:r>
            <w:r w:rsidRPr="00A57ABC">
              <w:rPr>
                <w:rFonts w:eastAsiaTheme="minorHAnsi"/>
                <w:sz w:val="14"/>
                <w:szCs w:val="14"/>
                <w:lang w:eastAsia="en-US"/>
              </w:rPr>
              <w:t>CAOLIN</w:t>
            </w:r>
          </w:p>
        </w:tc>
        <w:tc>
          <w:tcPr>
            <w:tcW w:w="589" w:type="pct"/>
            <w:vAlign w:val="center"/>
          </w:tcPr>
          <w:p w14:paraId="1857F52F" w14:textId="77777777" w:rsidR="00C36261" w:rsidRPr="00A57ABC" w:rsidRDefault="00C36261" w:rsidP="00624091">
            <w:pPr>
              <w:widowControl w:val="0"/>
              <w:ind w:left="177" w:right="141" w:hanging="2"/>
              <w:jc w:val="center"/>
              <w:rPr>
                <w:rFonts w:eastAsiaTheme="minorHAnsi"/>
                <w:sz w:val="14"/>
                <w:szCs w:val="14"/>
                <w:lang w:val="es-GT" w:eastAsia="en-US"/>
              </w:rPr>
            </w:pPr>
            <w:r w:rsidRPr="00A57ABC">
              <w:rPr>
                <w:rFonts w:eastAsiaTheme="minorHAnsi"/>
                <w:sz w:val="14"/>
                <w:szCs w:val="14"/>
                <w:lang w:val="es-GT" w:eastAsia="en-US"/>
              </w:rPr>
              <w:t>San Luis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Jilotepeque,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San</w:t>
            </w:r>
            <w:r w:rsidRPr="00A57ABC">
              <w:rPr>
                <w:rFonts w:eastAsiaTheme="minorHAnsi"/>
                <w:spacing w:val="-2"/>
                <w:sz w:val="14"/>
                <w:szCs w:val="14"/>
                <w:lang w:val="es-GT" w:eastAsia="en-US"/>
              </w:rPr>
              <w:t xml:space="preserve"> </w:t>
            </w:r>
            <w:r w:rsidRPr="00A57ABC">
              <w:rPr>
                <w:rFonts w:eastAsiaTheme="minorHAnsi"/>
                <w:sz w:val="14"/>
                <w:szCs w:val="14"/>
                <w:lang w:val="es-GT" w:eastAsia="en-US"/>
              </w:rPr>
              <w:t>Jose La</w:t>
            </w:r>
          </w:p>
          <w:p w14:paraId="0165DA61" w14:textId="77777777" w:rsidR="00C36261" w:rsidRPr="00A57ABC" w:rsidRDefault="00C36261" w:rsidP="00624091">
            <w:pPr>
              <w:widowControl w:val="0"/>
              <w:ind w:left="33" w:right="2"/>
              <w:jc w:val="center"/>
              <w:rPr>
                <w:rFonts w:eastAsiaTheme="minorHAnsi"/>
                <w:sz w:val="14"/>
                <w:szCs w:val="14"/>
                <w:lang w:eastAsia="en-US"/>
              </w:rPr>
            </w:pPr>
            <w:proofErr w:type="spellStart"/>
            <w:r w:rsidRPr="00A57ABC">
              <w:rPr>
                <w:rFonts w:eastAsiaTheme="minorHAnsi"/>
                <w:sz w:val="14"/>
                <w:szCs w:val="14"/>
                <w:lang w:eastAsia="en-US"/>
              </w:rPr>
              <w:t>Arada</w:t>
            </w:r>
            <w:proofErr w:type="spellEnd"/>
            <w:r w:rsidRPr="00A57ABC">
              <w:rPr>
                <w:rFonts w:eastAsiaTheme="minorHAnsi"/>
                <w:sz w:val="14"/>
                <w:szCs w:val="14"/>
                <w:lang w:eastAsia="en-US"/>
              </w:rPr>
              <w:t xml:space="preserve"> E </w:t>
            </w:r>
            <w:proofErr w:type="spellStart"/>
            <w:r w:rsidRPr="00A57ABC">
              <w:rPr>
                <w:rFonts w:eastAsiaTheme="minorHAnsi"/>
                <w:sz w:val="14"/>
                <w:szCs w:val="14"/>
                <w:lang w:eastAsia="en-US"/>
              </w:rPr>
              <w:t>Ipala</w:t>
            </w:r>
            <w:proofErr w:type="spellEnd"/>
          </w:p>
        </w:tc>
        <w:tc>
          <w:tcPr>
            <w:tcW w:w="716" w:type="pct"/>
            <w:vAlign w:val="center"/>
          </w:tcPr>
          <w:p w14:paraId="6ECE2070" w14:textId="77777777" w:rsidR="00C36261" w:rsidRPr="00A57ABC" w:rsidRDefault="00C36261" w:rsidP="00624091">
            <w:pPr>
              <w:widowControl w:val="0"/>
              <w:ind w:left="243" w:right="194" w:firstLine="141"/>
              <w:jc w:val="center"/>
              <w:rPr>
                <w:rFonts w:eastAsiaTheme="minorHAnsi"/>
                <w:sz w:val="14"/>
                <w:szCs w:val="14"/>
                <w:lang w:eastAsia="en-US"/>
              </w:rPr>
            </w:pPr>
            <w:r w:rsidRPr="00A57ABC">
              <w:rPr>
                <w:rFonts w:eastAsiaTheme="minorHAnsi"/>
                <w:sz w:val="14"/>
                <w:szCs w:val="14"/>
                <w:lang w:eastAsia="en-US"/>
              </w:rPr>
              <w:t>Jalapa Y</w:t>
            </w:r>
            <w:r w:rsidRPr="00A57ABC">
              <w:rPr>
                <w:rFonts w:eastAsiaTheme="minorHAnsi"/>
                <w:spacing w:val="1"/>
                <w:sz w:val="14"/>
                <w:szCs w:val="14"/>
                <w:lang w:eastAsia="en-US"/>
              </w:rPr>
              <w:t xml:space="preserve"> </w:t>
            </w:r>
            <w:r w:rsidRPr="00A57ABC">
              <w:rPr>
                <w:rFonts w:eastAsiaTheme="minorHAnsi"/>
                <w:sz w:val="14"/>
                <w:szCs w:val="14"/>
                <w:lang w:eastAsia="en-US"/>
              </w:rPr>
              <w:t>Chiquimula</w:t>
            </w:r>
          </w:p>
        </w:tc>
      </w:tr>
      <w:tr w:rsidR="00C36261" w:rsidRPr="00A57ABC" w14:paraId="57296A6F" w14:textId="77777777" w:rsidTr="005105AC">
        <w:trPr>
          <w:trHeight w:val="368"/>
          <w:jc w:val="center"/>
        </w:trPr>
        <w:tc>
          <w:tcPr>
            <w:tcW w:w="1367" w:type="pct"/>
            <w:vAlign w:val="center"/>
          </w:tcPr>
          <w:p w14:paraId="07299044" w14:textId="77777777" w:rsidR="00C36261" w:rsidRPr="00A57ABC" w:rsidRDefault="00C36261" w:rsidP="00624091">
            <w:pPr>
              <w:widowControl w:val="0"/>
              <w:ind w:left="389" w:right="47" w:hanging="303"/>
              <w:rPr>
                <w:rFonts w:eastAsiaTheme="minorHAnsi"/>
                <w:sz w:val="14"/>
                <w:szCs w:val="14"/>
                <w:lang w:eastAsia="en-US"/>
              </w:rPr>
            </w:pPr>
            <w:r w:rsidRPr="00A57ABC">
              <w:rPr>
                <w:rFonts w:eastAsiaTheme="minorHAnsi"/>
                <w:sz w:val="14"/>
                <w:szCs w:val="14"/>
                <w:lang w:eastAsia="en-US"/>
              </w:rPr>
              <w:t>CONSTRUCTORA</w:t>
            </w:r>
            <w:r w:rsidRPr="00A57ABC">
              <w:rPr>
                <w:rFonts w:eastAsiaTheme="minorHAnsi"/>
                <w:spacing w:val="-34"/>
                <w:sz w:val="14"/>
                <w:szCs w:val="14"/>
                <w:lang w:eastAsia="en-US"/>
              </w:rPr>
              <w:t xml:space="preserve"> </w:t>
            </w:r>
            <w:r w:rsidRPr="00A57ABC">
              <w:rPr>
                <w:rFonts w:eastAsiaTheme="minorHAnsi"/>
                <w:sz w:val="14"/>
                <w:szCs w:val="14"/>
                <w:lang w:eastAsia="en-US"/>
              </w:rPr>
              <w:t>FLORES</w:t>
            </w:r>
          </w:p>
        </w:tc>
        <w:tc>
          <w:tcPr>
            <w:tcW w:w="613" w:type="pct"/>
            <w:vAlign w:val="center"/>
          </w:tcPr>
          <w:p w14:paraId="18878ADE"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9/11/2004</w:t>
            </w:r>
          </w:p>
        </w:tc>
        <w:tc>
          <w:tcPr>
            <w:tcW w:w="625" w:type="pct"/>
            <w:vAlign w:val="center"/>
          </w:tcPr>
          <w:p w14:paraId="1771C8D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8/11/2029</w:t>
            </w:r>
          </w:p>
        </w:tc>
        <w:tc>
          <w:tcPr>
            <w:tcW w:w="306" w:type="pct"/>
            <w:vAlign w:val="center"/>
          </w:tcPr>
          <w:p w14:paraId="3E61685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A37CCF4"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Y GRAVA</w:t>
            </w:r>
          </w:p>
        </w:tc>
        <w:tc>
          <w:tcPr>
            <w:tcW w:w="589" w:type="pct"/>
            <w:vAlign w:val="center"/>
          </w:tcPr>
          <w:p w14:paraId="1F75F49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Asuncion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Mita</w:t>
            </w:r>
            <w:proofErr w:type="spellEnd"/>
          </w:p>
        </w:tc>
        <w:tc>
          <w:tcPr>
            <w:tcW w:w="716" w:type="pct"/>
            <w:vAlign w:val="center"/>
          </w:tcPr>
          <w:p w14:paraId="3BAC2C39" w14:textId="77777777" w:rsidR="00C36261" w:rsidRPr="00A57ABC" w:rsidRDefault="00C36261" w:rsidP="00624091">
            <w:pPr>
              <w:widowControl w:val="0"/>
              <w:ind w:left="411"/>
              <w:jc w:val="center"/>
              <w:rPr>
                <w:rFonts w:eastAsiaTheme="minorHAnsi"/>
                <w:sz w:val="14"/>
                <w:szCs w:val="14"/>
                <w:lang w:eastAsia="en-US"/>
              </w:rPr>
            </w:pPr>
            <w:r w:rsidRPr="00A57ABC">
              <w:rPr>
                <w:rFonts w:eastAsiaTheme="minorHAnsi"/>
                <w:sz w:val="14"/>
                <w:szCs w:val="14"/>
                <w:lang w:eastAsia="en-US"/>
              </w:rPr>
              <w:t>Jutiapa</w:t>
            </w:r>
          </w:p>
        </w:tc>
      </w:tr>
      <w:tr w:rsidR="00C36261" w:rsidRPr="00A57ABC" w14:paraId="30114C15" w14:textId="77777777" w:rsidTr="005105AC">
        <w:trPr>
          <w:trHeight w:val="464"/>
          <w:jc w:val="center"/>
        </w:trPr>
        <w:tc>
          <w:tcPr>
            <w:tcW w:w="1367" w:type="pct"/>
            <w:vAlign w:val="center"/>
          </w:tcPr>
          <w:p w14:paraId="6AE51B75" w14:textId="77777777" w:rsidR="00C36261" w:rsidRPr="00A57ABC" w:rsidRDefault="00C36261" w:rsidP="00624091">
            <w:pPr>
              <w:widowControl w:val="0"/>
              <w:ind w:left="127" w:right="103" w:hanging="1"/>
              <w:jc w:val="center"/>
              <w:rPr>
                <w:rFonts w:eastAsiaTheme="minorHAnsi"/>
                <w:sz w:val="14"/>
                <w:szCs w:val="14"/>
                <w:lang w:val="es-GT" w:eastAsia="en-US"/>
              </w:rPr>
            </w:pPr>
            <w:r w:rsidRPr="00A57ABC">
              <w:rPr>
                <w:rFonts w:eastAsiaTheme="minorHAnsi"/>
                <w:sz w:val="14"/>
                <w:szCs w:val="14"/>
                <w:lang w:val="es-GT" w:eastAsia="en-US"/>
              </w:rPr>
              <w:t>EXPLOT.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COMERC.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PROD. PARA LA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CONST.</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LA</w:t>
            </w:r>
          </w:p>
          <w:p w14:paraId="725B505C" w14:textId="77777777" w:rsidR="00C36261" w:rsidRPr="00A57ABC" w:rsidRDefault="00C36261" w:rsidP="00624091">
            <w:pPr>
              <w:widowControl w:val="0"/>
              <w:ind w:left="23"/>
              <w:jc w:val="center"/>
              <w:rPr>
                <w:rFonts w:eastAsiaTheme="minorHAnsi"/>
                <w:sz w:val="14"/>
                <w:szCs w:val="14"/>
                <w:lang w:val="es-GT" w:eastAsia="en-US"/>
              </w:rPr>
            </w:pPr>
            <w:r w:rsidRPr="00A57ABC">
              <w:rPr>
                <w:rFonts w:eastAsiaTheme="minorHAnsi"/>
                <w:sz w:val="14"/>
                <w:szCs w:val="14"/>
                <w:lang w:val="es-GT" w:eastAsia="en-US"/>
              </w:rPr>
              <w:t>MARTINICA</w:t>
            </w:r>
          </w:p>
        </w:tc>
        <w:tc>
          <w:tcPr>
            <w:tcW w:w="613" w:type="pct"/>
            <w:vAlign w:val="center"/>
          </w:tcPr>
          <w:p w14:paraId="5FBCF00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15/04/2012</w:t>
            </w:r>
          </w:p>
        </w:tc>
        <w:tc>
          <w:tcPr>
            <w:tcW w:w="625" w:type="pct"/>
            <w:vAlign w:val="center"/>
          </w:tcPr>
          <w:p w14:paraId="0C203437"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14/04/2037</w:t>
            </w:r>
          </w:p>
        </w:tc>
        <w:tc>
          <w:tcPr>
            <w:tcW w:w="306" w:type="pct"/>
            <w:vAlign w:val="center"/>
          </w:tcPr>
          <w:p w14:paraId="4A338C9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199A9B8" w14:textId="77777777" w:rsidR="00C36261" w:rsidRPr="00A57ABC" w:rsidRDefault="00C36261" w:rsidP="00624091">
            <w:pPr>
              <w:widowControl w:val="0"/>
              <w:ind w:left="32"/>
              <w:jc w:val="center"/>
              <w:rPr>
                <w:rFonts w:eastAsiaTheme="minorHAnsi"/>
                <w:sz w:val="14"/>
                <w:szCs w:val="14"/>
                <w:lang w:val="es-GT" w:eastAsia="en-US"/>
              </w:rPr>
            </w:pPr>
            <w:r w:rsidRPr="00A57ABC">
              <w:rPr>
                <w:rFonts w:eastAsiaTheme="minorHAnsi"/>
                <w:sz w:val="14"/>
                <w:szCs w:val="14"/>
                <w:lang w:val="es-GT" w:eastAsia="en-US"/>
              </w:rPr>
              <w:t>ARENA DE RIO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 (CANTOS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5CEAE4B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Asuncion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Mita</w:t>
            </w:r>
            <w:proofErr w:type="spellEnd"/>
          </w:p>
        </w:tc>
        <w:tc>
          <w:tcPr>
            <w:tcW w:w="716" w:type="pct"/>
            <w:vAlign w:val="center"/>
          </w:tcPr>
          <w:p w14:paraId="6AFABC28" w14:textId="77777777" w:rsidR="00C36261" w:rsidRPr="00A57ABC" w:rsidRDefault="00C36261" w:rsidP="00624091">
            <w:pPr>
              <w:widowControl w:val="0"/>
              <w:ind w:left="411"/>
              <w:jc w:val="center"/>
              <w:rPr>
                <w:rFonts w:eastAsiaTheme="minorHAnsi"/>
                <w:sz w:val="14"/>
                <w:szCs w:val="14"/>
                <w:lang w:eastAsia="en-US"/>
              </w:rPr>
            </w:pPr>
            <w:r w:rsidRPr="00A57ABC">
              <w:rPr>
                <w:rFonts w:eastAsiaTheme="minorHAnsi"/>
                <w:sz w:val="14"/>
                <w:szCs w:val="14"/>
                <w:lang w:eastAsia="en-US"/>
              </w:rPr>
              <w:t>Jutiapa</w:t>
            </w:r>
          </w:p>
        </w:tc>
      </w:tr>
      <w:tr w:rsidR="00C36261" w:rsidRPr="00A57ABC" w14:paraId="04798A02" w14:textId="77777777" w:rsidTr="005105AC">
        <w:trPr>
          <w:trHeight w:val="785"/>
          <w:jc w:val="center"/>
        </w:trPr>
        <w:tc>
          <w:tcPr>
            <w:tcW w:w="1367" w:type="pct"/>
            <w:vAlign w:val="center"/>
          </w:tcPr>
          <w:p w14:paraId="22A09DB8" w14:textId="77777777" w:rsidR="00C36261" w:rsidRPr="00A57ABC" w:rsidRDefault="00C36261" w:rsidP="00624091">
            <w:pPr>
              <w:widowControl w:val="0"/>
              <w:ind w:left="72" w:right="47" w:firstLine="2"/>
              <w:jc w:val="center"/>
              <w:rPr>
                <w:rFonts w:eastAsiaTheme="minorHAnsi"/>
                <w:sz w:val="14"/>
                <w:szCs w:val="14"/>
                <w:lang w:val="es-GT" w:eastAsia="en-US"/>
              </w:rPr>
            </w:pPr>
            <w:r w:rsidRPr="00A57ABC">
              <w:rPr>
                <w:rFonts w:eastAsiaTheme="minorHAnsi"/>
                <w:sz w:val="14"/>
                <w:szCs w:val="14"/>
                <w:lang w:val="es-GT" w:eastAsia="en-US"/>
              </w:rPr>
              <w:t>EXPLOTACIÓN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COMERCIALIZACI</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ÓN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PRODUCTOS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PARA 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CONSTRUCCIÓN</w:t>
            </w:r>
          </w:p>
          <w:p w14:paraId="06CF5864"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LAS</w:t>
            </w:r>
            <w:r w:rsidRPr="00A57ABC">
              <w:rPr>
                <w:rFonts w:eastAsiaTheme="minorHAnsi"/>
                <w:spacing w:val="-1"/>
                <w:sz w:val="14"/>
                <w:szCs w:val="14"/>
                <w:lang w:eastAsia="en-US"/>
              </w:rPr>
              <w:t xml:space="preserve"> </w:t>
            </w:r>
            <w:r w:rsidRPr="00A57ABC">
              <w:rPr>
                <w:rFonts w:eastAsiaTheme="minorHAnsi"/>
                <w:sz w:val="14"/>
                <w:szCs w:val="14"/>
                <w:lang w:eastAsia="en-US"/>
              </w:rPr>
              <w:t>CRUCES</w:t>
            </w:r>
          </w:p>
        </w:tc>
        <w:tc>
          <w:tcPr>
            <w:tcW w:w="613" w:type="pct"/>
            <w:vAlign w:val="center"/>
          </w:tcPr>
          <w:p w14:paraId="7DC3DA4A"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25/02/2009</w:t>
            </w:r>
          </w:p>
        </w:tc>
        <w:tc>
          <w:tcPr>
            <w:tcW w:w="625" w:type="pct"/>
            <w:vAlign w:val="center"/>
          </w:tcPr>
          <w:p w14:paraId="1509DE6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24/02/2034</w:t>
            </w:r>
          </w:p>
        </w:tc>
        <w:tc>
          <w:tcPr>
            <w:tcW w:w="306" w:type="pct"/>
            <w:vAlign w:val="center"/>
          </w:tcPr>
          <w:p w14:paraId="2378A74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C712294" w14:textId="77777777" w:rsidR="00C36261" w:rsidRPr="00A57ABC" w:rsidRDefault="00C36261" w:rsidP="00624091">
            <w:pPr>
              <w:widowControl w:val="0"/>
              <w:ind w:left="403" w:right="61" w:hanging="296"/>
              <w:rPr>
                <w:rFonts w:eastAsiaTheme="minorHAnsi"/>
                <w:sz w:val="14"/>
                <w:szCs w:val="14"/>
                <w:lang w:val="es-GT" w:eastAsia="en-US"/>
              </w:rPr>
            </w:pPr>
            <w:r w:rsidRPr="00A57ABC">
              <w:rPr>
                <w:rFonts w:eastAsiaTheme="minorHAnsi"/>
                <w:sz w:val="14"/>
                <w:szCs w:val="14"/>
                <w:lang w:val="es-GT" w:eastAsia="en-US"/>
              </w:rPr>
              <w:t>ARENA DE RIO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GRAVA</w:t>
            </w:r>
          </w:p>
        </w:tc>
        <w:tc>
          <w:tcPr>
            <w:tcW w:w="589" w:type="pct"/>
            <w:vAlign w:val="center"/>
          </w:tcPr>
          <w:p w14:paraId="3D2F228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Asuncion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Mita</w:t>
            </w:r>
            <w:proofErr w:type="spellEnd"/>
          </w:p>
        </w:tc>
        <w:tc>
          <w:tcPr>
            <w:tcW w:w="716" w:type="pct"/>
            <w:vAlign w:val="center"/>
          </w:tcPr>
          <w:p w14:paraId="0BBD9E96" w14:textId="77777777" w:rsidR="00C36261" w:rsidRPr="00A57ABC" w:rsidRDefault="00C36261" w:rsidP="00704D47">
            <w:pPr>
              <w:widowControl w:val="0"/>
              <w:ind w:left="411"/>
              <w:rPr>
                <w:rFonts w:eastAsiaTheme="minorHAnsi"/>
                <w:sz w:val="14"/>
                <w:szCs w:val="14"/>
                <w:lang w:eastAsia="en-US"/>
              </w:rPr>
            </w:pPr>
            <w:r w:rsidRPr="00A57ABC">
              <w:rPr>
                <w:rFonts w:eastAsiaTheme="minorHAnsi"/>
                <w:sz w:val="14"/>
                <w:szCs w:val="14"/>
                <w:lang w:eastAsia="en-US"/>
              </w:rPr>
              <w:t>Jutiapa</w:t>
            </w:r>
          </w:p>
        </w:tc>
      </w:tr>
      <w:tr w:rsidR="00C36261" w:rsidRPr="00A57ABC" w14:paraId="306B9504" w14:textId="77777777" w:rsidTr="005105AC">
        <w:trPr>
          <w:trHeight w:val="1095"/>
          <w:jc w:val="center"/>
        </w:trPr>
        <w:tc>
          <w:tcPr>
            <w:tcW w:w="1367" w:type="pct"/>
            <w:vAlign w:val="center"/>
          </w:tcPr>
          <w:p w14:paraId="45B013F7" w14:textId="77777777" w:rsidR="00C36261" w:rsidRPr="00A57ABC" w:rsidRDefault="00C36261" w:rsidP="00624091">
            <w:pPr>
              <w:widowControl w:val="0"/>
              <w:ind w:left="41" w:right="16" w:firstLine="1"/>
              <w:jc w:val="center"/>
              <w:rPr>
                <w:rFonts w:eastAsiaTheme="minorHAnsi"/>
                <w:sz w:val="14"/>
                <w:szCs w:val="14"/>
                <w:lang w:val="es-GT" w:eastAsia="en-US"/>
              </w:rPr>
            </w:pPr>
            <w:r w:rsidRPr="00A57ABC">
              <w:rPr>
                <w:rFonts w:eastAsiaTheme="minorHAnsi"/>
                <w:sz w:val="14"/>
                <w:szCs w:val="14"/>
                <w:lang w:val="es-GT" w:eastAsia="en-US"/>
              </w:rPr>
              <w:t>PLANTA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EXPLOTACION,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TRITURACION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COMERCIALIZACI</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ON DE GRAVA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RIO Y SUS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DERIVADOS DE LA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EMPRESA VADO</w:t>
            </w:r>
          </w:p>
          <w:p w14:paraId="0EFACF23"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HONDO</w:t>
            </w:r>
          </w:p>
        </w:tc>
        <w:tc>
          <w:tcPr>
            <w:tcW w:w="613" w:type="pct"/>
            <w:vAlign w:val="center"/>
          </w:tcPr>
          <w:p w14:paraId="7170E1D8"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25/05/2012</w:t>
            </w:r>
          </w:p>
        </w:tc>
        <w:tc>
          <w:tcPr>
            <w:tcW w:w="625" w:type="pct"/>
            <w:vAlign w:val="center"/>
          </w:tcPr>
          <w:p w14:paraId="347356A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24/05/2027</w:t>
            </w:r>
          </w:p>
        </w:tc>
        <w:tc>
          <w:tcPr>
            <w:tcW w:w="306" w:type="pct"/>
            <w:vAlign w:val="center"/>
          </w:tcPr>
          <w:p w14:paraId="4819646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15 AÑOS</w:t>
            </w:r>
          </w:p>
        </w:tc>
        <w:tc>
          <w:tcPr>
            <w:tcW w:w="784" w:type="pct"/>
            <w:vAlign w:val="center"/>
          </w:tcPr>
          <w:p w14:paraId="04463326" w14:textId="77777777" w:rsidR="00C36261" w:rsidRPr="00A57ABC" w:rsidRDefault="00C36261" w:rsidP="00624091">
            <w:pPr>
              <w:widowControl w:val="0"/>
              <w:ind w:left="146" w:right="110" w:firstLine="148"/>
              <w:rPr>
                <w:rFonts w:eastAsiaTheme="minorHAnsi"/>
                <w:sz w:val="14"/>
                <w:szCs w:val="14"/>
                <w:lang w:val="es-GT" w:eastAsia="en-US"/>
              </w:rPr>
            </w:pPr>
            <w:r w:rsidRPr="00A57ABC">
              <w:rPr>
                <w:rFonts w:eastAsiaTheme="minorHAnsi"/>
                <w:sz w:val="14"/>
                <w:szCs w:val="14"/>
                <w:lang w:val="es-GT" w:eastAsia="en-US"/>
              </w:rPr>
              <w:t>GRAVA DE</w:t>
            </w:r>
            <w:r w:rsidRPr="00A57ABC">
              <w:rPr>
                <w:rFonts w:eastAsiaTheme="minorHAnsi"/>
                <w:spacing w:val="1"/>
                <w:sz w:val="14"/>
                <w:szCs w:val="14"/>
                <w:lang w:val="es-GT" w:eastAsia="en-US"/>
              </w:rPr>
              <w:t xml:space="preserve"> </w:t>
            </w:r>
            <w:r w:rsidRPr="00A57ABC">
              <w:rPr>
                <w:rFonts w:eastAsiaTheme="minorHAnsi"/>
                <w:spacing w:val="-1"/>
                <w:sz w:val="14"/>
                <w:szCs w:val="14"/>
                <w:lang w:val="es-GT" w:eastAsia="en-US"/>
              </w:rPr>
              <w:t xml:space="preserve">RIO(PIEDRIN) </w:t>
            </w:r>
            <w:r w:rsidRPr="00A57ABC">
              <w:rPr>
                <w:rFonts w:eastAsiaTheme="minorHAnsi"/>
                <w:sz w:val="14"/>
                <w:szCs w:val="14"/>
                <w:lang w:val="es-GT" w:eastAsia="en-US"/>
              </w:rPr>
              <w:t>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 RIO</w:t>
            </w:r>
          </w:p>
        </w:tc>
        <w:tc>
          <w:tcPr>
            <w:tcW w:w="589" w:type="pct"/>
            <w:vAlign w:val="center"/>
          </w:tcPr>
          <w:p w14:paraId="721BF029" w14:textId="77777777" w:rsidR="00C36261" w:rsidRPr="00A57ABC" w:rsidRDefault="00C36261" w:rsidP="00624091">
            <w:pPr>
              <w:widowControl w:val="0"/>
              <w:ind w:left="461" w:right="12" w:hanging="404"/>
              <w:jc w:val="center"/>
              <w:rPr>
                <w:rFonts w:eastAsiaTheme="minorHAnsi"/>
                <w:sz w:val="14"/>
                <w:szCs w:val="14"/>
                <w:lang w:eastAsia="en-US"/>
              </w:rPr>
            </w:pPr>
            <w:r w:rsidRPr="00A57ABC">
              <w:rPr>
                <w:rFonts w:eastAsiaTheme="minorHAnsi"/>
                <w:sz w:val="14"/>
                <w:szCs w:val="14"/>
                <w:lang w:eastAsia="en-US"/>
              </w:rPr>
              <w:t>Santa Catarina</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Mita</w:t>
            </w:r>
            <w:proofErr w:type="spellEnd"/>
          </w:p>
        </w:tc>
        <w:tc>
          <w:tcPr>
            <w:tcW w:w="716" w:type="pct"/>
            <w:vAlign w:val="center"/>
          </w:tcPr>
          <w:p w14:paraId="4B37A2C1" w14:textId="77777777" w:rsidR="00C36261" w:rsidRPr="00A57ABC" w:rsidRDefault="00C36261" w:rsidP="00704D47">
            <w:pPr>
              <w:widowControl w:val="0"/>
              <w:ind w:left="411"/>
              <w:rPr>
                <w:rFonts w:eastAsiaTheme="minorHAnsi"/>
                <w:sz w:val="14"/>
                <w:szCs w:val="14"/>
                <w:lang w:eastAsia="en-US"/>
              </w:rPr>
            </w:pPr>
            <w:r w:rsidRPr="00A57ABC">
              <w:rPr>
                <w:rFonts w:eastAsiaTheme="minorHAnsi"/>
                <w:sz w:val="14"/>
                <w:szCs w:val="14"/>
                <w:lang w:eastAsia="en-US"/>
              </w:rPr>
              <w:t>Jutiapa</w:t>
            </w:r>
          </w:p>
        </w:tc>
      </w:tr>
      <w:tr w:rsidR="00C36261" w:rsidRPr="00A57ABC" w14:paraId="448DDCC8" w14:textId="77777777" w:rsidTr="005105AC">
        <w:trPr>
          <w:trHeight w:val="64"/>
          <w:jc w:val="center"/>
        </w:trPr>
        <w:tc>
          <w:tcPr>
            <w:tcW w:w="1367" w:type="pct"/>
            <w:vAlign w:val="center"/>
          </w:tcPr>
          <w:p w14:paraId="064FE36B"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PROMACO</w:t>
            </w:r>
            <w:r w:rsidRPr="00A57ABC">
              <w:rPr>
                <w:rFonts w:eastAsiaTheme="minorHAnsi"/>
                <w:spacing w:val="-1"/>
                <w:sz w:val="14"/>
                <w:szCs w:val="14"/>
                <w:lang w:eastAsia="en-US"/>
              </w:rPr>
              <w:t xml:space="preserve"> </w:t>
            </w:r>
            <w:r w:rsidRPr="00A57ABC">
              <w:rPr>
                <w:rFonts w:eastAsiaTheme="minorHAnsi"/>
                <w:sz w:val="14"/>
                <w:szCs w:val="14"/>
                <w:lang w:eastAsia="en-US"/>
              </w:rPr>
              <w:t>I</w:t>
            </w:r>
          </w:p>
        </w:tc>
        <w:tc>
          <w:tcPr>
            <w:tcW w:w="613" w:type="pct"/>
            <w:vAlign w:val="center"/>
          </w:tcPr>
          <w:p w14:paraId="06523D08"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9/11/2004</w:t>
            </w:r>
          </w:p>
        </w:tc>
        <w:tc>
          <w:tcPr>
            <w:tcW w:w="625" w:type="pct"/>
            <w:vAlign w:val="center"/>
          </w:tcPr>
          <w:p w14:paraId="303A508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8/11/2029</w:t>
            </w:r>
          </w:p>
        </w:tc>
        <w:tc>
          <w:tcPr>
            <w:tcW w:w="306" w:type="pct"/>
            <w:vAlign w:val="center"/>
          </w:tcPr>
          <w:p w14:paraId="73892E6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B33BF04"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Y GRAVA</w:t>
            </w:r>
          </w:p>
        </w:tc>
        <w:tc>
          <w:tcPr>
            <w:tcW w:w="589" w:type="pct"/>
            <w:vAlign w:val="center"/>
          </w:tcPr>
          <w:p w14:paraId="5226252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Asuncion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Mita</w:t>
            </w:r>
            <w:proofErr w:type="spellEnd"/>
          </w:p>
        </w:tc>
        <w:tc>
          <w:tcPr>
            <w:tcW w:w="716" w:type="pct"/>
            <w:vAlign w:val="center"/>
          </w:tcPr>
          <w:p w14:paraId="0782EB69" w14:textId="77777777" w:rsidR="00C36261" w:rsidRPr="00A57ABC" w:rsidRDefault="00C36261" w:rsidP="00704D47">
            <w:pPr>
              <w:widowControl w:val="0"/>
              <w:ind w:left="411"/>
              <w:rPr>
                <w:rFonts w:eastAsiaTheme="minorHAnsi"/>
                <w:sz w:val="14"/>
                <w:szCs w:val="14"/>
                <w:lang w:eastAsia="en-US"/>
              </w:rPr>
            </w:pPr>
            <w:r w:rsidRPr="00A57ABC">
              <w:rPr>
                <w:rFonts w:eastAsiaTheme="minorHAnsi"/>
                <w:sz w:val="14"/>
                <w:szCs w:val="14"/>
                <w:lang w:eastAsia="en-US"/>
              </w:rPr>
              <w:t>Jutiapa</w:t>
            </w:r>
          </w:p>
        </w:tc>
      </w:tr>
      <w:tr w:rsidR="00C36261" w:rsidRPr="00A57ABC" w14:paraId="6613033C" w14:textId="77777777" w:rsidTr="005105AC">
        <w:trPr>
          <w:trHeight w:val="154"/>
          <w:jc w:val="center"/>
        </w:trPr>
        <w:tc>
          <w:tcPr>
            <w:tcW w:w="1367" w:type="pct"/>
            <w:vAlign w:val="center"/>
          </w:tcPr>
          <w:p w14:paraId="0854580D"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PROMACO</w:t>
            </w:r>
            <w:r w:rsidRPr="00A57ABC">
              <w:rPr>
                <w:rFonts w:eastAsiaTheme="minorHAnsi"/>
                <w:spacing w:val="-1"/>
                <w:sz w:val="14"/>
                <w:szCs w:val="14"/>
                <w:lang w:eastAsia="en-US"/>
              </w:rPr>
              <w:t xml:space="preserve"> </w:t>
            </w:r>
            <w:r w:rsidRPr="00A57ABC">
              <w:rPr>
                <w:rFonts w:eastAsiaTheme="minorHAnsi"/>
                <w:sz w:val="14"/>
                <w:szCs w:val="14"/>
                <w:lang w:eastAsia="en-US"/>
              </w:rPr>
              <w:t>II</w:t>
            </w:r>
          </w:p>
        </w:tc>
        <w:tc>
          <w:tcPr>
            <w:tcW w:w="613" w:type="pct"/>
            <w:vAlign w:val="center"/>
          </w:tcPr>
          <w:p w14:paraId="165AF840"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9/11/2004</w:t>
            </w:r>
          </w:p>
        </w:tc>
        <w:tc>
          <w:tcPr>
            <w:tcW w:w="625" w:type="pct"/>
            <w:vAlign w:val="center"/>
          </w:tcPr>
          <w:p w14:paraId="007A42F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8/11/2024</w:t>
            </w:r>
          </w:p>
        </w:tc>
        <w:tc>
          <w:tcPr>
            <w:tcW w:w="306" w:type="pct"/>
            <w:vAlign w:val="center"/>
          </w:tcPr>
          <w:p w14:paraId="446C863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FF9594B"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Y GRAVA</w:t>
            </w:r>
          </w:p>
        </w:tc>
        <w:tc>
          <w:tcPr>
            <w:tcW w:w="589" w:type="pct"/>
            <w:vAlign w:val="center"/>
          </w:tcPr>
          <w:p w14:paraId="631D26F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Asuncion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Mita</w:t>
            </w:r>
            <w:proofErr w:type="spellEnd"/>
          </w:p>
        </w:tc>
        <w:tc>
          <w:tcPr>
            <w:tcW w:w="716" w:type="pct"/>
            <w:vAlign w:val="center"/>
          </w:tcPr>
          <w:p w14:paraId="19121742"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Jutiapa</w:t>
            </w:r>
          </w:p>
        </w:tc>
      </w:tr>
      <w:tr w:rsidR="00C36261" w:rsidRPr="00A57ABC" w14:paraId="117972BE" w14:textId="77777777" w:rsidTr="005105AC">
        <w:trPr>
          <w:trHeight w:val="244"/>
          <w:jc w:val="center"/>
        </w:trPr>
        <w:tc>
          <w:tcPr>
            <w:tcW w:w="1367" w:type="pct"/>
            <w:vAlign w:val="center"/>
          </w:tcPr>
          <w:p w14:paraId="027000D9" w14:textId="77777777" w:rsidR="00C36261" w:rsidRPr="00A57ABC" w:rsidRDefault="00C36261" w:rsidP="00624091">
            <w:pPr>
              <w:widowControl w:val="0"/>
              <w:ind w:left="115" w:right="87" w:hanging="1"/>
              <w:jc w:val="center"/>
              <w:rPr>
                <w:rFonts w:eastAsiaTheme="minorHAnsi"/>
                <w:sz w:val="14"/>
                <w:szCs w:val="14"/>
                <w:lang w:eastAsia="en-US"/>
              </w:rPr>
            </w:pPr>
            <w:r w:rsidRPr="00A57ABC">
              <w:rPr>
                <w:rFonts w:eastAsiaTheme="minorHAnsi"/>
                <w:sz w:val="14"/>
                <w:szCs w:val="14"/>
                <w:lang w:eastAsia="en-US"/>
              </w:rPr>
              <w:t>PROYECTO</w:t>
            </w:r>
            <w:r w:rsidRPr="00A57ABC">
              <w:rPr>
                <w:rFonts w:eastAsiaTheme="minorHAnsi"/>
                <w:spacing w:val="1"/>
                <w:sz w:val="14"/>
                <w:szCs w:val="14"/>
                <w:lang w:eastAsia="en-US"/>
              </w:rPr>
              <w:t xml:space="preserve"> </w:t>
            </w:r>
            <w:r w:rsidRPr="00A57ABC">
              <w:rPr>
                <w:rFonts w:eastAsiaTheme="minorHAnsi"/>
                <w:spacing w:val="-1"/>
                <w:sz w:val="14"/>
                <w:szCs w:val="14"/>
                <w:lang w:eastAsia="en-US"/>
              </w:rPr>
              <w:t xml:space="preserve">MINERO </w:t>
            </w:r>
            <w:r w:rsidRPr="00A57ABC">
              <w:rPr>
                <w:rFonts w:eastAsiaTheme="minorHAnsi"/>
                <w:sz w:val="14"/>
                <w:szCs w:val="14"/>
                <w:lang w:eastAsia="en-US"/>
              </w:rPr>
              <w:t>CERRO</w:t>
            </w:r>
            <w:r w:rsidRPr="00A57ABC">
              <w:rPr>
                <w:rFonts w:eastAsiaTheme="minorHAnsi"/>
                <w:spacing w:val="-34"/>
                <w:sz w:val="14"/>
                <w:szCs w:val="14"/>
                <w:lang w:eastAsia="en-US"/>
              </w:rPr>
              <w:t xml:space="preserve"> </w:t>
            </w:r>
            <w:r w:rsidRPr="00A57ABC">
              <w:rPr>
                <w:rFonts w:eastAsiaTheme="minorHAnsi"/>
                <w:sz w:val="14"/>
                <w:szCs w:val="14"/>
                <w:lang w:eastAsia="en-US"/>
              </w:rPr>
              <w:t>BLANCO</w:t>
            </w:r>
          </w:p>
        </w:tc>
        <w:tc>
          <w:tcPr>
            <w:tcW w:w="613" w:type="pct"/>
            <w:vAlign w:val="center"/>
          </w:tcPr>
          <w:p w14:paraId="4A58C54A"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22/09/2007</w:t>
            </w:r>
          </w:p>
        </w:tc>
        <w:tc>
          <w:tcPr>
            <w:tcW w:w="625" w:type="pct"/>
            <w:vAlign w:val="center"/>
          </w:tcPr>
          <w:p w14:paraId="62B89DB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21/09/2032</w:t>
            </w:r>
          </w:p>
        </w:tc>
        <w:tc>
          <w:tcPr>
            <w:tcW w:w="306" w:type="pct"/>
            <w:vAlign w:val="center"/>
          </w:tcPr>
          <w:p w14:paraId="028B59F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E44BE17"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ORO</w:t>
            </w:r>
            <w:r w:rsidRPr="00A57ABC">
              <w:rPr>
                <w:rFonts w:eastAsiaTheme="minorHAnsi"/>
                <w:spacing w:val="-2"/>
                <w:sz w:val="14"/>
                <w:szCs w:val="14"/>
                <w:lang w:eastAsia="en-US"/>
              </w:rPr>
              <w:t xml:space="preserve"> </w:t>
            </w:r>
            <w:r w:rsidRPr="00A57ABC">
              <w:rPr>
                <w:rFonts w:eastAsiaTheme="minorHAnsi"/>
                <w:sz w:val="14"/>
                <w:szCs w:val="14"/>
                <w:lang w:eastAsia="en-US"/>
              </w:rPr>
              <w:t>Y PLATA</w:t>
            </w:r>
          </w:p>
        </w:tc>
        <w:tc>
          <w:tcPr>
            <w:tcW w:w="589" w:type="pct"/>
            <w:vAlign w:val="center"/>
          </w:tcPr>
          <w:p w14:paraId="0ED538E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Asuncion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Mita</w:t>
            </w:r>
            <w:proofErr w:type="spellEnd"/>
          </w:p>
        </w:tc>
        <w:tc>
          <w:tcPr>
            <w:tcW w:w="716" w:type="pct"/>
            <w:vAlign w:val="center"/>
          </w:tcPr>
          <w:p w14:paraId="354775A8"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Jutiapa</w:t>
            </w:r>
          </w:p>
        </w:tc>
      </w:tr>
      <w:tr w:rsidR="00C36261" w:rsidRPr="00A57ABC" w14:paraId="0B7F0C64" w14:textId="77777777" w:rsidTr="005105AC">
        <w:trPr>
          <w:trHeight w:val="179"/>
          <w:jc w:val="center"/>
        </w:trPr>
        <w:tc>
          <w:tcPr>
            <w:tcW w:w="1367" w:type="pct"/>
            <w:vAlign w:val="center"/>
          </w:tcPr>
          <w:p w14:paraId="7B33AC26" w14:textId="77777777" w:rsidR="00C36261" w:rsidRPr="00A57ABC" w:rsidRDefault="00C36261" w:rsidP="00624091">
            <w:pPr>
              <w:widowControl w:val="0"/>
              <w:ind w:left="84" w:right="54" w:firstLine="16"/>
              <w:rPr>
                <w:rFonts w:eastAsiaTheme="minorHAnsi"/>
                <w:sz w:val="14"/>
                <w:szCs w:val="14"/>
                <w:lang w:eastAsia="en-US"/>
              </w:rPr>
            </w:pPr>
            <w:r w:rsidRPr="00A57ABC">
              <w:rPr>
                <w:rFonts w:eastAsiaTheme="minorHAnsi"/>
                <w:sz w:val="14"/>
                <w:szCs w:val="14"/>
                <w:lang w:eastAsia="en-US"/>
              </w:rPr>
              <w:t>TRANSPORTES Y</w:t>
            </w:r>
            <w:r w:rsidRPr="00A57ABC">
              <w:rPr>
                <w:rFonts w:eastAsiaTheme="minorHAnsi"/>
                <w:spacing w:val="-33"/>
                <w:sz w:val="14"/>
                <w:szCs w:val="14"/>
                <w:lang w:eastAsia="en-US"/>
              </w:rPr>
              <w:t xml:space="preserve"> </w:t>
            </w:r>
            <w:r w:rsidRPr="00A57ABC">
              <w:rPr>
                <w:rFonts w:eastAsiaTheme="minorHAnsi"/>
                <w:sz w:val="14"/>
                <w:szCs w:val="14"/>
                <w:lang w:eastAsia="en-US"/>
              </w:rPr>
              <w:t>ARENAS</w:t>
            </w:r>
            <w:r w:rsidRPr="00A57ABC">
              <w:rPr>
                <w:rFonts w:eastAsiaTheme="minorHAnsi"/>
                <w:spacing w:val="-9"/>
                <w:sz w:val="14"/>
                <w:szCs w:val="14"/>
                <w:lang w:eastAsia="en-US"/>
              </w:rPr>
              <w:t xml:space="preserve"> </w:t>
            </w:r>
            <w:r w:rsidRPr="00A57ABC">
              <w:rPr>
                <w:rFonts w:eastAsiaTheme="minorHAnsi"/>
                <w:sz w:val="14"/>
                <w:szCs w:val="14"/>
                <w:lang w:eastAsia="en-US"/>
              </w:rPr>
              <w:t>MORAN</w:t>
            </w:r>
          </w:p>
        </w:tc>
        <w:tc>
          <w:tcPr>
            <w:tcW w:w="613" w:type="pct"/>
            <w:vAlign w:val="center"/>
          </w:tcPr>
          <w:p w14:paraId="6E6FC1D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21/07/2004</w:t>
            </w:r>
          </w:p>
        </w:tc>
        <w:tc>
          <w:tcPr>
            <w:tcW w:w="625" w:type="pct"/>
            <w:vAlign w:val="center"/>
          </w:tcPr>
          <w:p w14:paraId="70D938E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20/07/2029</w:t>
            </w:r>
          </w:p>
        </w:tc>
        <w:tc>
          <w:tcPr>
            <w:tcW w:w="306" w:type="pct"/>
            <w:vAlign w:val="center"/>
          </w:tcPr>
          <w:p w14:paraId="243F52B0"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8BB192C"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Y GRAVA</w:t>
            </w:r>
          </w:p>
        </w:tc>
        <w:tc>
          <w:tcPr>
            <w:tcW w:w="589" w:type="pct"/>
            <w:vAlign w:val="center"/>
          </w:tcPr>
          <w:p w14:paraId="156714F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Asuncion</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Mita</w:t>
            </w:r>
            <w:proofErr w:type="spellEnd"/>
          </w:p>
        </w:tc>
        <w:tc>
          <w:tcPr>
            <w:tcW w:w="716" w:type="pct"/>
            <w:vAlign w:val="center"/>
          </w:tcPr>
          <w:p w14:paraId="2A07E23D"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Jutiapa</w:t>
            </w:r>
          </w:p>
        </w:tc>
      </w:tr>
      <w:tr w:rsidR="00C36261" w:rsidRPr="00A57ABC" w14:paraId="15768E9B" w14:textId="77777777" w:rsidTr="005105AC">
        <w:trPr>
          <w:trHeight w:val="396"/>
          <w:jc w:val="center"/>
        </w:trPr>
        <w:tc>
          <w:tcPr>
            <w:tcW w:w="1367" w:type="pct"/>
            <w:vAlign w:val="center"/>
          </w:tcPr>
          <w:p w14:paraId="225C8081"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MACHAQUILA</w:t>
            </w:r>
          </w:p>
        </w:tc>
        <w:tc>
          <w:tcPr>
            <w:tcW w:w="613" w:type="pct"/>
            <w:vAlign w:val="center"/>
          </w:tcPr>
          <w:p w14:paraId="7CF9B9C2"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7/07/2005</w:t>
            </w:r>
          </w:p>
        </w:tc>
        <w:tc>
          <w:tcPr>
            <w:tcW w:w="625" w:type="pct"/>
            <w:vAlign w:val="center"/>
          </w:tcPr>
          <w:p w14:paraId="4C67F07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6/07/2030</w:t>
            </w:r>
          </w:p>
        </w:tc>
        <w:tc>
          <w:tcPr>
            <w:tcW w:w="306" w:type="pct"/>
            <w:vAlign w:val="center"/>
          </w:tcPr>
          <w:p w14:paraId="5AB7B58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4BBD5A8" w14:textId="77777777" w:rsidR="00C36261" w:rsidRPr="00A57ABC" w:rsidRDefault="00C36261" w:rsidP="00624091">
            <w:pPr>
              <w:widowControl w:val="0"/>
              <w:ind w:left="79" w:right="42"/>
              <w:jc w:val="center"/>
              <w:rPr>
                <w:rFonts w:eastAsiaTheme="minorHAnsi"/>
                <w:sz w:val="14"/>
                <w:szCs w:val="14"/>
                <w:lang w:val="es-GT" w:eastAsia="en-US"/>
              </w:rPr>
            </w:pPr>
            <w:r w:rsidRPr="00A57ABC">
              <w:rPr>
                <w:rFonts w:eastAsiaTheme="minorHAnsi"/>
                <w:sz w:val="14"/>
                <w:szCs w:val="14"/>
                <w:lang w:val="es-GT" w:eastAsia="en-US"/>
              </w:rPr>
              <w:t>CARBONATO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CALCIO Y ROCAS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SEDIMENTARIAS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PARA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ORNAMENTACIO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N</w:t>
            </w:r>
          </w:p>
        </w:tc>
        <w:tc>
          <w:tcPr>
            <w:tcW w:w="589" w:type="pct"/>
            <w:vAlign w:val="center"/>
          </w:tcPr>
          <w:p w14:paraId="2A19541A" w14:textId="77777777" w:rsidR="00C36261" w:rsidRPr="00A57ABC" w:rsidRDefault="00C36261" w:rsidP="00624091">
            <w:pPr>
              <w:widowControl w:val="0"/>
              <w:ind w:left="355" w:right="226" w:hanging="87"/>
              <w:jc w:val="center"/>
              <w:rPr>
                <w:rFonts w:eastAsiaTheme="minorHAnsi"/>
                <w:sz w:val="14"/>
                <w:szCs w:val="14"/>
                <w:lang w:eastAsia="en-US"/>
              </w:rPr>
            </w:pPr>
            <w:r w:rsidRPr="00A57ABC">
              <w:rPr>
                <w:rFonts w:eastAsiaTheme="minorHAnsi"/>
                <w:spacing w:val="-1"/>
                <w:sz w:val="14"/>
                <w:szCs w:val="14"/>
                <w:lang w:eastAsia="en-US"/>
              </w:rPr>
              <w:t xml:space="preserve">Dolores </w:t>
            </w:r>
            <w:r w:rsidRPr="00A57ABC">
              <w:rPr>
                <w:rFonts w:eastAsiaTheme="minorHAnsi"/>
                <w:sz w:val="14"/>
                <w:szCs w:val="14"/>
                <w:lang w:eastAsia="en-US"/>
              </w:rPr>
              <w:t>Y</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Poptun</w:t>
            </w:r>
            <w:proofErr w:type="spellEnd"/>
          </w:p>
        </w:tc>
        <w:tc>
          <w:tcPr>
            <w:tcW w:w="716" w:type="pct"/>
            <w:vAlign w:val="center"/>
          </w:tcPr>
          <w:p w14:paraId="251E462A"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Peten</w:t>
            </w:r>
          </w:p>
        </w:tc>
      </w:tr>
      <w:tr w:rsidR="00C36261" w:rsidRPr="00A57ABC" w14:paraId="27CC56C1" w14:textId="77777777" w:rsidTr="005105AC">
        <w:trPr>
          <w:trHeight w:val="306"/>
          <w:jc w:val="center"/>
        </w:trPr>
        <w:tc>
          <w:tcPr>
            <w:tcW w:w="1367" w:type="pct"/>
            <w:vAlign w:val="center"/>
          </w:tcPr>
          <w:p w14:paraId="00497F85" w14:textId="77777777" w:rsidR="00C36261" w:rsidRPr="00A57ABC" w:rsidRDefault="00C36261" w:rsidP="00624091">
            <w:pPr>
              <w:widowControl w:val="0"/>
              <w:ind w:left="24"/>
              <w:jc w:val="center"/>
              <w:rPr>
                <w:rFonts w:eastAsiaTheme="minorHAnsi"/>
                <w:sz w:val="14"/>
                <w:szCs w:val="14"/>
                <w:lang w:val="es-GT" w:eastAsia="en-US"/>
              </w:rPr>
            </w:pPr>
            <w:r w:rsidRPr="00A57ABC">
              <w:rPr>
                <w:rFonts w:eastAsiaTheme="minorHAnsi"/>
                <w:sz w:val="14"/>
                <w:szCs w:val="14"/>
                <w:lang w:val="es-GT" w:eastAsia="en-US"/>
              </w:rPr>
              <w:t>EXPLOTACION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MINERA PEÑA DE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ORO</w:t>
            </w:r>
          </w:p>
        </w:tc>
        <w:tc>
          <w:tcPr>
            <w:tcW w:w="613" w:type="pct"/>
            <w:vAlign w:val="center"/>
          </w:tcPr>
          <w:p w14:paraId="0821D6E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30/05/2012</w:t>
            </w:r>
          </w:p>
        </w:tc>
        <w:tc>
          <w:tcPr>
            <w:tcW w:w="625" w:type="pct"/>
            <w:vAlign w:val="center"/>
          </w:tcPr>
          <w:p w14:paraId="2E56B7E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29/05/2037</w:t>
            </w:r>
          </w:p>
        </w:tc>
        <w:tc>
          <w:tcPr>
            <w:tcW w:w="306" w:type="pct"/>
            <w:vAlign w:val="center"/>
          </w:tcPr>
          <w:p w14:paraId="231E950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B5C4165"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PIEDRA POMEZ</w:t>
            </w:r>
          </w:p>
        </w:tc>
        <w:tc>
          <w:tcPr>
            <w:tcW w:w="589" w:type="pct"/>
            <w:vAlign w:val="center"/>
          </w:tcPr>
          <w:p w14:paraId="428D032A" w14:textId="68C1E39A" w:rsidR="00C36261" w:rsidRPr="00A57ABC" w:rsidRDefault="00C36261" w:rsidP="00624091">
            <w:pPr>
              <w:widowControl w:val="0"/>
              <w:ind w:left="583" w:right="7" w:hanging="531"/>
              <w:jc w:val="center"/>
              <w:rPr>
                <w:rFonts w:eastAsiaTheme="minorHAnsi"/>
                <w:sz w:val="14"/>
                <w:szCs w:val="14"/>
                <w:lang w:eastAsia="en-US"/>
              </w:rPr>
            </w:pPr>
            <w:r w:rsidRPr="00A57ABC">
              <w:rPr>
                <w:rFonts w:eastAsiaTheme="minorHAnsi"/>
                <w:sz w:val="14"/>
                <w:szCs w:val="14"/>
                <w:lang w:eastAsia="en-US"/>
              </w:rPr>
              <w:t>Quetzaltenango</w:t>
            </w:r>
            <w:r w:rsidRPr="00A57ABC">
              <w:rPr>
                <w:rFonts w:eastAsiaTheme="minorHAnsi"/>
                <w:spacing w:val="-34"/>
                <w:sz w:val="14"/>
                <w:szCs w:val="14"/>
                <w:lang w:eastAsia="en-US"/>
              </w:rPr>
              <w:t xml:space="preserve"> </w:t>
            </w:r>
          </w:p>
        </w:tc>
        <w:tc>
          <w:tcPr>
            <w:tcW w:w="716" w:type="pct"/>
            <w:vAlign w:val="center"/>
          </w:tcPr>
          <w:p w14:paraId="60E762F6"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Quetzaltenango</w:t>
            </w:r>
          </w:p>
        </w:tc>
      </w:tr>
      <w:tr w:rsidR="00C36261" w:rsidRPr="00A57ABC" w14:paraId="60162E57" w14:textId="77777777" w:rsidTr="005105AC">
        <w:trPr>
          <w:trHeight w:val="254"/>
          <w:jc w:val="center"/>
        </w:trPr>
        <w:tc>
          <w:tcPr>
            <w:tcW w:w="1367" w:type="pct"/>
            <w:vAlign w:val="center"/>
          </w:tcPr>
          <w:p w14:paraId="6528E65B" w14:textId="77777777" w:rsidR="00C36261" w:rsidRPr="00A57ABC" w:rsidRDefault="00C36261" w:rsidP="00624091">
            <w:pPr>
              <w:widowControl w:val="0"/>
              <w:ind w:left="118" w:right="65" w:hanging="17"/>
              <w:rPr>
                <w:rFonts w:eastAsiaTheme="minorHAnsi"/>
                <w:sz w:val="14"/>
                <w:szCs w:val="14"/>
                <w:lang w:val="es-GT" w:eastAsia="en-US"/>
              </w:rPr>
            </w:pPr>
            <w:r w:rsidRPr="00A57ABC">
              <w:rPr>
                <w:rFonts w:eastAsiaTheme="minorHAnsi"/>
                <w:sz w:val="14"/>
                <w:szCs w:val="14"/>
                <w:lang w:val="es-GT" w:eastAsia="en-US"/>
              </w:rPr>
              <w:t>EXTRACCION DE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ARENA POMA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p>
          <w:p w14:paraId="6D1A0C65" w14:textId="77777777" w:rsidR="00C36261" w:rsidRPr="00A57ABC" w:rsidRDefault="00C36261" w:rsidP="00624091">
            <w:pPr>
              <w:widowControl w:val="0"/>
              <w:ind w:left="118"/>
              <w:rPr>
                <w:rFonts w:eastAsiaTheme="minorHAnsi"/>
                <w:sz w:val="14"/>
                <w:szCs w:val="14"/>
                <w:lang w:val="es-GT" w:eastAsia="en-US"/>
              </w:rPr>
            </w:pPr>
            <w:r w:rsidRPr="00A57ABC">
              <w:rPr>
                <w:rFonts w:eastAsiaTheme="minorHAnsi"/>
                <w:sz w:val="14"/>
                <w:szCs w:val="14"/>
                <w:lang w:val="es-GT" w:eastAsia="en-US"/>
              </w:rPr>
              <w:t>ROCA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SAN</w:t>
            </w:r>
            <w:r w:rsidRPr="00A57ABC">
              <w:rPr>
                <w:rFonts w:eastAsiaTheme="minorHAnsi"/>
                <w:spacing w:val="-2"/>
                <w:sz w:val="14"/>
                <w:szCs w:val="14"/>
                <w:lang w:val="es-GT" w:eastAsia="en-US"/>
              </w:rPr>
              <w:t xml:space="preserve"> </w:t>
            </w:r>
            <w:r w:rsidRPr="00A57ABC">
              <w:rPr>
                <w:rFonts w:eastAsiaTheme="minorHAnsi"/>
                <w:sz w:val="14"/>
                <w:szCs w:val="14"/>
                <w:lang w:val="es-GT" w:eastAsia="en-US"/>
              </w:rPr>
              <w:t>JOSE</w:t>
            </w:r>
          </w:p>
        </w:tc>
        <w:tc>
          <w:tcPr>
            <w:tcW w:w="613" w:type="pct"/>
            <w:vAlign w:val="center"/>
          </w:tcPr>
          <w:p w14:paraId="766D2F6B"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3/03/2009</w:t>
            </w:r>
          </w:p>
        </w:tc>
        <w:tc>
          <w:tcPr>
            <w:tcW w:w="625" w:type="pct"/>
            <w:vAlign w:val="center"/>
          </w:tcPr>
          <w:p w14:paraId="6DD765C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2/03/2034</w:t>
            </w:r>
          </w:p>
        </w:tc>
        <w:tc>
          <w:tcPr>
            <w:tcW w:w="306" w:type="pct"/>
            <w:vAlign w:val="center"/>
          </w:tcPr>
          <w:p w14:paraId="75247E7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FD085CD"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ARENA POMEZ</w:t>
            </w:r>
          </w:p>
        </w:tc>
        <w:tc>
          <w:tcPr>
            <w:tcW w:w="589" w:type="pct"/>
            <w:vAlign w:val="center"/>
          </w:tcPr>
          <w:p w14:paraId="2DA9FA51" w14:textId="7145811B" w:rsidR="00C36261" w:rsidRPr="00A57ABC" w:rsidRDefault="00C36261" w:rsidP="00624091">
            <w:pPr>
              <w:widowControl w:val="0"/>
              <w:ind w:left="583" w:right="7" w:hanging="531"/>
              <w:jc w:val="center"/>
              <w:rPr>
                <w:rFonts w:eastAsiaTheme="minorHAnsi"/>
                <w:sz w:val="14"/>
                <w:szCs w:val="14"/>
                <w:lang w:eastAsia="en-US"/>
              </w:rPr>
            </w:pPr>
            <w:r w:rsidRPr="00A57ABC">
              <w:rPr>
                <w:rFonts w:eastAsiaTheme="minorHAnsi"/>
                <w:sz w:val="14"/>
                <w:szCs w:val="14"/>
                <w:lang w:eastAsia="en-US"/>
              </w:rPr>
              <w:t>Quetzaltenango</w:t>
            </w:r>
            <w:r w:rsidRPr="00A57ABC">
              <w:rPr>
                <w:rFonts w:eastAsiaTheme="minorHAnsi"/>
                <w:spacing w:val="-34"/>
                <w:sz w:val="14"/>
                <w:szCs w:val="14"/>
                <w:lang w:eastAsia="en-US"/>
              </w:rPr>
              <w:t xml:space="preserve"> </w:t>
            </w:r>
          </w:p>
        </w:tc>
        <w:tc>
          <w:tcPr>
            <w:tcW w:w="716" w:type="pct"/>
            <w:vAlign w:val="center"/>
          </w:tcPr>
          <w:p w14:paraId="0430D2DE"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Quetzaltenango</w:t>
            </w:r>
          </w:p>
        </w:tc>
      </w:tr>
      <w:tr w:rsidR="00C36261" w:rsidRPr="00A57ABC" w14:paraId="5969FD6B" w14:textId="77777777" w:rsidTr="005105AC">
        <w:trPr>
          <w:trHeight w:val="43"/>
          <w:jc w:val="center"/>
        </w:trPr>
        <w:tc>
          <w:tcPr>
            <w:tcW w:w="1367" w:type="pct"/>
            <w:vAlign w:val="center"/>
          </w:tcPr>
          <w:p w14:paraId="4DFCB970" w14:textId="77777777" w:rsidR="00C36261" w:rsidRPr="00A57ABC" w:rsidRDefault="00C36261" w:rsidP="00624091">
            <w:pPr>
              <w:widowControl w:val="0"/>
              <w:ind w:left="89" w:right="62" w:hanging="1"/>
              <w:jc w:val="center"/>
              <w:rPr>
                <w:rFonts w:eastAsiaTheme="minorHAnsi"/>
                <w:sz w:val="14"/>
                <w:szCs w:val="14"/>
                <w:lang w:val="es-GT" w:eastAsia="en-US"/>
              </w:rPr>
            </w:pPr>
            <w:r w:rsidRPr="00A57ABC">
              <w:rPr>
                <w:rFonts w:eastAsiaTheme="minorHAnsi"/>
                <w:sz w:val="14"/>
                <w:szCs w:val="14"/>
                <w:lang w:val="es-GT" w:eastAsia="en-US"/>
              </w:rPr>
              <w:t>EXTRACCION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RECURSO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MINERO,</w:t>
            </w:r>
            <w:r w:rsidRPr="00A57ABC">
              <w:rPr>
                <w:rFonts w:eastAsiaTheme="minorHAnsi"/>
                <w:spacing w:val="-9"/>
                <w:sz w:val="14"/>
                <w:szCs w:val="14"/>
                <w:lang w:val="es-GT" w:eastAsia="en-US"/>
              </w:rPr>
              <w:t xml:space="preserve"> </w:t>
            </w:r>
            <w:r w:rsidRPr="00A57ABC">
              <w:rPr>
                <w:rFonts w:eastAsiaTheme="minorHAnsi"/>
                <w:sz w:val="14"/>
                <w:szCs w:val="14"/>
                <w:lang w:val="es-GT" w:eastAsia="en-US"/>
              </w:rPr>
              <w:t>ARENA</w:t>
            </w:r>
          </w:p>
          <w:p w14:paraId="7362E4DC" w14:textId="77777777" w:rsidR="00C36261" w:rsidRPr="00A57ABC" w:rsidRDefault="00C36261" w:rsidP="00624091">
            <w:pPr>
              <w:widowControl w:val="0"/>
              <w:ind w:left="27"/>
              <w:jc w:val="center"/>
              <w:rPr>
                <w:rFonts w:eastAsiaTheme="minorHAnsi"/>
                <w:sz w:val="14"/>
                <w:szCs w:val="14"/>
                <w:lang w:val="es-GT" w:eastAsia="en-US"/>
              </w:rPr>
            </w:pPr>
            <w:r w:rsidRPr="00A57ABC">
              <w:rPr>
                <w:rFonts w:eastAsiaTheme="minorHAnsi"/>
                <w:sz w:val="14"/>
                <w:szCs w:val="14"/>
                <w:lang w:val="es-GT" w:eastAsia="en-US"/>
              </w:rPr>
              <w:t>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RIO.</w:t>
            </w:r>
          </w:p>
        </w:tc>
        <w:tc>
          <w:tcPr>
            <w:tcW w:w="613" w:type="pct"/>
            <w:vAlign w:val="center"/>
          </w:tcPr>
          <w:p w14:paraId="053D116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22/10/2013</w:t>
            </w:r>
          </w:p>
        </w:tc>
        <w:tc>
          <w:tcPr>
            <w:tcW w:w="625" w:type="pct"/>
            <w:vAlign w:val="center"/>
          </w:tcPr>
          <w:p w14:paraId="10F3549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21/10/2038</w:t>
            </w:r>
          </w:p>
        </w:tc>
        <w:tc>
          <w:tcPr>
            <w:tcW w:w="306" w:type="pct"/>
            <w:vAlign w:val="center"/>
          </w:tcPr>
          <w:p w14:paraId="61285FE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C950058" w14:textId="77777777" w:rsidR="00C36261" w:rsidRPr="00A57ABC" w:rsidRDefault="00C36261" w:rsidP="00624091">
            <w:pPr>
              <w:widowControl w:val="0"/>
              <w:ind w:left="31"/>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DE RIO</w:t>
            </w:r>
          </w:p>
        </w:tc>
        <w:tc>
          <w:tcPr>
            <w:tcW w:w="589" w:type="pct"/>
            <w:vAlign w:val="center"/>
          </w:tcPr>
          <w:p w14:paraId="3D9EB94D" w14:textId="77777777" w:rsidR="00C36261" w:rsidRPr="00A57ABC" w:rsidRDefault="00C36261" w:rsidP="00624091">
            <w:pPr>
              <w:widowControl w:val="0"/>
              <w:ind w:left="36" w:right="2"/>
              <w:jc w:val="center"/>
              <w:rPr>
                <w:rFonts w:eastAsiaTheme="minorHAnsi"/>
                <w:sz w:val="14"/>
                <w:szCs w:val="14"/>
                <w:lang w:eastAsia="en-US"/>
              </w:rPr>
            </w:pPr>
            <w:r w:rsidRPr="00A57ABC">
              <w:rPr>
                <w:rFonts w:eastAsiaTheme="minorHAnsi"/>
                <w:sz w:val="14"/>
                <w:szCs w:val="14"/>
                <w:lang w:eastAsia="en-US"/>
              </w:rPr>
              <w:t>La Esperanza</w:t>
            </w:r>
          </w:p>
        </w:tc>
        <w:tc>
          <w:tcPr>
            <w:tcW w:w="716" w:type="pct"/>
            <w:vAlign w:val="center"/>
          </w:tcPr>
          <w:p w14:paraId="29025455"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Quetzaltenango</w:t>
            </w:r>
          </w:p>
        </w:tc>
      </w:tr>
      <w:tr w:rsidR="00C36261" w:rsidRPr="00A57ABC" w14:paraId="7059087B" w14:textId="77777777" w:rsidTr="005105AC">
        <w:trPr>
          <w:trHeight w:val="214"/>
          <w:jc w:val="center"/>
        </w:trPr>
        <w:tc>
          <w:tcPr>
            <w:tcW w:w="1367" w:type="pct"/>
            <w:vAlign w:val="center"/>
          </w:tcPr>
          <w:p w14:paraId="522BE915" w14:textId="77777777" w:rsidR="00C36261" w:rsidRPr="00A57ABC" w:rsidRDefault="00C36261" w:rsidP="00624091">
            <w:pPr>
              <w:widowControl w:val="0"/>
              <w:ind w:left="63" w:right="38" w:hanging="1"/>
              <w:jc w:val="center"/>
              <w:rPr>
                <w:rFonts w:eastAsiaTheme="minorHAnsi"/>
                <w:sz w:val="14"/>
                <w:szCs w:val="14"/>
                <w:lang w:val="es-GT" w:eastAsia="en-US"/>
              </w:rPr>
            </w:pPr>
            <w:r w:rsidRPr="00A57ABC">
              <w:rPr>
                <w:rFonts w:eastAsiaTheme="minorHAnsi"/>
                <w:sz w:val="14"/>
                <w:szCs w:val="14"/>
                <w:lang w:val="es-GT" w:eastAsia="en-US"/>
              </w:rPr>
              <w:t>FABRICA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ARTICULOS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CEMENTO</w:t>
            </w:r>
            <w:r w:rsidRPr="00A57ABC">
              <w:rPr>
                <w:rFonts w:eastAsiaTheme="minorHAnsi"/>
                <w:spacing w:val="-9"/>
                <w:sz w:val="14"/>
                <w:szCs w:val="14"/>
                <w:lang w:val="es-GT" w:eastAsia="en-US"/>
              </w:rPr>
              <w:t xml:space="preserve"> </w:t>
            </w:r>
            <w:r w:rsidRPr="00A57ABC">
              <w:rPr>
                <w:rFonts w:eastAsiaTheme="minorHAnsi"/>
                <w:sz w:val="14"/>
                <w:szCs w:val="14"/>
                <w:lang w:val="es-GT" w:eastAsia="en-US"/>
              </w:rPr>
              <w:t>BLOCK</w:t>
            </w:r>
          </w:p>
          <w:p w14:paraId="7999A417"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DE</w:t>
            </w:r>
            <w:r w:rsidRPr="00A57ABC">
              <w:rPr>
                <w:rFonts w:eastAsiaTheme="minorHAnsi"/>
                <w:spacing w:val="-1"/>
                <w:sz w:val="14"/>
                <w:szCs w:val="14"/>
                <w:lang w:eastAsia="en-US"/>
              </w:rPr>
              <w:t xml:space="preserve"> </w:t>
            </w:r>
            <w:r w:rsidRPr="00A57ABC">
              <w:rPr>
                <w:rFonts w:eastAsiaTheme="minorHAnsi"/>
                <w:sz w:val="14"/>
                <w:szCs w:val="14"/>
                <w:lang w:eastAsia="en-US"/>
              </w:rPr>
              <w:t>ROSA</w:t>
            </w:r>
          </w:p>
        </w:tc>
        <w:tc>
          <w:tcPr>
            <w:tcW w:w="613" w:type="pct"/>
            <w:vAlign w:val="center"/>
          </w:tcPr>
          <w:p w14:paraId="240B35B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24/07/2014</w:t>
            </w:r>
          </w:p>
        </w:tc>
        <w:tc>
          <w:tcPr>
            <w:tcW w:w="625" w:type="pct"/>
            <w:vAlign w:val="center"/>
          </w:tcPr>
          <w:p w14:paraId="101211B7"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23/07/2034</w:t>
            </w:r>
          </w:p>
        </w:tc>
        <w:tc>
          <w:tcPr>
            <w:tcW w:w="306" w:type="pct"/>
            <w:vAlign w:val="center"/>
          </w:tcPr>
          <w:p w14:paraId="1306AE90"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20 AÑOS</w:t>
            </w:r>
          </w:p>
        </w:tc>
        <w:tc>
          <w:tcPr>
            <w:tcW w:w="784" w:type="pct"/>
            <w:vAlign w:val="center"/>
          </w:tcPr>
          <w:p w14:paraId="416CB70F"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PIEDRA POMEZ</w:t>
            </w:r>
          </w:p>
        </w:tc>
        <w:tc>
          <w:tcPr>
            <w:tcW w:w="589" w:type="pct"/>
            <w:vAlign w:val="center"/>
          </w:tcPr>
          <w:p w14:paraId="5761E7D3" w14:textId="368F131B" w:rsidR="00C36261" w:rsidRPr="00A57ABC" w:rsidRDefault="00C36261" w:rsidP="00624091">
            <w:pPr>
              <w:widowControl w:val="0"/>
              <w:ind w:left="583" w:right="7" w:hanging="531"/>
              <w:jc w:val="center"/>
              <w:rPr>
                <w:rFonts w:eastAsiaTheme="minorHAnsi"/>
                <w:sz w:val="14"/>
                <w:szCs w:val="14"/>
                <w:lang w:eastAsia="en-US"/>
              </w:rPr>
            </w:pPr>
            <w:r w:rsidRPr="00A57ABC">
              <w:rPr>
                <w:rFonts w:eastAsiaTheme="minorHAnsi"/>
                <w:sz w:val="14"/>
                <w:szCs w:val="14"/>
                <w:lang w:eastAsia="en-US"/>
              </w:rPr>
              <w:t>Quetzaltenango</w:t>
            </w:r>
            <w:r w:rsidRPr="00A57ABC">
              <w:rPr>
                <w:rFonts w:eastAsiaTheme="minorHAnsi"/>
                <w:spacing w:val="-34"/>
                <w:sz w:val="14"/>
                <w:szCs w:val="14"/>
                <w:lang w:eastAsia="en-US"/>
              </w:rPr>
              <w:t xml:space="preserve"> </w:t>
            </w:r>
          </w:p>
        </w:tc>
        <w:tc>
          <w:tcPr>
            <w:tcW w:w="716" w:type="pct"/>
            <w:vAlign w:val="center"/>
          </w:tcPr>
          <w:p w14:paraId="5235ADCA"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Quetzaltenango</w:t>
            </w:r>
          </w:p>
        </w:tc>
      </w:tr>
      <w:tr w:rsidR="00C36261" w:rsidRPr="00A57ABC" w14:paraId="521E44A7" w14:textId="77777777" w:rsidTr="005105AC">
        <w:trPr>
          <w:trHeight w:val="704"/>
          <w:jc w:val="center"/>
        </w:trPr>
        <w:tc>
          <w:tcPr>
            <w:tcW w:w="1367" w:type="pct"/>
            <w:vAlign w:val="center"/>
          </w:tcPr>
          <w:p w14:paraId="22A73851" w14:textId="77777777" w:rsidR="00C36261" w:rsidRPr="00A57ABC" w:rsidRDefault="00C36261" w:rsidP="00624091">
            <w:pPr>
              <w:widowControl w:val="0"/>
              <w:ind w:left="55" w:right="27" w:firstLine="1"/>
              <w:jc w:val="center"/>
              <w:rPr>
                <w:rFonts w:eastAsiaTheme="minorHAnsi"/>
                <w:sz w:val="14"/>
                <w:szCs w:val="14"/>
                <w:lang w:val="es-GT" w:eastAsia="en-US"/>
              </w:rPr>
            </w:pPr>
            <w:r w:rsidRPr="00A57ABC">
              <w:rPr>
                <w:rFonts w:eastAsiaTheme="minorHAnsi"/>
                <w:sz w:val="14"/>
                <w:szCs w:val="14"/>
                <w:lang w:val="es-GT" w:eastAsia="en-US"/>
              </w:rPr>
              <w:t>NIVELACION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TERRENO PARA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LA AMPLIACIONN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DE FABRICA 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ESMERALDA</w:t>
            </w:r>
          </w:p>
        </w:tc>
        <w:tc>
          <w:tcPr>
            <w:tcW w:w="613" w:type="pct"/>
            <w:vAlign w:val="center"/>
          </w:tcPr>
          <w:p w14:paraId="042848FB" w14:textId="77777777" w:rsidR="00C36261" w:rsidRPr="00A57ABC" w:rsidRDefault="00C36261" w:rsidP="00624091">
            <w:pPr>
              <w:widowControl w:val="0"/>
              <w:rPr>
                <w:rFonts w:eastAsiaTheme="minorHAnsi"/>
                <w:b/>
                <w:sz w:val="14"/>
                <w:szCs w:val="14"/>
                <w:lang w:val="es-GT" w:eastAsia="en-US"/>
              </w:rPr>
            </w:pPr>
          </w:p>
          <w:p w14:paraId="47BCA4A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30/05/2012</w:t>
            </w:r>
          </w:p>
        </w:tc>
        <w:tc>
          <w:tcPr>
            <w:tcW w:w="625" w:type="pct"/>
            <w:vAlign w:val="center"/>
          </w:tcPr>
          <w:p w14:paraId="1384609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29/05/2037</w:t>
            </w:r>
          </w:p>
        </w:tc>
        <w:tc>
          <w:tcPr>
            <w:tcW w:w="306" w:type="pct"/>
            <w:vAlign w:val="center"/>
          </w:tcPr>
          <w:p w14:paraId="75A5DA38"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6919D5B"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BLANCA</w:t>
            </w:r>
          </w:p>
        </w:tc>
        <w:tc>
          <w:tcPr>
            <w:tcW w:w="589" w:type="pct"/>
            <w:vAlign w:val="center"/>
          </w:tcPr>
          <w:p w14:paraId="7B5C037F" w14:textId="0589EC95" w:rsidR="00C36261" w:rsidRPr="00A57ABC" w:rsidRDefault="00C36261" w:rsidP="00624091">
            <w:pPr>
              <w:widowControl w:val="0"/>
              <w:ind w:left="583" w:right="7" w:hanging="531"/>
              <w:jc w:val="center"/>
              <w:rPr>
                <w:rFonts w:eastAsiaTheme="minorHAnsi"/>
                <w:sz w:val="14"/>
                <w:szCs w:val="14"/>
                <w:lang w:eastAsia="en-US"/>
              </w:rPr>
            </w:pPr>
            <w:r w:rsidRPr="00A57ABC">
              <w:rPr>
                <w:rFonts w:eastAsiaTheme="minorHAnsi"/>
                <w:sz w:val="14"/>
                <w:szCs w:val="14"/>
                <w:lang w:eastAsia="en-US"/>
              </w:rPr>
              <w:t>Quetzaltenango</w:t>
            </w:r>
            <w:r w:rsidRPr="00A57ABC">
              <w:rPr>
                <w:rFonts w:eastAsiaTheme="minorHAnsi"/>
                <w:spacing w:val="-34"/>
                <w:sz w:val="14"/>
                <w:szCs w:val="14"/>
                <w:lang w:eastAsia="en-US"/>
              </w:rPr>
              <w:t xml:space="preserve"> </w:t>
            </w:r>
          </w:p>
        </w:tc>
        <w:tc>
          <w:tcPr>
            <w:tcW w:w="716" w:type="pct"/>
            <w:vAlign w:val="center"/>
          </w:tcPr>
          <w:p w14:paraId="0C0FB84E"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Quetzaltenango</w:t>
            </w:r>
          </w:p>
        </w:tc>
      </w:tr>
      <w:tr w:rsidR="00C36261" w:rsidRPr="00A57ABC" w14:paraId="639A2E12" w14:textId="77777777" w:rsidTr="005105AC">
        <w:trPr>
          <w:trHeight w:val="43"/>
          <w:jc w:val="center"/>
        </w:trPr>
        <w:tc>
          <w:tcPr>
            <w:tcW w:w="1367" w:type="pct"/>
            <w:vAlign w:val="center"/>
          </w:tcPr>
          <w:p w14:paraId="211BDEAB"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PIEDRA AZUL</w:t>
            </w:r>
          </w:p>
        </w:tc>
        <w:tc>
          <w:tcPr>
            <w:tcW w:w="613" w:type="pct"/>
            <w:vAlign w:val="center"/>
          </w:tcPr>
          <w:p w14:paraId="534CC1FC"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2/11/1999</w:t>
            </w:r>
          </w:p>
        </w:tc>
        <w:tc>
          <w:tcPr>
            <w:tcW w:w="625" w:type="pct"/>
            <w:vAlign w:val="center"/>
          </w:tcPr>
          <w:p w14:paraId="7ABA097D"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1/11/2024</w:t>
            </w:r>
          </w:p>
        </w:tc>
        <w:tc>
          <w:tcPr>
            <w:tcW w:w="306" w:type="pct"/>
            <w:vAlign w:val="center"/>
          </w:tcPr>
          <w:p w14:paraId="5406C17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A60C488" w14:textId="77777777" w:rsidR="00C36261" w:rsidRPr="00A57ABC" w:rsidRDefault="00C36261" w:rsidP="00624091">
            <w:pPr>
              <w:widowControl w:val="0"/>
              <w:ind w:left="32"/>
              <w:jc w:val="center"/>
              <w:rPr>
                <w:rFonts w:eastAsiaTheme="minorHAnsi"/>
                <w:sz w:val="14"/>
                <w:szCs w:val="14"/>
                <w:lang w:val="es-GT" w:eastAsia="en-US"/>
              </w:rPr>
            </w:pPr>
            <w:r w:rsidRPr="00A57ABC">
              <w:rPr>
                <w:rFonts w:eastAsiaTheme="minorHAnsi"/>
                <w:sz w:val="14"/>
                <w:szCs w:val="14"/>
                <w:lang w:val="es-GT" w:eastAsia="en-US"/>
              </w:rPr>
              <w:t>BASALTO, ANDESI</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TA, Y 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VOLCÁNICA</w:t>
            </w:r>
          </w:p>
        </w:tc>
        <w:tc>
          <w:tcPr>
            <w:tcW w:w="589" w:type="pct"/>
            <w:vAlign w:val="center"/>
          </w:tcPr>
          <w:p w14:paraId="2D58536C" w14:textId="68687A42" w:rsidR="00C36261" w:rsidRPr="00A57ABC" w:rsidRDefault="00C36261" w:rsidP="00624091">
            <w:pPr>
              <w:widowControl w:val="0"/>
              <w:ind w:left="583" w:right="7" w:hanging="531"/>
              <w:jc w:val="center"/>
              <w:rPr>
                <w:rFonts w:eastAsiaTheme="minorHAnsi"/>
                <w:sz w:val="14"/>
                <w:szCs w:val="14"/>
                <w:lang w:eastAsia="en-US"/>
              </w:rPr>
            </w:pPr>
            <w:r w:rsidRPr="00A57ABC">
              <w:rPr>
                <w:rFonts w:eastAsiaTheme="minorHAnsi"/>
                <w:sz w:val="14"/>
                <w:szCs w:val="14"/>
                <w:lang w:eastAsia="en-US"/>
              </w:rPr>
              <w:t>Quetzaltenango</w:t>
            </w:r>
          </w:p>
        </w:tc>
        <w:tc>
          <w:tcPr>
            <w:tcW w:w="716" w:type="pct"/>
            <w:vAlign w:val="center"/>
          </w:tcPr>
          <w:p w14:paraId="5B72F126"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Quetzaltenango</w:t>
            </w:r>
          </w:p>
        </w:tc>
      </w:tr>
      <w:tr w:rsidR="00C36261" w:rsidRPr="00A57ABC" w14:paraId="1DD288BB" w14:textId="77777777" w:rsidTr="005105AC">
        <w:trPr>
          <w:trHeight w:val="245"/>
          <w:jc w:val="center"/>
        </w:trPr>
        <w:tc>
          <w:tcPr>
            <w:tcW w:w="1367" w:type="pct"/>
            <w:vAlign w:val="center"/>
          </w:tcPr>
          <w:p w14:paraId="2CE65EA1" w14:textId="77777777" w:rsidR="00C36261" w:rsidRPr="00A57ABC" w:rsidRDefault="00C36261" w:rsidP="00624091">
            <w:pPr>
              <w:widowControl w:val="0"/>
              <w:ind w:left="48" w:right="22" w:firstLine="2"/>
              <w:jc w:val="center"/>
              <w:rPr>
                <w:rFonts w:eastAsiaTheme="minorHAnsi"/>
                <w:sz w:val="14"/>
                <w:szCs w:val="14"/>
                <w:lang w:val="es-GT" w:eastAsia="en-US"/>
              </w:rPr>
            </w:pPr>
            <w:r w:rsidRPr="00A57ABC">
              <w:rPr>
                <w:rFonts w:eastAsiaTheme="minorHAnsi"/>
                <w:sz w:val="14"/>
                <w:szCs w:val="14"/>
                <w:lang w:val="es-GT" w:eastAsia="en-US"/>
              </w:rPr>
              <w:t>PLANTA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TRITURADORA DE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MATERIALES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CONSTRUCCIÓN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REAL MADRID</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UNO</w:t>
            </w:r>
          </w:p>
        </w:tc>
        <w:tc>
          <w:tcPr>
            <w:tcW w:w="613" w:type="pct"/>
            <w:vAlign w:val="center"/>
          </w:tcPr>
          <w:p w14:paraId="1CC90428" w14:textId="77777777" w:rsidR="00C36261" w:rsidRPr="00A57ABC" w:rsidRDefault="00C36261" w:rsidP="00624091">
            <w:pPr>
              <w:widowControl w:val="0"/>
              <w:rPr>
                <w:rFonts w:eastAsiaTheme="minorHAnsi"/>
                <w:b/>
                <w:sz w:val="14"/>
                <w:szCs w:val="14"/>
                <w:lang w:val="es-GT" w:eastAsia="en-US"/>
              </w:rPr>
            </w:pPr>
          </w:p>
          <w:p w14:paraId="4482B100"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5/05/2011</w:t>
            </w:r>
          </w:p>
        </w:tc>
        <w:tc>
          <w:tcPr>
            <w:tcW w:w="625" w:type="pct"/>
            <w:vAlign w:val="center"/>
          </w:tcPr>
          <w:p w14:paraId="2663C53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4/05/2036</w:t>
            </w:r>
          </w:p>
        </w:tc>
        <w:tc>
          <w:tcPr>
            <w:tcW w:w="306" w:type="pct"/>
            <w:vAlign w:val="center"/>
          </w:tcPr>
          <w:p w14:paraId="10E80C3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617A7CB" w14:textId="77777777" w:rsidR="00C36261" w:rsidRPr="00A57ABC" w:rsidRDefault="00C36261" w:rsidP="00624091">
            <w:pPr>
              <w:widowControl w:val="0"/>
              <w:ind w:left="208" w:right="176" w:firstLine="2"/>
              <w:jc w:val="center"/>
              <w:rPr>
                <w:rFonts w:eastAsiaTheme="minorHAnsi"/>
                <w:sz w:val="14"/>
                <w:szCs w:val="14"/>
                <w:lang w:val="es-GT" w:eastAsia="en-US"/>
              </w:rPr>
            </w:pPr>
            <w:r w:rsidRPr="00A57ABC">
              <w:rPr>
                <w:rFonts w:eastAsiaTheme="minorHAnsi"/>
                <w:sz w:val="14"/>
                <w:szCs w:val="14"/>
                <w:lang w:val="es-GT" w:eastAsia="en-US"/>
              </w:rPr>
              <w:t>BASALTOS,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ANDESITAS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CENIZAS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VOLCANICAS</w:t>
            </w:r>
          </w:p>
        </w:tc>
        <w:tc>
          <w:tcPr>
            <w:tcW w:w="589" w:type="pct"/>
            <w:vAlign w:val="center"/>
          </w:tcPr>
          <w:p w14:paraId="1F4AEC23" w14:textId="051F8E81" w:rsidR="00C36261" w:rsidRPr="00A57ABC" w:rsidRDefault="00C36261" w:rsidP="00624091">
            <w:pPr>
              <w:widowControl w:val="0"/>
              <w:ind w:left="583" w:right="7" w:hanging="531"/>
              <w:jc w:val="center"/>
              <w:rPr>
                <w:rFonts w:eastAsiaTheme="minorHAnsi"/>
                <w:sz w:val="14"/>
                <w:szCs w:val="14"/>
                <w:lang w:eastAsia="en-US"/>
              </w:rPr>
            </w:pPr>
            <w:r w:rsidRPr="00A57ABC">
              <w:rPr>
                <w:rFonts w:eastAsiaTheme="minorHAnsi"/>
                <w:sz w:val="14"/>
                <w:szCs w:val="14"/>
                <w:lang w:eastAsia="en-US"/>
              </w:rPr>
              <w:t>Quetzaltenango</w:t>
            </w:r>
            <w:r w:rsidRPr="00A57ABC">
              <w:rPr>
                <w:rFonts w:eastAsiaTheme="minorHAnsi"/>
                <w:spacing w:val="-34"/>
                <w:sz w:val="14"/>
                <w:szCs w:val="14"/>
                <w:lang w:eastAsia="en-US"/>
              </w:rPr>
              <w:t xml:space="preserve"> </w:t>
            </w:r>
          </w:p>
        </w:tc>
        <w:tc>
          <w:tcPr>
            <w:tcW w:w="716" w:type="pct"/>
            <w:vAlign w:val="center"/>
          </w:tcPr>
          <w:p w14:paraId="6688813A"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Quetzaltenango</w:t>
            </w:r>
          </w:p>
        </w:tc>
      </w:tr>
      <w:tr w:rsidR="00C36261" w:rsidRPr="00A57ABC" w14:paraId="0AD6F809" w14:textId="77777777" w:rsidTr="005105AC">
        <w:trPr>
          <w:trHeight w:val="167"/>
          <w:jc w:val="center"/>
        </w:trPr>
        <w:tc>
          <w:tcPr>
            <w:tcW w:w="1367" w:type="pct"/>
            <w:vAlign w:val="center"/>
          </w:tcPr>
          <w:p w14:paraId="570F53ED" w14:textId="77777777" w:rsidR="00C36261" w:rsidRPr="00A57ABC" w:rsidRDefault="00C36261" w:rsidP="00624091">
            <w:pPr>
              <w:widowControl w:val="0"/>
              <w:ind w:left="346" w:right="267" w:hanging="46"/>
              <w:rPr>
                <w:rFonts w:eastAsiaTheme="minorHAnsi"/>
                <w:sz w:val="14"/>
                <w:szCs w:val="14"/>
                <w:lang w:eastAsia="en-US"/>
              </w:rPr>
            </w:pPr>
            <w:r w:rsidRPr="00A57ABC">
              <w:rPr>
                <w:rFonts w:eastAsiaTheme="minorHAnsi"/>
                <w:spacing w:val="-1"/>
                <w:sz w:val="14"/>
                <w:szCs w:val="14"/>
                <w:lang w:eastAsia="en-US"/>
              </w:rPr>
              <w:t xml:space="preserve">ROCAS </w:t>
            </w:r>
            <w:r w:rsidRPr="00A57ABC">
              <w:rPr>
                <w:rFonts w:eastAsiaTheme="minorHAnsi"/>
                <w:sz w:val="14"/>
                <w:szCs w:val="14"/>
                <w:lang w:eastAsia="en-US"/>
              </w:rPr>
              <w:t>DE</w:t>
            </w:r>
            <w:r w:rsidRPr="00A57ABC">
              <w:rPr>
                <w:rFonts w:eastAsiaTheme="minorHAnsi"/>
                <w:spacing w:val="-34"/>
                <w:sz w:val="14"/>
                <w:szCs w:val="14"/>
                <w:lang w:eastAsia="en-US"/>
              </w:rPr>
              <w:t xml:space="preserve"> </w:t>
            </w:r>
            <w:r w:rsidRPr="00A57ABC">
              <w:rPr>
                <w:rFonts w:eastAsiaTheme="minorHAnsi"/>
                <w:sz w:val="14"/>
                <w:szCs w:val="14"/>
                <w:lang w:eastAsia="en-US"/>
              </w:rPr>
              <w:t>XELAZUL</w:t>
            </w:r>
          </w:p>
        </w:tc>
        <w:tc>
          <w:tcPr>
            <w:tcW w:w="613" w:type="pct"/>
            <w:vAlign w:val="center"/>
          </w:tcPr>
          <w:p w14:paraId="41BA5E8A"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11/02/2006</w:t>
            </w:r>
          </w:p>
        </w:tc>
        <w:tc>
          <w:tcPr>
            <w:tcW w:w="625" w:type="pct"/>
            <w:vAlign w:val="center"/>
          </w:tcPr>
          <w:p w14:paraId="475A58A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10/02/2031</w:t>
            </w:r>
          </w:p>
        </w:tc>
        <w:tc>
          <w:tcPr>
            <w:tcW w:w="306" w:type="pct"/>
            <w:vAlign w:val="center"/>
          </w:tcPr>
          <w:p w14:paraId="7B6DDDD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6A6A374" w14:textId="77777777" w:rsidR="00C36261" w:rsidRPr="00A57ABC" w:rsidRDefault="00C36261" w:rsidP="00624091">
            <w:pPr>
              <w:widowControl w:val="0"/>
              <w:ind w:left="304" w:right="229" w:hanging="27"/>
              <w:rPr>
                <w:rFonts w:eastAsiaTheme="minorHAnsi"/>
                <w:sz w:val="14"/>
                <w:szCs w:val="14"/>
                <w:lang w:eastAsia="en-US"/>
              </w:rPr>
            </w:pPr>
            <w:r w:rsidRPr="00A57ABC">
              <w:rPr>
                <w:rFonts w:eastAsiaTheme="minorHAnsi"/>
                <w:sz w:val="14"/>
                <w:szCs w:val="14"/>
                <w:lang w:eastAsia="en-US"/>
              </w:rPr>
              <w:t>BASALTO Y</w:t>
            </w:r>
            <w:r w:rsidRPr="00A57ABC">
              <w:rPr>
                <w:rFonts w:eastAsiaTheme="minorHAnsi"/>
                <w:spacing w:val="-34"/>
                <w:sz w:val="14"/>
                <w:szCs w:val="14"/>
                <w:lang w:eastAsia="en-US"/>
              </w:rPr>
              <w:t xml:space="preserve"> </w:t>
            </w:r>
            <w:r w:rsidRPr="00A57ABC">
              <w:rPr>
                <w:rFonts w:eastAsiaTheme="minorHAnsi"/>
                <w:sz w:val="14"/>
                <w:szCs w:val="14"/>
                <w:lang w:eastAsia="en-US"/>
              </w:rPr>
              <w:t>ANDESITA</w:t>
            </w:r>
          </w:p>
        </w:tc>
        <w:tc>
          <w:tcPr>
            <w:tcW w:w="589" w:type="pct"/>
            <w:vAlign w:val="center"/>
          </w:tcPr>
          <w:p w14:paraId="58E434FE" w14:textId="5A95B050" w:rsidR="00C36261" w:rsidRPr="00A57ABC" w:rsidRDefault="00C36261" w:rsidP="00624091">
            <w:pPr>
              <w:widowControl w:val="0"/>
              <w:ind w:left="583" w:right="7" w:hanging="531"/>
              <w:jc w:val="center"/>
              <w:rPr>
                <w:rFonts w:eastAsiaTheme="minorHAnsi"/>
                <w:sz w:val="14"/>
                <w:szCs w:val="14"/>
                <w:lang w:eastAsia="en-US"/>
              </w:rPr>
            </w:pPr>
            <w:r w:rsidRPr="00A57ABC">
              <w:rPr>
                <w:rFonts w:eastAsiaTheme="minorHAnsi"/>
                <w:sz w:val="14"/>
                <w:szCs w:val="14"/>
                <w:lang w:eastAsia="en-US"/>
              </w:rPr>
              <w:t>Quetzaltenango</w:t>
            </w:r>
            <w:r w:rsidRPr="00A57ABC">
              <w:rPr>
                <w:rFonts w:eastAsiaTheme="minorHAnsi"/>
                <w:spacing w:val="-34"/>
                <w:sz w:val="14"/>
                <w:szCs w:val="14"/>
                <w:lang w:eastAsia="en-US"/>
              </w:rPr>
              <w:t xml:space="preserve"> </w:t>
            </w:r>
          </w:p>
        </w:tc>
        <w:tc>
          <w:tcPr>
            <w:tcW w:w="716" w:type="pct"/>
            <w:vAlign w:val="center"/>
          </w:tcPr>
          <w:p w14:paraId="1C83E438"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Quetzaltenango</w:t>
            </w:r>
          </w:p>
        </w:tc>
      </w:tr>
      <w:tr w:rsidR="00C36261" w:rsidRPr="00A57ABC" w14:paraId="15BC6400" w14:textId="77777777" w:rsidTr="005105AC">
        <w:trPr>
          <w:trHeight w:val="102"/>
          <w:jc w:val="center"/>
        </w:trPr>
        <w:tc>
          <w:tcPr>
            <w:tcW w:w="1367" w:type="pct"/>
            <w:vAlign w:val="center"/>
          </w:tcPr>
          <w:p w14:paraId="47312AEF" w14:textId="77777777" w:rsidR="00C36261" w:rsidRPr="00A57ABC" w:rsidRDefault="00C36261" w:rsidP="00624091">
            <w:pPr>
              <w:widowControl w:val="0"/>
              <w:ind w:left="163"/>
              <w:rPr>
                <w:rFonts w:eastAsiaTheme="minorHAnsi"/>
                <w:sz w:val="14"/>
                <w:szCs w:val="14"/>
                <w:lang w:eastAsia="en-US"/>
              </w:rPr>
            </w:pPr>
            <w:r w:rsidRPr="00A57ABC">
              <w:rPr>
                <w:rFonts w:eastAsiaTheme="minorHAnsi"/>
                <w:sz w:val="14"/>
                <w:szCs w:val="14"/>
                <w:lang w:eastAsia="en-US"/>
              </w:rPr>
              <w:t>ADD</w:t>
            </w:r>
            <w:r w:rsidRPr="00A57ABC">
              <w:rPr>
                <w:rFonts w:eastAsiaTheme="minorHAnsi"/>
                <w:spacing w:val="-1"/>
                <w:sz w:val="14"/>
                <w:szCs w:val="14"/>
                <w:lang w:eastAsia="en-US"/>
              </w:rPr>
              <w:t xml:space="preserve"> </w:t>
            </w:r>
            <w:r w:rsidRPr="00A57ABC">
              <w:rPr>
                <w:rFonts w:eastAsiaTheme="minorHAnsi"/>
                <w:sz w:val="14"/>
                <w:szCs w:val="14"/>
                <w:lang w:eastAsia="en-US"/>
              </w:rPr>
              <w:t>MINERAL</w:t>
            </w:r>
          </w:p>
        </w:tc>
        <w:tc>
          <w:tcPr>
            <w:tcW w:w="613" w:type="pct"/>
            <w:vAlign w:val="center"/>
          </w:tcPr>
          <w:p w14:paraId="3E55744A"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22/07/1999</w:t>
            </w:r>
          </w:p>
        </w:tc>
        <w:tc>
          <w:tcPr>
            <w:tcW w:w="625" w:type="pct"/>
            <w:vAlign w:val="center"/>
          </w:tcPr>
          <w:p w14:paraId="14BB08E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21/07/2024</w:t>
            </w:r>
          </w:p>
        </w:tc>
        <w:tc>
          <w:tcPr>
            <w:tcW w:w="306" w:type="pct"/>
            <w:vAlign w:val="center"/>
          </w:tcPr>
          <w:p w14:paraId="0356948B"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90405F8"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YESO</w:t>
            </w:r>
          </w:p>
        </w:tc>
        <w:tc>
          <w:tcPr>
            <w:tcW w:w="589" w:type="pct"/>
            <w:vAlign w:val="center"/>
          </w:tcPr>
          <w:p w14:paraId="121F0A0C" w14:textId="77777777" w:rsidR="00C36261" w:rsidRPr="00A57ABC" w:rsidRDefault="00C36261" w:rsidP="00624091">
            <w:pPr>
              <w:widowControl w:val="0"/>
              <w:ind w:left="37" w:right="2"/>
              <w:jc w:val="center"/>
              <w:rPr>
                <w:rFonts w:eastAsiaTheme="minorHAnsi"/>
                <w:sz w:val="14"/>
                <w:szCs w:val="14"/>
                <w:lang w:eastAsia="en-US"/>
              </w:rPr>
            </w:pPr>
            <w:proofErr w:type="spellStart"/>
            <w:r w:rsidRPr="00A57ABC">
              <w:rPr>
                <w:rFonts w:eastAsiaTheme="minorHAnsi"/>
                <w:sz w:val="14"/>
                <w:szCs w:val="14"/>
                <w:lang w:eastAsia="en-US"/>
              </w:rPr>
              <w:t>Cunen</w:t>
            </w:r>
            <w:proofErr w:type="spellEnd"/>
          </w:p>
        </w:tc>
        <w:tc>
          <w:tcPr>
            <w:tcW w:w="716" w:type="pct"/>
            <w:vAlign w:val="center"/>
          </w:tcPr>
          <w:p w14:paraId="331708E1"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Quiche</w:t>
            </w:r>
          </w:p>
        </w:tc>
      </w:tr>
      <w:tr w:rsidR="00C36261" w:rsidRPr="00A57ABC" w14:paraId="221E3F08" w14:textId="77777777" w:rsidTr="005105AC">
        <w:trPr>
          <w:trHeight w:val="49"/>
          <w:jc w:val="center"/>
        </w:trPr>
        <w:tc>
          <w:tcPr>
            <w:tcW w:w="1367" w:type="pct"/>
            <w:vAlign w:val="center"/>
          </w:tcPr>
          <w:p w14:paraId="775519AE" w14:textId="77777777" w:rsidR="00C36261" w:rsidRPr="00A57ABC" w:rsidRDefault="00C36261" w:rsidP="00624091">
            <w:pPr>
              <w:widowControl w:val="0"/>
              <w:ind w:left="276" w:right="239" w:firstLine="81"/>
              <w:rPr>
                <w:rFonts w:eastAsiaTheme="minorHAnsi"/>
                <w:sz w:val="14"/>
                <w:szCs w:val="14"/>
                <w:lang w:eastAsia="en-US"/>
              </w:rPr>
            </w:pPr>
            <w:r w:rsidRPr="00A57ABC">
              <w:rPr>
                <w:rFonts w:eastAsiaTheme="minorHAnsi"/>
                <w:sz w:val="14"/>
                <w:szCs w:val="14"/>
                <w:lang w:eastAsia="en-US"/>
              </w:rPr>
              <w:t>LA CRUZ</w:t>
            </w:r>
            <w:r w:rsidRPr="00A57ABC">
              <w:rPr>
                <w:rFonts w:eastAsiaTheme="minorHAnsi"/>
                <w:spacing w:val="1"/>
                <w:sz w:val="14"/>
                <w:szCs w:val="14"/>
                <w:lang w:eastAsia="en-US"/>
              </w:rPr>
              <w:t xml:space="preserve"> </w:t>
            </w:r>
            <w:r w:rsidRPr="00A57ABC">
              <w:rPr>
                <w:rFonts w:eastAsiaTheme="minorHAnsi"/>
                <w:sz w:val="14"/>
                <w:szCs w:val="14"/>
                <w:lang w:eastAsia="en-US"/>
              </w:rPr>
              <w:t>CHIXIQUIN</w:t>
            </w:r>
          </w:p>
        </w:tc>
        <w:tc>
          <w:tcPr>
            <w:tcW w:w="613" w:type="pct"/>
            <w:vAlign w:val="center"/>
          </w:tcPr>
          <w:p w14:paraId="70F9012B"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24/07/1999</w:t>
            </w:r>
          </w:p>
        </w:tc>
        <w:tc>
          <w:tcPr>
            <w:tcW w:w="625" w:type="pct"/>
            <w:vAlign w:val="center"/>
          </w:tcPr>
          <w:p w14:paraId="17F457D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23/07/2024</w:t>
            </w:r>
          </w:p>
        </w:tc>
        <w:tc>
          <w:tcPr>
            <w:tcW w:w="306" w:type="pct"/>
            <w:vAlign w:val="center"/>
          </w:tcPr>
          <w:p w14:paraId="5EE9200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380492E"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YESO</w:t>
            </w:r>
          </w:p>
        </w:tc>
        <w:tc>
          <w:tcPr>
            <w:tcW w:w="589" w:type="pct"/>
            <w:vAlign w:val="center"/>
          </w:tcPr>
          <w:p w14:paraId="79268C2A" w14:textId="77777777" w:rsidR="00C36261" w:rsidRPr="00A57ABC" w:rsidRDefault="00C36261" w:rsidP="00624091">
            <w:pPr>
              <w:widowControl w:val="0"/>
              <w:ind w:left="35" w:right="2"/>
              <w:jc w:val="center"/>
              <w:rPr>
                <w:rFonts w:eastAsiaTheme="minorHAnsi"/>
                <w:sz w:val="14"/>
                <w:szCs w:val="14"/>
                <w:lang w:eastAsia="en-US"/>
              </w:rPr>
            </w:pPr>
            <w:proofErr w:type="spellStart"/>
            <w:r w:rsidRPr="00A57ABC">
              <w:rPr>
                <w:rFonts w:eastAsiaTheme="minorHAnsi"/>
                <w:sz w:val="14"/>
                <w:szCs w:val="14"/>
                <w:lang w:eastAsia="en-US"/>
              </w:rPr>
              <w:t>Chicaman</w:t>
            </w:r>
            <w:proofErr w:type="spellEnd"/>
          </w:p>
        </w:tc>
        <w:tc>
          <w:tcPr>
            <w:tcW w:w="716" w:type="pct"/>
            <w:vAlign w:val="center"/>
          </w:tcPr>
          <w:p w14:paraId="53C0AF9F"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Quiche</w:t>
            </w:r>
          </w:p>
        </w:tc>
      </w:tr>
      <w:tr w:rsidR="00C36261" w:rsidRPr="00A57ABC" w14:paraId="73C4E569" w14:textId="77777777" w:rsidTr="005105AC">
        <w:trPr>
          <w:trHeight w:val="43"/>
          <w:jc w:val="center"/>
        </w:trPr>
        <w:tc>
          <w:tcPr>
            <w:tcW w:w="1367" w:type="pct"/>
            <w:vAlign w:val="center"/>
          </w:tcPr>
          <w:p w14:paraId="7D64C854" w14:textId="77777777" w:rsidR="00C36261" w:rsidRPr="00A57ABC" w:rsidRDefault="00C36261" w:rsidP="00624091">
            <w:pPr>
              <w:widowControl w:val="0"/>
              <w:ind w:left="118"/>
              <w:rPr>
                <w:rFonts w:eastAsiaTheme="minorHAnsi"/>
                <w:sz w:val="14"/>
                <w:szCs w:val="14"/>
                <w:lang w:eastAsia="en-US"/>
              </w:rPr>
            </w:pPr>
            <w:r w:rsidRPr="00A57ABC">
              <w:rPr>
                <w:rFonts w:eastAsiaTheme="minorHAnsi"/>
                <w:sz w:val="14"/>
                <w:szCs w:val="14"/>
                <w:lang w:eastAsia="en-US"/>
              </w:rPr>
              <w:t>RIVERA DEL</w:t>
            </w:r>
            <w:r w:rsidRPr="00A57ABC">
              <w:rPr>
                <w:rFonts w:eastAsiaTheme="minorHAnsi"/>
                <w:spacing w:val="-1"/>
                <w:sz w:val="14"/>
                <w:szCs w:val="14"/>
                <w:lang w:eastAsia="en-US"/>
              </w:rPr>
              <w:t xml:space="preserve"> </w:t>
            </w:r>
            <w:r w:rsidRPr="00A57ABC">
              <w:rPr>
                <w:rFonts w:eastAsiaTheme="minorHAnsi"/>
                <w:sz w:val="14"/>
                <w:szCs w:val="14"/>
                <w:lang w:eastAsia="en-US"/>
              </w:rPr>
              <w:t>RIO</w:t>
            </w:r>
          </w:p>
        </w:tc>
        <w:tc>
          <w:tcPr>
            <w:tcW w:w="613" w:type="pct"/>
            <w:vAlign w:val="center"/>
          </w:tcPr>
          <w:p w14:paraId="1E66481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17/01/2002</w:t>
            </w:r>
          </w:p>
        </w:tc>
        <w:tc>
          <w:tcPr>
            <w:tcW w:w="625" w:type="pct"/>
            <w:vAlign w:val="center"/>
          </w:tcPr>
          <w:p w14:paraId="54E83A5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16/01/2027</w:t>
            </w:r>
          </w:p>
        </w:tc>
        <w:tc>
          <w:tcPr>
            <w:tcW w:w="306" w:type="pct"/>
            <w:vAlign w:val="center"/>
          </w:tcPr>
          <w:p w14:paraId="6C1357A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D175E8A"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YESO</w:t>
            </w:r>
          </w:p>
        </w:tc>
        <w:tc>
          <w:tcPr>
            <w:tcW w:w="589" w:type="pct"/>
            <w:vAlign w:val="center"/>
          </w:tcPr>
          <w:p w14:paraId="4492B41E" w14:textId="77777777" w:rsidR="00C36261" w:rsidRPr="00A57ABC" w:rsidRDefault="00C36261" w:rsidP="00624091">
            <w:pPr>
              <w:widowControl w:val="0"/>
              <w:ind w:left="35" w:right="2"/>
              <w:jc w:val="center"/>
              <w:rPr>
                <w:rFonts w:eastAsiaTheme="minorHAnsi"/>
                <w:sz w:val="14"/>
                <w:szCs w:val="14"/>
                <w:lang w:eastAsia="en-US"/>
              </w:rPr>
            </w:pPr>
            <w:proofErr w:type="spellStart"/>
            <w:r w:rsidRPr="00A57ABC">
              <w:rPr>
                <w:rFonts w:eastAsiaTheme="minorHAnsi"/>
                <w:sz w:val="14"/>
                <w:szCs w:val="14"/>
                <w:lang w:eastAsia="en-US"/>
              </w:rPr>
              <w:t>Chicaman</w:t>
            </w:r>
            <w:proofErr w:type="spellEnd"/>
          </w:p>
        </w:tc>
        <w:tc>
          <w:tcPr>
            <w:tcW w:w="716" w:type="pct"/>
            <w:vAlign w:val="center"/>
          </w:tcPr>
          <w:p w14:paraId="4B14B086"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Quiche</w:t>
            </w:r>
          </w:p>
        </w:tc>
      </w:tr>
      <w:tr w:rsidR="00C36261" w:rsidRPr="00A57ABC" w14:paraId="076403C8" w14:textId="77777777" w:rsidTr="005105AC">
        <w:trPr>
          <w:trHeight w:val="43"/>
          <w:jc w:val="center"/>
        </w:trPr>
        <w:tc>
          <w:tcPr>
            <w:tcW w:w="1367" w:type="pct"/>
            <w:vAlign w:val="center"/>
          </w:tcPr>
          <w:p w14:paraId="63A1DA17" w14:textId="77777777" w:rsidR="00C36261" w:rsidRPr="00A57ABC" w:rsidRDefault="00C36261" w:rsidP="00624091">
            <w:pPr>
              <w:widowControl w:val="0"/>
              <w:ind w:left="39"/>
              <w:rPr>
                <w:rFonts w:eastAsiaTheme="minorHAnsi"/>
                <w:sz w:val="14"/>
                <w:szCs w:val="14"/>
                <w:lang w:eastAsia="en-US"/>
              </w:rPr>
            </w:pPr>
            <w:r w:rsidRPr="00A57ABC">
              <w:rPr>
                <w:rFonts w:eastAsiaTheme="minorHAnsi"/>
                <w:sz w:val="14"/>
                <w:szCs w:val="14"/>
                <w:lang w:eastAsia="en-US"/>
              </w:rPr>
              <w:lastRenderedPageBreak/>
              <w:t>LOS</w:t>
            </w:r>
            <w:r w:rsidRPr="00A57ABC">
              <w:rPr>
                <w:rFonts w:eastAsiaTheme="minorHAnsi"/>
                <w:spacing w:val="-3"/>
                <w:sz w:val="14"/>
                <w:szCs w:val="14"/>
                <w:lang w:eastAsia="en-US"/>
              </w:rPr>
              <w:t xml:space="preserve"> </w:t>
            </w:r>
            <w:r w:rsidRPr="00A57ABC">
              <w:rPr>
                <w:rFonts w:eastAsiaTheme="minorHAnsi"/>
                <w:sz w:val="14"/>
                <w:szCs w:val="14"/>
                <w:lang w:eastAsia="en-US"/>
              </w:rPr>
              <w:t>ENCUENTROS</w:t>
            </w:r>
          </w:p>
        </w:tc>
        <w:tc>
          <w:tcPr>
            <w:tcW w:w="613" w:type="pct"/>
            <w:vAlign w:val="center"/>
          </w:tcPr>
          <w:p w14:paraId="53388264"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16/06/1999</w:t>
            </w:r>
          </w:p>
        </w:tc>
        <w:tc>
          <w:tcPr>
            <w:tcW w:w="625" w:type="pct"/>
            <w:vAlign w:val="center"/>
          </w:tcPr>
          <w:p w14:paraId="39EF0E9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15/06/2024</w:t>
            </w:r>
          </w:p>
        </w:tc>
        <w:tc>
          <w:tcPr>
            <w:tcW w:w="306" w:type="pct"/>
            <w:vAlign w:val="center"/>
          </w:tcPr>
          <w:p w14:paraId="230FB60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CC64DEF"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YESO</w:t>
            </w:r>
          </w:p>
        </w:tc>
        <w:tc>
          <w:tcPr>
            <w:tcW w:w="589" w:type="pct"/>
            <w:vAlign w:val="center"/>
          </w:tcPr>
          <w:p w14:paraId="4EA8902E" w14:textId="77777777" w:rsidR="00C36261" w:rsidRPr="00A57ABC" w:rsidRDefault="00C36261" w:rsidP="00624091">
            <w:pPr>
              <w:widowControl w:val="0"/>
              <w:ind w:left="35" w:right="2"/>
              <w:jc w:val="center"/>
              <w:rPr>
                <w:rFonts w:eastAsiaTheme="minorHAnsi"/>
                <w:sz w:val="14"/>
                <w:szCs w:val="14"/>
                <w:lang w:eastAsia="en-US"/>
              </w:rPr>
            </w:pPr>
            <w:proofErr w:type="spellStart"/>
            <w:r w:rsidRPr="00A57ABC">
              <w:rPr>
                <w:rFonts w:eastAsiaTheme="minorHAnsi"/>
                <w:sz w:val="14"/>
                <w:szCs w:val="14"/>
                <w:lang w:eastAsia="en-US"/>
              </w:rPr>
              <w:t>Chicaman</w:t>
            </w:r>
            <w:proofErr w:type="spellEnd"/>
          </w:p>
        </w:tc>
        <w:tc>
          <w:tcPr>
            <w:tcW w:w="716" w:type="pct"/>
            <w:vAlign w:val="center"/>
          </w:tcPr>
          <w:p w14:paraId="33B0240E"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Quiché</w:t>
            </w:r>
          </w:p>
        </w:tc>
      </w:tr>
      <w:tr w:rsidR="00C36261" w:rsidRPr="00A57ABC" w14:paraId="690B1513" w14:textId="77777777" w:rsidTr="005105AC">
        <w:trPr>
          <w:trHeight w:val="148"/>
          <w:jc w:val="center"/>
        </w:trPr>
        <w:tc>
          <w:tcPr>
            <w:tcW w:w="1367" w:type="pct"/>
            <w:vAlign w:val="center"/>
          </w:tcPr>
          <w:p w14:paraId="30C0968D" w14:textId="77777777" w:rsidR="00C36261" w:rsidRPr="00A57ABC" w:rsidRDefault="00C36261" w:rsidP="00624091">
            <w:pPr>
              <w:widowControl w:val="0"/>
              <w:ind w:left="159"/>
              <w:rPr>
                <w:rFonts w:eastAsiaTheme="minorHAnsi"/>
                <w:sz w:val="14"/>
                <w:szCs w:val="14"/>
                <w:lang w:eastAsia="en-US"/>
              </w:rPr>
            </w:pPr>
            <w:r w:rsidRPr="00A57ABC">
              <w:rPr>
                <w:rFonts w:eastAsiaTheme="minorHAnsi"/>
                <w:sz w:val="14"/>
                <w:szCs w:val="14"/>
                <w:lang w:eastAsia="en-US"/>
              </w:rPr>
              <w:t>LA LIBERTAD</w:t>
            </w:r>
            <w:r w:rsidRPr="00A57ABC">
              <w:rPr>
                <w:rFonts w:eastAsiaTheme="minorHAnsi"/>
                <w:spacing w:val="-1"/>
                <w:sz w:val="14"/>
                <w:szCs w:val="14"/>
                <w:lang w:eastAsia="en-US"/>
              </w:rPr>
              <w:t xml:space="preserve"> </w:t>
            </w:r>
            <w:r w:rsidRPr="00A57ABC">
              <w:rPr>
                <w:rFonts w:eastAsiaTheme="minorHAnsi"/>
                <w:sz w:val="14"/>
                <w:szCs w:val="14"/>
                <w:lang w:eastAsia="en-US"/>
              </w:rPr>
              <w:t>II</w:t>
            </w:r>
          </w:p>
        </w:tc>
        <w:tc>
          <w:tcPr>
            <w:tcW w:w="613" w:type="pct"/>
            <w:vAlign w:val="center"/>
          </w:tcPr>
          <w:p w14:paraId="5D83FBB0"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1/03/2003</w:t>
            </w:r>
          </w:p>
        </w:tc>
        <w:tc>
          <w:tcPr>
            <w:tcW w:w="625" w:type="pct"/>
            <w:vAlign w:val="center"/>
          </w:tcPr>
          <w:p w14:paraId="6DF1BEE7"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23/02/2028</w:t>
            </w:r>
          </w:p>
        </w:tc>
        <w:tc>
          <w:tcPr>
            <w:tcW w:w="306" w:type="pct"/>
            <w:vAlign w:val="center"/>
          </w:tcPr>
          <w:p w14:paraId="15F2641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D183270"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MAGNESITA</w:t>
            </w:r>
          </w:p>
        </w:tc>
        <w:tc>
          <w:tcPr>
            <w:tcW w:w="589" w:type="pct"/>
            <w:vAlign w:val="center"/>
          </w:tcPr>
          <w:p w14:paraId="3453CD94" w14:textId="77777777" w:rsidR="00C36261" w:rsidRPr="00A57ABC" w:rsidRDefault="00C36261" w:rsidP="00624091">
            <w:pPr>
              <w:widowControl w:val="0"/>
              <w:ind w:left="125" w:right="84" w:firstLine="120"/>
              <w:jc w:val="center"/>
              <w:rPr>
                <w:rFonts w:eastAsiaTheme="minorHAnsi"/>
                <w:sz w:val="14"/>
                <w:szCs w:val="14"/>
                <w:lang w:val="es-GT" w:eastAsia="en-US"/>
              </w:rPr>
            </w:pPr>
            <w:proofErr w:type="spellStart"/>
            <w:r w:rsidRPr="00A57ABC">
              <w:rPr>
                <w:rFonts w:eastAsiaTheme="minorHAnsi"/>
                <w:sz w:val="14"/>
                <w:szCs w:val="14"/>
                <w:lang w:val="es-GT" w:eastAsia="en-US"/>
              </w:rPr>
              <w:t>Chicaman</w:t>
            </w:r>
            <w:proofErr w:type="spellEnd"/>
            <w:r w:rsidRPr="00A57ABC">
              <w:rPr>
                <w:rFonts w:eastAsiaTheme="minorHAnsi"/>
                <w:sz w:val="14"/>
                <w:szCs w:val="14"/>
                <w:lang w:val="es-GT" w:eastAsia="en-US"/>
              </w:rPr>
              <w:t>,</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Rabinal Y San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Miguel</w:t>
            </w:r>
            <w:r w:rsidRPr="00A57ABC">
              <w:rPr>
                <w:rFonts w:eastAsiaTheme="minorHAnsi"/>
                <w:spacing w:val="-9"/>
                <w:sz w:val="14"/>
                <w:szCs w:val="14"/>
                <w:lang w:val="es-GT" w:eastAsia="en-US"/>
              </w:rPr>
              <w:t xml:space="preserve"> </w:t>
            </w:r>
            <w:r w:rsidRPr="00A57ABC">
              <w:rPr>
                <w:rFonts w:eastAsiaTheme="minorHAnsi"/>
                <w:sz w:val="14"/>
                <w:szCs w:val="14"/>
                <w:lang w:val="es-GT" w:eastAsia="en-US"/>
              </w:rPr>
              <w:t>Chicaj</w:t>
            </w:r>
          </w:p>
        </w:tc>
        <w:tc>
          <w:tcPr>
            <w:tcW w:w="716" w:type="pct"/>
            <w:vAlign w:val="center"/>
          </w:tcPr>
          <w:p w14:paraId="0D329858" w14:textId="77777777" w:rsidR="00C36261" w:rsidRPr="00A57ABC" w:rsidRDefault="00C36261" w:rsidP="00624091">
            <w:pPr>
              <w:widowControl w:val="0"/>
              <w:ind w:left="384" w:right="138" w:hanging="197"/>
              <w:jc w:val="center"/>
              <w:rPr>
                <w:rFonts w:eastAsiaTheme="minorHAnsi"/>
                <w:sz w:val="14"/>
                <w:szCs w:val="14"/>
                <w:lang w:eastAsia="en-US"/>
              </w:rPr>
            </w:pPr>
            <w:r w:rsidRPr="00A57ABC">
              <w:rPr>
                <w:rFonts w:eastAsiaTheme="minorHAnsi"/>
                <w:sz w:val="14"/>
                <w:szCs w:val="14"/>
                <w:lang w:eastAsia="en-US"/>
              </w:rPr>
              <w:t>Quiche Y Baja</w:t>
            </w:r>
            <w:r w:rsidRPr="00A57ABC">
              <w:rPr>
                <w:rFonts w:eastAsiaTheme="minorHAnsi"/>
                <w:spacing w:val="-34"/>
                <w:sz w:val="14"/>
                <w:szCs w:val="14"/>
                <w:lang w:eastAsia="en-US"/>
              </w:rPr>
              <w:t xml:space="preserve"> </w:t>
            </w:r>
            <w:r w:rsidRPr="00A57ABC">
              <w:rPr>
                <w:rFonts w:eastAsiaTheme="minorHAnsi"/>
                <w:sz w:val="14"/>
                <w:szCs w:val="14"/>
                <w:lang w:eastAsia="en-US"/>
              </w:rPr>
              <w:t>Verapaz</w:t>
            </w:r>
          </w:p>
        </w:tc>
      </w:tr>
      <w:tr w:rsidR="00C36261" w:rsidRPr="00A57ABC" w14:paraId="632C6F20" w14:textId="77777777" w:rsidTr="005105AC">
        <w:trPr>
          <w:trHeight w:val="354"/>
          <w:jc w:val="center"/>
        </w:trPr>
        <w:tc>
          <w:tcPr>
            <w:tcW w:w="1367" w:type="pct"/>
            <w:vAlign w:val="center"/>
          </w:tcPr>
          <w:p w14:paraId="69346114" w14:textId="77777777" w:rsidR="00C36261" w:rsidRPr="00A57ABC" w:rsidRDefault="00C36261" w:rsidP="00624091">
            <w:pPr>
              <w:widowControl w:val="0"/>
              <w:ind w:left="79" w:right="52"/>
              <w:jc w:val="center"/>
              <w:rPr>
                <w:rFonts w:eastAsiaTheme="minorHAnsi"/>
                <w:sz w:val="14"/>
                <w:szCs w:val="14"/>
                <w:lang w:eastAsia="en-US"/>
              </w:rPr>
            </w:pPr>
            <w:r w:rsidRPr="00A57ABC">
              <w:rPr>
                <w:rFonts w:eastAsiaTheme="minorHAnsi"/>
                <w:sz w:val="14"/>
                <w:szCs w:val="14"/>
                <w:lang w:eastAsia="en-US"/>
              </w:rPr>
              <w:t>CONSTRUCTORA</w:t>
            </w:r>
            <w:r w:rsidRPr="00A57ABC">
              <w:rPr>
                <w:rFonts w:eastAsiaTheme="minorHAnsi"/>
                <w:spacing w:val="-34"/>
                <w:sz w:val="14"/>
                <w:szCs w:val="14"/>
                <w:lang w:eastAsia="en-US"/>
              </w:rPr>
              <w:t xml:space="preserve"> </w:t>
            </w:r>
            <w:r w:rsidRPr="00A57ABC">
              <w:rPr>
                <w:rFonts w:eastAsiaTheme="minorHAnsi"/>
                <w:sz w:val="14"/>
                <w:szCs w:val="14"/>
                <w:lang w:eastAsia="en-US"/>
              </w:rPr>
              <w:t>Y TRITURADORA</w:t>
            </w:r>
            <w:r w:rsidRPr="00A57ABC">
              <w:rPr>
                <w:rFonts w:eastAsiaTheme="minorHAnsi"/>
                <w:spacing w:val="-34"/>
                <w:sz w:val="14"/>
                <w:szCs w:val="14"/>
                <w:lang w:eastAsia="en-US"/>
              </w:rPr>
              <w:t xml:space="preserve"> </w:t>
            </w:r>
            <w:r w:rsidRPr="00A57ABC">
              <w:rPr>
                <w:rFonts w:eastAsiaTheme="minorHAnsi"/>
                <w:sz w:val="14"/>
                <w:szCs w:val="14"/>
                <w:lang w:eastAsia="en-US"/>
              </w:rPr>
              <w:t>EXCO</w:t>
            </w:r>
          </w:p>
        </w:tc>
        <w:tc>
          <w:tcPr>
            <w:tcW w:w="613" w:type="pct"/>
            <w:vAlign w:val="center"/>
          </w:tcPr>
          <w:p w14:paraId="6F75339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11/10/2014</w:t>
            </w:r>
          </w:p>
        </w:tc>
        <w:tc>
          <w:tcPr>
            <w:tcW w:w="625" w:type="pct"/>
            <w:vAlign w:val="center"/>
          </w:tcPr>
          <w:p w14:paraId="5453DEA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10/10/2039</w:t>
            </w:r>
          </w:p>
        </w:tc>
        <w:tc>
          <w:tcPr>
            <w:tcW w:w="306" w:type="pct"/>
            <w:vAlign w:val="center"/>
          </w:tcPr>
          <w:p w14:paraId="50ACE4F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3D7F49A" w14:textId="77777777" w:rsidR="00C36261" w:rsidRPr="00A57ABC" w:rsidRDefault="00C36261" w:rsidP="00624091">
            <w:pPr>
              <w:widowControl w:val="0"/>
              <w:ind w:left="285" w:right="247" w:hanging="3"/>
              <w:jc w:val="center"/>
              <w:rPr>
                <w:rFonts w:eastAsiaTheme="minorHAnsi"/>
                <w:sz w:val="14"/>
                <w:szCs w:val="14"/>
                <w:lang w:val="es-GT" w:eastAsia="en-US"/>
              </w:rPr>
            </w:pP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GRAVAS Y</w:t>
            </w:r>
          </w:p>
          <w:p w14:paraId="5ECF85DF" w14:textId="77777777" w:rsidR="00C36261" w:rsidRPr="00A57ABC" w:rsidRDefault="00C36261" w:rsidP="00624091">
            <w:pPr>
              <w:widowControl w:val="0"/>
              <w:ind w:left="34"/>
              <w:jc w:val="center"/>
              <w:rPr>
                <w:rFonts w:eastAsiaTheme="minorHAnsi"/>
                <w:sz w:val="14"/>
                <w:szCs w:val="14"/>
                <w:lang w:val="es-GT" w:eastAsia="en-US"/>
              </w:rPr>
            </w:pPr>
            <w:r w:rsidRPr="00A57ABC">
              <w:rPr>
                <w:rFonts w:eastAsiaTheme="minorHAnsi"/>
                <w:sz w:val="14"/>
                <w:szCs w:val="14"/>
                <w:lang w:val="es-GT" w:eastAsia="en-US"/>
              </w:rPr>
              <w:t>ARENAS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 RIO</w:t>
            </w:r>
          </w:p>
        </w:tc>
        <w:tc>
          <w:tcPr>
            <w:tcW w:w="589" w:type="pct"/>
            <w:vAlign w:val="center"/>
          </w:tcPr>
          <w:p w14:paraId="5A4F9241" w14:textId="77777777" w:rsidR="00C36261" w:rsidRPr="00A57ABC" w:rsidRDefault="00C36261" w:rsidP="00624091">
            <w:pPr>
              <w:widowControl w:val="0"/>
              <w:ind w:left="38" w:right="2"/>
              <w:jc w:val="center"/>
              <w:rPr>
                <w:rFonts w:eastAsiaTheme="minorHAnsi"/>
                <w:sz w:val="14"/>
                <w:szCs w:val="14"/>
                <w:lang w:val="es-GT" w:eastAsia="en-US"/>
              </w:rPr>
            </w:pPr>
            <w:r w:rsidRPr="00A57ABC">
              <w:rPr>
                <w:rFonts w:eastAsiaTheme="minorHAnsi"/>
                <w:sz w:val="14"/>
                <w:szCs w:val="14"/>
                <w:lang w:val="es-GT" w:eastAsia="en-US"/>
              </w:rPr>
              <w:t>San Sebastián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Santa Cruz</w:t>
            </w:r>
            <w:r w:rsidRPr="00A57ABC">
              <w:rPr>
                <w:rFonts w:eastAsiaTheme="minorHAnsi"/>
                <w:spacing w:val="1"/>
                <w:sz w:val="14"/>
                <w:szCs w:val="14"/>
                <w:lang w:val="es-GT" w:eastAsia="en-US"/>
              </w:rPr>
              <w:t xml:space="preserve"> </w:t>
            </w:r>
            <w:proofErr w:type="spellStart"/>
            <w:r w:rsidRPr="00A57ABC">
              <w:rPr>
                <w:rFonts w:eastAsiaTheme="minorHAnsi"/>
                <w:sz w:val="14"/>
                <w:szCs w:val="14"/>
                <w:lang w:val="es-GT" w:eastAsia="en-US"/>
              </w:rPr>
              <w:t>Muluá</w:t>
            </w:r>
            <w:proofErr w:type="spellEnd"/>
          </w:p>
        </w:tc>
        <w:tc>
          <w:tcPr>
            <w:tcW w:w="716" w:type="pct"/>
            <w:vAlign w:val="center"/>
          </w:tcPr>
          <w:p w14:paraId="62654C49"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Retalhuleu</w:t>
            </w:r>
          </w:p>
        </w:tc>
      </w:tr>
      <w:tr w:rsidR="00C36261" w:rsidRPr="00A57ABC" w14:paraId="232726C0" w14:textId="77777777" w:rsidTr="005105AC">
        <w:trPr>
          <w:trHeight w:val="264"/>
          <w:jc w:val="center"/>
        </w:trPr>
        <w:tc>
          <w:tcPr>
            <w:tcW w:w="1367" w:type="pct"/>
            <w:vAlign w:val="center"/>
          </w:tcPr>
          <w:p w14:paraId="3AAFF9F7" w14:textId="77777777" w:rsidR="00C36261" w:rsidRPr="00A57ABC" w:rsidRDefault="00C36261" w:rsidP="00624091">
            <w:pPr>
              <w:widowControl w:val="0"/>
              <w:ind w:left="38" w:right="13"/>
              <w:jc w:val="center"/>
              <w:rPr>
                <w:rFonts w:eastAsiaTheme="minorHAnsi"/>
                <w:sz w:val="14"/>
                <w:szCs w:val="14"/>
                <w:lang w:eastAsia="en-US"/>
              </w:rPr>
            </w:pPr>
            <w:r w:rsidRPr="00A57ABC">
              <w:rPr>
                <w:rFonts w:eastAsiaTheme="minorHAnsi"/>
                <w:sz w:val="14"/>
                <w:szCs w:val="14"/>
                <w:lang w:eastAsia="en-US"/>
              </w:rPr>
              <w:t>AGREGADOS</w:t>
            </w:r>
            <w:r w:rsidRPr="00A57ABC">
              <w:rPr>
                <w:rFonts w:eastAsiaTheme="minorHAnsi"/>
                <w:spacing w:val="-34"/>
                <w:sz w:val="14"/>
                <w:szCs w:val="14"/>
                <w:lang w:eastAsia="en-US"/>
              </w:rPr>
              <w:t xml:space="preserve"> </w:t>
            </w:r>
            <w:r w:rsidRPr="00A57ABC">
              <w:rPr>
                <w:rFonts w:eastAsiaTheme="minorHAnsi"/>
                <w:sz w:val="14"/>
                <w:szCs w:val="14"/>
                <w:lang w:eastAsia="en-US"/>
              </w:rPr>
              <w:t>BARRANCA</w:t>
            </w:r>
            <w:r w:rsidRPr="00A57ABC">
              <w:rPr>
                <w:rFonts w:eastAsiaTheme="minorHAnsi"/>
                <w:spacing w:val="1"/>
                <w:sz w:val="14"/>
                <w:szCs w:val="14"/>
                <w:lang w:eastAsia="en-US"/>
              </w:rPr>
              <w:t xml:space="preserve"> </w:t>
            </w:r>
            <w:r w:rsidRPr="00A57ABC">
              <w:rPr>
                <w:rFonts w:eastAsiaTheme="minorHAnsi"/>
                <w:sz w:val="14"/>
                <w:szCs w:val="14"/>
                <w:lang w:eastAsia="en-US"/>
              </w:rPr>
              <w:t>HONDA</w:t>
            </w:r>
          </w:p>
        </w:tc>
        <w:tc>
          <w:tcPr>
            <w:tcW w:w="613" w:type="pct"/>
            <w:vAlign w:val="center"/>
          </w:tcPr>
          <w:p w14:paraId="25B7C31F"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3/03/2001</w:t>
            </w:r>
          </w:p>
        </w:tc>
        <w:tc>
          <w:tcPr>
            <w:tcW w:w="625" w:type="pct"/>
            <w:vAlign w:val="center"/>
          </w:tcPr>
          <w:p w14:paraId="4DE6DC3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2/03/2026</w:t>
            </w:r>
          </w:p>
        </w:tc>
        <w:tc>
          <w:tcPr>
            <w:tcW w:w="306" w:type="pct"/>
            <w:vAlign w:val="center"/>
          </w:tcPr>
          <w:p w14:paraId="6854FEF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FC5CAA2" w14:textId="77777777" w:rsidR="00C36261" w:rsidRPr="00A57ABC" w:rsidRDefault="00C36261" w:rsidP="00624091">
            <w:pPr>
              <w:widowControl w:val="0"/>
              <w:ind w:left="247" w:right="212" w:firstLine="2"/>
              <w:jc w:val="center"/>
              <w:rPr>
                <w:rFonts w:eastAsiaTheme="minorHAnsi"/>
                <w:sz w:val="14"/>
                <w:szCs w:val="14"/>
                <w:lang w:val="es-GT" w:eastAsia="en-US"/>
              </w:rPr>
            </w:pPr>
            <w:r w:rsidRPr="00A57ABC">
              <w:rPr>
                <w:rFonts w:eastAsiaTheme="minorHAnsi"/>
                <w:sz w:val="14"/>
                <w:szCs w:val="14"/>
                <w:lang w:val="es-GT" w:eastAsia="en-US"/>
              </w:rPr>
              <w:t>BASALTO,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ANDESITA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ARENA</w:t>
            </w:r>
          </w:p>
          <w:p w14:paraId="01FB633A" w14:textId="77777777" w:rsidR="00C36261" w:rsidRPr="00A57ABC" w:rsidRDefault="00C36261" w:rsidP="00624091">
            <w:pPr>
              <w:widowControl w:val="0"/>
              <w:ind w:left="33"/>
              <w:jc w:val="center"/>
              <w:rPr>
                <w:rFonts w:eastAsiaTheme="minorHAnsi"/>
                <w:sz w:val="14"/>
                <w:szCs w:val="14"/>
                <w:lang w:val="es-GT" w:eastAsia="en-US"/>
              </w:rPr>
            </w:pPr>
            <w:r w:rsidRPr="00A57ABC">
              <w:rPr>
                <w:rFonts w:eastAsiaTheme="minorHAnsi"/>
                <w:sz w:val="14"/>
                <w:szCs w:val="14"/>
                <w:lang w:val="es-GT" w:eastAsia="en-US"/>
              </w:rPr>
              <w:t>VOLCANICA</w:t>
            </w:r>
          </w:p>
        </w:tc>
        <w:tc>
          <w:tcPr>
            <w:tcW w:w="589" w:type="pct"/>
            <w:vAlign w:val="center"/>
          </w:tcPr>
          <w:p w14:paraId="1F541CC6" w14:textId="77777777" w:rsidR="00C36261" w:rsidRPr="00A57ABC" w:rsidRDefault="00C36261" w:rsidP="00624091">
            <w:pPr>
              <w:widowControl w:val="0"/>
              <w:ind w:left="38" w:right="2"/>
              <w:jc w:val="center"/>
              <w:rPr>
                <w:rFonts w:eastAsiaTheme="minorHAnsi"/>
                <w:sz w:val="14"/>
                <w:szCs w:val="14"/>
                <w:lang w:eastAsia="en-US"/>
              </w:rPr>
            </w:pPr>
            <w:proofErr w:type="spellStart"/>
            <w:r w:rsidRPr="00A57ABC">
              <w:rPr>
                <w:rFonts w:eastAsiaTheme="minorHAnsi"/>
                <w:sz w:val="14"/>
                <w:szCs w:val="14"/>
                <w:lang w:eastAsia="en-US"/>
              </w:rPr>
              <w:t>Alotenango</w:t>
            </w:r>
            <w:proofErr w:type="spellEnd"/>
          </w:p>
        </w:tc>
        <w:tc>
          <w:tcPr>
            <w:tcW w:w="716" w:type="pct"/>
            <w:vAlign w:val="center"/>
          </w:tcPr>
          <w:p w14:paraId="5A705985"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Sacatepéquez</w:t>
            </w:r>
          </w:p>
        </w:tc>
      </w:tr>
      <w:tr w:rsidR="00C36261" w:rsidRPr="00A57ABC" w14:paraId="13FEB19D" w14:textId="77777777" w:rsidTr="005105AC">
        <w:trPr>
          <w:trHeight w:val="174"/>
          <w:jc w:val="center"/>
        </w:trPr>
        <w:tc>
          <w:tcPr>
            <w:tcW w:w="1367" w:type="pct"/>
            <w:vAlign w:val="center"/>
          </w:tcPr>
          <w:p w14:paraId="22D82756"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NARANJO</w:t>
            </w:r>
            <w:r w:rsidRPr="00A57ABC">
              <w:rPr>
                <w:rFonts w:eastAsiaTheme="minorHAnsi"/>
                <w:spacing w:val="-2"/>
                <w:sz w:val="14"/>
                <w:szCs w:val="14"/>
                <w:lang w:eastAsia="en-US"/>
              </w:rPr>
              <w:t xml:space="preserve"> </w:t>
            </w:r>
            <w:r w:rsidRPr="00A57ABC">
              <w:rPr>
                <w:rFonts w:eastAsiaTheme="minorHAnsi"/>
                <w:sz w:val="14"/>
                <w:szCs w:val="14"/>
                <w:lang w:eastAsia="en-US"/>
              </w:rPr>
              <w:t>II</w:t>
            </w:r>
          </w:p>
        </w:tc>
        <w:tc>
          <w:tcPr>
            <w:tcW w:w="613" w:type="pct"/>
            <w:vAlign w:val="center"/>
          </w:tcPr>
          <w:p w14:paraId="727D74EB"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22/09/1999</w:t>
            </w:r>
          </w:p>
        </w:tc>
        <w:tc>
          <w:tcPr>
            <w:tcW w:w="625" w:type="pct"/>
            <w:vAlign w:val="center"/>
          </w:tcPr>
          <w:p w14:paraId="06258E1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21/09/2024</w:t>
            </w:r>
          </w:p>
        </w:tc>
        <w:tc>
          <w:tcPr>
            <w:tcW w:w="306" w:type="pct"/>
            <w:vAlign w:val="center"/>
          </w:tcPr>
          <w:p w14:paraId="09FE95C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FCE8E15" w14:textId="77777777" w:rsidR="00C36261" w:rsidRPr="00A57ABC" w:rsidRDefault="00C36261" w:rsidP="00624091">
            <w:pPr>
              <w:widowControl w:val="0"/>
              <w:ind w:left="403" w:right="61" w:hanging="296"/>
              <w:rPr>
                <w:rFonts w:eastAsiaTheme="minorHAnsi"/>
                <w:sz w:val="14"/>
                <w:szCs w:val="14"/>
                <w:lang w:val="es-GT" w:eastAsia="en-US"/>
              </w:rPr>
            </w:pPr>
            <w:r w:rsidRPr="00A57ABC">
              <w:rPr>
                <w:rFonts w:eastAsiaTheme="minorHAnsi"/>
                <w:sz w:val="14"/>
                <w:szCs w:val="14"/>
                <w:lang w:val="es-GT" w:eastAsia="en-US"/>
              </w:rPr>
              <w:t>ARENA DE RIO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GRAVA</w:t>
            </w:r>
          </w:p>
        </w:tc>
        <w:tc>
          <w:tcPr>
            <w:tcW w:w="589" w:type="pct"/>
            <w:vAlign w:val="center"/>
          </w:tcPr>
          <w:p w14:paraId="48BADA8D" w14:textId="77777777" w:rsidR="00C36261" w:rsidRPr="00A57ABC" w:rsidRDefault="00C36261" w:rsidP="00624091">
            <w:pPr>
              <w:widowControl w:val="0"/>
              <w:ind w:left="187" w:right="151" w:firstLine="4"/>
              <w:jc w:val="center"/>
              <w:rPr>
                <w:rFonts w:eastAsiaTheme="minorHAnsi"/>
                <w:sz w:val="14"/>
                <w:szCs w:val="14"/>
                <w:lang w:eastAsia="en-US"/>
              </w:rPr>
            </w:pPr>
            <w:r w:rsidRPr="00A57ABC">
              <w:rPr>
                <w:rFonts w:eastAsiaTheme="minorHAnsi"/>
                <w:sz w:val="14"/>
                <w:szCs w:val="14"/>
                <w:lang w:eastAsia="en-US"/>
              </w:rPr>
              <w:t>Nuevo</w:t>
            </w:r>
            <w:r w:rsidRPr="00A57ABC">
              <w:rPr>
                <w:rFonts w:eastAsiaTheme="minorHAnsi"/>
                <w:spacing w:val="1"/>
                <w:sz w:val="14"/>
                <w:szCs w:val="14"/>
                <w:lang w:eastAsia="en-US"/>
              </w:rPr>
              <w:t xml:space="preserve"> </w:t>
            </w:r>
            <w:r w:rsidRPr="00A57ABC">
              <w:rPr>
                <w:rFonts w:eastAsiaTheme="minorHAnsi"/>
                <w:sz w:val="14"/>
                <w:szCs w:val="14"/>
                <w:lang w:eastAsia="en-US"/>
              </w:rPr>
              <w:t>Progresso Y</w:t>
            </w:r>
            <w:r w:rsidRPr="00A57ABC">
              <w:rPr>
                <w:rFonts w:eastAsiaTheme="minorHAnsi"/>
                <w:spacing w:val="1"/>
                <w:sz w:val="14"/>
                <w:szCs w:val="14"/>
                <w:lang w:eastAsia="en-US"/>
              </w:rPr>
              <w:t xml:space="preserve"> </w:t>
            </w:r>
            <w:proofErr w:type="spellStart"/>
            <w:r w:rsidRPr="00A57ABC">
              <w:rPr>
                <w:rFonts w:eastAsiaTheme="minorHAnsi"/>
                <w:sz w:val="14"/>
                <w:szCs w:val="14"/>
                <w:lang w:eastAsia="en-US"/>
              </w:rPr>
              <w:t>Coatepeque</w:t>
            </w:r>
            <w:proofErr w:type="spellEnd"/>
          </w:p>
        </w:tc>
        <w:tc>
          <w:tcPr>
            <w:tcW w:w="716" w:type="pct"/>
            <w:vAlign w:val="center"/>
          </w:tcPr>
          <w:p w14:paraId="366D23AF" w14:textId="77777777" w:rsidR="00C36261" w:rsidRPr="00A57ABC" w:rsidRDefault="00C36261" w:rsidP="00624091">
            <w:pPr>
              <w:widowControl w:val="0"/>
              <w:ind w:left="48" w:right="1" w:firstLine="132"/>
              <w:jc w:val="center"/>
              <w:rPr>
                <w:rFonts w:eastAsiaTheme="minorHAnsi"/>
                <w:sz w:val="14"/>
                <w:szCs w:val="14"/>
                <w:lang w:eastAsia="en-US"/>
              </w:rPr>
            </w:pPr>
            <w:r w:rsidRPr="00A57ABC">
              <w:rPr>
                <w:rFonts w:eastAsiaTheme="minorHAnsi"/>
                <w:sz w:val="14"/>
                <w:szCs w:val="14"/>
                <w:lang w:eastAsia="en-US"/>
              </w:rPr>
              <w:t>San Marcos Y</w:t>
            </w:r>
            <w:r w:rsidRPr="00A57ABC">
              <w:rPr>
                <w:rFonts w:eastAsiaTheme="minorHAnsi"/>
                <w:spacing w:val="1"/>
                <w:sz w:val="14"/>
                <w:szCs w:val="14"/>
                <w:lang w:eastAsia="en-US"/>
              </w:rPr>
              <w:t xml:space="preserve"> </w:t>
            </w:r>
            <w:r w:rsidRPr="00A57ABC">
              <w:rPr>
                <w:rFonts w:eastAsiaTheme="minorHAnsi"/>
                <w:sz w:val="14"/>
                <w:szCs w:val="14"/>
                <w:lang w:eastAsia="en-US"/>
              </w:rPr>
              <w:t>Quetzaltenango</w:t>
            </w:r>
          </w:p>
        </w:tc>
      </w:tr>
      <w:tr w:rsidR="00C36261" w:rsidRPr="00A57ABC" w14:paraId="34D73501" w14:textId="77777777" w:rsidTr="005105AC">
        <w:trPr>
          <w:trHeight w:val="224"/>
          <w:jc w:val="center"/>
        </w:trPr>
        <w:tc>
          <w:tcPr>
            <w:tcW w:w="1367" w:type="pct"/>
            <w:vAlign w:val="center"/>
          </w:tcPr>
          <w:p w14:paraId="265CD24B"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ALTOS PINOS</w:t>
            </w:r>
          </w:p>
        </w:tc>
        <w:tc>
          <w:tcPr>
            <w:tcW w:w="613" w:type="pct"/>
            <w:vAlign w:val="center"/>
          </w:tcPr>
          <w:p w14:paraId="5711BE1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23/04/2002</w:t>
            </w:r>
          </w:p>
        </w:tc>
        <w:tc>
          <w:tcPr>
            <w:tcW w:w="625" w:type="pct"/>
            <w:vAlign w:val="center"/>
          </w:tcPr>
          <w:p w14:paraId="21687979"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22/04/2027</w:t>
            </w:r>
          </w:p>
        </w:tc>
        <w:tc>
          <w:tcPr>
            <w:tcW w:w="306" w:type="pct"/>
            <w:vAlign w:val="center"/>
          </w:tcPr>
          <w:p w14:paraId="30CE620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892B912" w14:textId="77777777" w:rsidR="00C36261" w:rsidRPr="00A57ABC" w:rsidRDefault="00C36261" w:rsidP="00624091">
            <w:pPr>
              <w:widowControl w:val="0"/>
              <w:ind w:left="276" w:right="240" w:firstLine="2"/>
              <w:jc w:val="center"/>
              <w:rPr>
                <w:rFonts w:eastAsiaTheme="minorHAnsi"/>
                <w:sz w:val="14"/>
                <w:szCs w:val="14"/>
                <w:lang w:val="es-GT" w:eastAsia="en-US"/>
              </w:rPr>
            </w:pPr>
            <w:r w:rsidRPr="00A57ABC">
              <w:rPr>
                <w:rFonts w:eastAsiaTheme="minorHAnsi"/>
                <w:sz w:val="14"/>
                <w:szCs w:val="14"/>
                <w:lang w:val="es-GT" w:eastAsia="en-US"/>
              </w:rPr>
              <w:t>ARENA DE</w:t>
            </w:r>
            <w:r w:rsidRPr="00A57ABC">
              <w:rPr>
                <w:rFonts w:eastAsiaTheme="minorHAnsi"/>
                <w:spacing w:val="1"/>
                <w:sz w:val="14"/>
                <w:szCs w:val="14"/>
                <w:lang w:val="es-GT" w:eastAsia="en-US"/>
              </w:rPr>
              <w:t xml:space="preserve"> </w:t>
            </w:r>
            <w:r w:rsidRPr="00A57ABC">
              <w:rPr>
                <w:rFonts w:eastAsiaTheme="minorHAnsi"/>
                <w:spacing w:val="-1"/>
                <w:sz w:val="14"/>
                <w:szCs w:val="14"/>
                <w:lang w:val="es-GT" w:eastAsia="en-US"/>
              </w:rPr>
              <w:t xml:space="preserve">ALUVION </w:t>
            </w:r>
            <w:r w:rsidRPr="00A57ABC">
              <w:rPr>
                <w:rFonts w:eastAsiaTheme="minorHAnsi"/>
                <w:sz w:val="14"/>
                <w:szCs w:val="14"/>
                <w:lang w:val="es-GT" w:eastAsia="en-US"/>
              </w:rPr>
              <w:t>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GRAVA</w:t>
            </w:r>
          </w:p>
        </w:tc>
        <w:tc>
          <w:tcPr>
            <w:tcW w:w="589" w:type="pct"/>
            <w:vAlign w:val="center"/>
          </w:tcPr>
          <w:p w14:paraId="2FD2D948" w14:textId="77777777" w:rsidR="00C36261" w:rsidRPr="00A57ABC" w:rsidRDefault="00C36261" w:rsidP="00624091">
            <w:pPr>
              <w:widowControl w:val="0"/>
              <w:ind w:left="36" w:right="2"/>
              <w:jc w:val="center"/>
              <w:rPr>
                <w:rFonts w:eastAsiaTheme="minorHAnsi"/>
                <w:sz w:val="14"/>
                <w:szCs w:val="14"/>
                <w:lang w:val="es-GT" w:eastAsia="en-US"/>
              </w:rPr>
            </w:pPr>
            <w:r w:rsidRPr="00A57ABC">
              <w:rPr>
                <w:rFonts w:eastAsiaTheme="minorHAnsi"/>
                <w:sz w:val="14"/>
                <w:szCs w:val="14"/>
                <w:lang w:val="es-GT" w:eastAsia="en-US"/>
              </w:rPr>
              <w:t>Santa Rosa De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Lima, Nueva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Santa Rosa Y</w:t>
            </w:r>
          </w:p>
          <w:p w14:paraId="46E66EC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Casillas</w:t>
            </w:r>
          </w:p>
        </w:tc>
        <w:tc>
          <w:tcPr>
            <w:tcW w:w="716" w:type="pct"/>
            <w:vAlign w:val="center"/>
          </w:tcPr>
          <w:p w14:paraId="53F68EF5"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Santa Rosa</w:t>
            </w:r>
          </w:p>
        </w:tc>
      </w:tr>
      <w:tr w:rsidR="00C36261" w:rsidRPr="00A57ABC" w14:paraId="2D94E884" w14:textId="77777777" w:rsidTr="005105AC">
        <w:trPr>
          <w:trHeight w:val="997"/>
          <w:jc w:val="center"/>
        </w:trPr>
        <w:tc>
          <w:tcPr>
            <w:tcW w:w="1367" w:type="pct"/>
            <w:vAlign w:val="center"/>
          </w:tcPr>
          <w:p w14:paraId="3F1945B3" w14:textId="77777777" w:rsidR="00C36261" w:rsidRPr="00A57ABC" w:rsidRDefault="00C36261" w:rsidP="00624091">
            <w:pPr>
              <w:widowControl w:val="0"/>
              <w:ind w:left="65" w:right="41" w:firstLine="2"/>
              <w:jc w:val="center"/>
              <w:rPr>
                <w:rFonts w:eastAsiaTheme="minorHAnsi"/>
                <w:sz w:val="14"/>
                <w:szCs w:val="14"/>
                <w:lang w:val="es-GT" w:eastAsia="en-US"/>
              </w:rPr>
            </w:pPr>
            <w:r w:rsidRPr="00A57ABC">
              <w:rPr>
                <w:rFonts w:eastAsiaTheme="minorHAnsi"/>
                <w:sz w:val="14"/>
                <w:szCs w:val="14"/>
                <w:lang w:val="es-GT" w:eastAsia="en-US"/>
              </w:rPr>
              <w:t>DRAGADO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EXTRACCION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MATERIAL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ASOLVAMIENTO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DEL EMBALSE DE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LA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HIDROELECTRICA</w:t>
            </w:r>
          </w:p>
          <w:p w14:paraId="4793B1CE"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POZA</w:t>
            </w:r>
            <w:r w:rsidRPr="00A57ABC">
              <w:rPr>
                <w:rFonts w:eastAsiaTheme="minorHAnsi"/>
                <w:spacing w:val="-1"/>
                <w:sz w:val="14"/>
                <w:szCs w:val="14"/>
                <w:lang w:eastAsia="en-US"/>
              </w:rPr>
              <w:t xml:space="preserve"> </w:t>
            </w:r>
            <w:r w:rsidRPr="00A57ABC">
              <w:rPr>
                <w:rFonts w:eastAsiaTheme="minorHAnsi"/>
                <w:sz w:val="14"/>
                <w:szCs w:val="14"/>
                <w:lang w:eastAsia="en-US"/>
              </w:rPr>
              <w:t>VERDE</w:t>
            </w:r>
          </w:p>
        </w:tc>
        <w:tc>
          <w:tcPr>
            <w:tcW w:w="613" w:type="pct"/>
            <w:vAlign w:val="center"/>
          </w:tcPr>
          <w:p w14:paraId="0325AFBF"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21/01/2009</w:t>
            </w:r>
          </w:p>
        </w:tc>
        <w:tc>
          <w:tcPr>
            <w:tcW w:w="625" w:type="pct"/>
            <w:vAlign w:val="center"/>
          </w:tcPr>
          <w:p w14:paraId="0B3B4D0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20/01/2034</w:t>
            </w:r>
          </w:p>
        </w:tc>
        <w:tc>
          <w:tcPr>
            <w:tcW w:w="306" w:type="pct"/>
            <w:vAlign w:val="center"/>
          </w:tcPr>
          <w:p w14:paraId="4DF55EF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8AE12AD" w14:textId="77777777" w:rsidR="00C36261" w:rsidRPr="00A57ABC" w:rsidRDefault="00C36261" w:rsidP="00624091">
            <w:pPr>
              <w:widowControl w:val="0"/>
              <w:ind w:left="256" w:hanging="212"/>
              <w:rPr>
                <w:rFonts w:eastAsiaTheme="minorHAnsi"/>
                <w:sz w:val="14"/>
                <w:szCs w:val="14"/>
                <w:lang w:eastAsia="en-US"/>
              </w:rPr>
            </w:pPr>
            <w:r w:rsidRPr="00A57ABC">
              <w:rPr>
                <w:rFonts w:eastAsiaTheme="minorHAnsi"/>
                <w:sz w:val="14"/>
                <w:szCs w:val="14"/>
                <w:lang w:eastAsia="en-US"/>
              </w:rPr>
              <w:t>ARENA, PIEDRIN Y</w:t>
            </w:r>
            <w:r w:rsidRPr="00A57ABC">
              <w:rPr>
                <w:rFonts w:eastAsiaTheme="minorHAnsi"/>
                <w:spacing w:val="-34"/>
                <w:sz w:val="14"/>
                <w:szCs w:val="14"/>
                <w:lang w:eastAsia="en-US"/>
              </w:rPr>
              <w:t xml:space="preserve"> </w:t>
            </w:r>
            <w:r w:rsidRPr="00A57ABC">
              <w:rPr>
                <w:rFonts w:eastAsiaTheme="minorHAnsi"/>
                <w:sz w:val="14"/>
                <w:szCs w:val="14"/>
                <w:lang w:eastAsia="en-US"/>
              </w:rPr>
              <w:t>AGREGADO</w:t>
            </w:r>
          </w:p>
        </w:tc>
        <w:tc>
          <w:tcPr>
            <w:tcW w:w="589" w:type="pct"/>
            <w:vAlign w:val="center"/>
          </w:tcPr>
          <w:p w14:paraId="476A0AE8" w14:textId="77777777" w:rsidR="00C36261" w:rsidRPr="00A57ABC" w:rsidRDefault="00C36261" w:rsidP="00624091">
            <w:pPr>
              <w:widowControl w:val="0"/>
              <w:ind w:left="113" w:right="77" w:hanging="2"/>
              <w:jc w:val="center"/>
              <w:rPr>
                <w:rFonts w:eastAsiaTheme="minorHAnsi"/>
                <w:sz w:val="14"/>
                <w:szCs w:val="14"/>
                <w:lang w:val="es-GT" w:eastAsia="en-US"/>
              </w:rPr>
            </w:pPr>
            <w:r w:rsidRPr="00A57ABC">
              <w:rPr>
                <w:rFonts w:eastAsiaTheme="minorHAnsi"/>
                <w:sz w:val="14"/>
                <w:szCs w:val="14"/>
                <w:lang w:val="es-GT" w:eastAsia="en-US"/>
              </w:rPr>
              <w:t>Barberena Y</w:t>
            </w:r>
            <w:r w:rsidRPr="00A57ABC">
              <w:rPr>
                <w:rFonts w:eastAsiaTheme="minorHAnsi"/>
                <w:spacing w:val="1"/>
                <w:sz w:val="14"/>
                <w:szCs w:val="14"/>
                <w:lang w:val="es-GT" w:eastAsia="en-US"/>
              </w:rPr>
              <w:t xml:space="preserve"> </w:t>
            </w:r>
            <w:r w:rsidRPr="00A57ABC">
              <w:rPr>
                <w:rFonts w:eastAsiaTheme="minorHAnsi"/>
                <w:spacing w:val="-1"/>
                <w:sz w:val="14"/>
                <w:szCs w:val="14"/>
                <w:lang w:val="es-GT" w:eastAsia="en-US"/>
              </w:rPr>
              <w:t xml:space="preserve">Pueblo </w:t>
            </w:r>
            <w:r w:rsidRPr="00A57ABC">
              <w:rPr>
                <w:rFonts w:eastAsiaTheme="minorHAnsi"/>
                <w:sz w:val="14"/>
                <w:szCs w:val="14"/>
                <w:lang w:val="es-GT" w:eastAsia="en-US"/>
              </w:rPr>
              <w:t>Nuevo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Viñas</w:t>
            </w:r>
          </w:p>
        </w:tc>
        <w:tc>
          <w:tcPr>
            <w:tcW w:w="716" w:type="pct"/>
            <w:vAlign w:val="center"/>
          </w:tcPr>
          <w:p w14:paraId="5003670B"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Santa Rosa</w:t>
            </w:r>
          </w:p>
        </w:tc>
      </w:tr>
      <w:tr w:rsidR="00C36261" w:rsidRPr="00A57ABC" w14:paraId="5231F5C6" w14:textId="77777777" w:rsidTr="005105AC">
        <w:trPr>
          <w:trHeight w:val="134"/>
          <w:jc w:val="center"/>
        </w:trPr>
        <w:tc>
          <w:tcPr>
            <w:tcW w:w="1367" w:type="pct"/>
            <w:vAlign w:val="center"/>
          </w:tcPr>
          <w:p w14:paraId="1A441A4A"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EFRAIN</w:t>
            </w:r>
            <w:r w:rsidRPr="00A57ABC">
              <w:rPr>
                <w:rFonts w:eastAsiaTheme="minorHAnsi"/>
                <w:spacing w:val="-2"/>
                <w:sz w:val="14"/>
                <w:szCs w:val="14"/>
                <w:lang w:eastAsia="en-US"/>
              </w:rPr>
              <w:t xml:space="preserve"> </w:t>
            </w:r>
            <w:r w:rsidRPr="00A57ABC">
              <w:rPr>
                <w:rFonts w:eastAsiaTheme="minorHAnsi"/>
                <w:sz w:val="14"/>
                <w:szCs w:val="14"/>
                <w:lang w:eastAsia="en-US"/>
              </w:rPr>
              <w:t>MORALES</w:t>
            </w:r>
          </w:p>
        </w:tc>
        <w:tc>
          <w:tcPr>
            <w:tcW w:w="613" w:type="pct"/>
            <w:vAlign w:val="center"/>
          </w:tcPr>
          <w:p w14:paraId="49AA0CF8"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22/07/2005</w:t>
            </w:r>
          </w:p>
        </w:tc>
        <w:tc>
          <w:tcPr>
            <w:tcW w:w="625" w:type="pct"/>
            <w:vAlign w:val="center"/>
          </w:tcPr>
          <w:p w14:paraId="3FD6925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21/07/2030</w:t>
            </w:r>
          </w:p>
        </w:tc>
        <w:tc>
          <w:tcPr>
            <w:tcW w:w="306" w:type="pct"/>
            <w:vAlign w:val="center"/>
          </w:tcPr>
          <w:p w14:paraId="59FD314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378F76C" w14:textId="77777777" w:rsidR="00C36261" w:rsidRPr="00A57ABC" w:rsidRDefault="00C36261" w:rsidP="00624091">
            <w:pPr>
              <w:widowControl w:val="0"/>
              <w:ind w:left="350" w:right="62" w:hanging="243"/>
              <w:rPr>
                <w:rFonts w:eastAsiaTheme="minorHAnsi"/>
                <w:sz w:val="14"/>
                <w:szCs w:val="14"/>
                <w:lang w:eastAsia="en-US"/>
              </w:rPr>
            </w:pPr>
            <w:r w:rsidRPr="00A57ABC">
              <w:rPr>
                <w:rFonts w:eastAsiaTheme="minorHAnsi"/>
                <w:sz w:val="14"/>
                <w:szCs w:val="14"/>
                <w:lang w:eastAsia="en-US"/>
              </w:rPr>
              <w:t>ARENA, PIEDRA,</w:t>
            </w:r>
            <w:r w:rsidRPr="00A57ABC">
              <w:rPr>
                <w:rFonts w:eastAsiaTheme="minorHAnsi"/>
                <w:spacing w:val="-34"/>
                <w:sz w:val="14"/>
                <w:szCs w:val="14"/>
                <w:lang w:eastAsia="en-US"/>
              </w:rPr>
              <w:t xml:space="preserve"> </w:t>
            </w:r>
            <w:r w:rsidRPr="00A57ABC">
              <w:rPr>
                <w:rFonts w:eastAsiaTheme="minorHAnsi"/>
                <w:sz w:val="14"/>
                <w:szCs w:val="14"/>
                <w:lang w:eastAsia="en-US"/>
              </w:rPr>
              <w:t>SELECTO</w:t>
            </w:r>
          </w:p>
        </w:tc>
        <w:tc>
          <w:tcPr>
            <w:tcW w:w="589" w:type="pct"/>
            <w:vAlign w:val="center"/>
          </w:tcPr>
          <w:p w14:paraId="21E2C5A2" w14:textId="77777777" w:rsidR="00C36261" w:rsidRPr="00A57ABC" w:rsidRDefault="00C36261" w:rsidP="00624091">
            <w:pPr>
              <w:widowControl w:val="0"/>
              <w:ind w:left="34" w:right="2"/>
              <w:jc w:val="center"/>
              <w:rPr>
                <w:rFonts w:eastAsiaTheme="minorHAnsi"/>
                <w:sz w:val="14"/>
                <w:szCs w:val="14"/>
                <w:lang w:eastAsia="en-US"/>
              </w:rPr>
            </w:pPr>
            <w:proofErr w:type="spellStart"/>
            <w:r w:rsidRPr="00A57ABC">
              <w:rPr>
                <w:rFonts w:eastAsiaTheme="minorHAnsi"/>
                <w:sz w:val="14"/>
                <w:szCs w:val="14"/>
                <w:lang w:eastAsia="en-US"/>
              </w:rPr>
              <w:t>Cuilapa</w:t>
            </w:r>
            <w:proofErr w:type="spellEnd"/>
          </w:p>
        </w:tc>
        <w:tc>
          <w:tcPr>
            <w:tcW w:w="716" w:type="pct"/>
            <w:vAlign w:val="center"/>
          </w:tcPr>
          <w:p w14:paraId="789A4ABC"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Santa Rosa</w:t>
            </w:r>
          </w:p>
        </w:tc>
      </w:tr>
      <w:tr w:rsidR="00C36261" w:rsidRPr="00A57ABC" w14:paraId="2376D7D9" w14:textId="77777777" w:rsidTr="005105AC">
        <w:trPr>
          <w:trHeight w:val="650"/>
          <w:jc w:val="center"/>
        </w:trPr>
        <w:tc>
          <w:tcPr>
            <w:tcW w:w="1367" w:type="pct"/>
            <w:vAlign w:val="center"/>
          </w:tcPr>
          <w:p w14:paraId="462AD99E" w14:textId="77777777" w:rsidR="00C36261" w:rsidRPr="00A57ABC" w:rsidRDefault="00C36261" w:rsidP="00624091">
            <w:pPr>
              <w:widowControl w:val="0"/>
              <w:ind w:left="23"/>
              <w:jc w:val="center"/>
              <w:rPr>
                <w:rFonts w:eastAsiaTheme="minorHAnsi"/>
                <w:sz w:val="14"/>
                <w:szCs w:val="14"/>
                <w:lang w:eastAsia="en-US"/>
              </w:rPr>
            </w:pPr>
            <w:r w:rsidRPr="00A57ABC">
              <w:rPr>
                <w:rFonts w:eastAsiaTheme="minorHAnsi"/>
                <w:sz w:val="14"/>
                <w:szCs w:val="14"/>
                <w:lang w:eastAsia="en-US"/>
              </w:rPr>
              <w:t>ESCOBAL</w:t>
            </w:r>
          </w:p>
        </w:tc>
        <w:tc>
          <w:tcPr>
            <w:tcW w:w="613" w:type="pct"/>
            <w:vAlign w:val="center"/>
          </w:tcPr>
          <w:p w14:paraId="49AE8DF0"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4/04/2013</w:t>
            </w:r>
          </w:p>
        </w:tc>
        <w:tc>
          <w:tcPr>
            <w:tcW w:w="625" w:type="pct"/>
            <w:vAlign w:val="center"/>
          </w:tcPr>
          <w:p w14:paraId="4659B61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3/04/2038</w:t>
            </w:r>
          </w:p>
        </w:tc>
        <w:tc>
          <w:tcPr>
            <w:tcW w:w="306" w:type="pct"/>
            <w:vAlign w:val="center"/>
          </w:tcPr>
          <w:p w14:paraId="19DCA778"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1115FD7" w14:textId="77777777" w:rsidR="00C36261" w:rsidRPr="00A57ABC" w:rsidRDefault="00C36261" w:rsidP="00624091">
            <w:pPr>
              <w:widowControl w:val="0"/>
              <w:ind w:left="93" w:right="60" w:hanging="1"/>
              <w:jc w:val="center"/>
              <w:rPr>
                <w:rFonts w:eastAsiaTheme="minorHAnsi"/>
                <w:sz w:val="14"/>
                <w:szCs w:val="14"/>
                <w:lang w:val="es-GT" w:eastAsia="en-US"/>
              </w:rPr>
            </w:pPr>
            <w:r w:rsidRPr="00A57ABC">
              <w:rPr>
                <w:rFonts w:eastAsiaTheme="minorHAnsi"/>
                <w:sz w:val="14"/>
                <w:szCs w:val="14"/>
                <w:lang w:val="es-GT" w:eastAsia="en-US"/>
              </w:rPr>
              <w:t>ORO, PLATA,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NIQUEL,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COBALTO,</w:t>
            </w:r>
            <w:r w:rsidRPr="00A57ABC">
              <w:rPr>
                <w:rFonts w:eastAsiaTheme="minorHAnsi"/>
                <w:spacing w:val="1"/>
                <w:sz w:val="14"/>
                <w:szCs w:val="14"/>
                <w:lang w:val="es-GT" w:eastAsia="en-US"/>
              </w:rPr>
              <w:t xml:space="preserve"> </w:t>
            </w:r>
            <w:r w:rsidRPr="00A57ABC">
              <w:rPr>
                <w:rFonts w:eastAsiaTheme="minorHAnsi"/>
                <w:spacing w:val="-1"/>
                <w:sz w:val="14"/>
                <w:szCs w:val="14"/>
                <w:lang w:val="es-GT" w:eastAsia="en-US"/>
              </w:rPr>
              <w:t xml:space="preserve">CROMO, </w:t>
            </w:r>
            <w:r w:rsidRPr="00A57ABC">
              <w:rPr>
                <w:rFonts w:eastAsiaTheme="minorHAnsi"/>
                <w:sz w:val="14"/>
                <w:szCs w:val="14"/>
                <w:lang w:val="es-GT" w:eastAsia="en-US"/>
              </w:rPr>
              <w:t>COBRE,</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PLOMO, ZINC,</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ANTIMONIO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TIERRAS RARAS.</w:t>
            </w:r>
          </w:p>
        </w:tc>
        <w:tc>
          <w:tcPr>
            <w:tcW w:w="589" w:type="pct"/>
            <w:vAlign w:val="center"/>
          </w:tcPr>
          <w:p w14:paraId="345CDCE2" w14:textId="77777777" w:rsidR="00C36261" w:rsidRPr="00A57ABC" w:rsidRDefault="00C36261" w:rsidP="00624091">
            <w:pPr>
              <w:widowControl w:val="0"/>
              <w:ind w:left="391" w:right="52" w:hanging="293"/>
              <w:jc w:val="center"/>
              <w:rPr>
                <w:rFonts w:eastAsiaTheme="minorHAnsi"/>
                <w:sz w:val="14"/>
                <w:szCs w:val="14"/>
                <w:lang w:eastAsia="en-US"/>
              </w:rPr>
            </w:pPr>
            <w:r w:rsidRPr="00A57ABC">
              <w:rPr>
                <w:rFonts w:eastAsiaTheme="minorHAnsi"/>
                <w:sz w:val="14"/>
                <w:szCs w:val="14"/>
                <w:lang w:eastAsia="en-US"/>
              </w:rPr>
              <w:t>San Rafael Las</w:t>
            </w:r>
            <w:r w:rsidRPr="00A57ABC">
              <w:rPr>
                <w:rFonts w:eastAsiaTheme="minorHAnsi"/>
                <w:spacing w:val="-34"/>
                <w:sz w:val="14"/>
                <w:szCs w:val="14"/>
                <w:lang w:eastAsia="en-US"/>
              </w:rPr>
              <w:t xml:space="preserve"> </w:t>
            </w:r>
            <w:r w:rsidRPr="00A57ABC">
              <w:rPr>
                <w:rFonts w:eastAsiaTheme="minorHAnsi"/>
                <w:sz w:val="14"/>
                <w:szCs w:val="14"/>
                <w:lang w:eastAsia="en-US"/>
              </w:rPr>
              <w:t>Flores</w:t>
            </w:r>
          </w:p>
        </w:tc>
        <w:tc>
          <w:tcPr>
            <w:tcW w:w="716" w:type="pct"/>
            <w:vAlign w:val="center"/>
          </w:tcPr>
          <w:p w14:paraId="40DAC2FA"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Santa Rosa</w:t>
            </w:r>
          </w:p>
        </w:tc>
      </w:tr>
      <w:tr w:rsidR="00C36261" w:rsidRPr="00A57ABC" w14:paraId="5D7E96AF" w14:textId="77777777" w:rsidTr="005105AC">
        <w:trPr>
          <w:trHeight w:val="534"/>
          <w:jc w:val="center"/>
        </w:trPr>
        <w:tc>
          <w:tcPr>
            <w:tcW w:w="1367" w:type="pct"/>
            <w:vAlign w:val="center"/>
          </w:tcPr>
          <w:p w14:paraId="33383D53" w14:textId="77777777" w:rsidR="00C36261" w:rsidRPr="00A57ABC" w:rsidRDefault="00C36261" w:rsidP="00624091">
            <w:pPr>
              <w:widowControl w:val="0"/>
              <w:ind w:left="24"/>
              <w:jc w:val="center"/>
              <w:rPr>
                <w:rFonts w:eastAsiaTheme="minorHAnsi"/>
                <w:sz w:val="14"/>
                <w:szCs w:val="14"/>
                <w:lang w:val="es-GT" w:eastAsia="en-US"/>
              </w:rPr>
            </w:pPr>
            <w:r w:rsidRPr="00A57ABC">
              <w:rPr>
                <w:rFonts w:eastAsiaTheme="minorHAnsi"/>
                <w:sz w:val="14"/>
                <w:szCs w:val="14"/>
                <w:lang w:val="es-GT" w:eastAsia="en-US"/>
              </w:rPr>
              <w:t>EXPLOTACION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MINERA ARENERA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EL</w:t>
            </w:r>
            <w:r w:rsidRPr="00A57ABC">
              <w:rPr>
                <w:rFonts w:eastAsiaTheme="minorHAnsi"/>
                <w:spacing w:val="-2"/>
                <w:sz w:val="14"/>
                <w:szCs w:val="14"/>
                <w:lang w:val="es-GT" w:eastAsia="en-US"/>
              </w:rPr>
              <w:t xml:space="preserve"> </w:t>
            </w:r>
            <w:r w:rsidRPr="00A57ABC">
              <w:rPr>
                <w:rFonts w:eastAsiaTheme="minorHAnsi"/>
                <w:sz w:val="14"/>
                <w:szCs w:val="14"/>
                <w:lang w:val="es-GT" w:eastAsia="en-US"/>
              </w:rPr>
              <w:t>TABLON</w:t>
            </w:r>
          </w:p>
        </w:tc>
        <w:tc>
          <w:tcPr>
            <w:tcW w:w="613" w:type="pct"/>
            <w:vAlign w:val="center"/>
          </w:tcPr>
          <w:p w14:paraId="3B273E1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31/08/2012</w:t>
            </w:r>
          </w:p>
        </w:tc>
        <w:tc>
          <w:tcPr>
            <w:tcW w:w="625" w:type="pct"/>
            <w:vAlign w:val="center"/>
          </w:tcPr>
          <w:p w14:paraId="4EA494EB"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30/08/2037</w:t>
            </w:r>
          </w:p>
        </w:tc>
        <w:tc>
          <w:tcPr>
            <w:tcW w:w="306" w:type="pct"/>
            <w:vAlign w:val="center"/>
          </w:tcPr>
          <w:p w14:paraId="32019812"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233BC11" w14:textId="77777777" w:rsidR="00C36261" w:rsidRPr="00A57ABC" w:rsidRDefault="00C36261" w:rsidP="00624091">
            <w:pPr>
              <w:widowControl w:val="0"/>
              <w:ind w:left="38" w:right="2"/>
              <w:jc w:val="center"/>
              <w:rPr>
                <w:rFonts w:eastAsiaTheme="minorHAnsi"/>
                <w:sz w:val="14"/>
                <w:szCs w:val="14"/>
                <w:lang w:val="es-GT" w:eastAsia="en-US"/>
              </w:rPr>
            </w:pPr>
            <w:r w:rsidRPr="00A57ABC">
              <w:rPr>
                <w:rFonts w:eastAsiaTheme="minorHAnsi"/>
                <w:sz w:val="14"/>
                <w:szCs w:val="14"/>
                <w:lang w:val="es-GT" w:eastAsia="en-US"/>
              </w:rPr>
              <w:t>ARENA, PIEDRIN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TRITURADO,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 POMA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MATERIAL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SELECTO</w:t>
            </w:r>
          </w:p>
        </w:tc>
        <w:tc>
          <w:tcPr>
            <w:tcW w:w="589" w:type="pct"/>
            <w:vAlign w:val="center"/>
          </w:tcPr>
          <w:p w14:paraId="38EFBF3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Casillas</w:t>
            </w:r>
          </w:p>
        </w:tc>
        <w:tc>
          <w:tcPr>
            <w:tcW w:w="716" w:type="pct"/>
            <w:vAlign w:val="center"/>
          </w:tcPr>
          <w:p w14:paraId="455EB626"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Santa Rosa</w:t>
            </w:r>
          </w:p>
        </w:tc>
      </w:tr>
      <w:tr w:rsidR="00C36261" w:rsidRPr="00A57ABC" w14:paraId="1586751E" w14:textId="77777777" w:rsidTr="005105AC">
        <w:trPr>
          <w:trHeight w:val="288"/>
          <w:jc w:val="center"/>
        </w:trPr>
        <w:tc>
          <w:tcPr>
            <w:tcW w:w="1367" w:type="pct"/>
            <w:vAlign w:val="center"/>
          </w:tcPr>
          <w:p w14:paraId="5C67B155" w14:textId="77777777" w:rsidR="00C36261" w:rsidRPr="00A57ABC" w:rsidRDefault="00C36261" w:rsidP="00624091">
            <w:pPr>
              <w:widowControl w:val="0"/>
              <w:ind w:left="36" w:right="10" w:firstLine="129"/>
              <w:rPr>
                <w:rFonts w:eastAsiaTheme="minorHAnsi"/>
                <w:sz w:val="14"/>
                <w:szCs w:val="14"/>
                <w:lang w:eastAsia="en-US"/>
              </w:rPr>
            </w:pPr>
            <w:r w:rsidRPr="00A57ABC">
              <w:rPr>
                <w:rFonts w:eastAsiaTheme="minorHAnsi"/>
                <w:sz w:val="14"/>
                <w:szCs w:val="14"/>
                <w:lang w:eastAsia="en-US"/>
              </w:rPr>
              <w:t>EXPLOTACION</w:t>
            </w:r>
            <w:r w:rsidRPr="00A57ABC">
              <w:rPr>
                <w:rFonts w:eastAsiaTheme="minorHAnsi"/>
                <w:spacing w:val="1"/>
                <w:sz w:val="14"/>
                <w:szCs w:val="14"/>
                <w:lang w:eastAsia="en-US"/>
              </w:rPr>
              <w:t xml:space="preserve"> </w:t>
            </w:r>
            <w:r w:rsidRPr="00A57ABC">
              <w:rPr>
                <w:rFonts w:eastAsiaTheme="minorHAnsi"/>
                <w:sz w:val="14"/>
                <w:szCs w:val="14"/>
                <w:lang w:eastAsia="en-US"/>
              </w:rPr>
              <w:t>MINERA</w:t>
            </w:r>
            <w:r w:rsidRPr="00A57ABC">
              <w:rPr>
                <w:rFonts w:eastAsiaTheme="minorHAnsi"/>
                <w:spacing w:val="-6"/>
                <w:sz w:val="14"/>
                <w:szCs w:val="14"/>
                <w:lang w:eastAsia="en-US"/>
              </w:rPr>
              <w:t xml:space="preserve"> </w:t>
            </w:r>
            <w:r w:rsidRPr="00A57ABC">
              <w:rPr>
                <w:rFonts w:eastAsiaTheme="minorHAnsi"/>
                <w:sz w:val="14"/>
                <w:szCs w:val="14"/>
                <w:lang w:eastAsia="en-US"/>
              </w:rPr>
              <w:t>EL</w:t>
            </w:r>
            <w:r w:rsidRPr="00A57ABC">
              <w:rPr>
                <w:rFonts w:eastAsiaTheme="minorHAnsi"/>
                <w:spacing w:val="-5"/>
                <w:sz w:val="14"/>
                <w:szCs w:val="14"/>
                <w:lang w:eastAsia="en-US"/>
              </w:rPr>
              <w:t xml:space="preserve"> </w:t>
            </w:r>
            <w:r w:rsidRPr="00A57ABC">
              <w:rPr>
                <w:rFonts w:eastAsiaTheme="minorHAnsi"/>
                <w:sz w:val="14"/>
                <w:szCs w:val="14"/>
                <w:lang w:eastAsia="en-US"/>
              </w:rPr>
              <w:t>PROFE</w:t>
            </w:r>
          </w:p>
        </w:tc>
        <w:tc>
          <w:tcPr>
            <w:tcW w:w="613" w:type="pct"/>
            <w:vAlign w:val="center"/>
          </w:tcPr>
          <w:p w14:paraId="6AC3308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11/01/2008</w:t>
            </w:r>
          </w:p>
        </w:tc>
        <w:tc>
          <w:tcPr>
            <w:tcW w:w="625" w:type="pct"/>
            <w:vAlign w:val="center"/>
          </w:tcPr>
          <w:p w14:paraId="164A0F6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10/01/2033</w:t>
            </w:r>
          </w:p>
        </w:tc>
        <w:tc>
          <w:tcPr>
            <w:tcW w:w="306" w:type="pct"/>
            <w:vAlign w:val="center"/>
          </w:tcPr>
          <w:p w14:paraId="2CB01D6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B649257" w14:textId="77777777" w:rsidR="00C36261" w:rsidRPr="00A57ABC" w:rsidRDefault="00C36261" w:rsidP="00624091">
            <w:pPr>
              <w:widowControl w:val="0"/>
              <w:ind w:left="33"/>
              <w:jc w:val="center"/>
              <w:rPr>
                <w:rFonts w:eastAsiaTheme="minorHAnsi"/>
                <w:sz w:val="14"/>
                <w:szCs w:val="14"/>
                <w:lang w:val="es-GT" w:eastAsia="en-US"/>
              </w:rPr>
            </w:pPr>
            <w:r w:rsidRPr="00A57ABC">
              <w:rPr>
                <w:rFonts w:eastAsiaTheme="minorHAnsi"/>
                <w:sz w:val="14"/>
                <w:szCs w:val="14"/>
                <w:lang w:val="es-GT" w:eastAsia="en-US"/>
              </w:rPr>
              <w:t>ARENA POMEZ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CENIZA</w:t>
            </w:r>
          </w:p>
          <w:p w14:paraId="5C4F0DF6" w14:textId="77777777" w:rsidR="00C36261" w:rsidRPr="00A57ABC" w:rsidRDefault="00C36261" w:rsidP="00624091">
            <w:pPr>
              <w:widowControl w:val="0"/>
              <w:ind w:left="33"/>
              <w:jc w:val="center"/>
              <w:rPr>
                <w:rFonts w:eastAsiaTheme="minorHAnsi"/>
                <w:sz w:val="14"/>
                <w:szCs w:val="14"/>
                <w:lang w:val="es-GT" w:eastAsia="en-US"/>
              </w:rPr>
            </w:pPr>
            <w:r w:rsidRPr="00A57ABC">
              <w:rPr>
                <w:rFonts w:eastAsiaTheme="minorHAnsi"/>
                <w:sz w:val="14"/>
                <w:szCs w:val="14"/>
                <w:lang w:val="es-GT" w:eastAsia="en-US"/>
              </w:rPr>
              <w:t>VOLCANICA</w:t>
            </w:r>
          </w:p>
        </w:tc>
        <w:tc>
          <w:tcPr>
            <w:tcW w:w="589" w:type="pct"/>
            <w:vAlign w:val="center"/>
          </w:tcPr>
          <w:p w14:paraId="5FD78808" w14:textId="77777777" w:rsidR="00C36261" w:rsidRPr="00A57ABC" w:rsidRDefault="00C36261" w:rsidP="00624091">
            <w:pPr>
              <w:widowControl w:val="0"/>
              <w:ind w:left="456" w:right="113" w:hanging="296"/>
              <w:jc w:val="center"/>
              <w:rPr>
                <w:rFonts w:eastAsiaTheme="minorHAnsi"/>
                <w:sz w:val="14"/>
                <w:szCs w:val="14"/>
                <w:lang w:eastAsia="en-US"/>
              </w:rPr>
            </w:pPr>
            <w:r w:rsidRPr="00A57ABC">
              <w:rPr>
                <w:rFonts w:eastAsiaTheme="minorHAnsi"/>
                <w:sz w:val="14"/>
                <w:szCs w:val="14"/>
                <w:lang w:eastAsia="en-US"/>
              </w:rPr>
              <w:t>Nueva Santa</w:t>
            </w:r>
            <w:r w:rsidRPr="00A57ABC">
              <w:rPr>
                <w:rFonts w:eastAsiaTheme="minorHAnsi"/>
                <w:spacing w:val="-34"/>
                <w:sz w:val="14"/>
                <w:szCs w:val="14"/>
                <w:lang w:eastAsia="en-US"/>
              </w:rPr>
              <w:t xml:space="preserve"> </w:t>
            </w:r>
            <w:r w:rsidRPr="00A57ABC">
              <w:rPr>
                <w:rFonts w:eastAsiaTheme="minorHAnsi"/>
                <w:sz w:val="14"/>
                <w:szCs w:val="14"/>
                <w:lang w:eastAsia="en-US"/>
              </w:rPr>
              <w:t>Rosa</w:t>
            </w:r>
          </w:p>
        </w:tc>
        <w:tc>
          <w:tcPr>
            <w:tcW w:w="716" w:type="pct"/>
            <w:vAlign w:val="center"/>
          </w:tcPr>
          <w:p w14:paraId="5FD550B7"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Santa Rosa</w:t>
            </w:r>
          </w:p>
        </w:tc>
      </w:tr>
      <w:tr w:rsidR="00C36261" w:rsidRPr="00A57ABC" w14:paraId="3C70FD26" w14:textId="77777777" w:rsidTr="005105AC">
        <w:trPr>
          <w:trHeight w:val="378"/>
          <w:jc w:val="center"/>
        </w:trPr>
        <w:tc>
          <w:tcPr>
            <w:tcW w:w="1367" w:type="pct"/>
            <w:vAlign w:val="center"/>
          </w:tcPr>
          <w:p w14:paraId="7642DE51"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PASO ANCHO</w:t>
            </w:r>
          </w:p>
        </w:tc>
        <w:tc>
          <w:tcPr>
            <w:tcW w:w="613" w:type="pct"/>
            <w:vAlign w:val="center"/>
          </w:tcPr>
          <w:p w14:paraId="07358A61"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2/03/2006</w:t>
            </w:r>
          </w:p>
        </w:tc>
        <w:tc>
          <w:tcPr>
            <w:tcW w:w="625" w:type="pct"/>
            <w:vAlign w:val="center"/>
          </w:tcPr>
          <w:p w14:paraId="2547DF80"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1/03/2031</w:t>
            </w:r>
          </w:p>
        </w:tc>
        <w:tc>
          <w:tcPr>
            <w:tcW w:w="306" w:type="pct"/>
            <w:vAlign w:val="center"/>
          </w:tcPr>
          <w:p w14:paraId="67F05479"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647710E"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Y GRAVA</w:t>
            </w:r>
          </w:p>
        </w:tc>
        <w:tc>
          <w:tcPr>
            <w:tcW w:w="589" w:type="pct"/>
            <w:vAlign w:val="center"/>
          </w:tcPr>
          <w:p w14:paraId="3DC8FDAD" w14:textId="77777777" w:rsidR="00C36261" w:rsidRPr="00A57ABC" w:rsidRDefault="00C36261" w:rsidP="00624091">
            <w:pPr>
              <w:widowControl w:val="0"/>
              <w:ind w:left="163" w:right="123" w:hanging="3"/>
              <w:jc w:val="center"/>
              <w:rPr>
                <w:rFonts w:eastAsiaTheme="minorHAnsi"/>
                <w:sz w:val="14"/>
                <w:szCs w:val="14"/>
                <w:lang w:val="es-GT" w:eastAsia="en-US"/>
              </w:rPr>
            </w:pPr>
            <w:r w:rsidRPr="00A57ABC">
              <w:rPr>
                <w:rFonts w:eastAsiaTheme="minorHAnsi"/>
                <w:sz w:val="14"/>
                <w:szCs w:val="14"/>
                <w:lang w:val="es-GT" w:eastAsia="en-US"/>
              </w:rPr>
              <w:t>Nueva Santa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Rosa, Santa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Rosa</w:t>
            </w:r>
            <w:r w:rsidRPr="00A57ABC">
              <w:rPr>
                <w:rFonts w:eastAsiaTheme="minorHAnsi"/>
                <w:spacing w:val="-6"/>
                <w:sz w:val="14"/>
                <w:szCs w:val="14"/>
                <w:lang w:val="es-GT" w:eastAsia="en-US"/>
              </w:rPr>
              <w:t xml:space="preserve"> </w:t>
            </w:r>
            <w:r w:rsidRPr="00A57ABC">
              <w:rPr>
                <w:rFonts w:eastAsiaTheme="minorHAnsi"/>
                <w:sz w:val="14"/>
                <w:szCs w:val="14"/>
                <w:lang w:val="es-GT" w:eastAsia="en-US"/>
              </w:rPr>
              <w:t>De</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Lima</w:t>
            </w:r>
          </w:p>
        </w:tc>
        <w:tc>
          <w:tcPr>
            <w:tcW w:w="716" w:type="pct"/>
            <w:vAlign w:val="center"/>
          </w:tcPr>
          <w:p w14:paraId="642A0E3C"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Santa Rosa</w:t>
            </w:r>
          </w:p>
        </w:tc>
      </w:tr>
      <w:tr w:rsidR="00C36261" w:rsidRPr="00A57ABC" w14:paraId="7EDDD9E5" w14:textId="77777777" w:rsidTr="005105AC">
        <w:trPr>
          <w:trHeight w:val="159"/>
          <w:jc w:val="center"/>
        </w:trPr>
        <w:tc>
          <w:tcPr>
            <w:tcW w:w="1367" w:type="pct"/>
            <w:vAlign w:val="center"/>
          </w:tcPr>
          <w:p w14:paraId="507D1839" w14:textId="77777777" w:rsidR="00C36261" w:rsidRPr="00A57ABC" w:rsidRDefault="00C36261" w:rsidP="00624091">
            <w:pPr>
              <w:widowControl w:val="0"/>
              <w:ind w:left="183" w:right="153" w:firstLine="52"/>
              <w:rPr>
                <w:rFonts w:eastAsiaTheme="minorHAnsi"/>
                <w:sz w:val="14"/>
                <w:szCs w:val="14"/>
                <w:lang w:eastAsia="en-US"/>
              </w:rPr>
            </w:pPr>
            <w:r w:rsidRPr="00A57ABC">
              <w:rPr>
                <w:rFonts w:eastAsiaTheme="minorHAnsi"/>
                <w:sz w:val="14"/>
                <w:szCs w:val="14"/>
                <w:lang w:eastAsia="en-US"/>
              </w:rPr>
              <w:t>PIEDRINERA</w:t>
            </w:r>
            <w:r w:rsidRPr="00A57ABC">
              <w:rPr>
                <w:rFonts w:eastAsiaTheme="minorHAnsi"/>
                <w:spacing w:val="1"/>
                <w:sz w:val="14"/>
                <w:szCs w:val="14"/>
                <w:lang w:eastAsia="en-US"/>
              </w:rPr>
              <w:t xml:space="preserve"> </w:t>
            </w:r>
            <w:r w:rsidRPr="00A57ABC">
              <w:rPr>
                <w:rFonts w:eastAsiaTheme="minorHAnsi"/>
                <w:spacing w:val="-1"/>
                <w:sz w:val="14"/>
                <w:szCs w:val="14"/>
                <w:lang w:eastAsia="en-US"/>
              </w:rPr>
              <w:t>PUERTA</w:t>
            </w:r>
            <w:r w:rsidRPr="00A57ABC">
              <w:rPr>
                <w:rFonts w:eastAsiaTheme="minorHAnsi"/>
                <w:spacing w:val="-6"/>
                <w:sz w:val="14"/>
                <w:szCs w:val="14"/>
                <w:lang w:eastAsia="en-US"/>
              </w:rPr>
              <w:t xml:space="preserve"> </w:t>
            </w:r>
            <w:r w:rsidRPr="00A57ABC">
              <w:rPr>
                <w:rFonts w:eastAsiaTheme="minorHAnsi"/>
                <w:sz w:val="14"/>
                <w:szCs w:val="14"/>
                <w:lang w:eastAsia="en-US"/>
              </w:rPr>
              <w:t>ROJA</w:t>
            </w:r>
          </w:p>
        </w:tc>
        <w:tc>
          <w:tcPr>
            <w:tcW w:w="613" w:type="pct"/>
            <w:vAlign w:val="center"/>
          </w:tcPr>
          <w:p w14:paraId="12110B28"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11/04/2012</w:t>
            </w:r>
          </w:p>
        </w:tc>
        <w:tc>
          <w:tcPr>
            <w:tcW w:w="625" w:type="pct"/>
            <w:vAlign w:val="center"/>
          </w:tcPr>
          <w:p w14:paraId="33650D23"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10/04/2037</w:t>
            </w:r>
          </w:p>
        </w:tc>
        <w:tc>
          <w:tcPr>
            <w:tcW w:w="306" w:type="pct"/>
            <w:vAlign w:val="center"/>
          </w:tcPr>
          <w:p w14:paraId="475A901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8567BAC" w14:textId="77777777" w:rsidR="00C36261" w:rsidRPr="00A57ABC" w:rsidRDefault="00C36261" w:rsidP="00624091">
            <w:pPr>
              <w:widowControl w:val="0"/>
              <w:ind w:left="77" w:right="42"/>
              <w:jc w:val="center"/>
              <w:rPr>
                <w:rFonts w:eastAsiaTheme="minorHAnsi"/>
                <w:sz w:val="14"/>
                <w:szCs w:val="14"/>
                <w:lang w:val="es-GT" w:eastAsia="en-US"/>
              </w:rPr>
            </w:pPr>
            <w:r w:rsidRPr="00A57ABC">
              <w:rPr>
                <w:rFonts w:eastAsiaTheme="minorHAnsi"/>
                <w:sz w:val="14"/>
                <w:szCs w:val="14"/>
                <w:lang w:val="es-GT" w:eastAsia="en-US"/>
              </w:rPr>
              <w:t>ARENA, GRAVA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53149595" w14:textId="77777777" w:rsidR="00C36261" w:rsidRPr="00A57ABC" w:rsidRDefault="00C36261" w:rsidP="00624091">
            <w:pPr>
              <w:widowControl w:val="0"/>
              <w:ind w:left="34" w:right="2"/>
              <w:jc w:val="center"/>
              <w:rPr>
                <w:rFonts w:eastAsiaTheme="minorHAnsi"/>
                <w:sz w:val="14"/>
                <w:szCs w:val="14"/>
                <w:lang w:eastAsia="en-US"/>
              </w:rPr>
            </w:pPr>
            <w:proofErr w:type="spellStart"/>
            <w:r w:rsidRPr="00A57ABC">
              <w:rPr>
                <w:rFonts w:eastAsiaTheme="minorHAnsi"/>
                <w:sz w:val="14"/>
                <w:szCs w:val="14"/>
                <w:lang w:eastAsia="en-US"/>
              </w:rPr>
              <w:t>Cuilapa</w:t>
            </w:r>
            <w:proofErr w:type="spellEnd"/>
          </w:p>
        </w:tc>
        <w:tc>
          <w:tcPr>
            <w:tcW w:w="716" w:type="pct"/>
            <w:vAlign w:val="center"/>
          </w:tcPr>
          <w:p w14:paraId="4A74D360"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Santa Rosa</w:t>
            </w:r>
          </w:p>
        </w:tc>
      </w:tr>
      <w:tr w:rsidR="00C36261" w:rsidRPr="00A57ABC" w14:paraId="7F753BFC" w14:textId="77777777" w:rsidTr="005105AC">
        <w:trPr>
          <w:trHeight w:val="106"/>
          <w:jc w:val="center"/>
        </w:trPr>
        <w:tc>
          <w:tcPr>
            <w:tcW w:w="1367" w:type="pct"/>
            <w:vAlign w:val="center"/>
          </w:tcPr>
          <w:p w14:paraId="4DAB42F4"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RIO</w:t>
            </w:r>
            <w:r w:rsidRPr="00A57ABC">
              <w:rPr>
                <w:rFonts w:eastAsiaTheme="minorHAnsi"/>
                <w:spacing w:val="-2"/>
                <w:sz w:val="14"/>
                <w:szCs w:val="14"/>
                <w:lang w:eastAsia="en-US"/>
              </w:rPr>
              <w:t xml:space="preserve"> </w:t>
            </w:r>
            <w:r w:rsidRPr="00A57ABC">
              <w:rPr>
                <w:rFonts w:eastAsiaTheme="minorHAnsi"/>
                <w:sz w:val="14"/>
                <w:szCs w:val="14"/>
                <w:lang w:eastAsia="en-US"/>
              </w:rPr>
              <w:t>ESCLAVOS 2</w:t>
            </w:r>
          </w:p>
        </w:tc>
        <w:tc>
          <w:tcPr>
            <w:tcW w:w="613" w:type="pct"/>
            <w:vAlign w:val="center"/>
          </w:tcPr>
          <w:p w14:paraId="7E720CA6"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6/05/2015</w:t>
            </w:r>
          </w:p>
        </w:tc>
        <w:tc>
          <w:tcPr>
            <w:tcW w:w="625" w:type="pct"/>
            <w:vAlign w:val="center"/>
          </w:tcPr>
          <w:p w14:paraId="05987841"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5/05/2040</w:t>
            </w:r>
          </w:p>
        </w:tc>
        <w:tc>
          <w:tcPr>
            <w:tcW w:w="306" w:type="pct"/>
            <w:vAlign w:val="center"/>
          </w:tcPr>
          <w:p w14:paraId="46E66B0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0A4A192" w14:textId="77777777" w:rsidR="00C36261" w:rsidRPr="00A57ABC" w:rsidRDefault="00C36261" w:rsidP="00624091">
            <w:pPr>
              <w:widowControl w:val="0"/>
              <w:ind w:left="93" w:right="57" w:hanging="2"/>
              <w:jc w:val="center"/>
              <w:rPr>
                <w:rFonts w:eastAsiaTheme="minorHAnsi"/>
                <w:sz w:val="14"/>
                <w:szCs w:val="14"/>
                <w:lang w:val="es-GT" w:eastAsia="en-US"/>
              </w:rPr>
            </w:pPr>
            <w:r w:rsidRPr="00A57ABC">
              <w:rPr>
                <w:rFonts w:eastAsiaTheme="minorHAnsi"/>
                <w:sz w:val="14"/>
                <w:szCs w:val="14"/>
                <w:lang w:val="es-GT" w:eastAsia="en-US"/>
              </w:rPr>
              <w:t>ARENA DE RIO,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4"/>
                <w:sz w:val="14"/>
                <w:szCs w:val="14"/>
                <w:lang w:val="es-GT" w:eastAsia="en-US"/>
              </w:rPr>
              <w:t xml:space="preserve"> </w:t>
            </w:r>
            <w:r w:rsidRPr="00A57ABC">
              <w:rPr>
                <w:rFonts w:eastAsiaTheme="minorHAnsi"/>
                <w:sz w:val="14"/>
                <w:szCs w:val="14"/>
                <w:lang w:val="es-GT" w:eastAsia="en-US"/>
              </w:rPr>
              <w:t>CANTO</w:t>
            </w:r>
          </w:p>
          <w:p w14:paraId="16D71018"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RODADO.</w:t>
            </w:r>
          </w:p>
        </w:tc>
        <w:tc>
          <w:tcPr>
            <w:tcW w:w="589" w:type="pct"/>
            <w:vAlign w:val="center"/>
          </w:tcPr>
          <w:p w14:paraId="02E1E599" w14:textId="77777777" w:rsidR="00C36261" w:rsidRPr="00A57ABC" w:rsidRDefault="00C36261" w:rsidP="00624091">
            <w:pPr>
              <w:widowControl w:val="0"/>
              <w:ind w:left="34" w:right="2"/>
              <w:jc w:val="center"/>
              <w:rPr>
                <w:rFonts w:eastAsiaTheme="minorHAnsi"/>
                <w:sz w:val="14"/>
                <w:szCs w:val="14"/>
                <w:lang w:eastAsia="en-US"/>
              </w:rPr>
            </w:pPr>
            <w:proofErr w:type="spellStart"/>
            <w:r w:rsidRPr="00A57ABC">
              <w:rPr>
                <w:rFonts w:eastAsiaTheme="minorHAnsi"/>
                <w:sz w:val="14"/>
                <w:szCs w:val="14"/>
                <w:lang w:eastAsia="en-US"/>
              </w:rPr>
              <w:t>Cuilapa</w:t>
            </w:r>
            <w:proofErr w:type="spellEnd"/>
          </w:p>
        </w:tc>
        <w:tc>
          <w:tcPr>
            <w:tcW w:w="716" w:type="pct"/>
            <w:vAlign w:val="center"/>
          </w:tcPr>
          <w:p w14:paraId="2285BB75"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Santa Rosa</w:t>
            </w:r>
          </w:p>
        </w:tc>
      </w:tr>
      <w:tr w:rsidR="00C36261" w:rsidRPr="00A57ABC" w14:paraId="0BF5AB82" w14:textId="77777777" w:rsidTr="005105AC">
        <w:trPr>
          <w:trHeight w:val="170"/>
          <w:jc w:val="center"/>
        </w:trPr>
        <w:tc>
          <w:tcPr>
            <w:tcW w:w="1367" w:type="pct"/>
            <w:vAlign w:val="center"/>
          </w:tcPr>
          <w:p w14:paraId="2A438035"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MARIA JOSE I</w:t>
            </w:r>
          </w:p>
        </w:tc>
        <w:tc>
          <w:tcPr>
            <w:tcW w:w="613" w:type="pct"/>
            <w:vAlign w:val="center"/>
          </w:tcPr>
          <w:p w14:paraId="070CC546"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4/07/2006</w:t>
            </w:r>
          </w:p>
        </w:tc>
        <w:tc>
          <w:tcPr>
            <w:tcW w:w="625" w:type="pct"/>
            <w:vAlign w:val="center"/>
          </w:tcPr>
          <w:p w14:paraId="53A1450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3/07/2031</w:t>
            </w:r>
          </w:p>
        </w:tc>
        <w:tc>
          <w:tcPr>
            <w:tcW w:w="306" w:type="pct"/>
            <w:vAlign w:val="center"/>
          </w:tcPr>
          <w:p w14:paraId="620268B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1792D73" w14:textId="77777777" w:rsidR="00C36261" w:rsidRPr="00A57ABC" w:rsidRDefault="00C36261" w:rsidP="00624091">
            <w:pPr>
              <w:widowControl w:val="0"/>
              <w:ind w:left="362" w:right="115" w:hanging="202"/>
              <w:rPr>
                <w:rFonts w:eastAsiaTheme="minorHAnsi"/>
                <w:sz w:val="14"/>
                <w:szCs w:val="14"/>
                <w:lang w:eastAsia="en-US"/>
              </w:rPr>
            </w:pPr>
            <w:r w:rsidRPr="00A57ABC">
              <w:rPr>
                <w:rFonts w:eastAsiaTheme="minorHAnsi"/>
                <w:sz w:val="14"/>
                <w:szCs w:val="14"/>
                <w:lang w:eastAsia="en-US"/>
              </w:rPr>
              <w:t>FELDESPATO Y</w:t>
            </w:r>
            <w:r w:rsidRPr="00A57ABC">
              <w:rPr>
                <w:rFonts w:eastAsiaTheme="minorHAnsi"/>
                <w:spacing w:val="-34"/>
                <w:sz w:val="14"/>
                <w:szCs w:val="14"/>
                <w:lang w:eastAsia="en-US"/>
              </w:rPr>
              <w:t xml:space="preserve"> </w:t>
            </w:r>
            <w:r w:rsidRPr="00A57ABC">
              <w:rPr>
                <w:rFonts w:eastAsiaTheme="minorHAnsi"/>
                <w:sz w:val="14"/>
                <w:szCs w:val="14"/>
                <w:lang w:eastAsia="en-US"/>
              </w:rPr>
              <w:t>CUARZO</w:t>
            </w:r>
          </w:p>
        </w:tc>
        <w:tc>
          <w:tcPr>
            <w:tcW w:w="589" w:type="pct"/>
            <w:vAlign w:val="center"/>
          </w:tcPr>
          <w:p w14:paraId="70D141E2" w14:textId="77777777" w:rsidR="00C36261" w:rsidRPr="00A57ABC" w:rsidRDefault="00C36261" w:rsidP="00624091">
            <w:pPr>
              <w:widowControl w:val="0"/>
              <w:ind w:left="480" w:right="22" w:hanging="408"/>
              <w:jc w:val="center"/>
              <w:rPr>
                <w:rFonts w:eastAsiaTheme="minorHAnsi"/>
                <w:sz w:val="14"/>
                <w:szCs w:val="14"/>
                <w:lang w:val="es-GT" w:eastAsia="en-US"/>
              </w:rPr>
            </w:pPr>
            <w:r w:rsidRPr="00A57ABC">
              <w:rPr>
                <w:rFonts w:eastAsiaTheme="minorHAnsi"/>
                <w:sz w:val="14"/>
                <w:szCs w:val="14"/>
                <w:lang w:val="es-GT" w:eastAsia="en-US"/>
              </w:rPr>
              <w:t>Oratorio Y San</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Jose</w:t>
            </w:r>
          </w:p>
          <w:p w14:paraId="26D96248" w14:textId="77777777" w:rsidR="00C36261" w:rsidRPr="00A57ABC" w:rsidRDefault="00C36261" w:rsidP="00624091">
            <w:pPr>
              <w:widowControl w:val="0"/>
              <w:ind w:left="146"/>
              <w:jc w:val="center"/>
              <w:rPr>
                <w:rFonts w:eastAsiaTheme="minorHAnsi"/>
                <w:sz w:val="14"/>
                <w:szCs w:val="14"/>
                <w:lang w:val="es-GT" w:eastAsia="en-US"/>
              </w:rPr>
            </w:pPr>
            <w:r w:rsidRPr="00A57ABC">
              <w:rPr>
                <w:rFonts w:eastAsiaTheme="minorHAnsi"/>
                <w:sz w:val="14"/>
                <w:szCs w:val="14"/>
                <w:lang w:val="es-GT" w:eastAsia="en-US"/>
              </w:rPr>
              <w:t>Atescatempa</w:t>
            </w:r>
          </w:p>
        </w:tc>
        <w:tc>
          <w:tcPr>
            <w:tcW w:w="716" w:type="pct"/>
            <w:vAlign w:val="center"/>
          </w:tcPr>
          <w:p w14:paraId="7C9C1C46" w14:textId="77777777" w:rsidR="00C36261" w:rsidRPr="00A57ABC" w:rsidRDefault="00C36261" w:rsidP="00624091">
            <w:pPr>
              <w:widowControl w:val="0"/>
              <w:ind w:left="413" w:right="157" w:hanging="207"/>
              <w:jc w:val="center"/>
              <w:rPr>
                <w:rFonts w:eastAsiaTheme="minorHAnsi"/>
                <w:sz w:val="14"/>
                <w:szCs w:val="14"/>
                <w:lang w:eastAsia="en-US"/>
              </w:rPr>
            </w:pPr>
            <w:r w:rsidRPr="00A57ABC">
              <w:rPr>
                <w:rFonts w:eastAsiaTheme="minorHAnsi"/>
                <w:sz w:val="14"/>
                <w:szCs w:val="14"/>
                <w:lang w:eastAsia="en-US"/>
              </w:rPr>
              <w:t>Santa Rosa Y</w:t>
            </w:r>
            <w:r w:rsidRPr="00A57ABC">
              <w:rPr>
                <w:rFonts w:eastAsiaTheme="minorHAnsi"/>
                <w:spacing w:val="-34"/>
                <w:sz w:val="14"/>
                <w:szCs w:val="14"/>
                <w:lang w:eastAsia="en-US"/>
              </w:rPr>
              <w:t xml:space="preserve"> </w:t>
            </w:r>
            <w:r w:rsidRPr="00A57ABC">
              <w:rPr>
                <w:rFonts w:eastAsiaTheme="minorHAnsi"/>
                <w:sz w:val="14"/>
                <w:szCs w:val="14"/>
                <w:lang w:eastAsia="en-US"/>
              </w:rPr>
              <w:t>Jutiapa</w:t>
            </w:r>
          </w:p>
        </w:tc>
      </w:tr>
      <w:tr w:rsidR="00C36261" w:rsidRPr="00A57ABC" w14:paraId="4D65530C" w14:textId="77777777" w:rsidTr="005105AC">
        <w:trPr>
          <w:trHeight w:val="246"/>
          <w:jc w:val="center"/>
        </w:trPr>
        <w:tc>
          <w:tcPr>
            <w:tcW w:w="1367" w:type="pct"/>
            <w:vAlign w:val="center"/>
          </w:tcPr>
          <w:p w14:paraId="6AC15A4A" w14:textId="77777777" w:rsidR="00C36261" w:rsidRPr="00A57ABC" w:rsidRDefault="00C36261" w:rsidP="00624091">
            <w:pPr>
              <w:widowControl w:val="0"/>
              <w:ind w:left="346" w:right="47" w:hanging="260"/>
              <w:rPr>
                <w:rFonts w:eastAsiaTheme="minorHAnsi"/>
                <w:sz w:val="14"/>
                <w:szCs w:val="14"/>
                <w:lang w:val="es-GT" w:eastAsia="en-US"/>
              </w:rPr>
            </w:pPr>
            <w:r w:rsidRPr="00A57ABC">
              <w:rPr>
                <w:rFonts w:eastAsiaTheme="minorHAnsi"/>
                <w:sz w:val="14"/>
                <w:szCs w:val="14"/>
                <w:lang w:val="es-GT" w:eastAsia="en-US"/>
              </w:rPr>
              <w:t>CONSTRUCTORA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D.L.,</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S.A.</w:t>
            </w:r>
          </w:p>
        </w:tc>
        <w:tc>
          <w:tcPr>
            <w:tcW w:w="613" w:type="pct"/>
            <w:vAlign w:val="center"/>
          </w:tcPr>
          <w:p w14:paraId="3979F0D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26/02/2002</w:t>
            </w:r>
          </w:p>
        </w:tc>
        <w:tc>
          <w:tcPr>
            <w:tcW w:w="625" w:type="pct"/>
            <w:vAlign w:val="center"/>
          </w:tcPr>
          <w:p w14:paraId="587580A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25/02/2027</w:t>
            </w:r>
          </w:p>
        </w:tc>
        <w:tc>
          <w:tcPr>
            <w:tcW w:w="306" w:type="pct"/>
            <w:vAlign w:val="center"/>
          </w:tcPr>
          <w:p w14:paraId="3BF7F8C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30F9441" w14:textId="77777777" w:rsidR="00C36261" w:rsidRPr="00A57ABC" w:rsidRDefault="00C36261" w:rsidP="00624091">
            <w:pPr>
              <w:widowControl w:val="0"/>
              <w:ind w:left="93" w:right="57" w:hanging="2"/>
              <w:jc w:val="center"/>
              <w:rPr>
                <w:rFonts w:eastAsiaTheme="minorHAnsi"/>
                <w:sz w:val="14"/>
                <w:szCs w:val="14"/>
                <w:lang w:val="es-GT" w:eastAsia="en-US"/>
              </w:rPr>
            </w:pPr>
            <w:r w:rsidRPr="00A57ABC">
              <w:rPr>
                <w:rFonts w:eastAsiaTheme="minorHAnsi"/>
                <w:sz w:val="14"/>
                <w:szCs w:val="14"/>
                <w:lang w:val="es-GT" w:eastAsia="en-US"/>
              </w:rPr>
              <w:t>ARENA DE RIO,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w:t>
            </w:r>
            <w:r w:rsidRPr="00A57ABC">
              <w:rPr>
                <w:rFonts w:eastAsiaTheme="minorHAnsi"/>
                <w:spacing w:val="-5"/>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4"/>
                <w:sz w:val="14"/>
                <w:szCs w:val="14"/>
                <w:lang w:val="es-GT" w:eastAsia="en-US"/>
              </w:rPr>
              <w:t xml:space="preserve"> </w:t>
            </w:r>
            <w:r w:rsidRPr="00A57ABC">
              <w:rPr>
                <w:rFonts w:eastAsiaTheme="minorHAnsi"/>
                <w:sz w:val="14"/>
                <w:szCs w:val="14"/>
                <w:lang w:val="es-GT" w:eastAsia="en-US"/>
              </w:rPr>
              <w:t>CANTO</w:t>
            </w:r>
          </w:p>
          <w:p w14:paraId="77B750A9" w14:textId="77777777" w:rsidR="00C36261" w:rsidRPr="00A57ABC" w:rsidRDefault="00C36261" w:rsidP="00624091">
            <w:pPr>
              <w:widowControl w:val="0"/>
              <w:ind w:left="37"/>
              <w:jc w:val="center"/>
              <w:rPr>
                <w:rFonts w:eastAsiaTheme="minorHAnsi"/>
                <w:sz w:val="14"/>
                <w:szCs w:val="14"/>
                <w:lang w:eastAsia="en-US"/>
              </w:rPr>
            </w:pPr>
            <w:r w:rsidRPr="00A57ABC">
              <w:rPr>
                <w:rFonts w:eastAsiaTheme="minorHAnsi"/>
                <w:sz w:val="14"/>
                <w:szCs w:val="14"/>
                <w:lang w:eastAsia="en-US"/>
              </w:rPr>
              <w:t>RODADO</w:t>
            </w:r>
          </w:p>
        </w:tc>
        <w:tc>
          <w:tcPr>
            <w:tcW w:w="589" w:type="pct"/>
            <w:vAlign w:val="center"/>
          </w:tcPr>
          <w:p w14:paraId="4E9E556F" w14:textId="77777777" w:rsidR="00C36261" w:rsidRPr="00A57ABC" w:rsidRDefault="00C36261" w:rsidP="00624091">
            <w:pPr>
              <w:widowControl w:val="0"/>
              <w:ind w:left="427" w:right="186" w:hanging="192"/>
              <w:jc w:val="center"/>
              <w:rPr>
                <w:rFonts w:eastAsiaTheme="minorHAnsi"/>
                <w:sz w:val="14"/>
                <w:szCs w:val="14"/>
                <w:lang w:eastAsia="en-US"/>
              </w:rPr>
            </w:pPr>
            <w:r w:rsidRPr="00A57ABC">
              <w:rPr>
                <w:rFonts w:eastAsiaTheme="minorHAnsi"/>
                <w:sz w:val="14"/>
                <w:szCs w:val="14"/>
                <w:lang w:eastAsia="en-US"/>
              </w:rPr>
              <w:t>San Jose El</w:t>
            </w:r>
            <w:r w:rsidRPr="00A57ABC">
              <w:rPr>
                <w:rFonts w:eastAsiaTheme="minorHAnsi"/>
                <w:spacing w:val="-34"/>
                <w:sz w:val="14"/>
                <w:szCs w:val="14"/>
                <w:lang w:eastAsia="en-US"/>
              </w:rPr>
              <w:t xml:space="preserve"> </w:t>
            </w:r>
            <w:proofErr w:type="spellStart"/>
            <w:r w:rsidRPr="00A57ABC">
              <w:rPr>
                <w:rFonts w:eastAsiaTheme="minorHAnsi"/>
                <w:sz w:val="14"/>
                <w:szCs w:val="14"/>
                <w:lang w:eastAsia="en-US"/>
              </w:rPr>
              <w:t>Idolo</w:t>
            </w:r>
            <w:proofErr w:type="spellEnd"/>
          </w:p>
        </w:tc>
        <w:tc>
          <w:tcPr>
            <w:tcW w:w="716" w:type="pct"/>
            <w:vAlign w:val="center"/>
          </w:tcPr>
          <w:p w14:paraId="61E94768"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Suchitepéquez</w:t>
            </w:r>
          </w:p>
        </w:tc>
      </w:tr>
      <w:tr w:rsidR="00C36261" w:rsidRPr="00A57ABC" w14:paraId="2FD4A740" w14:textId="77777777" w:rsidTr="005105AC">
        <w:trPr>
          <w:trHeight w:val="594"/>
          <w:jc w:val="center"/>
        </w:trPr>
        <w:tc>
          <w:tcPr>
            <w:tcW w:w="1367" w:type="pct"/>
            <w:vAlign w:val="center"/>
          </w:tcPr>
          <w:p w14:paraId="432FCD46" w14:textId="77777777" w:rsidR="00C36261" w:rsidRPr="00A57ABC" w:rsidRDefault="00C36261" w:rsidP="00624091">
            <w:pPr>
              <w:widowControl w:val="0"/>
              <w:ind w:left="43" w:right="17" w:firstLine="2"/>
              <w:jc w:val="center"/>
              <w:rPr>
                <w:rFonts w:eastAsiaTheme="minorHAnsi"/>
                <w:sz w:val="14"/>
                <w:szCs w:val="14"/>
                <w:lang w:val="es-GT" w:eastAsia="en-US"/>
              </w:rPr>
            </w:pPr>
            <w:r w:rsidRPr="00A57ABC">
              <w:rPr>
                <w:rFonts w:eastAsiaTheme="minorHAnsi"/>
                <w:sz w:val="14"/>
                <w:szCs w:val="14"/>
                <w:lang w:val="es-GT" w:eastAsia="en-US"/>
              </w:rPr>
              <w:t>EXTRACCION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ARENA Y ROCA LA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PROVIDENCIA</w:t>
            </w:r>
          </w:p>
        </w:tc>
        <w:tc>
          <w:tcPr>
            <w:tcW w:w="613" w:type="pct"/>
            <w:vAlign w:val="center"/>
          </w:tcPr>
          <w:p w14:paraId="672EBACE"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7/03/2013</w:t>
            </w:r>
          </w:p>
        </w:tc>
        <w:tc>
          <w:tcPr>
            <w:tcW w:w="625" w:type="pct"/>
            <w:vAlign w:val="center"/>
          </w:tcPr>
          <w:p w14:paraId="446B31B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6/03/2038</w:t>
            </w:r>
          </w:p>
        </w:tc>
        <w:tc>
          <w:tcPr>
            <w:tcW w:w="306" w:type="pct"/>
            <w:vAlign w:val="center"/>
          </w:tcPr>
          <w:p w14:paraId="4CCB426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CBE6C84" w14:textId="77777777" w:rsidR="00C36261" w:rsidRPr="00A57ABC" w:rsidRDefault="00C36261" w:rsidP="00624091">
            <w:pPr>
              <w:widowControl w:val="0"/>
              <w:ind w:left="55" w:right="23" w:firstLine="2"/>
              <w:jc w:val="center"/>
              <w:rPr>
                <w:rFonts w:eastAsiaTheme="minorHAnsi"/>
                <w:sz w:val="14"/>
                <w:szCs w:val="14"/>
                <w:lang w:val="es-GT" w:eastAsia="en-US"/>
              </w:rPr>
            </w:pPr>
            <w:r w:rsidRPr="00A57ABC">
              <w:rPr>
                <w:rFonts w:eastAsiaTheme="minorHAnsi"/>
                <w:sz w:val="14"/>
                <w:szCs w:val="14"/>
                <w:lang w:val="es-GT" w:eastAsia="en-US"/>
              </w:rPr>
              <w:t>ARENA DE RIO,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 Y CANTOS</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14989B0E" w14:textId="77777777" w:rsidR="00C36261" w:rsidRPr="00A57ABC" w:rsidRDefault="00C36261" w:rsidP="00624091">
            <w:pPr>
              <w:widowControl w:val="0"/>
              <w:ind w:left="35" w:right="2"/>
              <w:jc w:val="center"/>
              <w:rPr>
                <w:rFonts w:eastAsiaTheme="minorHAnsi"/>
                <w:sz w:val="14"/>
                <w:szCs w:val="14"/>
                <w:lang w:eastAsia="en-US"/>
              </w:rPr>
            </w:pPr>
            <w:proofErr w:type="spellStart"/>
            <w:r w:rsidRPr="00A57ABC">
              <w:rPr>
                <w:rFonts w:eastAsiaTheme="minorHAnsi"/>
                <w:sz w:val="14"/>
                <w:szCs w:val="14"/>
                <w:lang w:eastAsia="en-US"/>
              </w:rPr>
              <w:t>Patulul</w:t>
            </w:r>
            <w:proofErr w:type="spellEnd"/>
          </w:p>
        </w:tc>
        <w:tc>
          <w:tcPr>
            <w:tcW w:w="716" w:type="pct"/>
            <w:vAlign w:val="center"/>
          </w:tcPr>
          <w:p w14:paraId="211EA60B"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Suchitepéquez</w:t>
            </w:r>
          </w:p>
        </w:tc>
      </w:tr>
      <w:tr w:rsidR="00C36261" w:rsidRPr="00A57ABC" w14:paraId="62F8561D" w14:textId="77777777" w:rsidTr="005105AC">
        <w:trPr>
          <w:trHeight w:val="43"/>
          <w:jc w:val="center"/>
        </w:trPr>
        <w:tc>
          <w:tcPr>
            <w:tcW w:w="1367" w:type="pct"/>
            <w:vAlign w:val="center"/>
          </w:tcPr>
          <w:p w14:paraId="1EC38D55"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LORENA</w:t>
            </w:r>
          </w:p>
        </w:tc>
        <w:tc>
          <w:tcPr>
            <w:tcW w:w="613" w:type="pct"/>
            <w:vAlign w:val="center"/>
          </w:tcPr>
          <w:p w14:paraId="3013C66E"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20/06/2008</w:t>
            </w:r>
          </w:p>
        </w:tc>
        <w:tc>
          <w:tcPr>
            <w:tcW w:w="625" w:type="pct"/>
            <w:vAlign w:val="center"/>
          </w:tcPr>
          <w:p w14:paraId="4AA6D70E"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19/06/2033</w:t>
            </w:r>
          </w:p>
        </w:tc>
        <w:tc>
          <w:tcPr>
            <w:tcW w:w="306" w:type="pct"/>
            <w:vAlign w:val="center"/>
          </w:tcPr>
          <w:p w14:paraId="77F22AC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596A148" w14:textId="77777777" w:rsidR="00C36261" w:rsidRPr="00A57ABC" w:rsidRDefault="00C36261" w:rsidP="00624091">
            <w:pPr>
              <w:widowControl w:val="0"/>
              <w:ind w:left="38" w:right="3" w:hanging="1"/>
              <w:jc w:val="center"/>
              <w:rPr>
                <w:rFonts w:eastAsiaTheme="minorHAnsi"/>
                <w:sz w:val="14"/>
                <w:szCs w:val="14"/>
                <w:lang w:val="es-GT" w:eastAsia="en-US"/>
              </w:rPr>
            </w:pP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GRAVAS, ARENAS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w:t>
            </w:r>
            <w:r w:rsidRPr="00A57ABC">
              <w:rPr>
                <w:rFonts w:eastAsiaTheme="minorHAnsi"/>
                <w:spacing w:val="36"/>
                <w:sz w:val="14"/>
                <w:szCs w:val="14"/>
                <w:lang w:val="es-GT" w:eastAsia="en-US"/>
              </w:rPr>
              <w:t xml:space="preserve"> </w:t>
            </w:r>
            <w:r w:rsidRPr="00A57ABC">
              <w:rPr>
                <w:rFonts w:eastAsiaTheme="minorHAnsi"/>
                <w:sz w:val="14"/>
                <w:szCs w:val="14"/>
                <w:lang w:val="es-GT" w:eastAsia="en-US"/>
              </w:rPr>
              <w:t>RIO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ARCILLAS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DERIVADAS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ROCAS IGNEAS,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SEDIMENTARIAS Y</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METAMORFICAS,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ESPECIALMENTE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BASALTO,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ANDESITA,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GRANODIORIT</w:t>
            </w:r>
          </w:p>
        </w:tc>
        <w:tc>
          <w:tcPr>
            <w:tcW w:w="589" w:type="pct"/>
            <w:vAlign w:val="center"/>
          </w:tcPr>
          <w:p w14:paraId="5383831B" w14:textId="77777777" w:rsidR="00C36261" w:rsidRPr="00A57ABC" w:rsidRDefault="00C36261" w:rsidP="00624091">
            <w:pPr>
              <w:widowControl w:val="0"/>
              <w:ind w:left="83" w:right="48"/>
              <w:jc w:val="center"/>
              <w:rPr>
                <w:rFonts w:eastAsiaTheme="minorHAnsi"/>
                <w:sz w:val="14"/>
                <w:szCs w:val="14"/>
                <w:lang w:val="es-GT" w:eastAsia="en-US"/>
              </w:rPr>
            </w:pPr>
            <w:proofErr w:type="spellStart"/>
            <w:r w:rsidRPr="00A57ABC">
              <w:rPr>
                <w:rFonts w:eastAsiaTheme="minorHAnsi"/>
                <w:sz w:val="14"/>
                <w:szCs w:val="14"/>
                <w:lang w:val="es-GT" w:eastAsia="en-US"/>
              </w:rPr>
              <w:t>Samayac</w:t>
            </w:r>
            <w:proofErr w:type="spellEnd"/>
            <w:r w:rsidRPr="00A57ABC">
              <w:rPr>
                <w:rFonts w:eastAsiaTheme="minorHAnsi"/>
                <w:sz w:val="14"/>
                <w:szCs w:val="14"/>
                <w:lang w:val="es-GT" w:eastAsia="en-US"/>
              </w:rPr>
              <w:t>,</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Antonio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Suchitepéquez</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 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Bernardino</w:t>
            </w:r>
          </w:p>
        </w:tc>
        <w:tc>
          <w:tcPr>
            <w:tcW w:w="716" w:type="pct"/>
            <w:vAlign w:val="center"/>
          </w:tcPr>
          <w:p w14:paraId="4D6CD370"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Suchitepéquez</w:t>
            </w:r>
          </w:p>
        </w:tc>
      </w:tr>
      <w:tr w:rsidR="00C36261" w:rsidRPr="00A57ABC" w14:paraId="0A886BE3" w14:textId="77777777" w:rsidTr="005105AC">
        <w:trPr>
          <w:trHeight w:val="387"/>
          <w:jc w:val="center"/>
        </w:trPr>
        <w:tc>
          <w:tcPr>
            <w:tcW w:w="1367" w:type="pct"/>
            <w:vAlign w:val="center"/>
          </w:tcPr>
          <w:p w14:paraId="35FD7081" w14:textId="77777777" w:rsidR="00C36261" w:rsidRPr="00A57ABC" w:rsidRDefault="00C36261" w:rsidP="00624091">
            <w:pPr>
              <w:widowControl w:val="0"/>
              <w:ind w:left="475" w:right="136" w:hanging="303"/>
              <w:rPr>
                <w:rFonts w:eastAsiaTheme="minorHAnsi"/>
                <w:sz w:val="14"/>
                <w:szCs w:val="14"/>
                <w:lang w:eastAsia="en-US"/>
              </w:rPr>
            </w:pPr>
            <w:r w:rsidRPr="00A57ABC">
              <w:rPr>
                <w:rFonts w:eastAsiaTheme="minorHAnsi"/>
                <w:sz w:val="14"/>
                <w:szCs w:val="14"/>
                <w:lang w:eastAsia="en-US"/>
              </w:rPr>
              <w:lastRenderedPageBreak/>
              <w:t>PEDRERA SAN</w:t>
            </w:r>
            <w:r w:rsidRPr="00A57ABC">
              <w:rPr>
                <w:rFonts w:eastAsiaTheme="minorHAnsi"/>
                <w:spacing w:val="-34"/>
                <w:sz w:val="14"/>
                <w:szCs w:val="14"/>
                <w:lang w:eastAsia="en-US"/>
              </w:rPr>
              <w:t xml:space="preserve"> </w:t>
            </w:r>
            <w:r w:rsidRPr="00A57ABC">
              <w:rPr>
                <w:rFonts w:eastAsiaTheme="minorHAnsi"/>
                <w:sz w:val="14"/>
                <w:szCs w:val="14"/>
                <w:lang w:eastAsia="en-US"/>
              </w:rPr>
              <w:t>JOSE</w:t>
            </w:r>
          </w:p>
        </w:tc>
        <w:tc>
          <w:tcPr>
            <w:tcW w:w="613" w:type="pct"/>
            <w:vAlign w:val="center"/>
          </w:tcPr>
          <w:p w14:paraId="055B7D2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25/11/2005</w:t>
            </w:r>
          </w:p>
        </w:tc>
        <w:tc>
          <w:tcPr>
            <w:tcW w:w="625" w:type="pct"/>
            <w:vAlign w:val="center"/>
          </w:tcPr>
          <w:p w14:paraId="5886FB44"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24/11/2030</w:t>
            </w:r>
          </w:p>
        </w:tc>
        <w:tc>
          <w:tcPr>
            <w:tcW w:w="306" w:type="pct"/>
            <w:vAlign w:val="center"/>
          </w:tcPr>
          <w:p w14:paraId="29DC4BF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35AF9E2" w14:textId="77777777" w:rsidR="00C36261" w:rsidRPr="00A57ABC" w:rsidRDefault="00C36261" w:rsidP="00624091">
            <w:pPr>
              <w:widowControl w:val="0"/>
              <w:ind w:left="247" w:right="211" w:firstLine="2"/>
              <w:jc w:val="center"/>
              <w:rPr>
                <w:rFonts w:eastAsiaTheme="minorHAnsi"/>
                <w:sz w:val="14"/>
                <w:szCs w:val="14"/>
                <w:lang w:val="es-GT" w:eastAsia="en-US"/>
              </w:rPr>
            </w:pPr>
            <w:r w:rsidRPr="00A57ABC">
              <w:rPr>
                <w:rFonts w:eastAsiaTheme="minorHAnsi"/>
                <w:sz w:val="14"/>
                <w:szCs w:val="14"/>
                <w:lang w:val="es-GT" w:eastAsia="en-US"/>
              </w:rPr>
              <w:t>ARENA 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ALUVION,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pacing w:val="-1"/>
                <w:sz w:val="14"/>
                <w:szCs w:val="14"/>
                <w:lang w:val="es-GT" w:eastAsia="en-US"/>
              </w:rPr>
              <w:t>RODADOS</w:t>
            </w:r>
            <w:r w:rsidRPr="00A57ABC">
              <w:rPr>
                <w:rFonts w:eastAsiaTheme="minorHAnsi"/>
                <w:spacing w:val="-6"/>
                <w:sz w:val="14"/>
                <w:szCs w:val="14"/>
                <w:lang w:val="es-GT" w:eastAsia="en-US"/>
              </w:rPr>
              <w:t xml:space="preserve"> </w:t>
            </w:r>
            <w:r w:rsidRPr="00A57ABC">
              <w:rPr>
                <w:rFonts w:eastAsiaTheme="minorHAnsi"/>
                <w:sz w:val="14"/>
                <w:szCs w:val="14"/>
                <w:lang w:val="es-GT" w:eastAsia="en-US"/>
              </w:rPr>
              <w:t>Y</w:t>
            </w:r>
          </w:p>
          <w:p w14:paraId="5430FA96" w14:textId="77777777" w:rsidR="00C36261" w:rsidRPr="00A57ABC" w:rsidRDefault="00C36261" w:rsidP="00624091">
            <w:pPr>
              <w:widowControl w:val="0"/>
              <w:ind w:left="35"/>
              <w:jc w:val="center"/>
              <w:rPr>
                <w:rFonts w:eastAsiaTheme="minorHAnsi"/>
                <w:sz w:val="14"/>
                <w:szCs w:val="14"/>
                <w:lang w:eastAsia="en-US"/>
              </w:rPr>
            </w:pPr>
            <w:r w:rsidRPr="00A57ABC">
              <w:rPr>
                <w:rFonts w:eastAsiaTheme="minorHAnsi"/>
                <w:sz w:val="14"/>
                <w:szCs w:val="14"/>
                <w:lang w:eastAsia="en-US"/>
              </w:rPr>
              <w:t>GRAVA.</w:t>
            </w:r>
          </w:p>
        </w:tc>
        <w:tc>
          <w:tcPr>
            <w:tcW w:w="589" w:type="pct"/>
            <w:vAlign w:val="center"/>
          </w:tcPr>
          <w:p w14:paraId="760A4220" w14:textId="77777777" w:rsidR="00C36261" w:rsidRPr="00A57ABC" w:rsidRDefault="00C36261" w:rsidP="00624091">
            <w:pPr>
              <w:widowControl w:val="0"/>
              <w:ind w:left="39" w:right="4"/>
              <w:jc w:val="center"/>
              <w:rPr>
                <w:rFonts w:eastAsiaTheme="minorHAnsi"/>
                <w:sz w:val="14"/>
                <w:szCs w:val="14"/>
                <w:lang w:val="es-GT" w:eastAsia="en-US"/>
              </w:rPr>
            </w:pPr>
            <w:r w:rsidRPr="00A57ABC">
              <w:rPr>
                <w:rFonts w:eastAsiaTheme="minorHAnsi"/>
                <w:sz w:val="14"/>
                <w:szCs w:val="14"/>
                <w:lang w:val="es-GT" w:eastAsia="en-US"/>
              </w:rPr>
              <w:t>San Antonio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Suchitepéquez</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Ty San Jose El</w:t>
            </w:r>
            <w:r w:rsidRPr="00A57ABC">
              <w:rPr>
                <w:rFonts w:eastAsiaTheme="minorHAnsi"/>
                <w:spacing w:val="1"/>
                <w:sz w:val="14"/>
                <w:szCs w:val="14"/>
                <w:lang w:val="es-GT" w:eastAsia="en-US"/>
              </w:rPr>
              <w:t xml:space="preserve"> </w:t>
            </w:r>
            <w:proofErr w:type="spellStart"/>
            <w:r w:rsidRPr="00A57ABC">
              <w:rPr>
                <w:rFonts w:eastAsiaTheme="minorHAnsi"/>
                <w:sz w:val="14"/>
                <w:szCs w:val="14"/>
                <w:lang w:val="es-GT" w:eastAsia="en-US"/>
              </w:rPr>
              <w:t>Idolo</w:t>
            </w:r>
            <w:proofErr w:type="spellEnd"/>
          </w:p>
        </w:tc>
        <w:tc>
          <w:tcPr>
            <w:tcW w:w="716" w:type="pct"/>
            <w:vAlign w:val="center"/>
          </w:tcPr>
          <w:p w14:paraId="6DFC7E5B"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Suchitepéquez</w:t>
            </w:r>
          </w:p>
        </w:tc>
      </w:tr>
      <w:tr w:rsidR="00C36261" w:rsidRPr="00A57ABC" w14:paraId="49D83285" w14:textId="77777777" w:rsidTr="005105AC">
        <w:trPr>
          <w:trHeight w:val="283"/>
          <w:jc w:val="center"/>
        </w:trPr>
        <w:tc>
          <w:tcPr>
            <w:tcW w:w="1367" w:type="pct"/>
            <w:vAlign w:val="center"/>
          </w:tcPr>
          <w:p w14:paraId="2E9F9CA3" w14:textId="77777777" w:rsidR="00C36261" w:rsidRPr="00A57ABC" w:rsidRDefault="00C36261" w:rsidP="00624091">
            <w:pPr>
              <w:widowControl w:val="0"/>
              <w:ind w:left="403" w:right="232" w:hanging="137"/>
              <w:rPr>
                <w:rFonts w:eastAsiaTheme="minorHAnsi"/>
                <w:sz w:val="14"/>
                <w:szCs w:val="14"/>
                <w:lang w:eastAsia="en-US"/>
              </w:rPr>
            </w:pPr>
            <w:r w:rsidRPr="00A57ABC">
              <w:rPr>
                <w:rFonts w:eastAsiaTheme="minorHAnsi"/>
                <w:spacing w:val="-1"/>
                <w:sz w:val="14"/>
                <w:szCs w:val="14"/>
                <w:lang w:eastAsia="en-US"/>
              </w:rPr>
              <w:t xml:space="preserve">SAN </w:t>
            </w:r>
            <w:r w:rsidRPr="00A57ABC">
              <w:rPr>
                <w:rFonts w:eastAsiaTheme="minorHAnsi"/>
                <w:sz w:val="14"/>
                <w:szCs w:val="14"/>
                <w:lang w:eastAsia="en-US"/>
              </w:rPr>
              <w:t>JUDAS</w:t>
            </w:r>
            <w:r w:rsidRPr="00A57ABC">
              <w:rPr>
                <w:rFonts w:eastAsiaTheme="minorHAnsi"/>
                <w:spacing w:val="-34"/>
                <w:sz w:val="14"/>
                <w:szCs w:val="14"/>
                <w:lang w:eastAsia="en-US"/>
              </w:rPr>
              <w:t xml:space="preserve"> </w:t>
            </w:r>
            <w:r w:rsidRPr="00A57ABC">
              <w:rPr>
                <w:rFonts w:eastAsiaTheme="minorHAnsi"/>
                <w:sz w:val="14"/>
                <w:szCs w:val="14"/>
                <w:lang w:eastAsia="en-US"/>
              </w:rPr>
              <w:t>TADEO</w:t>
            </w:r>
          </w:p>
        </w:tc>
        <w:tc>
          <w:tcPr>
            <w:tcW w:w="613" w:type="pct"/>
            <w:vAlign w:val="center"/>
          </w:tcPr>
          <w:p w14:paraId="53486CC9"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31/05/2012</w:t>
            </w:r>
          </w:p>
        </w:tc>
        <w:tc>
          <w:tcPr>
            <w:tcW w:w="625" w:type="pct"/>
            <w:vAlign w:val="center"/>
          </w:tcPr>
          <w:p w14:paraId="4CB9707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30/05/2037</w:t>
            </w:r>
          </w:p>
        </w:tc>
        <w:tc>
          <w:tcPr>
            <w:tcW w:w="306" w:type="pct"/>
            <w:vAlign w:val="center"/>
          </w:tcPr>
          <w:p w14:paraId="656AA18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6C34455" w14:textId="77777777" w:rsidR="00C36261" w:rsidRPr="00A57ABC" w:rsidRDefault="00C36261" w:rsidP="00624091">
            <w:pPr>
              <w:widowControl w:val="0"/>
              <w:ind w:left="32"/>
              <w:jc w:val="center"/>
              <w:rPr>
                <w:rFonts w:eastAsiaTheme="minorHAnsi"/>
                <w:sz w:val="14"/>
                <w:szCs w:val="14"/>
                <w:lang w:val="es-GT" w:eastAsia="en-US"/>
              </w:rPr>
            </w:pPr>
            <w:r w:rsidRPr="00A57ABC">
              <w:rPr>
                <w:rFonts w:eastAsiaTheme="minorHAnsi"/>
                <w:sz w:val="14"/>
                <w:szCs w:val="14"/>
                <w:lang w:val="es-GT" w:eastAsia="en-US"/>
              </w:rPr>
              <w:t>ARENA, GRAVA Y</w:t>
            </w:r>
          </w:p>
          <w:p w14:paraId="4C214E17" w14:textId="77777777" w:rsidR="00C36261" w:rsidRPr="00A57ABC" w:rsidRDefault="00C36261" w:rsidP="00624091">
            <w:pPr>
              <w:widowControl w:val="0"/>
              <w:ind w:left="304" w:right="269" w:hanging="1"/>
              <w:jc w:val="center"/>
              <w:rPr>
                <w:rFonts w:eastAsiaTheme="minorHAnsi"/>
                <w:sz w:val="14"/>
                <w:szCs w:val="14"/>
                <w:lang w:val="es-GT" w:eastAsia="en-US"/>
              </w:rPr>
            </w:pPr>
            <w:r w:rsidRPr="00A57ABC">
              <w:rPr>
                <w:rFonts w:eastAsiaTheme="minorHAnsi"/>
                <w:sz w:val="14"/>
                <w:szCs w:val="14"/>
                <w:lang w:val="es-GT" w:eastAsia="en-US"/>
              </w:rPr>
              <w:t>CANTOS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RODADOS</w:t>
            </w:r>
          </w:p>
        </w:tc>
        <w:tc>
          <w:tcPr>
            <w:tcW w:w="589" w:type="pct"/>
            <w:vAlign w:val="center"/>
          </w:tcPr>
          <w:p w14:paraId="34BDA0B2" w14:textId="77777777" w:rsidR="00C36261" w:rsidRPr="00A57ABC" w:rsidRDefault="00C36261" w:rsidP="00624091">
            <w:pPr>
              <w:widowControl w:val="0"/>
              <w:ind w:left="89" w:right="46" w:firstLine="76"/>
              <w:jc w:val="center"/>
              <w:rPr>
                <w:rFonts w:eastAsiaTheme="minorHAnsi"/>
                <w:sz w:val="14"/>
                <w:szCs w:val="14"/>
                <w:lang w:eastAsia="en-US"/>
              </w:rPr>
            </w:pPr>
            <w:r w:rsidRPr="00A57ABC">
              <w:rPr>
                <w:rFonts w:eastAsiaTheme="minorHAnsi"/>
                <w:sz w:val="14"/>
                <w:szCs w:val="14"/>
                <w:lang w:eastAsia="en-US"/>
              </w:rPr>
              <w:t>San Antonio</w:t>
            </w:r>
            <w:r w:rsidRPr="00A57ABC">
              <w:rPr>
                <w:rFonts w:eastAsiaTheme="minorHAnsi"/>
                <w:spacing w:val="1"/>
                <w:sz w:val="14"/>
                <w:szCs w:val="14"/>
                <w:lang w:eastAsia="en-US"/>
              </w:rPr>
              <w:t xml:space="preserve"> </w:t>
            </w:r>
            <w:r w:rsidRPr="00A57ABC">
              <w:rPr>
                <w:rFonts w:eastAsiaTheme="minorHAnsi"/>
                <w:sz w:val="14"/>
                <w:szCs w:val="14"/>
                <w:lang w:eastAsia="en-US"/>
              </w:rPr>
              <w:t>Suchitepéquez</w:t>
            </w:r>
          </w:p>
        </w:tc>
        <w:tc>
          <w:tcPr>
            <w:tcW w:w="716" w:type="pct"/>
            <w:vAlign w:val="center"/>
          </w:tcPr>
          <w:p w14:paraId="1F458A52"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Suchitepéquez</w:t>
            </w:r>
          </w:p>
        </w:tc>
      </w:tr>
      <w:tr w:rsidR="00C36261" w:rsidRPr="00A57ABC" w14:paraId="2FC95510" w14:textId="77777777" w:rsidTr="005105AC">
        <w:trPr>
          <w:trHeight w:val="63"/>
          <w:jc w:val="center"/>
        </w:trPr>
        <w:tc>
          <w:tcPr>
            <w:tcW w:w="1367" w:type="pct"/>
            <w:vAlign w:val="center"/>
          </w:tcPr>
          <w:p w14:paraId="06170424" w14:textId="77777777" w:rsidR="00C36261" w:rsidRPr="00A57ABC" w:rsidRDefault="00C36261" w:rsidP="00624091">
            <w:pPr>
              <w:widowControl w:val="0"/>
              <w:ind w:left="324" w:right="139" w:hanging="147"/>
              <w:rPr>
                <w:rFonts w:eastAsiaTheme="minorHAnsi"/>
                <w:sz w:val="14"/>
                <w:szCs w:val="14"/>
                <w:lang w:eastAsia="en-US"/>
              </w:rPr>
            </w:pPr>
            <w:r w:rsidRPr="00A57ABC">
              <w:rPr>
                <w:rFonts w:eastAsiaTheme="minorHAnsi"/>
                <w:sz w:val="14"/>
                <w:szCs w:val="14"/>
                <w:lang w:eastAsia="en-US"/>
              </w:rPr>
              <w:t>ARENERA LOS</w:t>
            </w:r>
            <w:r w:rsidRPr="00A57ABC">
              <w:rPr>
                <w:rFonts w:eastAsiaTheme="minorHAnsi"/>
                <w:spacing w:val="-34"/>
                <w:sz w:val="14"/>
                <w:szCs w:val="14"/>
                <w:lang w:eastAsia="en-US"/>
              </w:rPr>
              <w:t xml:space="preserve"> </w:t>
            </w:r>
            <w:r w:rsidRPr="00A57ABC">
              <w:rPr>
                <w:rFonts w:eastAsiaTheme="minorHAnsi"/>
                <w:sz w:val="14"/>
                <w:szCs w:val="14"/>
                <w:lang w:eastAsia="en-US"/>
              </w:rPr>
              <w:t>SANCHEZ</w:t>
            </w:r>
          </w:p>
        </w:tc>
        <w:tc>
          <w:tcPr>
            <w:tcW w:w="613" w:type="pct"/>
            <w:vAlign w:val="center"/>
          </w:tcPr>
          <w:p w14:paraId="647B7C0A"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10/08/2013</w:t>
            </w:r>
          </w:p>
        </w:tc>
        <w:tc>
          <w:tcPr>
            <w:tcW w:w="625" w:type="pct"/>
            <w:vAlign w:val="center"/>
          </w:tcPr>
          <w:p w14:paraId="244801E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9/08/2038</w:t>
            </w:r>
          </w:p>
        </w:tc>
        <w:tc>
          <w:tcPr>
            <w:tcW w:w="306" w:type="pct"/>
            <w:vAlign w:val="center"/>
          </w:tcPr>
          <w:p w14:paraId="7B10331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11C4F15" w14:textId="77777777" w:rsidR="00C36261" w:rsidRPr="00A57ABC" w:rsidRDefault="00C36261" w:rsidP="00624091">
            <w:pPr>
              <w:widowControl w:val="0"/>
              <w:ind w:right="131"/>
              <w:jc w:val="center"/>
              <w:rPr>
                <w:rFonts w:eastAsiaTheme="minorHAnsi"/>
                <w:sz w:val="14"/>
                <w:szCs w:val="14"/>
                <w:lang w:eastAsia="en-US"/>
              </w:rPr>
            </w:pPr>
            <w:r w:rsidRPr="00A57ABC">
              <w:rPr>
                <w:rFonts w:eastAsiaTheme="minorHAnsi"/>
                <w:sz w:val="14"/>
                <w:szCs w:val="14"/>
                <w:lang w:eastAsia="en-US"/>
              </w:rPr>
              <w:t>ARENA</w:t>
            </w:r>
            <w:r w:rsidRPr="00A57ABC">
              <w:rPr>
                <w:rFonts w:eastAsiaTheme="minorHAnsi"/>
                <w:spacing w:val="-1"/>
                <w:sz w:val="14"/>
                <w:szCs w:val="14"/>
                <w:lang w:eastAsia="en-US"/>
              </w:rPr>
              <w:t xml:space="preserve"> </w:t>
            </w:r>
            <w:r w:rsidRPr="00A57ABC">
              <w:rPr>
                <w:rFonts w:eastAsiaTheme="minorHAnsi"/>
                <w:sz w:val="14"/>
                <w:szCs w:val="14"/>
                <w:lang w:eastAsia="en-US"/>
              </w:rPr>
              <w:t>DE RIO</w:t>
            </w:r>
          </w:p>
        </w:tc>
        <w:tc>
          <w:tcPr>
            <w:tcW w:w="589" w:type="pct"/>
            <w:vAlign w:val="center"/>
          </w:tcPr>
          <w:p w14:paraId="36128F54" w14:textId="77777777" w:rsidR="00C36261" w:rsidRPr="00A57ABC" w:rsidRDefault="00C36261" w:rsidP="00624091">
            <w:pPr>
              <w:widowControl w:val="0"/>
              <w:ind w:left="149" w:right="72" w:hanging="27"/>
              <w:jc w:val="center"/>
              <w:rPr>
                <w:rFonts w:eastAsiaTheme="minorHAnsi"/>
                <w:sz w:val="14"/>
                <w:szCs w:val="14"/>
                <w:lang w:eastAsia="en-US"/>
              </w:rPr>
            </w:pPr>
            <w:r w:rsidRPr="00A57ABC">
              <w:rPr>
                <w:rFonts w:eastAsiaTheme="minorHAnsi"/>
                <w:sz w:val="14"/>
                <w:szCs w:val="14"/>
                <w:lang w:eastAsia="en-US"/>
              </w:rPr>
              <w:t>San Cristobal</w:t>
            </w:r>
            <w:r w:rsidRPr="00A57ABC">
              <w:rPr>
                <w:rFonts w:eastAsiaTheme="minorHAnsi"/>
                <w:spacing w:val="-34"/>
                <w:sz w:val="14"/>
                <w:szCs w:val="14"/>
                <w:lang w:eastAsia="en-US"/>
              </w:rPr>
              <w:t xml:space="preserve"> </w:t>
            </w:r>
            <w:r w:rsidRPr="00A57ABC">
              <w:rPr>
                <w:rFonts w:eastAsiaTheme="minorHAnsi"/>
                <w:sz w:val="14"/>
                <w:szCs w:val="14"/>
                <w:lang w:eastAsia="en-US"/>
              </w:rPr>
              <w:t>Totonicapán</w:t>
            </w:r>
          </w:p>
        </w:tc>
        <w:tc>
          <w:tcPr>
            <w:tcW w:w="716" w:type="pct"/>
            <w:vAlign w:val="center"/>
          </w:tcPr>
          <w:p w14:paraId="10CD51D7"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Totonicapán</w:t>
            </w:r>
          </w:p>
        </w:tc>
      </w:tr>
      <w:tr w:rsidR="00C36261" w:rsidRPr="00A57ABC" w14:paraId="59DDEFBF" w14:textId="77777777" w:rsidTr="005105AC">
        <w:trPr>
          <w:trHeight w:val="153"/>
          <w:jc w:val="center"/>
        </w:trPr>
        <w:tc>
          <w:tcPr>
            <w:tcW w:w="1367" w:type="pct"/>
            <w:vAlign w:val="center"/>
          </w:tcPr>
          <w:p w14:paraId="59D10F61"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MINA</w:t>
            </w:r>
            <w:r w:rsidRPr="00A57ABC">
              <w:rPr>
                <w:rFonts w:eastAsiaTheme="minorHAnsi"/>
                <w:spacing w:val="1"/>
                <w:sz w:val="14"/>
                <w:szCs w:val="14"/>
                <w:lang w:eastAsia="en-US"/>
              </w:rPr>
              <w:t xml:space="preserve"> </w:t>
            </w:r>
            <w:r w:rsidRPr="00A57ABC">
              <w:rPr>
                <w:rFonts w:eastAsiaTheme="minorHAnsi"/>
                <w:sz w:val="14"/>
                <w:szCs w:val="14"/>
                <w:lang w:eastAsia="en-US"/>
              </w:rPr>
              <w:t>PAXTOCA</w:t>
            </w:r>
          </w:p>
        </w:tc>
        <w:tc>
          <w:tcPr>
            <w:tcW w:w="613" w:type="pct"/>
            <w:vAlign w:val="center"/>
          </w:tcPr>
          <w:p w14:paraId="4447E626"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7/10/2003</w:t>
            </w:r>
          </w:p>
        </w:tc>
        <w:tc>
          <w:tcPr>
            <w:tcW w:w="625" w:type="pct"/>
            <w:vAlign w:val="center"/>
          </w:tcPr>
          <w:p w14:paraId="1555232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6/10/2023</w:t>
            </w:r>
          </w:p>
        </w:tc>
        <w:tc>
          <w:tcPr>
            <w:tcW w:w="306" w:type="pct"/>
            <w:vAlign w:val="center"/>
          </w:tcPr>
          <w:p w14:paraId="7E32B02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20 AÑOS</w:t>
            </w:r>
          </w:p>
        </w:tc>
        <w:tc>
          <w:tcPr>
            <w:tcW w:w="784" w:type="pct"/>
            <w:vAlign w:val="center"/>
          </w:tcPr>
          <w:p w14:paraId="799E0889" w14:textId="77777777" w:rsidR="00C36261" w:rsidRPr="00A57ABC" w:rsidRDefault="00C36261" w:rsidP="00624091">
            <w:pPr>
              <w:widowControl w:val="0"/>
              <w:ind w:left="30"/>
              <w:jc w:val="center"/>
              <w:rPr>
                <w:rFonts w:eastAsiaTheme="minorHAnsi"/>
                <w:sz w:val="14"/>
                <w:szCs w:val="14"/>
                <w:lang w:eastAsia="en-US"/>
              </w:rPr>
            </w:pPr>
            <w:r w:rsidRPr="00A57ABC">
              <w:rPr>
                <w:rFonts w:eastAsiaTheme="minorHAnsi"/>
                <w:sz w:val="14"/>
                <w:szCs w:val="14"/>
                <w:lang w:eastAsia="en-US"/>
              </w:rPr>
              <w:t>ROCA</w:t>
            </w:r>
            <w:r w:rsidRPr="00A57ABC">
              <w:rPr>
                <w:rFonts w:eastAsiaTheme="minorHAnsi"/>
                <w:spacing w:val="1"/>
                <w:sz w:val="14"/>
                <w:szCs w:val="14"/>
                <w:lang w:eastAsia="en-US"/>
              </w:rPr>
              <w:t xml:space="preserve"> </w:t>
            </w:r>
            <w:r w:rsidRPr="00A57ABC">
              <w:rPr>
                <w:rFonts w:eastAsiaTheme="minorHAnsi"/>
                <w:sz w:val="14"/>
                <w:szCs w:val="14"/>
                <w:lang w:eastAsia="en-US"/>
              </w:rPr>
              <w:t>ANDESITICA</w:t>
            </w:r>
          </w:p>
        </w:tc>
        <w:tc>
          <w:tcPr>
            <w:tcW w:w="589" w:type="pct"/>
            <w:vAlign w:val="center"/>
          </w:tcPr>
          <w:p w14:paraId="3EBA6D93" w14:textId="77777777" w:rsidR="00C36261" w:rsidRPr="00A57ABC" w:rsidRDefault="00C36261" w:rsidP="00624091">
            <w:pPr>
              <w:widowControl w:val="0"/>
              <w:ind w:left="37" w:right="2"/>
              <w:jc w:val="center"/>
              <w:rPr>
                <w:rFonts w:eastAsiaTheme="minorHAnsi"/>
                <w:sz w:val="14"/>
                <w:szCs w:val="14"/>
                <w:lang w:eastAsia="en-US"/>
              </w:rPr>
            </w:pPr>
            <w:r w:rsidRPr="00A57ABC">
              <w:rPr>
                <w:rFonts w:eastAsiaTheme="minorHAnsi"/>
                <w:sz w:val="14"/>
                <w:szCs w:val="14"/>
                <w:lang w:eastAsia="en-US"/>
              </w:rPr>
              <w:t>Totonicapán</w:t>
            </w:r>
          </w:p>
        </w:tc>
        <w:tc>
          <w:tcPr>
            <w:tcW w:w="716" w:type="pct"/>
            <w:vAlign w:val="center"/>
          </w:tcPr>
          <w:p w14:paraId="110A7958"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Totonicapán</w:t>
            </w:r>
          </w:p>
        </w:tc>
      </w:tr>
      <w:tr w:rsidR="00C36261" w:rsidRPr="00A57ABC" w14:paraId="6E266880" w14:textId="77777777" w:rsidTr="005105AC">
        <w:trPr>
          <w:trHeight w:val="43"/>
          <w:jc w:val="center"/>
        </w:trPr>
        <w:tc>
          <w:tcPr>
            <w:tcW w:w="1367" w:type="pct"/>
            <w:vAlign w:val="center"/>
          </w:tcPr>
          <w:p w14:paraId="324356DE" w14:textId="77777777" w:rsidR="00C36261" w:rsidRPr="00A57ABC" w:rsidRDefault="00C36261" w:rsidP="00624091">
            <w:pPr>
              <w:widowControl w:val="0"/>
              <w:ind w:left="319"/>
              <w:rPr>
                <w:rFonts w:eastAsiaTheme="minorHAnsi"/>
                <w:sz w:val="14"/>
                <w:szCs w:val="14"/>
                <w:lang w:eastAsia="en-US"/>
              </w:rPr>
            </w:pPr>
            <w:r w:rsidRPr="00A57ABC">
              <w:rPr>
                <w:rFonts w:eastAsiaTheme="minorHAnsi"/>
                <w:sz w:val="14"/>
                <w:szCs w:val="14"/>
                <w:lang w:eastAsia="en-US"/>
              </w:rPr>
              <w:t>CANTERA</w:t>
            </w:r>
          </w:p>
          <w:p w14:paraId="5C684C60" w14:textId="77777777" w:rsidR="00C36261" w:rsidRPr="00A57ABC" w:rsidRDefault="00C36261" w:rsidP="00624091">
            <w:pPr>
              <w:widowControl w:val="0"/>
              <w:ind w:left="322"/>
              <w:rPr>
                <w:rFonts w:eastAsiaTheme="minorHAnsi"/>
                <w:sz w:val="14"/>
                <w:szCs w:val="14"/>
                <w:lang w:eastAsia="en-US"/>
              </w:rPr>
            </w:pPr>
            <w:r w:rsidRPr="00A57ABC">
              <w:rPr>
                <w:rFonts w:eastAsiaTheme="minorHAnsi"/>
                <w:sz w:val="14"/>
                <w:szCs w:val="14"/>
                <w:lang w:eastAsia="en-US"/>
              </w:rPr>
              <w:t>JENNIFER</w:t>
            </w:r>
          </w:p>
        </w:tc>
        <w:tc>
          <w:tcPr>
            <w:tcW w:w="613" w:type="pct"/>
            <w:vAlign w:val="center"/>
          </w:tcPr>
          <w:p w14:paraId="2846F4E4"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16/10/1998</w:t>
            </w:r>
          </w:p>
        </w:tc>
        <w:tc>
          <w:tcPr>
            <w:tcW w:w="625" w:type="pct"/>
            <w:vAlign w:val="center"/>
          </w:tcPr>
          <w:p w14:paraId="452D8587"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15/10/2023</w:t>
            </w:r>
          </w:p>
        </w:tc>
        <w:tc>
          <w:tcPr>
            <w:tcW w:w="306" w:type="pct"/>
            <w:vAlign w:val="center"/>
          </w:tcPr>
          <w:p w14:paraId="7E68567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3C93B6B"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JADE</w:t>
            </w:r>
            <w:r w:rsidRPr="00A57ABC">
              <w:rPr>
                <w:rFonts w:eastAsiaTheme="minorHAnsi"/>
                <w:spacing w:val="-1"/>
                <w:sz w:val="14"/>
                <w:szCs w:val="14"/>
                <w:lang w:eastAsia="en-US"/>
              </w:rPr>
              <w:t xml:space="preserve"> </w:t>
            </w:r>
            <w:r w:rsidRPr="00A57ABC">
              <w:rPr>
                <w:rFonts w:eastAsiaTheme="minorHAnsi"/>
                <w:sz w:val="14"/>
                <w:szCs w:val="14"/>
                <w:lang w:eastAsia="en-US"/>
              </w:rPr>
              <w:t>(JADEITA Y</w:t>
            </w:r>
          </w:p>
          <w:p w14:paraId="59F92FD7"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NEFRITA)</w:t>
            </w:r>
          </w:p>
        </w:tc>
        <w:tc>
          <w:tcPr>
            <w:tcW w:w="589" w:type="pct"/>
            <w:vAlign w:val="center"/>
          </w:tcPr>
          <w:p w14:paraId="47AD3F3F" w14:textId="77777777" w:rsidR="00C36261" w:rsidRPr="00A57ABC" w:rsidRDefault="00C36261" w:rsidP="00624091">
            <w:pPr>
              <w:widowControl w:val="0"/>
              <w:ind w:left="38" w:right="2"/>
              <w:jc w:val="center"/>
              <w:rPr>
                <w:rFonts w:eastAsiaTheme="minorHAnsi"/>
                <w:sz w:val="14"/>
                <w:szCs w:val="14"/>
                <w:lang w:eastAsia="en-US"/>
              </w:rPr>
            </w:pPr>
            <w:proofErr w:type="spellStart"/>
            <w:r w:rsidRPr="00A57ABC">
              <w:rPr>
                <w:rFonts w:eastAsiaTheme="minorHAnsi"/>
                <w:sz w:val="14"/>
                <w:szCs w:val="14"/>
                <w:lang w:eastAsia="en-US"/>
              </w:rPr>
              <w:t>Usumatlan</w:t>
            </w:r>
            <w:proofErr w:type="spellEnd"/>
          </w:p>
        </w:tc>
        <w:tc>
          <w:tcPr>
            <w:tcW w:w="716" w:type="pct"/>
            <w:vAlign w:val="center"/>
          </w:tcPr>
          <w:p w14:paraId="5C601C31"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35248CBF" w14:textId="77777777" w:rsidTr="005105AC">
        <w:trPr>
          <w:trHeight w:val="43"/>
          <w:jc w:val="center"/>
        </w:trPr>
        <w:tc>
          <w:tcPr>
            <w:tcW w:w="1367" w:type="pct"/>
            <w:vAlign w:val="center"/>
          </w:tcPr>
          <w:p w14:paraId="5283FB7F" w14:textId="77777777" w:rsidR="00C36261" w:rsidRPr="00A57ABC" w:rsidRDefault="00C36261" w:rsidP="00624091">
            <w:pPr>
              <w:widowControl w:val="0"/>
              <w:ind w:left="324" w:right="147" w:hanging="140"/>
              <w:rPr>
                <w:rFonts w:eastAsiaTheme="minorHAnsi"/>
                <w:sz w:val="14"/>
                <w:szCs w:val="14"/>
                <w:lang w:eastAsia="en-US"/>
              </w:rPr>
            </w:pPr>
            <w:r w:rsidRPr="00A57ABC">
              <w:rPr>
                <w:rFonts w:eastAsiaTheme="minorHAnsi"/>
                <w:sz w:val="14"/>
                <w:szCs w:val="14"/>
                <w:lang w:eastAsia="en-US"/>
              </w:rPr>
              <w:t>CANTERA LAS</w:t>
            </w:r>
            <w:r w:rsidRPr="00A57ABC">
              <w:rPr>
                <w:rFonts w:eastAsiaTheme="minorHAnsi"/>
                <w:spacing w:val="-34"/>
                <w:sz w:val="14"/>
                <w:szCs w:val="14"/>
                <w:lang w:eastAsia="en-US"/>
              </w:rPr>
              <w:t xml:space="preserve"> </w:t>
            </w:r>
            <w:r w:rsidRPr="00A57ABC">
              <w:rPr>
                <w:rFonts w:eastAsiaTheme="minorHAnsi"/>
                <w:sz w:val="14"/>
                <w:szCs w:val="14"/>
                <w:lang w:eastAsia="en-US"/>
              </w:rPr>
              <w:t>HUERTAS</w:t>
            </w:r>
          </w:p>
        </w:tc>
        <w:tc>
          <w:tcPr>
            <w:tcW w:w="613" w:type="pct"/>
            <w:vAlign w:val="center"/>
          </w:tcPr>
          <w:p w14:paraId="327D7D14"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8/10/2005</w:t>
            </w:r>
          </w:p>
        </w:tc>
        <w:tc>
          <w:tcPr>
            <w:tcW w:w="625" w:type="pct"/>
            <w:vAlign w:val="center"/>
          </w:tcPr>
          <w:p w14:paraId="52554B7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7/10/2030</w:t>
            </w:r>
          </w:p>
        </w:tc>
        <w:tc>
          <w:tcPr>
            <w:tcW w:w="306" w:type="pct"/>
            <w:vAlign w:val="center"/>
          </w:tcPr>
          <w:p w14:paraId="1C42AC9E"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4E4F168" w14:textId="77777777" w:rsidR="00C36261" w:rsidRPr="00A57ABC" w:rsidRDefault="00C36261" w:rsidP="00624091">
            <w:pPr>
              <w:widowControl w:val="0"/>
              <w:ind w:left="208" w:right="59" w:hanging="106"/>
              <w:jc w:val="center"/>
              <w:rPr>
                <w:rFonts w:eastAsiaTheme="minorHAnsi"/>
                <w:sz w:val="14"/>
                <w:szCs w:val="14"/>
                <w:lang w:eastAsia="en-US"/>
              </w:rPr>
            </w:pPr>
            <w:r w:rsidRPr="00A57ABC">
              <w:rPr>
                <w:rFonts w:eastAsiaTheme="minorHAnsi"/>
                <w:sz w:val="14"/>
                <w:szCs w:val="14"/>
                <w:lang w:eastAsia="en-US"/>
              </w:rPr>
              <w:t>CALIZA Y CALIZA</w:t>
            </w:r>
            <w:r w:rsidRPr="00A57ABC">
              <w:rPr>
                <w:rFonts w:eastAsiaTheme="minorHAnsi"/>
                <w:spacing w:val="-34"/>
                <w:sz w:val="14"/>
                <w:szCs w:val="14"/>
                <w:lang w:eastAsia="en-US"/>
              </w:rPr>
              <w:t xml:space="preserve"> </w:t>
            </w:r>
            <w:r w:rsidRPr="00A57ABC">
              <w:rPr>
                <w:rFonts w:eastAsiaTheme="minorHAnsi"/>
                <w:sz w:val="14"/>
                <w:szCs w:val="14"/>
                <w:lang w:eastAsia="en-US"/>
              </w:rPr>
              <w:t>DOLOMITICA</w:t>
            </w:r>
          </w:p>
        </w:tc>
        <w:tc>
          <w:tcPr>
            <w:tcW w:w="589" w:type="pct"/>
            <w:vAlign w:val="center"/>
          </w:tcPr>
          <w:p w14:paraId="1714AECB" w14:textId="77777777" w:rsidR="00C36261" w:rsidRPr="00A57ABC" w:rsidRDefault="00C36261" w:rsidP="00624091">
            <w:pPr>
              <w:widowControl w:val="0"/>
              <w:ind w:left="38" w:right="2"/>
              <w:jc w:val="center"/>
              <w:rPr>
                <w:rFonts w:eastAsiaTheme="minorHAnsi"/>
                <w:sz w:val="14"/>
                <w:szCs w:val="14"/>
                <w:lang w:eastAsia="en-US"/>
              </w:rPr>
            </w:pPr>
            <w:r w:rsidRPr="00A57ABC">
              <w:rPr>
                <w:rFonts w:eastAsiaTheme="minorHAnsi"/>
                <w:sz w:val="14"/>
                <w:szCs w:val="14"/>
                <w:lang w:eastAsia="en-US"/>
              </w:rPr>
              <w:t>Rio</w:t>
            </w:r>
            <w:r w:rsidRPr="00A57ABC">
              <w:rPr>
                <w:rFonts w:eastAsiaTheme="minorHAnsi"/>
                <w:spacing w:val="-2"/>
                <w:sz w:val="14"/>
                <w:szCs w:val="14"/>
                <w:lang w:eastAsia="en-US"/>
              </w:rPr>
              <w:t xml:space="preserve"> </w:t>
            </w:r>
            <w:r w:rsidRPr="00A57ABC">
              <w:rPr>
                <w:rFonts w:eastAsiaTheme="minorHAnsi"/>
                <w:sz w:val="14"/>
                <w:szCs w:val="14"/>
                <w:lang w:eastAsia="en-US"/>
              </w:rPr>
              <w:t>Hondo</w:t>
            </w:r>
          </w:p>
        </w:tc>
        <w:tc>
          <w:tcPr>
            <w:tcW w:w="716" w:type="pct"/>
            <w:vAlign w:val="center"/>
          </w:tcPr>
          <w:p w14:paraId="183144AE"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5C14A158" w14:textId="77777777" w:rsidTr="005105AC">
        <w:trPr>
          <w:trHeight w:val="43"/>
          <w:jc w:val="center"/>
        </w:trPr>
        <w:tc>
          <w:tcPr>
            <w:tcW w:w="1367" w:type="pct"/>
            <w:vAlign w:val="center"/>
          </w:tcPr>
          <w:p w14:paraId="47A680B6"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CANTERA</w:t>
            </w:r>
            <w:r w:rsidRPr="00A57ABC">
              <w:rPr>
                <w:rFonts w:eastAsiaTheme="minorHAnsi"/>
                <w:spacing w:val="-1"/>
                <w:sz w:val="14"/>
                <w:szCs w:val="14"/>
                <w:lang w:eastAsia="en-US"/>
              </w:rPr>
              <w:t xml:space="preserve"> </w:t>
            </w:r>
            <w:r w:rsidRPr="00A57ABC">
              <w:rPr>
                <w:rFonts w:eastAsiaTheme="minorHAnsi"/>
                <w:sz w:val="14"/>
                <w:szCs w:val="14"/>
                <w:lang w:eastAsia="en-US"/>
              </w:rPr>
              <w:t>ORO</w:t>
            </w:r>
          </w:p>
        </w:tc>
        <w:tc>
          <w:tcPr>
            <w:tcW w:w="613" w:type="pct"/>
            <w:vAlign w:val="center"/>
          </w:tcPr>
          <w:p w14:paraId="1BE40851"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26/07/2002</w:t>
            </w:r>
          </w:p>
        </w:tc>
        <w:tc>
          <w:tcPr>
            <w:tcW w:w="625" w:type="pct"/>
            <w:vAlign w:val="center"/>
          </w:tcPr>
          <w:p w14:paraId="5C0AE8A8"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25/07/2027</w:t>
            </w:r>
          </w:p>
        </w:tc>
        <w:tc>
          <w:tcPr>
            <w:tcW w:w="306" w:type="pct"/>
            <w:vAlign w:val="center"/>
          </w:tcPr>
          <w:p w14:paraId="0824C26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58E57781" w14:textId="77777777" w:rsidR="00C36261" w:rsidRPr="00A57ABC" w:rsidRDefault="00C36261" w:rsidP="00624091">
            <w:pPr>
              <w:widowControl w:val="0"/>
              <w:ind w:left="122" w:right="59" w:hanging="20"/>
              <w:jc w:val="center"/>
              <w:rPr>
                <w:rFonts w:eastAsiaTheme="minorHAnsi"/>
                <w:sz w:val="14"/>
                <w:szCs w:val="14"/>
                <w:lang w:eastAsia="en-US"/>
              </w:rPr>
            </w:pPr>
            <w:r w:rsidRPr="00A57ABC">
              <w:rPr>
                <w:rFonts w:eastAsiaTheme="minorHAnsi"/>
                <w:sz w:val="14"/>
                <w:szCs w:val="14"/>
                <w:lang w:eastAsia="en-US"/>
              </w:rPr>
              <w:t>CALIZA Y CALIZA</w:t>
            </w:r>
            <w:r w:rsidRPr="00A57ABC">
              <w:rPr>
                <w:rFonts w:eastAsiaTheme="minorHAnsi"/>
                <w:spacing w:val="-34"/>
                <w:sz w:val="14"/>
                <w:szCs w:val="14"/>
                <w:lang w:eastAsia="en-US"/>
              </w:rPr>
              <w:t xml:space="preserve"> </w:t>
            </w:r>
            <w:r w:rsidRPr="00A57ABC">
              <w:rPr>
                <w:rFonts w:eastAsiaTheme="minorHAnsi"/>
                <w:sz w:val="14"/>
                <w:szCs w:val="14"/>
                <w:lang w:eastAsia="en-US"/>
              </w:rPr>
              <w:t>MARMOLIZADA</w:t>
            </w:r>
          </w:p>
        </w:tc>
        <w:tc>
          <w:tcPr>
            <w:tcW w:w="589" w:type="pct"/>
            <w:vAlign w:val="center"/>
          </w:tcPr>
          <w:p w14:paraId="3B13ABAA" w14:textId="77777777" w:rsidR="00C36261" w:rsidRPr="00A57ABC" w:rsidRDefault="00C36261" w:rsidP="00624091">
            <w:pPr>
              <w:widowControl w:val="0"/>
              <w:ind w:left="38" w:right="2"/>
              <w:jc w:val="center"/>
              <w:rPr>
                <w:rFonts w:eastAsiaTheme="minorHAnsi"/>
                <w:sz w:val="14"/>
                <w:szCs w:val="14"/>
                <w:lang w:eastAsia="en-US"/>
              </w:rPr>
            </w:pPr>
            <w:r w:rsidRPr="00A57ABC">
              <w:rPr>
                <w:rFonts w:eastAsiaTheme="minorHAnsi"/>
                <w:sz w:val="14"/>
                <w:szCs w:val="14"/>
                <w:lang w:eastAsia="en-US"/>
              </w:rPr>
              <w:t>Rio</w:t>
            </w:r>
            <w:r w:rsidRPr="00A57ABC">
              <w:rPr>
                <w:rFonts w:eastAsiaTheme="minorHAnsi"/>
                <w:spacing w:val="-2"/>
                <w:sz w:val="14"/>
                <w:szCs w:val="14"/>
                <w:lang w:eastAsia="en-US"/>
              </w:rPr>
              <w:t xml:space="preserve"> </w:t>
            </w:r>
            <w:r w:rsidRPr="00A57ABC">
              <w:rPr>
                <w:rFonts w:eastAsiaTheme="minorHAnsi"/>
                <w:sz w:val="14"/>
                <w:szCs w:val="14"/>
                <w:lang w:eastAsia="en-US"/>
              </w:rPr>
              <w:t>Hondo</w:t>
            </w:r>
          </w:p>
        </w:tc>
        <w:tc>
          <w:tcPr>
            <w:tcW w:w="716" w:type="pct"/>
            <w:vAlign w:val="center"/>
          </w:tcPr>
          <w:p w14:paraId="27009303"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564DE36C" w14:textId="77777777" w:rsidTr="005105AC">
        <w:trPr>
          <w:trHeight w:val="200"/>
          <w:jc w:val="center"/>
        </w:trPr>
        <w:tc>
          <w:tcPr>
            <w:tcW w:w="1367" w:type="pct"/>
            <w:vAlign w:val="center"/>
          </w:tcPr>
          <w:p w14:paraId="7B47F3DA" w14:textId="77777777" w:rsidR="00C36261" w:rsidRPr="00A57ABC" w:rsidRDefault="00C36261" w:rsidP="00624091">
            <w:pPr>
              <w:widowControl w:val="0"/>
              <w:ind w:left="231" w:right="-7" w:hanging="197"/>
              <w:rPr>
                <w:rFonts w:eastAsiaTheme="minorHAnsi"/>
                <w:sz w:val="14"/>
                <w:szCs w:val="14"/>
                <w:lang w:eastAsia="en-US"/>
              </w:rPr>
            </w:pPr>
            <w:r w:rsidRPr="00A57ABC">
              <w:rPr>
                <w:rFonts w:eastAsiaTheme="minorHAnsi"/>
                <w:sz w:val="14"/>
                <w:szCs w:val="14"/>
                <w:lang w:eastAsia="en-US"/>
              </w:rPr>
              <w:t>COMERCIALIZADO</w:t>
            </w:r>
            <w:r w:rsidRPr="00A57ABC">
              <w:rPr>
                <w:rFonts w:eastAsiaTheme="minorHAnsi"/>
                <w:spacing w:val="-34"/>
                <w:sz w:val="14"/>
                <w:szCs w:val="14"/>
                <w:lang w:eastAsia="en-US"/>
              </w:rPr>
              <w:t xml:space="preserve"> </w:t>
            </w:r>
            <w:r w:rsidRPr="00A57ABC">
              <w:rPr>
                <w:rFonts w:eastAsiaTheme="minorHAnsi"/>
                <w:sz w:val="14"/>
                <w:szCs w:val="14"/>
                <w:lang w:eastAsia="en-US"/>
              </w:rPr>
              <w:t>RA</w:t>
            </w:r>
            <w:r w:rsidRPr="00A57ABC">
              <w:rPr>
                <w:rFonts w:eastAsiaTheme="minorHAnsi"/>
                <w:spacing w:val="-1"/>
                <w:sz w:val="14"/>
                <w:szCs w:val="14"/>
                <w:lang w:eastAsia="en-US"/>
              </w:rPr>
              <w:t xml:space="preserve"> </w:t>
            </w:r>
            <w:r w:rsidRPr="00A57ABC">
              <w:rPr>
                <w:rFonts w:eastAsiaTheme="minorHAnsi"/>
                <w:sz w:val="14"/>
                <w:szCs w:val="14"/>
                <w:lang w:eastAsia="en-US"/>
              </w:rPr>
              <w:t>CORDON</w:t>
            </w:r>
          </w:p>
        </w:tc>
        <w:tc>
          <w:tcPr>
            <w:tcW w:w="613" w:type="pct"/>
            <w:vAlign w:val="center"/>
          </w:tcPr>
          <w:p w14:paraId="7A8F527D"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2/12/2003</w:t>
            </w:r>
          </w:p>
        </w:tc>
        <w:tc>
          <w:tcPr>
            <w:tcW w:w="625" w:type="pct"/>
            <w:vAlign w:val="center"/>
          </w:tcPr>
          <w:p w14:paraId="6295D455"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1/12/2023</w:t>
            </w:r>
          </w:p>
        </w:tc>
        <w:tc>
          <w:tcPr>
            <w:tcW w:w="306" w:type="pct"/>
            <w:vAlign w:val="center"/>
          </w:tcPr>
          <w:p w14:paraId="712CF305"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20 AÑOS</w:t>
            </w:r>
          </w:p>
        </w:tc>
        <w:tc>
          <w:tcPr>
            <w:tcW w:w="784" w:type="pct"/>
            <w:vAlign w:val="center"/>
          </w:tcPr>
          <w:p w14:paraId="64740A63" w14:textId="77777777" w:rsidR="00C36261" w:rsidRPr="00A57ABC" w:rsidRDefault="00C36261" w:rsidP="00624091">
            <w:pPr>
              <w:widowControl w:val="0"/>
              <w:ind w:left="32"/>
              <w:jc w:val="center"/>
              <w:rPr>
                <w:rFonts w:eastAsiaTheme="minorHAnsi"/>
                <w:sz w:val="14"/>
                <w:szCs w:val="14"/>
                <w:lang w:val="es-GT" w:eastAsia="en-US"/>
              </w:rPr>
            </w:pPr>
            <w:r w:rsidRPr="00A57ABC">
              <w:rPr>
                <w:rFonts w:eastAsiaTheme="minorHAnsi"/>
                <w:sz w:val="14"/>
                <w:szCs w:val="14"/>
                <w:lang w:val="es-GT" w:eastAsia="en-US"/>
              </w:rPr>
              <w:t>ARENA, GRAVA,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PIEDRA 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BALASTRE</w:t>
            </w:r>
          </w:p>
        </w:tc>
        <w:tc>
          <w:tcPr>
            <w:tcW w:w="589" w:type="pct"/>
            <w:vAlign w:val="center"/>
          </w:tcPr>
          <w:p w14:paraId="16385DE2" w14:textId="77777777" w:rsidR="00C36261" w:rsidRPr="00A57ABC" w:rsidRDefault="00C36261" w:rsidP="00624091">
            <w:pPr>
              <w:widowControl w:val="0"/>
              <w:ind w:left="33" w:right="2"/>
              <w:jc w:val="center"/>
              <w:rPr>
                <w:rFonts w:eastAsiaTheme="minorHAnsi"/>
                <w:sz w:val="14"/>
                <w:szCs w:val="14"/>
                <w:lang w:eastAsia="en-US"/>
              </w:rPr>
            </w:pPr>
            <w:r w:rsidRPr="00A57ABC">
              <w:rPr>
                <w:rFonts w:eastAsiaTheme="minorHAnsi"/>
                <w:sz w:val="14"/>
                <w:szCs w:val="14"/>
                <w:lang w:eastAsia="en-US"/>
              </w:rPr>
              <w:t>Zacapa</w:t>
            </w:r>
          </w:p>
        </w:tc>
        <w:tc>
          <w:tcPr>
            <w:tcW w:w="716" w:type="pct"/>
            <w:vAlign w:val="center"/>
          </w:tcPr>
          <w:p w14:paraId="5746E862"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5D71668B" w14:textId="77777777" w:rsidTr="005105AC">
        <w:trPr>
          <w:trHeight w:val="135"/>
          <w:jc w:val="center"/>
        </w:trPr>
        <w:tc>
          <w:tcPr>
            <w:tcW w:w="1367" w:type="pct"/>
            <w:vAlign w:val="center"/>
          </w:tcPr>
          <w:p w14:paraId="66E0B15B"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EL CHAGÜITE</w:t>
            </w:r>
          </w:p>
        </w:tc>
        <w:tc>
          <w:tcPr>
            <w:tcW w:w="613" w:type="pct"/>
            <w:vAlign w:val="center"/>
          </w:tcPr>
          <w:p w14:paraId="1A8AAB83"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8/06/2001</w:t>
            </w:r>
          </w:p>
        </w:tc>
        <w:tc>
          <w:tcPr>
            <w:tcW w:w="625" w:type="pct"/>
            <w:vAlign w:val="center"/>
          </w:tcPr>
          <w:p w14:paraId="12C1715A"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7/06/2026</w:t>
            </w:r>
          </w:p>
        </w:tc>
        <w:tc>
          <w:tcPr>
            <w:tcW w:w="306" w:type="pct"/>
            <w:vAlign w:val="center"/>
          </w:tcPr>
          <w:p w14:paraId="341343F8"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297E6AA" w14:textId="77777777" w:rsidR="00C36261" w:rsidRPr="00A57ABC" w:rsidRDefault="00C36261" w:rsidP="00624091">
            <w:pPr>
              <w:widowControl w:val="0"/>
              <w:ind w:left="225" w:right="9" w:hanging="166"/>
              <w:jc w:val="center"/>
              <w:rPr>
                <w:rFonts w:eastAsiaTheme="minorHAnsi"/>
                <w:sz w:val="14"/>
                <w:szCs w:val="14"/>
                <w:lang w:eastAsia="en-US"/>
              </w:rPr>
            </w:pPr>
            <w:r w:rsidRPr="00A57ABC">
              <w:rPr>
                <w:rFonts w:eastAsiaTheme="minorHAnsi"/>
                <w:sz w:val="14"/>
                <w:szCs w:val="14"/>
                <w:lang w:eastAsia="en-US"/>
              </w:rPr>
              <w:t>MARMOL, ONIX Y</w:t>
            </w:r>
            <w:r w:rsidRPr="00A57ABC">
              <w:rPr>
                <w:rFonts w:eastAsiaTheme="minorHAnsi"/>
                <w:spacing w:val="-34"/>
                <w:sz w:val="14"/>
                <w:szCs w:val="14"/>
                <w:lang w:eastAsia="en-US"/>
              </w:rPr>
              <w:t xml:space="preserve"> </w:t>
            </w:r>
            <w:r w:rsidRPr="00A57ABC">
              <w:rPr>
                <w:rFonts w:eastAsiaTheme="minorHAnsi"/>
                <w:sz w:val="14"/>
                <w:szCs w:val="14"/>
                <w:lang w:eastAsia="en-US"/>
              </w:rPr>
              <w:t>SERPENTINA</w:t>
            </w:r>
          </w:p>
        </w:tc>
        <w:tc>
          <w:tcPr>
            <w:tcW w:w="589" w:type="pct"/>
            <w:vAlign w:val="center"/>
          </w:tcPr>
          <w:p w14:paraId="67CB3FF7" w14:textId="77777777" w:rsidR="00C36261" w:rsidRPr="00A57ABC" w:rsidRDefault="00C36261" w:rsidP="00624091">
            <w:pPr>
              <w:widowControl w:val="0"/>
              <w:ind w:left="38" w:right="2"/>
              <w:jc w:val="center"/>
              <w:rPr>
                <w:rFonts w:eastAsiaTheme="minorHAnsi"/>
                <w:sz w:val="14"/>
                <w:szCs w:val="14"/>
                <w:lang w:eastAsia="en-US"/>
              </w:rPr>
            </w:pPr>
            <w:r w:rsidRPr="00A57ABC">
              <w:rPr>
                <w:rFonts w:eastAsiaTheme="minorHAnsi"/>
                <w:sz w:val="14"/>
                <w:szCs w:val="14"/>
                <w:lang w:eastAsia="en-US"/>
              </w:rPr>
              <w:t>Rio</w:t>
            </w:r>
            <w:r w:rsidRPr="00A57ABC">
              <w:rPr>
                <w:rFonts w:eastAsiaTheme="minorHAnsi"/>
                <w:spacing w:val="-2"/>
                <w:sz w:val="14"/>
                <w:szCs w:val="14"/>
                <w:lang w:eastAsia="en-US"/>
              </w:rPr>
              <w:t xml:space="preserve"> </w:t>
            </w:r>
            <w:r w:rsidRPr="00A57ABC">
              <w:rPr>
                <w:rFonts w:eastAsiaTheme="minorHAnsi"/>
                <w:sz w:val="14"/>
                <w:szCs w:val="14"/>
                <w:lang w:eastAsia="en-US"/>
              </w:rPr>
              <w:t>Hondo</w:t>
            </w:r>
          </w:p>
        </w:tc>
        <w:tc>
          <w:tcPr>
            <w:tcW w:w="716" w:type="pct"/>
            <w:vAlign w:val="center"/>
          </w:tcPr>
          <w:p w14:paraId="7281178D"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306D4F9B" w14:textId="77777777" w:rsidTr="005105AC">
        <w:trPr>
          <w:trHeight w:val="467"/>
          <w:jc w:val="center"/>
        </w:trPr>
        <w:tc>
          <w:tcPr>
            <w:tcW w:w="1367" w:type="pct"/>
            <w:vAlign w:val="center"/>
          </w:tcPr>
          <w:p w14:paraId="2AD0CF41" w14:textId="77777777" w:rsidR="00C36261" w:rsidRPr="001D68AB" w:rsidRDefault="00C36261" w:rsidP="00624091">
            <w:pPr>
              <w:widowControl w:val="0"/>
              <w:ind w:left="24"/>
              <w:jc w:val="center"/>
              <w:rPr>
                <w:rFonts w:eastAsiaTheme="minorHAnsi"/>
                <w:sz w:val="14"/>
                <w:szCs w:val="14"/>
                <w:lang w:eastAsia="en-US"/>
              </w:rPr>
            </w:pPr>
            <w:r w:rsidRPr="001D68AB">
              <w:rPr>
                <w:rFonts w:eastAsiaTheme="minorHAnsi"/>
                <w:sz w:val="14"/>
                <w:szCs w:val="14"/>
                <w:lang w:eastAsia="en-US"/>
              </w:rPr>
              <w:t>JADE</w:t>
            </w:r>
            <w:r w:rsidRPr="001D68AB">
              <w:rPr>
                <w:rFonts w:eastAsiaTheme="minorHAnsi"/>
                <w:spacing w:val="-1"/>
                <w:sz w:val="14"/>
                <w:szCs w:val="14"/>
                <w:lang w:eastAsia="en-US"/>
              </w:rPr>
              <w:t xml:space="preserve"> </w:t>
            </w:r>
            <w:r w:rsidRPr="001D68AB">
              <w:rPr>
                <w:rFonts w:eastAsiaTheme="minorHAnsi"/>
                <w:sz w:val="14"/>
                <w:szCs w:val="14"/>
                <w:lang w:eastAsia="en-US"/>
              </w:rPr>
              <w:t>JADEITA</w:t>
            </w:r>
          </w:p>
        </w:tc>
        <w:tc>
          <w:tcPr>
            <w:tcW w:w="613" w:type="pct"/>
            <w:vAlign w:val="center"/>
          </w:tcPr>
          <w:p w14:paraId="03016725" w14:textId="77777777" w:rsidR="00C36261" w:rsidRPr="001D68AB" w:rsidRDefault="00C36261" w:rsidP="00624091">
            <w:pPr>
              <w:widowControl w:val="0"/>
              <w:ind w:left="30" w:right="2"/>
              <w:jc w:val="center"/>
              <w:rPr>
                <w:rFonts w:eastAsiaTheme="minorHAnsi"/>
                <w:sz w:val="14"/>
                <w:szCs w:val="14"/>
                <w:lang w:eastAsia="en-US"/>
              </w:rPr>
            </w:pPr>
            <w:r w:rsidRPr="001D68AB">
              <w:rPr>
                <w:rFonts w:eastAsiaTheme="minorHAnsi"/>
                <w:sz w:val="14"/>
                <w:szCs w:val="14"/>
                <w:lang w:eastAsia="en-US"/>
              </w:rPr>
              <w:t>7/06/2014</w:t>
            </w:r>
          </w:p>
        </w:tc>
        <w:tc>
          <w:tcPr>
            <w:tcW w:w="625" w:type="pct"/>
            <w:vAlign w:val="center"/>
          </w:tcPr>
          <w:p w14:paraId="665CD4B2"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6/06/2039</w:t>
            </w:r>
          </w:p>
        </w:tc>
        <w:tc>
          <w:tcPr>
            <w:tcW w:w="306" w:type="pct"/>
            <w:vAlign w:val="center"/>
          </w:tcPr>
          <w:p w14:paraId="6CD7053A"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FF07550"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JADE (JADEITITA,</w:t>
            </w:r>
            <w:r w:rsidRPr="00A57ABC">
              <w:rPr>
                <w:rFonts w:eastAsiaTheme="minorHAnsi"/>
                <w:spacing w:val="-34"/>
                <w:sz w:val="14"/>
                <w:szCs w:val="14"/>
                <w:lang w:eastAsia="en-US"/>
              </w:rPr>
              <w:t xml:space="preserve"> </w:t>
            </w:r>
            <w:r w:rsidRPr="00A57ABC">
              <w:rPr>
                <w:rFonts w:eastAsiaTheme="minorHAnsi"/>
                <w:sz w:val="14"/>
                <w:szCs w:val="14"/>
                <w:lang w:eastAsia="en-US"/>
              </w:rPr>
              <w:t>ONFACITITA,</w:t>
            </w:r>
            <w:r w:rsidRPr="00A57ABC">
              <w:rPr>
                <w:rFonts w:eastAsiaTheme="minorHAnsi"/>
                <w:spacing w:val="1"/>
                <w:sz w:val="14"/>
                <w:szCs w:val="14"/>
                <w:lang w:eastAsia="en-US"/>
              </w:rPr>
              <w:t xml:space="preserve"> </w:t>
            </w:r>
            <w:r w:rsidRPr="00A57ABC">
              <w:rPr>
                <w:rFonts w:eastAsiaTheme="minorHAnsi"/>
                <w:sz w:val="14"/>
                <w:szCs w:val="14"/>
                <w:lang w:eastAsia="en-US"/>
              </w:rPr>
              <w:t>METABASITA)</w:t>
            </w:r>
          </w:p>
        </w:tc>
        <w:tc>
          <w:tcPr>
            <w:tcW w:w="589" w:type="pct"/>
            <w:vAlign w:val="center"/>
          </w:tcPr>
          <w:p w14:paraId="7482B47D" w14:textId="77777777" w:rsidR="00C36261" w:rsidRPr="00A57ABC" w:rsidRDefault="00C36261" w:rsidP="00624091">
            <w:pPr>
              <w:widowControl w:val="0"/>
              <w:ind w:left="38" w:right="2"/>
              <w:jc w:val="center"/>
              <w:rPr>
                <w:rFonts w:eastAsiaTheme="minorHAnsi"/>
                <w:sz w:val="14"/>
                <w:szCs w:val="14"/>
                <w:lang w:eastAsia="en-US"/>
              </w:rPr>
            </w:pPr>
            <w:proofErr w:type="spellStart"/>
            <w:r w:rsidRPr="00A57ABC">
              <w:rPr>
                <w:rFonts w:eastAsiaTheme="minorHAnsi"/>
                <w:sz w:val="14"/>
                <w:szCs w:val="14"/>
                <w:lang w:eastAsia="en-US"/>
              </w:rPr>
              <w:t>Usumatlan</w:t>
            </w:r>
            <w:proofErr w:type="spellEnd"/>
          </w:p>
        </w:tc>
        <w:tc>
          <w:tcPr>
            <w:tcW w:w="716" w:type="pct"/>
            <w:vAlign w:val="center"/>
          </w:tcPr>
          <w:p w14:paraId="6FBFE97D"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4F6347B3" w14:textId="77777777" w:rsidTr="005105AC">
        <w:trPr>
          <w:trHeight w:val="146"/>
          <w:jc w:val="center"/>
        </w:trPr>
        <w:tc>
          <w:tcPr>
            <w:tcW w:w="1367" w:type="pct"/>
            <w:vAlign w:val="center"/>
          </w:tcPr>
          <w:p w14:paraId="79BC6BF6"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LA MARIA</w:t>
            </w:r>
          </w:p>
        </w:tc>
        <w:tc>
          <w:tcPr>
            <w:tcW w:w="613" w:type="pct"/>
            <w:vAlign w:val="center"/>
          </w:tcPr>
          <w:p w14:paraId="650620ED"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20/07/1999</w:t>
            </w:r>
          </w:p>
        </w:tc>
        <w:tc>
          <w:tcPr>
            <w:tcW w:w="625" w:type="pct"/>
            <w:vAlign w:val="center"/>
          </w:tcPr>
          <w:p w14:paraId="640AAECF"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19/07/2024</w:t>
            </w:r>
          </w:p>
        </w:tc>
        <w:tc>
          <w:tcPr>
            <w:tcW w:w="306" w:type="pct"/>
            <w:vAlign w:val="center"/>
          </w:tcPr>
          <w:p w14:paraId="42FB983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90C2CA2" w14:textId="77777777" w:rsidR="00C36261" w:rsidRPr="00A57ABC" w:rsidRDefault="00C36261" w:rsidP="00624091">
            <w:pPr>
              <w:widowControl w:val="0"/>
              <w:ind w:left="67" w:right="8" w:hanging="17"/>
              <w:jc w:val="center"/>
              <w:rPr>
                <w:rFonts w:eastAsiaTheme="minorHAnsi"/>
                <w:sz w:val="14"/>
                <w:szCs w:val="14"/>
                <w:lang w:val="es-GT" w:eastAsia="en-US"/>
              </w:rPr>
            </w:pPr>
            <w:r w:rsidRPr="00A57ABC">
              <w:rPr>
                <w:rFonts w:eastAsiaTheme="minorHAnsi"/>
                <w:sz w:val="14"/>
                <w:szCs w:val="14"/>
                <w:lang w:val="es-GT" w:eastAsia="en-US"/>
              </w:rPr>
              <w:t>JADEITA, NEFRITA</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Y</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CUARZO</w:t>
            </w:r>
            <w:r w:rsidRPr="00A57ABC">
              <w:rPr>
                <w:rFonts w:eastAsiaTheme="minorHAnsi"/>
                <w:spacing w:val="-2"/>
                <w:sz w:val="14"/>
                <w:szCs w:val="14"/>
                <w:lang w:val="es-GT" w:eastAsia="en-US"/>
              </w:rPr>
              <w:t xml:space="preserve"> </w:t>
            </w:r>
            <w:r w:rsidRPr="00A57ABC">
              <w:rPr>
                <w:rFonts w:eastAsiaTheme="minorHAnsi"/>
                <w:sz w:val="14"/>
                <w:szCs w:val="14"/>
                <w:lang w:val="es-GT" w:eastAsia="en-US"/>
              </w:rPr>
              <w:t>VERDE</w:t>
            </w:r>
          </w:p>
        </w:tc>
        <w:tc>
          <w:tcPr>
            <w:tcW w:w="589" w:type="pct"/>
            <w:vAlign w:val="center"/>
          </w:tcPr>
          <w:p w14:paraId="25E73E8B" w14:textId="77777777" w:rsidR="00C36261" w:rsidRPr="00A57ABC" w:rsidRDefault="00C36261" w:rsidP="00624091">
            <w:pPr>
              <w:widowControl w:val="0"/>
              <w:ind w:left="38" w:right="2"/>
              <w:jc w:val="center"/>
              <w:rPr>
                <w:rFonts w:eastAsiaTheme="minorHAnsi"/>
                <w:sz w:val="14"/>
                <w:szCs w:val="14"/>
                <w:lang w:eastAsia="en-US"/>
              </w:rPr>
            </w:pPr>
            <w:proofErr w:type="spellStart"/>
            <w:r w:rsidRPr="00A57ABC">
              <w:rPr>
                <w:rFonts w:eastAsiaTheme="minorHAnsi"/>
                <w:sz w:val="14"/>
                <w:szCs w:val="14"/>
                <w:lang w:eastAsia="en-US"/>
              </w:rPr>
              <w:t>Usumatlan</w:t>
            </w:r>
            <w:proofErr w:type="spellEnd"/>
          </w:p>
        </w:tc>
        <w:tc>
          <w:tcPr>
            <w:tcW w:w="716" w:type="pct"/>
            <w:vAlign w:val="center"/>
          </w:tcPr>
          <w:p w14:paraId="307D3B93"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29A5EBE0" w14:textId="77777777" w:rsidTr="005105AC">
        <w:trPr>
          <w:trHeight w:val="222"/>
          <w:jc w:val="center"/>
        </w:trPr>
        <w:tc>
          <w:tcPr>
            <w:tcW w:w="1367" w:type="pct"/>
            <w:vAlign w:val="center"/>
          </w:tcPr>
          <w:p w14:paraId="2EC27AF1" w14:textId="77777777" w:rsidR="00C36261" w:rsidRPr="00A57ABC" w:rsidRDefault="00C36261" w:rsidP="00624091">
            <w:pPr>
              <w:widowControl w:val="0"/>
              <w:ind w:left="22"/>
              <w:jc w:val="center"/>
              <w:rPr>
                <w:rFonts w:eastAsiaTheme="minorHAnsi"/>
                <w:sz w:val="14"/>
                <w:szCs w:val="14"/>
                <w:lang w:val="es-GT" w:eastAsia="en-US"/>
              </w:rPr>
            </w:pPr>
            <w:r w:rsidRPr="00A57ABC">
              <w:rPr>
                <w:rFonts w:eastAsiaTheme="minorHAnsi"/>
                <w:sz w:val="14"/>
                <w:szCs w:val="14"/>
                <w:lang w:val="es-GT" w:eastAsia="en-US"/>
              </w:rPr>
              <w:t>LOS</w:t>
            </w:r>
            <w:r w:rsidRPr="00A57ABC">
              <w:rPr>
                <w:rFonts w:eastAsiaTheme="minorHAnsi"/>
                <w:spacing w:val="-2"/>
                <w:sz w:val="14"/>
                <w:szCs w:val="14"/>
                <w:lang w:val="es-GT" w:eastAsia="en-US"/>
              </w:rPr>
              <w:t xml:space="preserve"> </w:t>
            </w:r>
            <w:r w:rsidRPr="00A57ABC">
              <w:rPr>
                <w:rFonts w:eastAsiaTheme="minorHAnsi"/>
                <w:sz w:val="14"/>
                <w:szCs w:val="14"/>
                <w:lang w:val="es-GT" w:eastAsia="en-US"/>
              </w:rPr>
              <w:t>CLAVELES</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w:t>
            </w:r>
          </w:p>
          <w:p w14:paraId="75F32C04" w14:textId="77777777" w:rsidR="00C36261" w:rsidRPr="00A57ABC" w:rsidRDefault="00C36261" w:rsidP="00624091">
            <w:pPr>
              <w:widowControl w:val="0"/>
              <w:ind w:left="25"/>
              <w:jc w:val="center"/>
              <w:rPr>
                <w:rFonts w:eastAsiaTheme="minorHAnsi"/>
                <w:sz w:val="14"/>
                <w:szCs w:val="14"/>
                <w:lang w:val="es-GT" w:eastAsia="en-US"/>
              </w:rPr>
            </w:pPr>
            <w:r w:rsidRPr="00A57ABC">
              <w:rPr>
                <w:rFonts w:eastAsiaTheme="minorHAnsi"/>
                <w:sz w:val="14"/>
                <w:szCs w:val="14"/>
                <w:lang w:val="es-GT" w:eastAsia="en-US"/>
              </w:rPr>
              <w:t>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RAFAEL</w:t>
            </w:r>
          </w:p>
        </w:tc>
        <w:tc>
          <w:tcPr>
            <w:tcW w:w="613" w:type="pct"/>
            <w:vAlign w:val="center"/>
          </w:tcPr>
          <w:p w14:paraId="0CEC85B3"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26/10/1999</w:t>
            </w:r>
          </w:p>
        </w:tc>
        <w:tc>
          <w:tcPr>
            <w:tcW w:w="625" w:type="pct"/>
            <w:vAlign w:val="center"/>
          </w:tcPr>
          <w:p w14:paraId="68D1DB66"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25/10/2024</w:t>
            </w:r>
          </w:p>
        </w:tc>
        <w:tc>
          <w:tcPr>
            <w:tcW w:w="306" w:type="pct"/>
            <w:vAlign w:val="center"/>
          </w:tcPr>
          <w:p w14:paraId="55DABAC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33D8079"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CALIZA</w:t>
            </w:r>
          </w:p>
          <w:p w14:paraId="297683AA" w14:textId="77777777" w:rsidR="00C36261" w:rsidRPr="00A57ABC" w:rsidRDefault="00C36261" w:rsidP="00624091">
            <w:pPr>
              <w:widowControl w:val="0"/>
              <w:ind w:left="34"/>
              <w:jc w:val="center"/>
              <w:rPr>
                <w:rFonts w:eastAsiaTheme="minorHAnsi"/>
                <w:sz w:val="14"/>
                <w:szCs w:val="14"/>
                <w:lang w:eastAsia="en-US"/>
              </w:rPr>
            </w:pPr>
            <w:r w:rsidRPr="00A57ABC">
              <w:rPr>
                <w:rFonts w:eastAsiaTheme="minorHAnsi"/>
                <w:sz w:val="14"/>
                <w:szCs w:val="14"/>
                <w:lang w:eastAsia="en-US"/>
              </w:rPr>
              <w:t>MARMOLIZADA</w:t>
            </w:r>
          </w:p>
        </w:tc>
        <w:tc>
          <w:tcPr>
            <w:tcW w:w="589" w:type="pct"/>
            <w:vAlign w:val="center"/>
          </w:tcPr>
          <w:p w14:paraId="42A5E534" w14:textId="77777777" w:rsidR="00C36261" w:rsidRPr="00A57ABC" w:rsidRDefault="00C36261" w:rsidP="00624091">
            <w:pPr>
              <w:widowControl w:val="0"/>
              <w:ind w:left="38" w:right="2"/>
              <w:jc w:val="center"/>
              <w:rPr>
                <w:rFonts w:eastAsiaTheme="minorHAnsi"/>
                <w:sz w:val="14"/>
                <w:szCs w:val="14"/>
                <w:lang w:eastAsia="en-US"/>
              </w:rPr>
            </w:pPr>
            <w:proofErr w:type="spellStart"/>
            <w:r w:rsidRPr="00A57ABC">
              <w:rPr>
                <w:rFonts w:eastAsiaTheme="minorHAnsi"/>
                <w:sz w:val="14"/>
                <w:szCs w:val="14"/>
                <w:lang w:eastAsia="en-US"/>
              </w:rPr>
              <w:t>Gualan</w:t>
            </w:r>
            <w:proofErr w:type="spellEnd"/>
          </w:p>
        </w:tc>
        <w:tc>
          <w:tcPr>
            <w:tcW w:w="716" w:type="pct"/>
            <w:vAlign w:val="center"/>
          </w:tcPr>
          <w:p w14:paraId="7156CA90"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68ACD744" w14:textId="77777777" w:rsidTr="005105AC">
        <w:trPr>
          <w:trHeight w:val="170"/>
          <w:jc w:val="center"/>
        </w:trPr>
        <w:tc>
          <w:tcPr>
            <w:tcW w:w="1367" w:type="pct"/>
            <w:vAlign w:val="center"/>
          </w:tcPr>
          <w:p w14:paraId="6592B1E9"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OJO</w:t>
            </w:r>
            <w:r w:rsidRPr="00A57ABC">
              <w:rPr>
                <w:rFonts w:eastAsiaTheme="minorHAnsi"/>
                <w:spacing w:val="-1"/>
                <w:sz w:val="14"/>
                <w:szCs w:val="14"/>
                <w:lang w:eastAsia="en-US"/>
              </w:rPr>
              <w:t xml:space="preserve"> </w:t>
            </w:r>
            <w:r w:rsidRPr="00A57ABC">
              <w:rPr>
                <w:rFonts w:eastAsiaTheme="minorHAnsi"/>
                <w:sz w:val="14"/>
                <w:szCs w:val="14"/>
                <w:lang w:eastAsia="en-US"/>
              </w:rPr>
              <w:t>DE AGUA II</w:t>
            </w:r>
          </w:p>
        </w:tc>
        <w:tc>
          <w:tcPr>
            <w:tcW w:w="613" w:type="pct"/>
            <w:vAlign w:val="center"/>
          </w:tcPr>
          <w:p w14:paraId="2F968645"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25/01/2005</w:t>
            </w:r>
          </w:p>
        </w:tc>
        <w:tc>
          <w:tcPr>
            <w:tcW w:w="625" w:type="pct"/>
            <w:vAlign w:val="center"/>
          </w:tcPr>
          <w:p w14:paraId="5ACB081C" w14:textId="77777777" w:rsidR="00C36261" w:rsidRPr="00A57ABC" w:rsidRDefault="00C36261" w:rsidP="00624091">
            <w:pPr>
              <w:widowControl w:val="0"/>
              <w:ind w:left="32" w:right="2"/>
              <w:jc w:val="center"/>
              <w:rPr>
                <w:rFonts w:eastAsiaTheme="minorHAnsi"/>
                <w:sz w:val="14"/>
                <w:szCs w:val="14"/>
                <w:lang w:eastAsia="en-US"/>
              </w:rPr>
            </w:pPr>
            <w:r w:rsidRPr="00A57ABC">
              <w:rPr>
                <w:rFonts w:eastAsiaTheme="minorHAnsi"/>
                <w:sz w:val="14"/>
                <w:szCs w:val="14"/>
                <w:lang w:eastAsia="en-US"/>
              </w:rPr>
              <w:t>24/01/2030</w:t>
            </w:r>
          </w:p>
        </w:tc>
        <w:tc>
          <w:tcPr>
            <w:tcW w:w="306" w:type="pct"/>
            <w:vAlign w:val="center"/>
          </w:tcPr>
          <w:p w14:paraId="1ED6631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21A38D6C" w14:textId="77777777" w:rsidR="00C36261" w:rsidRPr="00A57ABC" w:rsidRDefault="00C36261" w:rsidP="00624091">
            <w:pPr>
              <w:widowControl w:val="0"/>
              <w:ind w:left="208" w:right="159" w:firstLine="141"/>
              <w:jc w:val="center"/>
              <w:rPr>
                <w:rFonts w:eastAsiaTheme="minorHAnsi"/>
                <w:sz w:val="14"/>
                <w:szCs w:val="14"/>
                <w:lang w:eastAsia="en-US"/>
              </w:rPr>
            </w:pPr>
            <w:r w:rsidRPr="00A57ABC">
              <w:rPr>
                <w:rFonts w:eastAsiaTheme="minorHAnsi"/>
                <w:sz w:val="14"/>
                <w:szCs w:val="14"/>
                <w:lang w:eastAsia="en-US"/>
              </w:rPr>
              <w:t>CALIZA Y</w:t>
            </w:r>
            <w:r w:rsidRPr="00A57ABC">
              <w:rPr>
                <w:rFonts w:eastAsiaTheme="minorHAnsi"/>
                <w:spacing w:val="1"/>
                <w:sz w:val="14"/>
                <w:szCs w:val="14"/>
                <w:lang w:eastAsia="en-US"/>
              </w:rPr>
              <w:t xml:space="preserve"> </w:t>
            </w:r>
            <w:r w:rsidRPr="00A57ABC">
              <w:rPr>
                <w:rFonts w:eastAsiaTheme="minorHAnsi"/>
                <w:sz w:val="14"/>
                <w:szCs w:val="14"/>
                <w:lang w:eastAsia="en-US"/>
              </w:rPr>
              <w:t>DOLOMITICA</w:t>
            </w:r>
          </w:p>
        </w:tc>
        <w:tc>
          <w:tcPr>
            <w:tcW w:w="589" w:type="pct"/>
            <w:vAlign w:val="center"/>
          </w:tcPr>
          <w:p w14:paraId="1A6FBE63" w14:textId="77777777" w:rsidR="00C36261" w:rsidRPr="00A57ABC" w:rsidRDefault="00C36261" w:rsidP="00624091">
            <w:pPr>
              <w:widowControl w:val="0"/>
              <w:ind w:left="38" w:right="2"/>
              <w:jc w:val="center"/>
              <w:rPr>
                <w:rFonts w:eastAsiaTheme="minorHAnsi"/>
                <w:sz w:val="14"/>
                <w:szCs w:val="14"/>
                <w:lang w:eastAsia="en-US"/>
              </w:rPr>
            </w:pPr>
            <w:r w:rsidRPr="00A57ABC">
              <w:rPr>
                <w:rFonts w:eastAsiaTheme="minorHAnsi"/>
                <w:sz w:val="14"/>
                <w:szCs w:val="14"/>
                <w:lang w:eastAsia="en-US"/>
              </w:rPr>
              <w:t>Rio</w:t>
            </w:r>
            <w:r w:rsidRPr="00A57ABC">
              <w:rPr>
                <w:rFonts w:eastAsiaTheme="minorHAnsi"/>
                <w:spacing w:val="-2"/>
                <w:sz w:val="14"/>
                <w:szCs w:val="14"/>
                <w:lang w:eastAsia="en-US"/>
              </w:rPr>
              <w:t xml:space="preserve"> </w:t>
            </w:r>
            <w:r w:rsidRPr="00A57ABC">
              <w:rPr>
                <w:rFonts w:eastAsiaTheme="minorHAnsi"/>
                <w:sz w:val="14"/>
                <w:szCs w:val="14"/>
                <w:lang w:eastAsia="en-US"/>
              </w:rPr>
              <w:t>Hondo</w:t>
            </w:r>
          </w:p>
        </w:tc>
        <w:tc>
          <w:tcPr>
            <w:tcW w:w="716" w:type="pct"/>
            <w:vAlign w:val="center"/>
          </w:tcPr>
          <w:p w14:paraId="0D7F5357" w14:textId="77777777" w:rsidR="00C36261" w:rsidRPr="00A57ABC" w:rsidRDefault="00C36261" w:rsidP="00624091">
            <w:pPr>
              <w:widowControl w:val="0"/>
              <w:ind w:left="33"/>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056BC291" w14:textId="77777777" w:rsidTr="005105AC">
        <w:trPr>
          <w:trHeight w:val="104"/>
          <w:jc w:val="center"/>
        </w:trPr>
        <w:tc>
          <w:tcPr>
            <w:tcW w:w="1367" w:type="pct"/>
            <w:vAlign w:val="center"/>
          </w:tcPr>
          <w:p w14:paraId="15996710"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PIEDRINERA SOSA</w:t>
            </w:r>
          </w:p>
        </w:tc>
        <w:tc>
          <w:tcPr>
            <w:tcW w:w="613" w:type="pct"/>
            <w:vAlign w:val="center"/>
          </w:tcPr>
          <w:p w14:paraId="3CEF1ABF"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4/09/2012</w:t>
            </w:r>
          </w:p>
        </w:tc>
        <w:tc>
          <w:tcPr>
            <w:tcW w:w="625" w:type="pct"/>
            <w:vAlign w:val="center"/>
          </w:tcPr>
          <w:p w14:paraId="621303E2" w14:textId="77777777" w:rsidR="00C36261" w:rsidRPr="00A57ABC" w:rsidRDefault="00C36261" w:rsidP="00624091">
            <w:pPr>
              <w:widowControl w:val="0"/>
              <w:ind w:left="285"/>
              <w:rPr>
                <w:rFonts w:eastAsiaTheme="minorHAnsi"/>
                <w:sz w:val="14"/>
                <w:szCs w:val="14"/>
                <w:lang w:eastAsia="en-US"/>
              </w:rPr>
            </w:pPr>
            <w:r w:rsidRPr="00A57ABC">
              <w:rPr>
                <w:rFonts w:eastAsiaTheme="minorHAnsi"/>
                <w:sz w:val="14"/>
                <w:szCs w:val="14"/>
                <w:lang w:eastAsia="en-US"/>
              </w:rPr>
              <w:t>3/09/2037</w:t>
            </w:r>
          </w:p>
        </w:tc>
        <w:tc>
          <w:tcPr>
            <w:tcW w:w="306" w:type="pct"/>
            <w:vAlign w:val="center"/>
          </w:tcPr>
          <w:p w14:paraId="33776E34"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07CB95A3" w14:textId="77777777" w:rsidR="00C36261" w:rsidRPr="00A57ABC" w:rsidRDefault="00C36261" w:rsidP="00624091">
            <w:pPr>
              <w:widowControl w:val="0"/>
              <w:ind w:left="35"/>
              <w:jc w:val="center"/>
              <w:rPr>
                <w:rFonts w:eastAsiaTheme="minorHAnsi"/>
                <w:sz w:val="14"/>
                <w:szCs w:val="14"/>
                <w:lang w:val="es-GT" w:eastAsia="en-US"/>
              </w:rPr>
            </w:pPr>
            <w:r w:rsidRPr="00A57ABC">
              <w:rPr>
                <w:rFonts w:eastAsiaTheme="minorHAnsi"/>
                <w:spacing w:val="-1"/>
                <w:sz w:val="14"/>
                <w:szCs w:val="14"/>
                <w:lang w:val="es-GT" w:eastAsia="en-US"/>
              </w:rPr>
              <w:t xml:space="preserve">Canto </w:t>
            </w:r>
            <w:r w:rsidRPr="00A57ABC">
              <w:rPr>
                <w:rFonts w:eastAsiaTheme="minorHAnsi"/>
                <w:sz w:val="14"/>
                <w:szCs w:val="14"/>
                <w:lang w:val="es-GT" w:eastAsia="en-US"/>
              </w:rPr>
              <w:t>Rodado,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Grava Y Arena</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De</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Rio</w:t>
            </w:r>
          </w:p>
        </w:tc>
        <w:tc>
          <w:tcPr>
            <w:tcW w:w="589" w:type="pct"/>
            <w:vAlign w:val="center"/>
          </w:tcPr>
          <w:p w14:paraId="13BDF823" w14:textId="77777777" w:rsidR="00C36261" w:rsidRPr="00A57ABC" w:rsidRDefault="00C36261" w:rsidP="00624091">
            <w:pPr>
              <w:widowControl w:val="0"/>
              <w:ind w:left="372"/>
              <w:jc w:val="center"/>
              <w:rPr>
                <w:rFonts w:eastAsiaTheme="minorHAnsi"/>
                <w:sz w:val="14"/>
                <w:szCs w:val="14"/>
                <w:lang w:eastAsia="en-US"/>
              </w:rPr>
            </w:pPr>
            <w:r w:rsidRPr="00A57ABC">
              <w:rPr>
                <w:rFonts w:eastAsiaTheme="minorHAnsi"/>
                <w:sz w:val="14"/>
                <w:szCs w:val="14"/>
                <w:lang w:eastAsia="en-US"/>
              </w:rPr>
              <w:t>Zacapa</w:t>
            </w:r>
          </w:p>
        </w:tc>
        <w:tc>
          <w:tcPr>
            <w:tcW w:w="716" w:type="pct"/>
            <w:vAlign w:val="center"/>
          </w:tcPr>
          <w:p w14:paraId="62F5A946" w14:textId="77777777" w:rsidR="00C36261" w:rsidRPr="00A57ABC" w:rsidRDefault="00C36261" w:rsidP="00624091">
            <w:pPr>
              <w:widowControl w:val="0"/>
              <w:ind w:left="420"/>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5485AB0D" w14:textId="77777777" w:rsidTr="005105AC">
        <w:trPr>
          <w:trHeight w:val="53"/>
          <w:jc w:val="center"/>
        </w:trPr>
        <w:tc>
          <w:tcPr>
            <w:tcW w:w="1367" w:type="pct"/>
            <w:vAlign w:val="center"/>
          </w:tcPr>
          <w:p w14:paraId="1213E9E1" w14:textId="77777777" w:rsidR="00C36261" w:rsidRPr="00A57ABC" w:rsidRDefault="00C36261" w:rsidP="00624091">
            <w:pPr>
              <w:widowControl w:val="0"/>
              <w:ind w:left="26"/>
              <w:jc w:val="center"/>
              <w:rPr>
                <w:rFonts w:eastAsiaTheme="minorHAnsi"/>
                <w:sz w:val="14"/>
                <w:szCs w:val="14"/>
                <w:lang w:eastAsia="en-US"/>
              </w:rPr>
            </w:pPr>
            <w:r w:rsidRPr="00A57ABC">
              <w:rPr>
                <w:rFonts w:eastAsiaTheme="minorHAnsi"/>
                <w:sz w:val="14"/>
                <w:szCs w:val="14"/>
                <w:lang w:eastAsia="en-US"/>
              </w:rPr>
              <w:t>PROYECTO</w:t>
            </w:r>
          </w:p>
          <w:p w14:paraId="21000EDE" w14:textId="77777777" w:rsidR="00C36261" w:rsidRPr="00A57ABC" w:rsidRDefault="00C36261" w:rsidP="00624091">
            <w:pPr>
              <w:widowControl w:val="0"/>
              <w:ind w:left="28"/>
              <w:jc w:val="center"/>
              <w:rPr>
                <w:rFonts w:eastAsiaTheme="minorHAnsi"/>
                <w:sz w:val="14"/>
                <w:szCs w:val="14"/>
                <w:lang w:eastAsia="en-US"/>
              </w:rPr>
            </w:pPr>
            <w:r w:rsidRPr="00A57ABC">
              <w:rPr>
                <w:rFonts w:eastAsiaTheme="minorHAnsi"/>
                <w:spacing w:val="-1"/>
                <w:sz w:val="14"/>
                <w:szCs w:val="14"/>
                <w:lang w:eastAsia="en-US"/>
              </w:rPr>
              <w:t xml:space="preserve">MINERO </w:t>
            </w:r>
            <w:r w:rsidRPr="00A57ABC">
              <w:rPr>
                <w:rFonts w:eastAsiaTheme="minorHAnsi"/>
                <w:sz w:val="14"/>
                <w:szCs w:val="14"/>
                <w:lang w:eastAsia="en-US"/>
              </w:rPr>
              <w:t>CERRO</w:t>
            </w:r>
            <w:r w:rsidRPr="00A57ABC">
              <w:rPr>
                <w:rFonts w:eastAsiaTheme="minorHAnsi"/>
                <w:spacing w:val="-34"/>
                <w:sz w:val="14"/>
                <w:szCs w:val="14"/>
                <w:lang w:eastAsia="en-US"/>
              </w:rPr>
              <w:t xml:space="preserve"> </w:t>
            </w:r>
            <w:r w:rsidRPr="00A57ABC">
              <w:rPr>
                <w:rFonts w:eastAsiaTheme="minorHAnsi"/>
                <w:sz w:val="14"/>
                <w:szCs w:val="14"/>
                <w:lang w:eastAsia="en-US"/>
              </w:rPr>
              <w:t>COLORADO</w:t>
            </w:r>
          </w:p>
        </w:tc>
        <w:tc>
          <w:tcPr>
            <w:tcW w:w="613" w:type="pct"/>
            <w:vAlign w:val="center"/>
          </w:tcPr>
          <w:p w14:paraId="35EF710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21/11/2007</w:t>
            </w:r>
          </w:p>
        </w:tc>
        <w:tc>
          <w:tcPr>
            <w:tcW w:w="625" w:type="pct"/>
            <w:vAlign w:val="center"/>
          </w:tcPr>
          <w:p w14:paraId="6AF887F5"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20/11/2032</w:t>
            </w:r>
          </w:p>
        </w:tc>
        <w:tc>
          <w:tcPr>
            <w:tcW w:w="306" w:type="pct"/>
            <w:vAlign w:val="center"/>
          </w:tcPr>
          <w:p w14:paraId="0B1ECAD7"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758524D" w14:textId="77777777" w:rsidR="00C36261" w:rsidRPr="00A57ABC" w:rsidRDefault="00C36261" w:rsidP="00624091">
            <w:pPr>
              <w:widowControl w:val="0"/>
              <w:ind w:left="326" w:right="-5" w:hanging="284"/>
              <w:jc w:val="center"/>
              <w:rPr>
                <w:rFonts w:eastAsiaTheme="minorHAnsi"/>
                <w:sz w:val="14"/>
                <w:szCs w:val="14"/>
                <w:lang w:val="es-GT" w:eastAsia="en-US"/>
              </w:rPr>
            </w:pPr>
            <w:r w:rsidRPr="00A57ABC">
              <w:rPr>
                <w:rFonts w:eastAsiaTheme="minorHAnsi"/>
                <w:sz w:val="14"/>
                <w:szCs w:val="14"/>
                <w:lang w:val="es-GT" w:eastAsia="en-US"/>
              </w:rPr>
              <w:t>Óxido De Hierro</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 xml:space="preserve">Y </w:t>
            </w:r>
            <w:proofErr w:type="spellStart"/>
            <w:r w:rsidRPr="00A57ABC">
              <w:rPr>
                <w:rFonts w:eastAsiaTheme="minorHAnsi"/>
                <w:sz w:val="14"/>
                <w:szCs w:val="14"/>
                <w:lang w:val="es-GT" w:eastAsia="en-US"/>
              </w:rPr>
              <w:t>Niquel</w:t>
            </w:r>
            <w:proofErr w:type="spellEnd"/>
          </w:p>
        </w:tc>
        <w:tc>
          <w:tcPr>
            <w:tcW w:w="589" w:type="pct"/>
            <w:vAlign w:val="center"/>
          </w:tcPr>
          <w:p w14:paraId="69EF86F9" w14:textId="77777777" w:rsidR="00C36261" w:rsidRPr="00A57ABC" w:rsidRDefault="00C36261" w:rsidP="00624091">
            <w:pPr>
              <w:widowControl w:val="0"/>
              <w:ind w:left="355"/>
              <w:jc w:val="center"/>
              <w:rPr>
                <w:rFonts w:eastAsiaTheme="minorHAnsi"/>
                <w:sz w:val="14"/>
                <w:szCs w:val="14"/>
                <w:lang w:eastAsia="en-US"/>
              </w:rPr>
            </w:pPr>
            <w:proofErr w:type="spellStart"/>
            <w:r w:rsidRPr="00A57ABC">
              <w:rPr>
                <w:rFonts w:eastAsiaTheme="minorHAnsi"/>
                <w:sz w:val="14"/>
                <w:szCs w:val="14"/>
                <w:lang w:eastAsia="en-US"/>
              </w:rPr>
              <w:t>Gualan</w:t>
            </w:r>
            <w:proofErr w:type="spellEnd"/>
          </w:p>
        </w:tc>
        <w:tc>
          <w:tcPr>
            <w:tcW w:w="716" w:type="pct"/>
            <w:vAlign w:val="center"/>
          </w:tcPr>
          <w:p w14:paraId="6D579896" w14:textId="77777777" w:rsidR="00C36261" w:rsidRPr="00A57ABC" w:rsidRDefault="00C36261" w:rsidP="00624091">
            <w:pPr>
              <w:widowControl w:val="0"/>
              <w:ind w:left="420"/>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11A63ED9" w14:textId="77777777" w:rsidTr="005105AC">
        <w:trPr>
          <w:trHeight w:val="117"/>
          <w:jc w:val="center"/>
        </w:trPr>
        <w:tc>
          <w:tcPr>
            <w:tcW w:w="1367" w:type="pct"/>
            <w:vAlign w:val="center"/>
          </w:tcPr>
          <w:p w14:paraId="2EF93E49" w14:textId="77777777" w:rsidR="00C36261" w:rsidRPr="00A57ABC" w:rsidRDefault="00C36261" w:rsidP="00624091">
            <w:pPr>
              <w:widowControl w:val="0"/>
              <w:ind w:left="22"/>
              <w:jc w:val="center"/>
              <w:rPr>
                <w:rFonts w:eastAsiaTheme="minorHAnsi"/>
                <w:sz w:val="14"/>
                <w:szCs w:val="14"/>
                <w:lang w:eastAsia="en-US"/>
              </w:rPr>
            </w:pPr>
            <w:r w:rsidRPr="00A57ABC">
              <w:rPr>
                <w:rFonts w:eastAsiaTheme="minorHAnsi"/>
                <w:sz w:val="14"/>
                <w:szCs w:val="14"/>
                <w:lang w:eastAsia="en-US"/>
              </w:rPr>
              <w:t>RAQUELITA</w:t>
            </w:r>
            <w:r w:rsidRPr="00A57ABC">
              <w:rPr>
                <w:rFonts w:eastAsiaTheme="minorHAnsi"/>
                <w:spacing w:val="1"/>
                <w:sz w:val="14"/>
                <w:szCs w:val="14"/>
                <w:lang w:eastAsia="en-US"/>
              </w:rPr>
              <w:t xml:space="preserve"> </w:t>
            </w:r>
            <w:r w:rsidRPr="00A57ABC">
              <w:rPr>
                <w:rFonts w:eastAsiaTheme="minorHAnsi"/>
                <w:sz w:val="14"/>
                <w:szCs w:val="14"/>
                <w:lang w:eastAsia="en-US"/>
              </w:rPr>
              <w:t>III</w:t>
            </w:r>
          </w:p>
        </w:tc>
        <w:tc>
          <w:tcPr>
            <w:tcW w:w="613" w:type="pct"/>
            <w:vAlign w:val="center"/>
          </w:tcPr>
          <w:p w14:paraId="7AADCEC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28/08/2003</w:t>
            </w:r>
          </w:p>
        </w:tc>
        <w:tc>
          <w:tcPr>
            <w:tcW w:w="625" w:type="pct"/>
            <w:vAlign w:val="center"/>
          </w:tcPr>
          <w:p w14:paraId="797292D7"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27/08/2028</w:t>
            </w:r>
          </w:p>
        </w:tc>
        <w:tc>
          <w:tcPr>
            <w:tcW w:w="306" w:type="pct"/>
            <w:vAlign w:val="center"/>
          </w:tcPr>
          <w:p w14:paraId="724786FD"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3D128515" w14:textId="77777777" w:rsidR="00C36261" w:rsidRPr="00A57ABC" w:rsidRDefault="00C36261" w:rsidP="00624091">
            <w:pPr>
              <w:widowControl w:val="0"/>
              <w:ind w:left="132" w:right="96" w:hanging="1"/>
              <w:jc w:val="center"/>
              <w:rPr>
                <w:rFonts w:eastAsiaTheme="minorHAnsi"/>
                <w:sz w:val="14"/>
                <w:szCs w:val="14"/>
                <w:lang w:val="es-GT" w:eastAsia="en-US"/>
              </w:rPr>
            </w:pPr>
            <w:proofErr w:type="spellStart"/>
            <w:r w:rsidRPr="00A57ABC">
              <w:rPr>
                <w:rFonts w:eastAsiaTheme="minorHAnsi"/>
                <w:sz w:val="14"/>
                <w:szCs w:val="14"/>
                <w:lang w:val="es-GT" w:eastAsia="en-US"/>
              </w:rPr>
              <w:t>Jadeita</w:t>
            </w:r>
            <w:proofErr w:type="spellEnd"/>
            <w:r w:rsidRPr="00A57ABC">
              <w:rPr>
                <w:rFonts w:eastAsiaTheme="minorHAnsi"/>
                <w:sz w:val="14"/>
                <w:szCs w:val="14"/>
                <w:lang w:val="es-GT" w:eastAsia="en-US"/>
              </w:rPr>
              <w:t>,</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Nefrita,</w:t>
            </w:r>
            <w:r w:rsidRPr="00A57ABC">
              <w:rPr>
                <w:rFonts w:eastAsiaTheme="minorHAnsi"/>
                <w:spacing w:val="1"/>
                <w:sz w:val="14"/>
                <w:szCs w:val="14"/>
                <w:lang w:val="es-GT" w:eastAsia="en-US"/>
              </w:rPr>
              <w:t xml:space="preserve"> </w:t>
            </w:r>
            <w:proofErr w:type="spellStart"/>
            <w:r w:rsidRPr="00A57ABC">
              <w:rPr>
                <w:rFonts w:eastAsiaTheme="minorHAnsi"/>
                <w:sz w:val="14"/>
                <w:szCs w:val="14"/>
                <w:lang w:val="es-GT" w:eastAsia="en-US"/>
              </w:rPr>
              <w:t>Guatemalita</w:t>
            </w:r>
            <w:proofErr w:type="spellEnd"/>
            <w:r w:rsidRPr="00A57ABC">
              <w:rPr>
                <w:rFonts w:eastAsiaTheme="minorHAnsi"/>
                <w:sz w:val="14"/>
                <w:szCs w:val="14"/>
                <w:lang w:val="es-GT" w:eastAsia="en-US"/>
              </w:rPr>
              <w:t>,</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Feldespato,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p>
          <w:p w14:paraId="0A884322" w14:textId="77777777" w:rsidR="00C36261" w:rsidRPr="00A57ABC" w:rsidRDefault="00C36261" w:rsidP="00624091">
            <w:pPr>
              <w:widowControl w:val="0"/>
              <w:ind w:left="37"/>
              <w:jc w:val="center"/>
              <w:rPr>
                <w:rFonts w:eastAsiaTheme="minorHAnsi"/>
                <w:sz w:val="14"/>
                <w:szCs w:val="14"/>
                <w:lang w:val="es-GT" w:eastAsia="en-US"/>
              </w:rPr>
            </w:pPr>
            <w:proofErr w:type="spellStart"/>
            <w:r w:rsidRPr="00A57ABC">
              <w:rPr>
                <w:rFonts w:eastAsiaTheme="minorHAnsi"/>
                <w:sz w:val="14"/>
                <w:szCs w:val="14"/>
                <w:lang w:val="es-GT" w:eastAsia="en-US"/>
              </w:rPr>
              <w:t>Marmol</w:t>
            </w:r>
            <w:proofErr w:type="spellEnd"/>
          </w:p>
        </w:tc>
        <w:tc>
          <w:tcPr>
            <w:tcW w:w="589" w:type="pct"/>
            <w:vAlign w:val="center"/>
          </w:tcPr>
          <w:p w14:paraId="318CC9DA" w14:textId="77777777" w:rsidR="00C36261" w:rsidRPr="00A57ABC" w:rsidRDefault="00C36261" w:rsidP="00624091">
            <w:pPr>
              <w:widowControl w:val="0"/>
              <w:ind w:left="319"/>
              <w:jc w:val="center"/>
              <w:rPr>
                <w:rFonts w:eastAsiaTheme="minorHAnsi"/>
                <w:sz w:val="14"/>
                <w:szCs w:val="14"/>
                <w:lang w:eastAsia="en-US"/>
              </w:rPr>
            </w:pPr>
            <w:r w:rsidRPr="00A57ABC">
              <w:rPr>
                <w:rFonts w:eastAsiaTheme="minorHAnsi"/>
                <w:sz w:val="14"/>
                <w:szCs w:val="14"/>
                <w:lang w:eastAsia="en-US"/>
              </w:rPr>
              <w:t>Cabañas</w:t>
            </w:r>
          </w:p>
        </w:tc>
        <w:tc>
          <w:tcPr>
            <w:tcW w:w="716" w:type="pct"/>
            <w:vAlign w:val="center"/>
          </w:tcPr>
          <w:p w14:paraId="2AFB9C41" w14:textId="77777777" w:rsidR="00C36261" w:rsidRPr="00A57ABC" w:rsidRDefault="00C36261" w:rsidP="00624091">
            <w:pPr>
              <w:widowControl w:val="0"/>
              <w:ind w:left="420"/>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2B5EBB11" w14:textId="77777777" w:rsidTr="005105AC">
        <w:trPr>
          <w:trHeight w:val="43"/>
          <w:jc w:val="center"/>
        </w:trPr>
        <w:tc>
          <w:tcPr>
            <w:tcW w:w="1367" w:type="pct"/>
            <w:vAlign w:val="center"/>
          </w:tcPr>
          <w:p w14:paraId="5F114F35" w14:textId="77777777" w:rsidR="00C36261" w:rsidRPr="00A57ABC" w:rsidRDefault="00C36261" w:rsidP="00624091">
            <w:pPr>
              <w:widowControl w:val="0"/>
              <w:ind w:left="24"/>
              <w:jc w:val="center"/>
              <w:rPr>
                <w:rFonts w:eastAsiaTheme="minorHAnsi"/>
                <w:sz w:val="14"/>
                <w:szCs w:val="14"/>
                <w:lang w:eastAsia="en-US"/>
              </w:rPr>
            </w:pPr>
            <w:r w:rsidRPr="00A57ABC">
              <w:rPr>
                <w:rFonts w:eastAsiaTheme="minorHAnsi"/>
                <w:sz w:val="14"/>
                <w:szCs w:val="14"/>
                <w:lang w:eastAsia="en-US"/>
              </w:rPr>
              <w:t>SAN</w:t>
            </w:r>
            <w:r w:rsidRPr="00A57ABC">
              <w:rPr>
                <w:rFonts w:eastAsiaTheme="minorHAnsi"/>
                <w:spacing w:val="-2"/>
                <w:sz w:val="14"/>
                <w:szCs w:val="14"/>
                <w:lang w:eastAsia="en-US"/>
              </w:rPr>
              <w:t xml:space="preserve"> </w:t>
            </w:r>
            <w:r w:rsidRPr="00A57ABC">
              <w:rPr>
                <w:rFonts w:eastAsiaTheme="minorHAnsi"/>
                <w:sz w:val="14"/>
                <w:szCs w:val="14"/>
                <w:lang w:eastAsia="en-US"/>
              </w:rPr>
              <w:t>LORENZO</w:t>
            </w:r>
          </w:p>
        </w:tc>
        <w:tc>
          <w:tcPr>
            <w:tcW w:w="613" w:type="pct"/>
            <w:vAlign w:val="center"/>
          </w:tcPr>
          <w:p w14:paraId="65A5B51C"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18/03/19070</w:t>
            </w:r>
            <w:r w:rsidRPr="00A57ABC">
              <w:rPr>
                <w:rFonts w:eastAsiaTheme="minorHAnsi"/>
                <w:spacing w:val="5"/>
                <w:sz w:val="14"/>
                <w:szCs w:val="14"/>
                <w:lang w:eastAsia="en-US"/>
              </w:rPr>
              <w:t xml:space="preserve"> </w:t>
            </w:r>
            <w:r w:rsidRPr="00A57ABC">
              <w:rPr>
                <w:rFonts w:eastAsiaTheme="minorHAnsi"/>
                <w:sz w:val="14"/>
                <w:szCs w:val="14"/>
                <w:lang w:eastAsia="en-US"/>
              </w:rPr>
              <w:t>AL</w:t>
            </w:r>
          </w:p>
          <w:p w14:paraId="2121E717"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17/03/2010,</w:t>
            </w:r>
            <w:r w:rsidRPr="00A57ABC">
              <w:rPr>
                <w:rFonts w:eastAsiaTheme="minorHAnsi"/>
                <w:spacing w:val="4"/>
                <w:sz w:val="14"/>
                <w:szCs w:val="14"/>
                <w:lang w:eastAsia="en-US"/>
              </w:rPr>
              <w:t xml:space="preserve"> </w:t>
            </w:r>
            <w:r w:rsidRPr="00A57ABC">
              <w:rPr>
                <w:rFonts w:eastAsiaTheme="minorHAnsi"/>
                <w:sz w:val="14"/>
                <w:szCs w:val="14"/>
                <w:lang w:eastAsia="en-US"/>
              </w:rPr>
              <w:t>DEL</w:t>
            </w:r>
          </w:p>
          <w:p w14:paraId="2CAB10C2"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18/03/2010</w:t>
            </w:r>
            <w:r w:rsidRPr="00A57ABC">
              <w:rPr>
                <w:rFonts w:eastAsiaTheme="minorHAnsi"/>
                <w:spacing w:val="1"/>
                <w:sz w:val="14"/>
                <w:szCs w:val="14"/>
                <w:lang w:eastAsia="en-US"/>
              </w:rPr>
              <w:t xml:space="preserve"> </w:t>
            </w:r>
            <w:r w:rsidRPr="00A57ABC">
              <w:rPr>
                <w:rFonts w:eastAsiaTheme="minorHAnsi"/>
                <w:sz w:val="14"/>
                <w:szCs w:val="14"/>
                <w:lang w:eastAsia="en-US"/>
              </w:rPr>
              <w:t>AL</w:t>
            </w:r>
          </w:p>
          <w:p w14:paraId="39AEAD2E"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17/03/2035</w:t>
            </w:r>
          </w:p>
        </w:tc>
        <w:tc>
          <w:tcPr>
            <w:tcW w:w="625" w:type="pct"/>
            <w:vAlign w:val="center"/>
          </w:tcPr>
          <w:p w14:paraId="1579932A"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17/03/2035</w:t>
            </w:r>
          </w:p>
        </w:tc>
        <w:tc>
          <w:tcPr>
            <w:tcW w:w="306" w:type="pct"/>
            <w:vAlign w:val="center"/>
          </w:tcPr>
          <w:p w14:paraId="7A157B1C"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5B89C8E" w14:textId="77777777" w:rsidR="00C36261" w:rsidRPr="00A57ABC" w:rsidRDefault="00C36261" w:rsidP="00624091">
            <w:pPr>
              <w:widowControl w:val="0"/>
              <w:ind w:left="112" w:right="79" w:firstLine="1"/>
              <w:jc w:val="center"/>
              <w:rPr>
                <w:rFonts w:eastAsiaTheme="minorHAnsi"/>
                <w:sz w:val="14"/>
                <w:szCs w:val="14"/>
                <w:lang w:eastAsia="en-US"/>
              </w:rPr>
            </w:pPr>
            <w:proofErr w:type="spellStart"/>
            <w:r w:rsidRPr="00A57ABC">
              <w:rPr>
                <w:rFonts w:eastAsiaTheme="minorHAnsi"/>
                <w:sz w:val="14"/>
                <w:szCs w:val="14"/>
                <w:lang w:eastAsia="en-US"/>
              </w:rPr>
              <w:t>Marmol</w:t>
            </w:r>
            <w:proofErr w:type="spellEnd"/>
            <w:r w:rsidRPr="00A57ABC">
              <w:rPr>
                <w:rFonts w:eastAsiaTheme="minorHAnsi"/>
                <w:spacing w:val="1"/>
                <w:sz w:val="14"/>
                <w:szCs w:val="14"/>
                <w:lang w:eastAsia="en-US"/>
              </w:rPr>
              <w:t xml:space="preserve"> </w:t>
            </w:r>
          </w:p>
        </w:tc>
        <w:tc>
          <w:tcPr>
            <w:tcW w:w="589" w:type="pct"/>
            <w:vAlign w:val="center"/>
          </w:tcPr>
          <w:p w14:paraId="701E0117" w14:textId="77777777" w:rsidR="00C36261" w:rsidRPr="00A57ABC" w:rsidRDefault="00C36261" w:rsidP="00624091">
            <w:pPr>
              <w:widowControl w:val="0"/>
              <w:ind w:right="206"/>
              <w:jc w:val="center"/>
              <w:rPr>
                <w:rFonts w:eastAsiaTheme="minorHAnsi"/>
                <w:sz w:val="14"/>
                <w:szCs w:val="14"/>
                <w:lang w:eastAsia="en-US"/>
              </w:rPr>
            </w:pPr>
            <w:r w:rsidRPr="00A57ABC">
              <w:rPr>
                <w:rFonts w:eastAsiaTheme="minorHAnsi"/>
                <w:sz w:val="14"/>
                <w:szCs w:val="14"/>
                <w:lang w:eastAsia="en-US"/>
              </w:rPr>
              <w:t>Rio</w:t>
            </w:r>
            <w:r w:rsidRPr="00A57ABC">
              <w:rPr>
                <w:rFonts w:eastAsiaTheme="minorHAnsi"/>
                <w:spacing w:val="-2"/>
                <w:sz w:val="14"/>
                <w:szCs w:val="14"/>
                <w:lang w:eastAsia="en-US"/>
              </w:rPr>
              <w:t xml:space="preserve"> </w:t>
            </w:r>
            <w:r w:rsidRPr="00A57ABC">
              <w:rPr>
                <w:rFonts w:eastAsiaTheme="minorHAnsi"/>
                <w:sz w:val="14"/>
                <w:szCs w:val="14"/>
                <w:lang w:eastAsia="en-US"/>
              </w:rPr>
              <w:t>Hondo</w:t>
            </w:r>
          </w:p>
        </w:tc>
        <w:tc>
          <w:tcPr>
            <w:tcW w:w="716" w:type="pct"/>
            <w:vAlign w:val="center"/>
          </w:tcPr>
          <w:p w14:paraId="6B2952EA" w14:textId="77777777" w:rsidR="00C36261" w:rsidRPr="00A57ABC" w:rsidRDefault="00C36261" w:rsidP="00624091">
            <w:pPr>
              <w:widowControl w:val="0"/>
              <w:ind w:left="420"/>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652B455D" w14:textId="77777777" w:rsidTr="005105AC">
        <w:trPr>
          <w:trHeight w:val="43"/>
          <w:jc w:val="center"/>
        </w:trPr>
        <w:tc>
          <w:tcPr>
            <w:tcW w:w="1367" w:type="pct"/>
            <w:vAlign w:val="center"/>
          </w:tcPr>
          <w:p w14:paraId="3A75D4EB"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UYUS</w:t>
            </w:r>
          </w:p>
        </w:tc>
        <w:tc>
          <w:tcPr>
            <w:tcW w:w="613" w:type="pct"/>
            <w:vAlign w:val="center"/>
          </w:tcPr>
          <w:p w14:paraId="2FCD76A2"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8/12/1999</w:t>
            </w:r>
          </w:p>
        </w:tc>
        <w:tc>
          <w:tcPr>
            <w:tcW w:w="625" w:type="pct"/>
            <w:vAlign w:val="center"/>
          </w:tcPr>
          <w:p w14:paraId="3ADF747A" w14:textId="77777777" w:rsidR="00C36261" w:rsidRPr="00A57ABC" w:rsidRDefault="00C36261" w:rsidP="00624091">
            <w:pPr>
              <w:widowControl w:val="0"/>
              <w:ind w:left="285"/>
              <w:rPr>
                <w:rFonts w:eastAsiaTheme="minorHAnsi"/>
                <w:sz w:val="14"/>
                <w:szCs w:val="14"/>
                <w:lang w:eastAsia="en-US"/>
              </w:rPr>
            </w:pPr>
            <w:r w:rsidRPr="00A57ABC">
              <w:rPr>
                <w:rFonts w:eastAsiaTheme="minorHAnsi"/>
                <w:sz w:val="14"/>
                <w:szCs w:val="14"/>
                <w:lang w:eastAsia="en-US"/>
              </w:rPr>
              <w:t>7/12/2024</w:t>
            </w:r>
          </w:p>
        </w:tc>
        <w:tc>
          <w:tcPr>
            <w:tcW w:w="306" w:type="pct"/>
            <w:vAlign w:val="center"/>
          </w:tcPr>
          <w:p w14:paraId="50ACF9C6"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1F7A4126" w14:textId="77777777" w:rsidR="00C36261" w:rsidRPr="00A57ABC" w:rsidRDefault="00C36261" w:rsidP="00624091">
            <w:pPr>
              <w:widowControl w:val="0"/>
              <w:ind w:left="31"/>
              <w:jc w:val="center"/>
              <w:rPr>
                <w:rFonts w:eastAsiaTheme="minorHAnsi"/>
                <w:sz w:val="14"/>
                <w:szCs w:val="14"/>
                <w:lang w:eastAsia="en-US"/>
              </w:rPr>
            </w:pPr>
            <w:proofErr w:type="spellStart"/>
            <w:r w:rsidRPr="00A57ABC">
              <w:rPr>
                <w:rFonts w:eastAsiaTheme="minorHAnsi"/>
                <w:sz w:val="14"/>
                <w:szCs w:val="14"/>
                <w:lang w:eastAsia="en-US"/>
              </w:rPr>
              <w:t>Filita</w:t>
            </w:r>
            <w:proofErr w:type="spellEnd"/>
          </w:p>
        </w:tc>
        <w:tc>
          <w:tcPr>
            <w:tcW w:w="589" w:type="pct"/>
            <w:vAlign w:val="center"/>
          </w:tcPr>
          <w:p w14:paraId="27B2284F" w14:textId="77777777" w:rsidR="00C36261" w:rsidRPr="00A57ABC" w:rsidRDefault="00C36261" w:rsidP="00624091">
            <w:pPr>
              <w:widowControl w:val="0"/>
              <w:ind w:right="135"/>
              <w:jc w:val="center"/>
              <w:rPr>
                <w:rFonts w:eastAsiaTheme="minorHAnsi"/>
                <w:sz w:val="14"/>
                <w:szCs w:val="14"/>
                <w:lang w:eastAsia="en-US"/>
              </w:rPr>
            </w:pPr>
            <w:proofErr w:type="spellStart"/>
            <w:r w:rsidRPr="00A57ABC">
              <w:rPr>
                <w:rFonts w:eastAsiaTheme="minorHAnsi"/>
                <w:sz w:val="14"/>
                <w:szCs w:val="14"/>
                <w:lang w:eastAsia="en-US"/>
              </w:rPr>
              <w:t>Ususmatlan</w:t>
            </w:r>
            <w:proofErr w:type="spellEnd"/>
          </w:p>
        </w:tc>
        <w:tc>
          <w:tcPr>
            <w:tcW w:w="716" w:type="pct"/>
            <w:vAlign w:val="center"/>
          </w:tcPr>
          <w:p w14:paraId="22E5CE62" w14:textId="77777777" w:rsidR="00C36261" w:rsidRPr="00A57ABC" w:rsidRDefault="00C36261" w:rsidP="00624091">
            <w:pPr>
              <w:widowControl w:val="0"/>
              <w:ind w:left="420"/>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6FA6B800" w14:textId="77777777" w:rsidTr="005105AC">
        <w:trPr>
          <w:trHeight w:val="380"/>
          <w:jc w:val="center"/>
        </w:trPr>
        <w:tc>
          <w:tcPr>
            <w:tcW w:w="1367" w:type="pct"/>
            <w:vAlign w:val="center"/>
          </w:tcPr>
          <w:p w14:paraId="4810F0BA" w14:textId="77777777" w:rsidR="00C36261" w:rsidRPr="00A57ABC" w:rsidRDefault="00C36261" w:rsidP="00624091">
            <w:pPr>
              <w:widowControl w:val="0"/>
              <w:ind w:left="166" w:right="141"/>
              <w:jc w:val="center"/>
              <w:rPr>
                <w:rFonts w:eastAsiaTheme="minorHAnsi"/>
                <w:sz w:val="14"/>
                <w:szCs w:val="14"/>
                <w:lang w:eastAsia="en-US"/>
              </w:rPr>
            </w:pPr>
            <w:r w:rsidRPr="00A57ABC">
              <w:rPr>
                <w:rFonts w:eastAsiaTheme="minorHAnsi"/>
                <w:sz w:val="14"/>
                <w:szCs w:val="14"/>
                <w:lang w:eastAsia="en-US"/>
              </w:rPr>
              <w:t>EXPLOTACIÓN</w:t>
            </w:r>
            <w:r w:rsidRPr="00A57ABC">
              <w:rPr>
                <w:rFonts w:eastAsiaTheme="minorHAnsi"/>
                <w:spacing w:val="-34"/>
                <w:sz w:val="14"/>
                <w:szCs w:val="14"/>
                <w:lang w:eastAsia="en-US"/>
              </w:rPr>
              <w:t xml:space="preserve"> </w:t>
            </w:r>
            <w:r w:rsidRPr="00A57ABC">
              <w:rPr>
                <w:rFonts w:eastAsiaTheme="minorHAnsi"/>
                <w:sz w:val="14"/>
                <w:szCs w:val="14"/>
                <w:lang w:eastAsia="en-US"/>
              </w:rPr>
              <w:t>MINERA LOS</w:t>
            </w:r>
            <w:r w:rsidRPr="00A57ABC">
              <w:rPr>
                <w:rFonts w:eastAsiaTheme="minorHAnsi"/>
                <w:spacing w:val="1"/>
                <w:sz w:val="14"/>
                <w:szCs w:val="14"/>
                <w:lang w:eastAsia="en-US"/>
              </w:rPr>
              <w:t xml:space="preserve"> </w:t>
            </w:r>
            <w:r w:rsidRPr="00A57ABC">
              <w:rPr>
                <w:rFonts w:eastAsiaTheme="minorHAnsi"/>
                <w:sz w:val="14"/>
                <w:szCs w:val="14"/>
                <w:lang w:eastAsia="en-US"/>
              </w:rPr>
              <w:t>PINOS</w:t>
            </w:r>
          </w:p>
        </w:tc>
        <w:tc>
          <w:tcPr>
            <w:tcW w:w="613" w:type="pct"/>
            <w:vAlign w:val="center"/>
          </w:tcPr>
          <w:p w14:paraId="2CFC5A3F" w14:textId="77777777" w:rsidR="00C36261" w:rsidRPr="00A57ABC" w:rsidRDefault="00C36261" w:rsidP="00624091">
            <w:pPr>
              <w:widowControl w:val="0"/>
              <w:ind w:left="30" w:right="2"/>
              <w:jc w:val="center"/>
              <w:rPr>
                <w:rFonts w:eastAsiaTheme="minorHAnsi"/>
                <w:sz w:val="14"/>
                <w:szCs w:val="14"/>
                <w:lang w:eastAsia="en-US"/>
              </w:rPr>
            </w:pPr>
            <w:r w:rsidRPr="00A57ABC">
              <w:rPr>
                <w:rFonts w:eastAsiaTheme="minorHAnsi"/>
                <w:sz w:val="14"/>
                <w:szCs w:val="14"/>
                <w:lang w:eastAsia="en-US"/>
              </w:rPr>
              <w:t>5/04/2019</w:t>
            </w:r>
          </w:p>
        </w:tc>
        <w:tc>
          <w:tcPr>
            <w:tcW w:w="625" w:type="pct"/>
            <w:vAlign w:val="center"/>
          </w:tcPr>
          <w:p w14:paraId="0565592E" w14:textId="77777777" w:rsidR="00C36261" w:rsidRPr="00A57ABC" w:rsidRDefault="00C36261" w:rsidP="00624091">
            <w:pPr>
              <w:widowControl w:val="0"/>
              <w:ind w:left="369"/>
              <w:rPr>
                <w:rFonts w:eastAsiaTheme="minorHAnsi"/>
                <w:sz w:val="14"/>
                <w:szCs w:val="14"/>
                <w:lang w:eastAsia="en-US"/>
              </w:rPr>
            </w:pPr>
            <w:r w:rsidRPr="00A57ABC">
              <w:rPr>
                <w:rFonts w:eastAsiaTheme="minorHAnsi"/>
                <w:spacing w:val="-1"/>
                <w:sz w:val="14"/>
                <w:szCs w:val="14"/>
                <w:lang w:eastAsia="en-US"/>
              </w:rPr>
              <w:t>5/04/2044</w:t>
            </w:r>
          </w:p>
        </w:tc>
        <w:tc>
          <w:tcPr>
            <w:tcW w:w="306" w:type="pct"/>
            <w:vAlign w:val="center"/>
          </w:tcPr>
          <w:p w14:paraId="5123CF6F"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65D9C0D8" w14:textId="77777777" w:rsidR="00C36261" w:rsidRPr="00A57ABC" w:rsidRDefault="00C36261" w:rsidP="00624091">
            <w:pPr>
              <w:widowControl w:val="0"/>
              <w:ind w:left="40"/>
              <w:jc w:val="center"/>
              <w:rPr>
                <w:rFonts w:eastAsiaTheme="minorHAnsi"/>
                <w:sz w:val="14"/>
                <w:szCs w:val="14"/>
                <w:lang w:eastAsia="en-US"/>
              </w:rPr>
            </w:pPr>
            <w:proofErr w:type="spellStart"/>
            <w:r w:rsidRPr="00A57ABC">
              <w:rPr>
                <w:rFonts w:eastAsiaTheme="minorHAnsi"/>
                <w:sz w:val="14"/>
                <w:szCs w:val="14"/>
                <w:lang w:eastAsia="en-US"/>
              </w:rPr>
              <w:t>Serpentinita</w:t>
            </w:r>
            <w:proofErr w:type="spellEnd"/>
          </w:p>
          <w:p w14:paraId="6DC81168" w14:textId="77777777" w:rsidR="00C36261" w:rsidRPr="00A57ABC" w:rsidRDefault="00C36261" w:rsidP="00624091">
            <w:pPr>
              <w:widowControl w:val="0"/>
              <w:ind w:left="40" w:right="293"/>
              <w:jc w:val="center"/>
              <w:rPr>
                <w:rFonts w:eastAsiaTheme="minorHAnsi"/>
                <w:sz w:val="14"/>
                <w:szCs w:val="14"/>
                <w:lang w:eastAsia="en-US"/>
              </w:rPr>
            </w:pPr>
            <w:r w:rsidRPr="00A57ABC">
              <w:rPr>
                <w:rFonts w:eastAsiaTheme="minorHAnsi"/>
                <w:sz w:val="14"/>
                <w:szCs w:val="14"/>
                <w:lang w:eastAsia="en-US"/>
              </w:rPr>
              <w:t>,</w:t>
            </w:r>
            <w:r w:rsidRPr="00A57ABC">
              <w:rPr>
                <w:rFonts w:eastAsiaTheme="minorHAnsi"/>
                <w:spacing w:val="-9"/>
                <w:sz w:val="14"/>
                <w:szCs w:val="14"/>
                <w:lang w:eastAsia="en-US"/>
              </w:rPr>
              <w:t xml:space="preserve"> </w:t>
            </w:r>
            <w:proofErr w:type="spellStart"/>
            <w:r w:rsidRPr="00A57ABC">
              <w:rPr>
                <w:rFonts w:eastAsiaTheme="minorHAnsi"/>
                <w:sz w:val="14"/>
                <w:szCs w:val="14"/>
                <w:lang w:eastAsia="en-US"/>
              </w:rPr>
              <w:t>Jadeita</w:t>
            </w:r>
            <w:proofErr w:type="spellEnd"/>
            <w:r w:rsidRPr="00A57ABC">
              <w:rPr>
                <w:rFonts w:eastAsiaTheme="minorHAnsi"/>
                <w:spacing w:val="-8"/>
                <w:sz w:val="14"/>
                <w:szCs w:val="14"/>
                <w:lang w:eastAsia="en-US"/>
              </w:rPr>
              <w:t xml:space="preserve"> </w:t>
            </w:r>
            <w:proofErr w:type="gramStart"/>
            <w:r w:rsidRPr="00A57ABC">
              <w:rPr>
                <w:rFonts w:eastAsiaTheme="minorHAnsi"/>
                <w:sz w:val="14"/>
                <w:szCs w:val="14"/>
                <w:lang w:eastAsia="en-US"/>
              </w:rPr>
              <w:t>Y</w:t>
            </w:r>
            <w:r>
              <w:rPr>
                <w:rFonts w:eastAsiaTheme="minorHAnsi"/>
                <w:sz w:val="14"/>
                <w:szCs w:val="14"/>
                <w:lang w:eastAsia="en-US"/>
              </w:rPr>
              <w:t xml:space="preserve"> </w:t>
            </w:r>
            <w:r w:rsidRPr="00A57ABC">
              <w:rPr>
                <w:rFonts w:eastAsiaTheme="minorHAnsi"/>
                <w:spacing w:val="-43"/>
                <w:sz w:val="14"/>
                <w:szCs w:val="14"/>
                <w:lang w:eastAsia="en-US"/>
              </w:rPr>
              <w:t xml:space="preserve"> </w:t>
            </w:r>
            <w:proofErr w:type="spellStart"/>
            <w:r w:rsidRPr="00A57ABC">
              <w:rPr>
                <w:rFonts w:eastAsiaTheme="minorHAnsi"/>
                <w:sz w:val="14"/>
                <w:szCs w:val="14"/>
                <w:lang w:eastAsia="en-US"/>
              </w:rPr>
              <w:t>Cuarzo</w:t>
            </w:r>
            <w:proofErr w:type="spellEnd"/>
            <w:proofErr w:type="gramEnd"/>
          </w:p>
        </w:tc>
        <w:tc>
          <w:tcPr>
            <w:tcW w:w="589" w:type="pct"/>
            <w:vAlign w:val="center"/>
          </w:tcPr>
          <w:p w14:paraId="463E6759" w14:textId="77777777" w:rsidR="00C36261" w:rsidRPr="00A57ABC" w:rsidRDefault="00C36261" w:rsidP="00624091">
            <w:pPr>
              <w:widowControl w:val="0"/>
              <w:ind w:right="138"/>
              <w:jc w:val="center"/>
              <w:rPr>
                <w:rFonts w:eastAsiaTheme="minorHAnsi"/>
                <w:sz w:val="14"/>
                <w:szCs w:val="14"/>
                <w:lang w:eastAsia="en-US"/>
              </w:rPr>
            </w:pPr>
            <w:proofErr w:type="spellStart"/>
            <w:r w:rsidRPr="00A57ABC">
              <w:rPr>
                <w:rFonts w:eastAsiaTheme="minorHAnsi"/>
                <w:sz w:val="14"/>
                <w:szCs w:val="14"/>
                <w:lang w:eastAsia="en-US"/>
              </w:rPr>
              <w:t>Usumatlan</w:t>
            </w:r>
            <w:proofErr w:type="spellEnd"/>
          </w:p>
        </w:tc>
        <w:tc>
          <w:tcPr>
            <w:tcW w:w="716" w:type="pct"/>
            <w:vAlign w:val="center"/>
          </w:tcPr>
          <w:p w14:paraId="699E0EB2" w14:textId="77777777" w:rsidR="00C36261" w:rsidRPr="00A57ABC" w:rsidRDefault="00C36261" w:rsidP="00624091">
            <w:pPr>
              <w:widowControl w:val="0"/>
              <w:ind w:left="36"/>
              <w:jc w:val="center"/>
              <w:rPr>
                <w:rFonts w:eastAsiaTheme="minorHAnsi"/>
                <w:sz w:val="14"/>
                <w:szCs w:val="14"/>
                <w:lang w:eastAsia="en-US"/>
              </w:rPr>
            </w:pPr>
            <w:r w:rsidRPr="00A57ABC">
              <w:rPr>
                <w:rFonts w:eastAsiaTheme="minorHAnsi"/>
                <w:sz w:val="14"/>
                <w:szCs w:val="14"/>
                <w:lang w:eastAsia="en-US"/>
              </w:rPr>
              <w:t>Zacapa</w:t>
            </w:r>
          </w:p>
        </w:tc>
      </w:tr>
      <w:tr w:rsidR="00C36261" w:rsidRPr="00A57ABC" w14:paraId="048BC9A3" w14:textId="77777777" w:rsidTr="005105AC">
        <w:trPr>
          <w:trHeight w:val="186"/>
          <w:jc w:val="center"/>
        </w:trPr>
        <w:tc>
          <w:tcPr>
            <w:tcW w:w="1367" w:type="pct"/>
            <w:vAlign w:val="center"/>
          </w:tcPr>
          <w:p w14:paraId="736FEC67" w14:textId="77777777" w:rsidR="00C36261" w:rsidRPr="00A57ABC" w:rsidRDefault="00C36261" w:rsidP="00624091">
            <w:pPr>
              <w:widowControl w:val="0"/>
              <w:ind w:left="25"/>
              <w:jc w:val="center"/>
              <w:rPr>
                <w:rFonts w:eastAsiaTheme="minorHAnsi"/>
                <w:sz w:val="14"/>
                <w:szCs w:val="14"/>
                <w:lang w:eastAsia="en-US"/>
              </w:rPr>
            </w:pPr>
            <w:r w:rsidRPr="00A57ABC">
              <w:rPr>
                <w:rFonts w:eastAsiaTheme="minorHAnsi"/>
                <w:sz w:val="14"/>
                <w:szCs w:val="14"/>
                <w:lang w:eastAsia="en-US"/>
              </w:rPr>
              <w:t>ARIELA</w:t>
            </w:r>
          </w:p>
        </w:tc>
        <w:tc>
          <w:tcPr>
            <w:tcW w:w="613" w:type="pct"/>
            <w:vAlign w:val="center"/>
          </w:tcPr>
          <w:p w14:paraId="06A950C6" w14:textId="77777777" w:rsidR="00C36261" w:rsidRPr="00A57ABC" w:rsidRDefault="00C36261" w:rsidP="00624091">
            <w:pPr>
              <w:widowControl w:val="0"/>
              <w:ind w:left="31" w:right="2"/>
              <w:jc w:val="center"/>
              <w:rPr>
                <w:rFonts w:eastAsiaTheme="minorHAnsi"/>
                <w:sz w:val="14"/>
                <w:szCs w:val="14"/>
                <w:lang w:eastAsia="en-US"/>
              </w:rPr>
            </w:pPr>
            <w:r w:rsidRPr="00A57ABC">
              <w:rPr>
                <w:rFonts w:eastAsiaTheme="minorHAnsi"/>
                <w:sz w:val="14"/>
                <w:szCs w:val="14"/>
                <w:lang w:eastAsia="en-US"/>
              </w:rPr>
              <w:t>24/10/2003</w:t>
            </w:r>
          </w:p>
        </w:tc>
        <w:tc>
          <w:tcPr>
            <w:tcW w:w="625" w:type="pct"/>
            <w:vAlign w:val="center"/>
          </w:tcPr>
          <w:p w14:paraId="2C7AFE6F" w14:textId="77777777" w:rsidR="00C36261" w:rsidRPr="00A57ABC" w:rsidRDefault="00C36261" w:rsidP="00624091">
            <w:pPr>
              <w:widowControl w:val="0"/>
              <w:ind w:left="245"/>
              <w:rPr>
                <w:rFonts w:eastAsiaTheme="minorHAnsi"/>
                <w:sz w:val="14"/>
                <w:szCs w:val="14"/>
                <w:lang w:eastAsia="en-US"/>
              </w:rPr>
            </w:pPr>
            <w:r w:rsidRPr="00A57ABC">
              <w:rPr>
                <w:rFonts w:eastAsiaTheme="minorHAnsi"/>
                <w:sz w:val="14"/>
                <w:szCs w:val="14"/>
                <w:lang w:eastAsia="en-US"/>
              </w:rPr>
              <w:t>23/10/2028</w:t>
            </w:r>
          </w:p>
        </w:tc>
        <w:tc>
          <w:tcPr>
            <w:tcW w:w="306" w:type="pct"/>
            <w:vAlign w:val="center"/>
          </w:tcPr>
          <w:p w14:paraId="4ABCA153"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4185D72D" w14:textId="77777777" w:rsidR="00C36261" w:rsidRPr="00A57ABC" w:rsidRDefault="00C36261" w:rsidP="00624091">
            <w:pPr>
              <w:widowControl w:val="0"/>
              <w:ind w:left="132" w:right="96" w:hanging="1"/>
              <w:jc w:val="center"/>
              <w:rPr>
                <w:rFonts w:eastAsiaTheme="minorHAnsi"/>
                <w:sz w:val="14"/>
                <w:szCs w:val="14"/>
                <w:lang w:val="es-GT" w:eastAsia="en-US"/>
              </w:rPr>
            </w:pPr>
            <w:proofErr w:type="spellStart"/>
            <w:r w:rsidRPr="00A57ABC">
              <w:rPr>
                <w:rFonts w:eastAsiaTheme="minorHAnsi"/>
                <w:sz w:val="14"/>
                <w:szCs w:val="14"/>
                <w:lang w:val="es-GT" w:eastAsia="en-US"/>
              </w:rPr>
              <w:t>Jadeita</w:t>
            </w:r>
            <w:proofErr w:type="spellEnd"/>
            <w:r w:rsidRPr="00A57ABC">
              <w:rPr>
                <w:rFonts w:eastAsiaTheme="minorHAnsi"/>
                <w:sz w:val="14"/>
                <w:szCs w:val="14"/>
                <w:lang w:val="es-GT" w:eastAsia="en-US"/>
              </w:rPr>
              <w:t>,</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Nefrita,</w:t>
            </w:r>
            <w:r w:rsidRPr="00A57ABC">
              <w:rPr>
                <w:rFonts w:eastAsiaTheme="minorHAnsi"/>
                <w:spacing w:val="1"/>
                <w:sz w:val="14"/>
                <w:szCs w:val="14"/>
                <w:lang w:val="es-GT" w:eastAsia="en-US"/>
              </w:rPr>
              <w:t xml:space="preserve"> </w:t>
            </w:r>
            <w:proofErr w:type="spellStart"/>
            <w:r w:rsidRPr="00A57ABC">
              <w:rPr>
                <w:rFonts w:eastAsiaTheme="minorHAnsi"/>
                <w:sz w:val="14"/>
                <w:szCs w:val="14"/>
                <w:lang w:val="es-GT" w:eastAsia="en-US"/>
              </w:rPr>
              <w:t>Guatemalita</w:t>
            </w:r>
            <w:proofErr w:type="spellEnd"/>
            <w:r w:rsidRPr="00A57ABC">
              <w:rPr>
                <w:rFonts w:eastAsiaTheme="minorHAnsi"/>
                <w:sz w:val="14"/>
                <w:szCs w:val="14"/>
                <w:lang w:val="es-GT" w:eastAsia="en-US"/>
              </w:rPr>
              <w:t>,</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Feldespato,</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p>
          <w:p w14:paraId="469CB403" w14:textId="77777777" w:rsidR="00C36261" w:rsidRPr="00A57ABC" w:rsidRDefault="00C36261" w:rsidP="00624091">
            <w:pPr>
              <w:widowControl w:val="0"/>
              <w:ind w:left="37"/>
              <w:jc w:val="center"/>
              <w:rPr>
                <w:rFonts w:eastAsiaTheme="minorHAnsi"/>
                <w:sz w:val="14"/>
                <w:szCs w:val="14"/>
                <w:lang w:val="es-GT" w:eastAsia="en-US"/>
              </w:rPr>
            </w:pPr>
            <w:proofErr w:type="spellStart"/>
            <w:r w:rsidRPr="00A57ABC">
              <w:rPr>
                <w:rFonts w:eastAsiaTheme="minorHAnsi"/>
                <w:sz w:val="14"/>
                <w:szCs w:val="14"/>
                <w:lang w:val="es-GT" w:eastAsia="en-US"/>
              </w:rPr>
              <w:t>Marmol</w:t>
            </w:r>
            <w:proofErr w:type="spellEnd"/>
          </w:p>
        </w:tc>
        <w:tc>
          <w:tcPr>
            <w:tcW w:w="589" w:type="pct"/>
            <w:vAlign w:val="center"/>
          </w:tcPr>
          <w:p w14:paraId="54FE3A5C" w14:textId="77777777" w:rsidR="00C36261" w:rsidRPr="00A57ABC" w:rsidRDefault="00C36261" w:rsidP="00624091">
            <w:pPr>
              <w:widowControl w:val="0"/>
              <w:ind w:left="39" w:right="2"/>
              <w:jc w:val="center"/>
              <w:rPr>
                <w:rFonts w:eastAsiaTheme="minorHAnsi"/>
                <w:sz w:val="14"/>
                <w:szCs w:val="14"/>
                <w:lang w:val="es-GT" w:eastAsia="en-US"/>
              </w:rPr>
            </w:pPr>
            <w:r w:rsidRPr="00A57ABC">
              <w:rPr>
                <w:rFonts w:eastAsiaTheme="minorHAnsi"/>
                <w:sz w:val="14"/>
                <w:szCs w:val="14"/>
                <w:lang w:val="es-GT" w:eastAsia="en-US"/>
              </w:rPr>
              <w:t>Cabañas, 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Diego Y San</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Pedro</w:t>
            </w:r>
            <w:r w:rsidRPr="00A57ABC">
              <w:rPr>
                <w:rFonts w:eastAsiaTheme="minorHAnsi"/>
                <w:spacing w:val="-9"/>
                <w:sz w:val="14"/>
                <w:szCs w:val="14"/>
                <w:lang w:val="es-GT" w:eastAsia="en-US"/>
              </w:rPr>
              <w:t xml:space="preserve"> </w:t>
            </w:r>
            <w:r w:rsidRPr="00A57ABC">
              <w:rPr>
                <w:rFonts w:eastAsiaTheme="minorHAnsi"/>
                <w:sz w:val="14"/>
                <w:szCs w:val="14"/>
                <w:lang w:val="es-GT" w:eastAsia="en-US"/>
              </w:rPr>
              <w:t>Pinula.</w:t>
            </w:r>
          </w:p>
        </w:tc>
        <w:tc>
          <w:tcPr>
            <w:tcW w:w="716" w:type="pct"/>
            <w:vAlign w:val="center"/>
          </w:tcPr>
          <w:p w14:paraId="6709F869" w14:textId="77777777" w:rsidR="00C36261" w:rsidRPr="00A57ABC" w:rsidRDefault="00C36261" w:rsidP="00624091">
            <w:pPr>
              <w:widowControl w:val="0"/>
              <w:ind w:left="84"/>
              <w:jc w:val="center"/>
              <w:rPr>
                <w:rFonts w:eastAsiaTheme="minorHAnsi"/>
                <w:sz w:val="14"/>
                <w:szCs w:val="14"/>
                <w:lang w:eastAsia="en-US"/>
              </w:rPr>
            </w:pPr>
            <w:r w:rsidRPr="00A57ABC">
              <w:rPr>
                <w:rFonts w:eastAsiaTheme="minorHAnsi"/>
                <w:sz w:val="14"/>
                <w:szCs w:val="14"/>
                <w:lang w:eastAsia="en-US"/>
              </w:rPr>
              <w:t>Zacapa Y Jalapa.</w:t>
            </w:r>
          </w:p>
        </w:tc>
      </w:tr>
      <w:tr w:rsidR="00C36261" w:rsidRPr="00A57ABC" w14:paraId="4761C3C6" w14:textId="77777777" w:rsidTr="005105AC">
        <w:trPr>
          <w:trHeight w:val="250"/>
          <w:jc w:val="center"/>
        </w:trPr>
        <w:tc>
          <w:tcPr>
            <w:tcW w:w="1367" w:type="pct"/>
            <w:vAlign w:val="center"/>
          </w:tcPr>
          <w:p w14:paraId="01C31E80" w14:textId="77777777" w:rsidR="00C36261" w:rsidRPr="00A57ABC" w:rsidRDefault="00C36261" w:rsidP="00624091">
            <w:pPr>
              <w:widowControl w:val="0"/>
              <w:ind w:left="353" w:right="130" w:hanging="188"/>
              <w:rPr>
                <w:rFonts w:eastAsiaTheme="minorHAnsi"/>
                <w:sz w:val="14"/>
                <w:szCs w:val="14"/>
                <w:lang w:eastAsia="en-US"/>
              </w:rPr>
            </w:pPr>
            <w:r w:rsidRPr="00A57ABC">
              <w:rPr>
                <w:rFonts w:eastAsiaTheme="minorHAnsi"/>
                <w:sz w:val="14"/>
                <w:szCs w:val="14"/>
                <w:lang w:eastAsia="en-US"/>
              </w:rPr>
              <w:t>CANTERA SAN</w:t>
            </w:r>
            <w:r w:rsidRPr="00A57ABC">
              <w:rPr>
                <w:rFonts w:eastAsiaTheme="minorHAnsi"/>
                <w:spacing w:val="-34"/>
                <w:sz w:val="14"/>
                <w:szCs w:val="14"/>
                <w:lang w:eastAsia="en-US"/>
              </w:rPr>
              <w:t xml:space="preserve"> </w:t>
            </w:r>
            <w:r w:rsidRPr="00A57ABC">
              <w:rPr>
                <w:rFonts w:eastAsiaTheme="minorHAnsi"/>
                <w:sz w:val="14"/>
                <w:szCs w:val="14"/>
                <w:lang w:eastAsia="en-US"/>
              </w:rPr>
              <w:t>GABRIEL</w:t>
            </w:r>
          </w:p>
        </w:tc>
        <w:tc>
          <w:tcPr>
            <w:tcW w:w="613" w:type="pct"/>
            <w:tcBorders>
              <w:right w:val="nil"/>
            </w:tcBorders>
            <w:vAlign w:val="center"/>
          </w:tcPr>
          <w:p w14:paraId="04881C59" w14:textId="77777777" w:rsidR="00C36261" w:rsidRPr="00A57ABC" w:rsidRDefault="00C36261" w:rsidP="00624091">
            <w:pPr>
              <w:widowControl w:val="0"/>
              <w:ind w:left="233" w:right="200"/>
              <w:jc w:val="center"/>
              <w:rPr>
                <w:rFonts w:eastAsiaTheme="minorHAnsi"/>
                <w:sz w:val="14"/>
                <w:szCs w:val="14"/>
                <w:lang w:eastAsia="en-US"/>
              </w:rPr>
            </w:pPr>
            <w:r w:rsidRPr="00A57ABC">
              <w:rPr>
                <w:rFonts w:eastAsiaTheme="minorHAnsi"/>
                <w:sz w:val="14"/>
                <w:szCs w:val="14"/>
                <w:lang w:eastAsia="en-US"/>
              </w:rPr>
              <w:t>14/01/2020</w:t>
            </w:r>
          </w:p>
        </w:tc>
        <w:tc>
          <w:tcPr>
            <w:tcW w:w="625" w:type="pct"/>
            <w:tcBorders>
              <w:left w:val="nil"/>
            </w:tcBorders>
            <w:vAlign w:val="center"/>
          </w:tcPr>
          <w:p w14:paraId="42920013" w14:textId="77777777" w:rsidR="00C36261" w:rsidRPr="00A57ABC" w:rsidRDefault="00C36261" w:rsidP="00624091">
            <w:pPr>
              <w:widowControl w:val="0"/>
              <w:ind w:left="262"/>
              <w:rPr>
                <w:rFonts w:eastAsiaTheme="minorHAnsi"/>
                <w:sz w:val="14"/>
                <w:szCs w:val="14"/>
                <w:lang w:eastAsia="en-US"/>
              </w:rPr>
            </w:pPr>
            <w:r w:rsidRPr="00A57ABC">
              <w:rPr>
                <w:rFonts w:eastAsiaTheme="minorHAnsi"/>
                <w:sz w:val="14"/>
                <w:szCs w:val="14"/>
                <w:lang w:eastAsia="en-US"/>
              </w:rPr>
              <w:t>13/01/2045</w:t>
            </w:r>
          </w:p>
        </w:tc>
        <w:tc>
          <w:tcPr>
            <w:tcW w:w="306" w:type="pct"/>
            <w:vAlign w:val="center"/>
          </w:tcPr>
          <w:p w14:paraId="543865B1" w14:textId="77777777" w:rsidR="00C36261" w:rsidRPr="00A57ABC" w:rsidRDefault="00C36261" w:rsidP="00624091">
            <w:pPr>
              <w:widowControl w:val="0"/>
              <w:ind w:left="34" w:right="2"/>
              <w:jc w:val="center"/>
              <w:rPr>
                <w:rFonts w:eastAsiaTheme="minorHAnsi"/>
                <w:sz w:val="14"/>
                <w:szCs w:val="14"/>
                <w:lang w:eastAsia="en-US"/>
              </w:rPr>
            </w:pPr>
            <w:r w:rsidRPr="00A57ABC">
              <w:rPr>
                <w:rFonts w:eastAsiaTheme="minorHAnsi"/>
                <w:sz w:val="14"/>
                <w:szCs w:val="14"/>
                <w:lang w:eastAsia="en-US"/>
              </w:rPr>
              <w:t>25 AÑOS</w:t>
            </w:r>
          </w:p>
        </w:tc>
        <w:tc>
          <w:tcPr>
            <w:tcW w:w="784" w:type="pct"/>
            <w:vAlign w:val="center"/>
          </w:tcPr>
          <w:p w14:paraId="71864092" w14:textId="77777777" w:rsidR="00C36261" w:rsidRPr="00A57ABC" w:rsidRDefault="00C36261" w:rsidP="00624091">
            <w:pPr>
              <w:widowControl w:val="0"/>
              <w:ind w:left="32"/>
              <w:jc w:val="center"/>
              <w:rPr>
                <w:rFonts w:eastAsiaTheme="minorHAnsi"/>
                <w:sz w:val="14"/>
                <w:szCs w:val="14"/>
                <w:lang w:eastAsia="en-US"/>
              </w:rPr>
            </w:pPr>
            <w:r w:rsidRPr="00A57ABC">
              <w:rPr>
                <w:rFonts w:eastAsiaTheme="minorHAnsi"/>
                <w:sz w:val="14"/>
                <w:szCs w:val="14"/>
                <w:lang w:eastAsia="en-US"/>
              </w:rPr>
              <w:t>Yeso</w:t>
            </w:r>
          </w:p>
        </w:tc>
        <w:tc>
          <w:tcPr>
            <w:tcW w:w="589" w:type="pct"/>
            <w:vAlign w:val="center"/>
          </w:tcPr>
          <w:p w14:paraId="46681866" w14:textId="77777777" w:rsidR="00C36261" w:rsidRPr="00A57ABC" w:rsidRDefault="00C36261" w:rsidP="00624091">
            <w:pPr>
              <w:widowControl w:val="0"/>
              <w:ind w:left="39" w:right="2"/>
              <w:jc w:val="center"/>
              <w:rPr>
                <w:rFonts w:eastAsiaTheme="minorHAnsi"/>
                <w:sz w:val="14"/>
                <w:szCs w:val="14"/>
                <w:lang w:val="es-GT" w:eastAsia="en-US"/>
              </w:rPr>
            </w:pPr>
            <w:r w:rsidRPr="00A57ABC">
              <w:rPr>
                <w:rFonts w:eastAsiaTheme="minorHAnsi"/>
                <w:sz w:val="14"/>
                <w:szCs w:val="14"/>
                <w:lang w:val="es-GT" w:eastAsia="en-US"/>
              </w:rPr>
              <w:t>San Cristóbal</w:t>
            </w:r>
            <w:r w:rsidRPr="00A57ABC">
              <w:rPr>
                <w:rFonts w:eastAsiaTheme="minorHAnsi"/>
                <w:spacing w:val="-34"/>
                <w:sz w:val="14"/>
                <w:szCs w:val="14"/>
                <w:lang w:val="es-GT" w:eastAsia="en-US"/>
              </w:rPr>
              <w:t xml:space="preserve"> </w:t>
            </w:r>
            <w:r w:rsidRPr="00A57ABC">
              <w:rPr>
                <w:rFonts w:eastAsiaTheme="minorHAnsi"/>
                <w:sz w:val="14"/>
                <w:szCs w:val="14"/>
                <w:lang w:val="es-GT" w:eastAsia="en-US"/>
              </w:rPr>
              <w:t>Verapaz</w:t>
            </w:r>
            <w:r w:rsidRPr="00A57ABC">
              <w:rPr>
                <w:rFonts w:eastAsiaTheme="minorHAnsi"/>
                <w:spacing w:val="-1"/>
                <w:sz w:val="14"/>
                <w:szCs w:val="14"/>
                <w:lang w:val="es-GT" w:eastAsia="en-US"/>
              </w:rPr>
              <w:t xml:space="preserve"> </w:t>
            </w:r>
            <w:r w:rsidRPr="00A57ABC">
              <w:rPr>
                <w:rFonts w:eastAsiaTheme="minorHAnsi"/>
                <w:sz w:val="14"/>
                <w:szCs w:val="14"/>
                <w:lang w:val="es-GT" w:eastAsia="en-US"/>
              </w:rPr>
              <w:t>Y</w:t>
            </w:r>
          </w:p>
          <w:p w14:paraId="227CE888" w14:textId="77777777" w:rsidR="00C36261" w:rsidRPr="00A57ABC" w:rsidRDefault="00C36261" w:rsidP="00624091">
            <w:pPr>
              <w:widowControl w:val="0"/>
              <w:ind w:left="39" w:right="1"/>
              <w:jc w:val="center"/>
              <w:rPr>
                <w:rFonts w:eastAsiaTheme="minorHAnsi"/>
                <w:sz w:val="14"/>
                <w:szCs w:val="14"/>
                <w:lang w:val="es-GT" w:eastAsia="en-US"/>
              </w:rPr>
            </w:pPr>
            <w:proofErr w:type="spellStart"/>
            <w:r w:rsidRPr="00A57ABC">
              <w:rPr>
                <w:rFonts w:eastAsiaTheme="minorHAnsi"/>
                <w:sz w:val="14"/>
                <w:szCs w:val="14"/>
                <w:lang w:val="es-GT" w:eastAsia="en-US"/>
              </w:rPr>
              <w:t>Chicaman</w:t>
            </w:r>
            <w:proofErr w:type="spellEnd"/>
          </w:p>
        </w:tc>
        <w:tc>
          <w:tcPr>
            <w:tcW w:w="716" w:type="pct"/>
            <w:vAlign w:val="center"/>
          </w:tcPr>
          <w:p w14:paraId="2CF17D54" w14:textId="77777777" w:rsidR="00C36261" w:rsidRPr="00A57ABC" w:rsidRDefault="00C36261" w:rsidP="00624091">
            <w:pPr>
              <w:widowControl w:val="0"/>
              <w:ind w:left="425" w:right="94" w:hanging="286"/>
              <w:jc w:val="center"/>
              <w:rPr>
                <w:rFonts w:eastAsiaTheme="minorHAnsi"/>
                <w:sz w:val="14"/>
                <w:szCs w:val="14"/>
                <w:lang w:eastAsia="en-US"/>
              </w:rPr>
            </w:pPr>
            <w:r w:rsidRPr="00A57ABC">
              <w:rPr>
                <w:rFonts w:eastAsiaTheme="minorHAnsi"/>
                <w:sz w:val="14"/>
                <w:szCs w:val="14"/>
                <w:lang w:eastAsia="en-US"/>
              </w:rPr>
              <w:t>Alta Verapaz Y</w:t>
            </w:r>
            <w:r w:rsidRPr="00A57ABC">
              <w:rPr>
                <w:rFonts w:eastAsiaTheme="minorHAnsi"/>
                <w:spacing w:val="-34"/>
                <w:sz w:val="14"/>
                <w:szCs w:val="14"/>
                <w:lang w:eastAsia="en-US"/>
              </w:rPr>
              <w:t xml:space="preserve"> </w:t>
            </w:r>
            <w:r w:rsidRPr="00A57ABC">
              <w:rPr>
                <w:rFonts w:eastAsiaTheme="minorHAnsi"/>
                <w:sz w:val="14"/>
                <w:szCs w:val="14"/>
                <w:lang w:eastAsia="en-US"/>
              </w:rPr>
              <w:t>Quiché</w:t>
            </w:r>
          </w:p>
        </w:tc>
      </w:tr>
    </w:tbl>
    <w:p w14:paraId="0CA06EFB" w14:textId="77777777" w:rsidR="00C36261" w:rsidRPr="00A57ABC" w:rsidRDefault="00C36261" w:rsidP="00C36261">
      <w:pPr>
        <w:widowControl w:val="0"/>
        <w:jc w:val="both"/>
        <w:rPr>
          <w:rFonts w:eastAsiaTheme="minorHAnsi"/>
          <w:lang w:eastAsia="en-US"/>
        </w:rPr>
      </w:pPr>
    </w:p>
    <w:p w14:paraId="01CE43D1" w14:textId="77777777" w:rsidR="00C36261" w:rsidRPr="00DD4546" w:rsidRDefault="00C36261" w:rsidP="00C36261">
      <w:pPr>
        <w:widowControl w:val="0"/>
        <w:jc w:val="both"/>
        <w:rPr>
          <w:rFonts w:eastAsiaTheme="minorHAnsi"/>
          <w:sz w:val="16"/>
          <w:szCs w:val="16"/>
          <w:lang w:eastAsia="en-US"/>
        </w:rPr>
      </w:pPr>
      <w:r w:rsidRPr="00DD4546">
        <w:rPr>
          <w:rFonts w:eastAsiaTheme="minorHAnsi"/>
          <w:sz w:val="16"/>
          <w:szCs w:val="16"/>
          <w:lang w:eastAsia="en-US"/>
        </w:rPr>
        <w:t>Fuente: Ministerio de Energía y Minas listado de licencias mineras de explotación 2021</w:t>
      </w:r>
    </w:p>
    <w:p w14:paraId="610C57FB" w14:textId="77777777" w:rsidR="00C36261" w:rsidRPr="00A57ABC" w:rsidRDefault="00C36261" w:rsidP="00C36261">
      <w:pPr>
        <w:widowControl w:val="0"/>
        <w:rPr>
          <w:sz w:val="22"/>
          <w:szCs w:val="22"/>
          <w:lang w:val="es-ES" w:eastAsia="en-US"/>
        </w:rPr>
      </w:pPr>
    </w:p>
    <w:p w14:paraId="319814B9" w14:textId="77777777" w:rsidR="00C36261" w:rsidRDefault="00C36261" w:rsidP="00C36261">
      <w:pPr>
        <w:rPr>
          <w:lang w:eastAsia="ja-JP"/>
        </w:rPr>
      </w:pPr>
      <w:r>
        <w:rPr>
          <w:lang w:eastAsia="ja-JP"/>
        </w:rPr>
        <w:t xml:space="preserve"> </w:t>
      </w:r>
    </w:p>
    <w:p w14:paraId="4BBCCB9C" w14:textId="77777777" w:rsidR="00C36261" w:rsidRPr="00A57ABC" w:rsidRDefault="00C36261" w:rsidP="00C36261">
      <w:pPr>
        <w:widowControl w:val="0"/>
        <w:rPr>
          <w:sz w:val="22"/>
          <w:szCs w:val="22"/>
          <w:lang w:val="es-ES" w:eastAsia="en-US"/>
        </w:rPr>
      </w:pPr>
    </w:p>
    <w:p w14:paraId="24DBF52B" w14:textId="77777777" w:rsidR="00C36261" w:rsidRPr="00A57ABC" w:rsidRDefault="00C36261" w:rsidP="00C36261">
      <w:pPr>
        <w:widowControl w:val="0"/>
        <w:rPr>
          <w:sz w:val="22"/>
          <w:szCs w:val="22"/>
          <w:lang w:val="es-ES" w:eastAsia="en-US"/>
        </w:rPr>
      </w:pPr>
    </w:p>
    <w:p w14:paraId="25592FC4" w14:textId="344CE315" w:rsidR="00C36261" w:rsidRDefault="00C36261" w:rsidP="00C36261">
      <w:pPr>
        <w:widowControl w:val="0"/>
        <w:rPr>
          <w:sz w:val="22"/>
          <w:szCs w:val="22"/>
          <w:lang w:val="es-ES" w:eastAsia="en-US"/>
        </w:rPr>
      </w:pPr>
    </w:p>
    <w:p w14:paraId="04B05BCC" w14:textId="7CBE594D" w:rsidR="00B663DC" w:rsidRDefault="00B663DC" w:rsidP="00C36261">
      <w:pPr>
        <w:widowControl w:val="0"/>
        <w:rPr>
          <w:sz w:val="22"/>
          <w:szCs w:val="22"/>
          <w:lang w:val="es-ES" w:eastAsia="en-US"/>
        </w:rPr>
      </w:pPr>
    </w:p>
    <w:p w14:paraId="2D74E805" w14:textId="78F5C3D5" w:rsidR="00B663DC" w:rsidRDefault="00B663DC" w:rsidP="00C36261">
      <w:pPr>
        <w:widowControl w:val="0"/>
        <w:rPr>
          <w:sz w:val="22"/>
          <w:szCs w:val="22"/>
          <w:lang w:val="es-ES" w:eastAsia="en-US"/>
        </w:rPr>
      </w:pPr>
    </w:p>
    <w:p w14:paraId="0766AF2E" w14:textId="095B214D" w:rsidR="00B663DC" w:rsidRDefault="00B663DC" w:rsidP="00C36261">
      <w:pPr>
        <w:widowControl w:val="0"/>
        <w:rPr>
          <w:sz w:val="22"/>
          <w:szCs w:val="22"/>
          <w:lang w:val="es-ES" w:eastAsia="en-US"/>
        </w:rPr>
      </w:pPr>
    </w:p>
    <w:p w14:paraId="0819332F" w14:textId="49CD4BFE" w:rsidR="00B663DC" w:rsidRDefault="00B663DC" w:rsidP="00C36261">
      <w:pPr>
        <w:widowControl w:val="0"/>
        <w:rPr>
          <w:sz w:val="22"/>
          <w:szCs w:val="22"/>
          <w:lang w:val="es-ES" w:eastAsia="en-US"/>
        </w:rPr>
      </w:pPr>
    </w:p>
    <w:p w14:paraId="63E938C5" w14:textId="0533D42F" w:rsidR="00B663DC" w:rsidRDefault="00B663DC" w:rsidP="00C36261">
      <w:pPr>
        <w:widowControl w:val="0"/>
        <w:rPr>
          <w:sz w:val="22"/>
          <w:szCs w:val="22"/>
          <w:lang w:val="es-ES" w:eastAsia="en-US"/>
        </w:rPr>
      </w:pPr>
    </w:p>
    <w:p w14:paraId="305FB0CB" w14:textId="620E2B8B" w:rsidR="00B663DC" w:rsidRDefault="00B663DC" w:rsidP="00C36261">
      <w:pPr>
        <w:widowControl w:val="0"/>
        <w:rPr>
          <w:sz w:val="22"/>
          <w:szCs w:val="22"/>
          <w:lang w:val="es-ES" w:eastAsia="en-US"/>
        </w:rPr>
      </w:pPr>
    </w:p>
    <w:p w14:paraId="54A95E7E" w14:textId="009AF04D" w:rsidR="00B663DC" w:rsidRDefault="00B663DC" w:rsidP="00C36261">
      <w:pPr>
        <w:widowControl w:val="0"/>
        <w:rPr>
          <w:sz w:val="22"/>
          <w:szCs w:val="22"/>
          <w:lang w:val="es-ES" w:eastAsia="en-US"/>
        </w:rPr>
      </w:pPr>
    </w:p>
    <w:p w14:paraId="53017C5C" w14:textId="7B0CACB6" w:rsidR="00B663DC" w:rsidRDefault="00B663DC" w:rsidP="00C36261">
      <w:pPr>
        <w:widowControl w:val="0"/>
        <w:rPr>
          <w:sz w:val="22"/>
          <w:szCs w:val="22"/>
          <w:lang w:val="es-ES" w:eastAsia="en-US"/>
        </w:rPr>
      </w:pPr>
    </w:p>
    <w:p w14:paraId="304ABEE0" w14:textId="3E895B7C" w:rsidR="00B663DC" w:rsidRDefault="00B663DC" w:rsidP="00C36261">
      <w:pPr>
        <w:widowControl w:val="0"/>
        <w:rPr>
          <w:sz w:val="22"/>
          <w:szCs w:val="22"/>
          <w:lang w:val="es-ES" w:eastAsia="en-US"/>
        </w:rPr>
      </w:pPr>
    </w:p>
    <w:p w14:paraId="36878228" w14:textId="079917C5" w:rsidR="00B663DC" w:rsidRDefault="00B663DC" w:rsidP="00C36261">
      <w:pPr>
        <w:widowControl w:val="0"/>
        <w:rPr>
          <w:sz w:val="22"/>
          <w:szCs w:val="22"/>
          <w:lang w:val="es-ES" w:eastAsia="en-US"/>
        </w:rPr>
      </w:pPr>
    </w:p>
    <w:p w14:paraId="17318EE0" w14:textId="6342E497" w:rsidR="00B663DC" w:rsidRDefault="00B663DC" w:rsidP="00C36261">
      <w:pPr>
        <w:widowControl w:val="0"/>
        <w:rPr>
          <w:sz w:val="22"/>
          <w:szCs w:val="22"/>
          <w:lang w:val="es-ES" w:eastAsia="en-US"/>
        </w:rPr>
      </w:pPr>
    </w:p>
    <w:p w14:paraId="18485E0F" w14:textId="2B4D19D3" w:rsidR="00B663DC" w:rsidRDefault="00B663DC" w:rsidP="00C36261">
      <w:pPr>
        <w:widowControl w:val="0"/>
        <w:rPr>
          <w:sz w:val="22"/>
          <w:szCs w:val="22"/>
          <w:lang w:val="es-ES" w:eastAsia="en-US"/>
        </w:rPr>
      </w:pPr>
    </w:p>
    <w:p w14:paraId="47E48C38" w14:textId="25E40EA5" w:rsidR="00B663DC" w:rsidRDefault="00B663DC" w:rsidP="00C36261">
      <w:pPr>
        <w:widowControl w:val="0"/>
        <w:rPr>
          <w:sz w:val="22"/>
          <w:szCs w:val="22"/>
          <w:lang w:val="es-ES" w:eastAsia="en-US"/>
        </w:rPr>
      </w:pPr>
    </w:p>
    <w:p w14:paraId="3912A2AA" w14:textId="22BBC252" w:rsidR="00B663DC" w:rsidRPr="00B663DC" w:rsidRDefault="00B663DC" w:rsidP="000D77CC">
      <w:pPr>
        <w:pStyle w:val="Ttulo2"/>
        <w:jc w:val="center"/>
        <w:rPr>
          <w:bCs/>
          <w:lang w:val="es-ES"/>
        </w:rPr>
      </w:pPr>
      <w:bookmarkStart w:id="871" w:name="_Toc144114036"/>
      <w:bookmarkStart w:id="872" w:name="_Toc144114483"/>
      <w:r w:rsidRPr="00B663DC">
        <w:rPr>
          <w:bCs/>
          <w:lang w:val="es-ES"/>
        </w:rPr>
        <w:t>Bibliografía</w:t>
      </w:r>
      <w:bookmarkEnd w:id="871"/>
      <w:bookmarkEnd w:id="872"/>
    </w:p>
    <w:p w14:paraId="698A2E12" w14:textId="77777777" w:rsidR="00C36261" w:rsidRPr="00A57ABC" w:rsidRDefault="00C36261" w:rsidP="00C36261">
      <w:pPr>
        <w:widowControl w:val="0"/>
        <w:rPr>
          <w:sz w:val="22"/>
          <w:szCs w:val="22"/>
          <w:lang w:val="es-ES" w:eastAsia="en-US"/>
        </w:rPr>
      </w:pPr>
    </w:p>
    <w:p w14:paraId="75164765" w14:textId="77777777" w:rsidR="00C36261" w:rsidRPr="00A57ABC" w:rsidRDefault="00C36261" w:rsidP="00C36261">
      <w:pPr>
        <w:widowControl w:val="0"/>
        <w:rPr>
          <w:sz w:val="22"/>
          <w:szCs w:val="22"/>
          <w:lang w:val="es-ES" w:eastAsia="en-US"/>
        </w:rPr>
      </w:pPr>
    </w:p>
    <w:sdt>
      <w:sdtPr>
        <w:rPr>
          <w:rFonts w:asciiTheme="minorHAnsi" w:eastAsia="Times New Roman" w:hAnsiTheme="minorHAnsi" w:cstheme="minorBidi"/>
          <w:sz w:val="22"/>
          <w:szCs w:val="22"/>
          <w:lang w:eastAsia="es-GT"/>
        </w:rPr>
        <w:id w:val="111145805"/>
        <w:bibliography/>
      </w:sdtPr>
      <w:sdtEndPr>
        <w:rPr>
          <w:rFonts w:ascii="Times New Roman" w:hAnsi="Times New Roman" w:cs="Times New Roman"/>
          <w:sz w:val="24"/>
          <w:szCs w:val="24"/>
        </w:rPr>
      </w:sdtEndPr>
      <w:sdtContent>
        <w:p w14:paraId="31966BB6" w14:textId="77777777" w:rsidR="00B663DC" w:rsidRDefault="00B663DC" w:rsidP="00B663DC">
          <w:pPr>
            <w:pStyle w:val="Bibliografa"/>
            <w:ind w:left="720" w:hanging="720"/>
            <w:rPr>
              <w:noProof/>
              <w:lang w:val="es-ES"/>
            </w:rPr>
          </w:pPr>
          <w:r>
            <w:fldChar w:fldCharType="begin"/>
          </w:r>
          <w:r>
            <w:instrText>BIBLIOGRAPHY</w:instrText>
          </w:r>
          <w:r>
            <w:fldChar w:fldCharType="separate"/>
          </w:r>
          <w:r>
            <w:rPr>
              <w:noProof/>
              <w:lang w:val="es-ES"/>
            </w:rPr>
            <w:t xml:space="preserve">Aceris Law LLC. (2023). </w:t>
          </w:r>
          <w:r>
            <w:rPr>
              <w:i/>
              <w:iCs/>
              <w:noProof/>
              <w:lang w:val="es-ES"/>
            </w:rPr>
            <w:t>Recursos de arbitraje internacional</w:t>
          </w:r>
          <w:r>
            <w:rPr>
              <w:noProof/>
              <w:lang w:val="es-ES"/>
            </w:rPr>
            <w:t>. Obtenido de https://www.international-arbitration-attorney.com/es/</w:t>
          </w:r>
        </w:p>
        <w:p w14:paraId="72AEE999" w14:textId="77777777" w:rsidR="00B663DC" w:rsidRDefault="00B663DC" w:rsidP="00B663DC">
          <w:pPr>
            <w:pStyle w:val="Bibliografa"/>
            <w:ind w:left="720" w:hanging="720"/>
            <w:rPr>
              <w:noProof/>
              <w:lang w:val="es-ES"/>
            </w:rPr>
          </w:pPr>
          <w:r>
            <w:rPr>
              <w:noProof/>
              <w:lang w:val="es-ES"/>
            </w:rPr>
            <w:t xml:space="preserve">Asamblea Nacional Constituyente . (1985). </w:t>
          </w:r>
          <w:r>
            <w:rPr>
              <w:i/>
              <w:iCs/>
              <w:noProof/>
              <w:lang w:val="es-ES"/>
            </w:rPr>
            <w:t>Constitución Política de República de Guatemala.</w:t>
          </w:r>
          <w:r>
            <w:rPr>
              <w:noProof/>
              <w:lang w:val="es-ES"/>
            </w:rPr>
            <w:t xml:space="preserve"> Guatemala.</w:t>
          </w:r>
        </w:p>
        <w:p w14:paraId="3B449389" w14:textId="77777777" w:rsidR="00B663DC" w:rsidRDefault="00B663DC" w:rsidP="00B663DC">
          <w:pPr>
            <w:pStyle w:val="Bibliografa"/>
            <w:ind w:left="720" w:hanging="720"/>
            <w:rPr>
              <w:noProof/>
              <w:lang w:val="es-ES"/>
            </w:rPr>
          </w:pPr>
          <w:r>
            <w:rPr>
              <w:noProof/>
              <w:lang w:val="es-ES"/>
            </w:rPr>
            <w:t xml:space="preserve">Banco Central República de Dominicana. (2013). </w:t>
          </w:r>
          <w:r>
            <w:rPr>
              <w:i/>
              <w:iCs/>
              <w:noProof/>
              <w:lang w:val="es-ES"/>
            </w:rPr>
            <w:t>Entorno Internacional</w:t>
          </w:r>
          <w:r>
            <w:rPr>
              <w:noProof/>
              <w:lang w:val="es-ES"/>
            </w:rPr>
            <w:t>. Obtenido de https://www.bancentral.gov.do/a/d/2585-entorno-internacional</w:t>
          </w:r>
        </w:p>
        <w:p w14:paraId="50DCB979" w14:textId="77777777" w:rsidR="00B663DC" w:rsidRDefault="00B663DC" w:rsidP="00B663DC">
          <w:pPr>
            <w:pStyle w:val="Bibliografa"/>
            <w:ind w:left="720" w:hanging="720"/>
            <w:rPr>
              <w:noProof/>
              <w:lang w:val="es-ES"/>
            </w:rPr>
          </w:pPr>
          <w:r>
            <w:rPr>
              <w:noProof/>
              <w:lang w:val="es-ES"/>
            </w:rPr>
            <w:t xml:space="preserve">Banco de Guatemala. (2022). </w:t>
          </w:r>
          <w:r>
            <w:rPr>
              <w:i/>
              <w:iCs/>
              <w:noProof/>
              <w:lang w:val="es-ES"/>
            </w:rPr>
            <w:t>Estados Financieros.</w:t>
          </w:r>
          <w:r>
            <w:rPr>
              <w:noProof/>
              <w:lang w:val="es-ES"/>
            </w:rPr>
            <w:t xml:space="preserve"> Obtenido de https://www.banguat.gob.gt/page/ano-2022-3</w:t>
          </w:r>
        </w:p>
        <w:p w14:paraId="3EC43478" w14:textId="77777777" w:rsidR="00B663DC" w:rsidRDefault="00B663DC" w:rsidP="00B663DC">
          <w:pPr>
            <w:pStyle w:val="Bibliografa"/>
            <w:ind w:left="720" w:hanging="720"/>
            <w:rPr>
              <w:noProof/>
              <w:lang w:val="es-ES"/>
            </w:rPr>
          </w:pPr>
          <w:r>
            <w:rPr>
              <w:noProof/>
              <w:lang w:val="es-ES"/>
            </w:rPr>
            <w:t xml:space="preserve">Banco de Guatemala. (2023). </w:t>
          </w:r>
          <w:r>
            <w:rPr>
              <w:i/>
              <w:iCs/>
              <w:noProof/>
              <w:lang w:val="es-ES"/>
            </w:rPr>
            <w:t>Estadíticas Macroeconómicas</w:t>
          </w:r>
          <w:r>
            <w:rPr>
              <w:noProof/>
              <w:lang w:val="es-ES"/>
            </w:rPr>
            <w:t>. Obtenido de https://www.banguat.gob.gt/es/page/estadisticas-macroeconomicas</w:t>
          </w:r>
        </w:p>
        <w:p w14:paraId="081DAD73" w14:textId="77777777" w:rsidR="00B663DC" w:rsidRDefault="00B663DC" w:rsidP="00B663DC">
          <w:pPr>
            <w:pStyle w:val="Bibliografa"/>
            <w:ind w:left="720" w:hanging="720"/>
            <w:rPr>
              <w:noProof/>
              <w:lang w:val="es-ES"/>
            </w:rPr>
          </w:pPr>
          <w:r>
            <w:rPr>
              <w:noProof/>
              <w:lang w:val="es-ES"/>
            </w:rPr>
            <w:t xml:space="preserve">Banco de Guatemala. (Junio de 2023). </w:t>
          </w:r>
          <w:r>
            <w:rPr>
              <w:i/>
              <w:iCs/>
              <w:noProof/>
              <w:lang w:val="es-ES"/>
            </w:rPr>
            <w:t>Fondo para la protección del ahorro.</w:t>
          </w:r>
          <w:r>
            <w:rPr>
              <w:noProof/>
              <w:lang w:val="es-ES"/>
            </w:rPr>
            <w:t xml:space="preserve"> Obtenido de https://www.banguat.gob.gt/sites/default/files/banguat/Publica/fopa/El_seguro_de_depositos_como_parte_seguridad_del_sistema_financiero.pdf</w:t>
          </w:r>
        </w:p>
        <w:p w14:paraId="7593BDAF" w14:textId="77777777" w:rsidR="00B663DC" w:rsidRPr="00C51A8E" w:rsidRDefault="00B663DC" w:rsidP="00B663DC">
          <w:pPr>
            <w:pStyle w:val="Bibliografa"/>
            <w:ind w:left="720" w:hanging="720"/>
            <w:rPr>
              <w:noProof/>
              <w:lang w:val="en-US"/>
            </w:rPr>
          </w:pPr>
          <w:r w:rsidRPr="00C51A8E">
            <w:rPr>
              <w:noProof/>
              <w:lang w:val="en-US"/>
            </w:rPr>
            <w:t xml:space="preserve">Banco Mundial. (2018). </w:t>
          </w:r>
          <w:r w:rsidRPr="00C51A8E">
            <w:rPr>
              <w:i/>
              <w:iCs/>
              <w:noProof/>
              <w:lang w:val="en-US"/>
            </w:rPr>
            <w:t>A tool dor the Analysis of Potential Economic and Fiscal Impact of Disaster, Model Definition Paper.</w:t>
          </w:r>
          <w:r w:rsidRPr="00C51A8E">
            <w:rPr>
              <w:noProof/>
              <w:lang w:val="en-US"/>
            </w:rPr>
            <w:t xml:space="preserve"> </w:t>
          </w:r>
        </w:p>
        <w:p w14:paraId="3FE0E985" w14:textId="77777777" w:rsidR="00B663DC" w:rsidRDefault="00B663DC" w:rsidP="00B663DC">
          <w:pPr>
            <w:pStyle w:val="Bibliografa"/>
            <w:ind w:left="720" w:hanging="720"/>
            <w:rPr>
              <w:noProof/>
              <w:lang w:val="es-ES"/>
            </w:rPr>
          </w:pPr>
          <w:r>
            <w:rPr>
              <w:noProof/>
              <w:lang w:val="es-ES"/>
            </w:rPr>
            <w:t xml:space="preserve">Banco Mundial. (2023). </w:t>
          </w:r>
          <w:r>
            <w:rPr>
              <w:i/>
              <w:iCs/>
              <w:noProof/>
              <w:lang w:val="es-ES"/>
            </w:rPr>
            <w:t>Commodity Markets</w:t>
          </w:r>
          <w:r>
            <w:rPr>
              <w:noProof/>
              <w:lang w:val="es-ES"/>
            </w:rPr>
            <w:t>. Obtenido de https://www.worldbank.org/en/research/commodity-markets</w:t>
          </w:r>
        </w:p>
        <w:p w14:paraId="326B7267" w14:textId="77777777" w:rsidR="00B663DC" w:rsidRPr="00C51A8E" w:rsidRDefault="00B663DC" w:rsidP="00B663DC">
          <w:pPr>
            <w:pStyle w:val="Bibliografa"/>
            <w:ind w:left="720" w:hanging="720"/>
            <w:rPr>
              <w:noProof/>
              <w:lang w:val="en-US"/>
            </w:rPr>
          </w:pPr>
          <w:r w:rsidRPr="00C51A8E">
            <w:rPr>
              <w:noProof/>
              <w:lang w:val="en-US"/>
            </w:rPr>
            <w:t xml:space="preserve">Banco Mundial. (2023). </w:t>
          </w:r>
          <w:r w:rsidRPr="00C51A8E">
            <w:rPr>
              <w:i/>
              <w:iCs/>
              <w:noProof/>
              <w:lang w:val="en-US"/>
            </w:rPr>
            <w:t>Commodity Markets Outlook: Lower Prices, Little Rellief</w:t>
          </w:r>
          <w:r w:rsidRPr="00C51A8E">
            <w:rPr>
              <w:noProof/>
              <w:lang w:val="en-US"/>
            </w:rPr>
            <w:t xml:space="preserve"> (Vol. Abril). Washington DC: International Bank for Reconstruction and Development.</w:t>
          </w:r>
        </w:p>
        <w:p w14:paraId="5F10A026" w14:textId="77777777" w:rsidR="00B663DC" w:rsidRPr="00C51A8E" w:rsidRDefault="00B663DC" w:rsidP="00B663DC">
          <w:pPr>
            <w:pStyle w:val="Bibliografa"/>
            <w:ind w:left="720" w:hanging="720"/>
            <w:rPr>
              <w:noProof/>
              <w:lang w:val="en-US"/>
            </w:rPr>
          </w:pPr>
          <w:r w:rsidRPr="00C51A8E">
            <w:rPr>
              <w:noProof/>
              <w:lang w:val="en-US"/>
            </w:rPr>
            <w:t xml:space="preserve">Banco Mundial. (2023). </w:t>
          </w:r>
          <w:r w:rsidRPr="00C51A8E">
            <w:rPr>
              <w:i/>
              <w:iCs/>
              <w:noProof/>
              <w:lang w:val="en-US"/>
            </w:rPr>
            <w:t>Global Economic Prospects</w:t>
          </w:r>
          <w:r w:rsidRPr="00C51A8E">
            <w:rPr>
              <w:noProof/>
              <w:lang w:val="en-US"/>
            </w:rPr>
            <w:t xml:space="preserve"> (Vol. June). Washington, DC: International Bank for Rescontruction and Development.</w:t>
          </w:r>
        </w:p>
        <w:p w14:paraId="1BDCBDA1" w14:textId="77777777" w:rsidR="00B663DC" w:rsidRDefault="00B663DC" w:rsidP="00B663DC">
          <w:pPr>
            <w:pStyle w:val="Bibliografa"/>
            <w:ind w:left="720" w:hanging="720"/>
            <w:rPr>
              <w:noProof/>
              <w:lang w:val="es-ES"/>
            </w:rPr>
          </w:pPr>
          <w:r w:rsidRPr="00C51A8E">
            <w:rPr>
              <w:noProof/>
              <w:lang w:val="en-US"/>
            </w:rPr>
            <w:t xml:space="preserve">Banco Mundial. (2023). </w:t>
          </w:r>
          <w:r w:rsidRPr="00C51A8E">
            <w:rPr>
              <w:i/>
              <w:iCs/>
              <w:noProof/>
              <w:lang w:val="en-US"/>
            </w:rPr>
            <w:t>The World Bank Data</w:t>
          </w:r>
          <w:r w:rsidRPr="00C51A8E">
            <w:rPr>
              <w:noProof/>
              <w:lang w:val="en-US"/>
            </w:rPr>
            <w:t xml:space="preserve">. </w:t>
          </w:r>
          <w:r>
            <w:rPr>
              <w:noProof/>
              <w:lang w:val="es-ES"/>
            </w:rPr>
            <w:t>Obtenido de https://data.worldbank.org/indicator/NY.GNP.PCAP.CD</w:t>
          </w:r>
        </w:p>
        <w:p w14:paraId="7E638B92" w14:textId="77777777" w:rsidR="00B663DC" w:rsidRDefault="00B663DC" w:rsidP="00B663DC">
          <w:pPr>
            <w:pStyle w:val="Bibliografa"/>
            <w:ind w:left="720" w:hanging="720"/>
            <w:rPr>
              <w:noProof/>
              <w:lang w:val="es-ES"/>
            </w:rPr>
          </w:pPr>
          <w:r w:rsidRPr="00C51A8E">
            <w:rPr>
              <w:noProof/>
              <w:lang w:val="en-US"/>
            </w:rPr>
            <w:t xml:space="preserve">Banco Mundial. (2023). </w:t>
          </w:r>
          <w:r w:rsidRPr="00C51A8E">
            <w:rPr>
              <w:i/>
              <w:iCs/>
              <w:noProof/>
              <w:lang w:val="en-US"/>
            </w:rPr>
            <w:t>World Bank Group country classifications by income level for FY24</w:t>
          </w:r>
          <w:r w:rsidRPr="00C51A8E">
            <w:rPr>
              <w:noProof/>
              <w:lang w:val="en-US"/>
            </w:rPr>
            <w:t xml:space="preserve">. </w:t>
          </w:r>
          <w:r>
            <w:rPr>
              <w:noProof/>
              <w:lang w:val="es-ES"/>
            </w:rPr>
            <w:t>Obtenido de https://blogs.worldbank.org/opendata/new-world-bank-group-country-classifications-income-level-fy24</w:t>
          </w:r>
        </w:p>
        <w:p w14:paraId="4BEE682F" w14:textId="77777777" w:rsidR="00B663DC" w:rsidRDefault="00B663DC" w:rsidP="00B663DC">
          <w:pPr>
            <w:pStyle w:val="Bibliografa"/>
            <w:ind w:left="720" w:hanging="720"/>
            <w:rPr>
              <w:noProof/>
              <w:lang w:val="es-ES"/>
            </w:rPr>
          </w:pPr>
          <w:r>
            <w:rPr>
              <w:noProof/>
              <w:lang w:val="es-ES"/>
            </w:rPr>
            <w:t xml:space="preserve">CIADI. (junio de 2022). </w:t>
          </w:r>
          <w:r>
            <w:rPr>
              <w:i/>
              <w:iCs/>
              <w:noProof/>
              <w:lang w:val="es-ES"/>
            </w:rPr>
            <w:t>Centro Internacional de Arreglo de Diferencias Relativas a lnversiones</w:t>
          </w:r>
          <w:r>
            <w:rPr>
              <w:noProof/>
              <w:lang w:val="es-ES"/>
            </w:rPr>
            <w:t>. Obtenido de https://icsid.worldbank.org/sites/default/files/publications/ICSID_AR.SP.pdf</w:t>
          </w:r>
        </w:p>
        <w:p w14:paraId="141FAE91" w14:textId="77777777" w:rsidR="00B663DC" w:rsidRDefault="00B663DC" w:rsidP="00B663DC">
          <w:pPr>
            <w:pStyle w:val="Bibliografa"/>
            <w:ind w:left="720" w:hanging="720"/>
            <w:rPr>
              <w:noProof/>
              <w:lang w:val="es-ES"/>
            </w:rPr>
          </w:pPr>
          <w:r>
            <w:rPr>
              <w:noProof/>
              <w:lang w:val="es-ES"/>
            </w:rPr>
            <w:t xml:space="preserve">Congreso de la República de Guatemala. (1979). </w:t>
          </w:r>
          <w:r>
            <w:rPr>
              <w:i/>
              <w:iCs/>
              <w:noProof/>
              <w:lang w:val="es-ES"/>
            </w:rPr>
            <w:t>Decreto 25-79 Ley Orgánica del Crédito Hipotecario Nacional.</w:t>
          </w:r>
          <w:r>
            <w:rPr>
              <w:noProof/>
              <w:lang w:val="es-ES"/>
            </w:rPr>
            <w:t xml:space="preserve"> Guatemala.</w:t>
          </w:r>
        </w:p>
        <w:p w14:paraId="1E789BD6" w14:textId="77777777" w:rsidR="00B663DC" w:rsidRDefault="00B663DC" w:rsidP="00B663DC">
          <w:pPr>
            <w:pStyle w:val="Bibliografa"/>
            <w:ind w:left="720" w:hanging="720"/>
            <w:rPr>
              <w:noProof/>
              <w:lang w:val="es-ES"/>
            </w:rPr>
          </w:pPr>
          <w:r>
            <w:rPr>
              <w:noProof/>
              <w:lang w:val="es-ES"/>
            </w:rPr>
            <w:t xml:space="preserve">Congreso de la República de Guatemala. (1988). </w:t>
          </w:r>
          <w:r>
            <w:rPr>
              <w:i/>
              <w:iCs/>
              <w:noProof/>
              <w:lang w:val="es-ES"/>
            </w:rPr>
            <w:t>Decreto 63-88 Ley de Clases Pasivas del EStado.</w:t>
          </w:r>
          <w:r>
            <w:rPr>
              <w:noProof/>
              <w:lang w:val="es-ES"/>
            </w:rPr>
            <w:t xml:space="preserve"> Guatemala.</w:t>
          </w:r>
        </w:p>
        <w:p w14:paraId="13FF2C33" w14:textId="77777777" w:rsidR="00B663DC" w:rsidRDefault="00B663DC" w:rsidP="00B663DC">
          <w:pPr>
            <w:pStyle w:val="Bibliografa"/>
            <w:ind w:left="720" w:hanging="720"/>
            <w:rPr>
              <w:noProof/>
              <w:lang w:val="es-ES"/>
            </w:rPr>
          </w:pPr>
          <w:r>
            <w:rPr>
              <w:noProof/>
              <w:lang w:val="es-ES"/>
            </w:rPr>
            <w:t xml:space="preserve">Congreso de la República de Guatemala. (1994). </w:t>
          </w:r>
          <w:r>
            <w:rPr>
              <w:i/>
              <w:iCs/>
              <w:noProof/>
              <w:lang w:val="es-ES"/>
            </w:rPr>
            <w:t>Decreto 64-94 Ley Orgánica del Instituto Nacional de Electrificación.</w:t>
          </w:r>
          <w:r>
            <w:rPr>
              <w:noProof/>
              <w:lang w:val="es-ES"/>
            </w:rPr>
            <w:t xml:space="preserve"> Guatemala.</w:t>
          </w:r>
        </w:p>
        <w:p w14:paraId="3F4F50A2" w14:textId="77777777" w:rsidR="00B663DC" w:rsidRDefault="00B663DC" w:rsidP="00B663DC">
          <w:pPr>
            <w:pStyle w:val="Bibliografa"/>
            <w:ind w:left="720" w:hanging="720"/>
            <w:rPr>
              <w:noProof/>
              <w:lang w:val="es-ES"/>
            </w:rPr>
          </w:pPr>
          <w:r>
            <w:rPr>
              <w:noProof/>
              <w:lang w:val="es-ES"/>
            </w:rPr>
            <w:t xml:space="preserve">Congreso de la República de Guatemala. (2010). </w:t>
          </w:r>
          <w:r>
            <w:rPr>
              <w:i/>
              <w:iCs/>
              <w:noProof/>
              <w:lang w:val="es-ES"/>
            </w:rPr>
            <w:t>Decreto 16-2010 Ley de Alianzas para el Desarrollo de Infraestructura Económica.</w:t>
          </w:r>
          <w:r>
            <w:rPr>
              <w:noProof/>
              <w:lang w:val="es-ES"/>
            </w:rPr>
            <w:t xml:space="preserve"> Guatemala.</w:t>
          </w:r>
        </w:p>
        <w:p w14:paraId="60D521DA" w14:textId="77777777" w:rsidR="00B663DC" w:rsidRDefault="00B663DC" w:rsidP="00B663DC">
          <w:pPr>
            <w:pStyle w:val="Bibliografa"/>
            <w:ind w:left="720" w:hanging="720"/>
            <w:rPr>
              <w:noProof/>
              <w:lang w:val="es-ES"/>
            </w:rPr>
          </w:pPr>
          <w:r>
            <w:rPr>
              <w:noProof/>
              <w:lang w:val="es-ES"/>
            </w:rPr>
            <w:t xml:space="preserve">Congreso de la República de Guatemala. (Reforma 2014). </w:t>
          </w:r>
          <w:r>
            <w:rPr>
              <w:i/>
              <w:iCs/>
              <w:noProof/>
              <w:lang w:val="es-ES"/>
            </w:rPr>
            <w:t xml:space="preserve">Decreto 101-97 Ley Orgánica </w:t>
          </w:r>
          <w:r>
            <w:rPr>
              <w:i/>
              <w:iCs/>
              <w:noProof/>
              <w:lang w:val="es-ES"/>
            </w:rPr>
            <w:lastRenderedPageBreak/>
            <w:t>del Presupuesto.</w:t>
          </w:r>
          <w:r>
            <w:rPr>
              <w:noProof/>
              <w:lang w:val="es-ES"/>
            </w:rPr>
            <w:t xml:space="preserve"> Guatemala.</w:t>
          </w:r>
        </w:p>
        <w:p w14:paraId="6B80A194" w14:textId="77777777" w:rsidR="00B663DC" w:rsidRDefault="00B663DC" w:rsidP="00B663DC">
          <w:pPr>
            <w:pStyle w:val="Bibliografa"/>
            <w:ind w:left="720" w:hanging="720"/>
            <w:rPr>
              <w:noProof/>
              <w:lang w:val="es-ES"/>
            </w:rPr>
          </w:pPr>
          <w:r>
            <w:rPr>
              <w:noProof/>
              <w:lang w:val="es-ES"/>
            </w:rPr>
            <w:t xml:space="preserve">Congreso de la República, G. (1965). Decreto 1132. </w:t>
          </w:r>
          <w:r>
            <w:rPr>
              <w:i/>
              <w:iCs/>
              <w:noProof/>
              <w:lang w:val="es-ES"/>
            </w:rPr>
            <w:t>Ley Orgánica del Instituto de Fomento Municipal.</w:t>
          </w:r>
          <w:r>
            <w:rPr>
              <w:noProof/>
              <w:lang w:val="es-ES"/>
            </w:rPr>
            <w:t xml:space="preserve"> Guatemala.</w:t>
          </w:r>
        </w:p>
        <w:p w14:paraId="40C38E7F" w14:textId="77777777" w:rsidR="00B663DC" w:rsidRDefault="00B663DC" w:rsidP="00B663DC">
          <w:pPr>
            <w:pStyle w:val="Bibliografa"/>
            <w:ind w:left="720" w:hanging="720"/>
            <w:rPr>
              <w:noProof/>
              <w:lang w:val="es-ES"/>
            </w:rPr>
          </w:pPr>
          <w:r>
            <w:rPr>
              <w:noProof/>
              <w:lang w:val="es-ES"/>
            </w:rPr>
            <w:t xml:space="preserve">Congreso de la República, G. (17 de noviembre de 1993). Constitución Política de la República de Guatemala. </w:t>
          </w:r>
          <w:r>
            <w:rPr>
              <w:i/>
              <w:iCs/>
              <w:noProof/>
              <w:lang w:val="es-ES"/>
            </w:rPr>
            <w:t>Régimen Municipal</w:t>
          </w:r>
          <w:r>
            <w:rPr>
              <w:noProof/>
              <w:lang w:val="es-ES"/>
            </w:rPr>
            <w:t>. Guatemala.</w:t>
          </w:r>
        </w:p>
        <w:p w14:paraId="293E6EFC" w14:textId="77777777" w:rsidR="00B663DC" w:rsidRDefault="00B663DC" w:rsidP="00B663DC">
          <w:pPr>
            <w:pStyle w:val="Bibliografa"/>
            <w:ind w:left="720" w:hanging="720"/>
            <w:rPr>
              <w:noProof/>
              <w:lang w:val="es-ES"/>
            </w:rPr>
          </w:pPr>
          <w:r>
            <w:rPr>
              <w:noProof/>
              <w:lang w:val="es-ES"/>
            </w:rPr>
            <w:t>Congreso de la RepúblIca, G. (2002). Decreto 14-2022 Ley General de Descentralización. Guatemala.</w:t>
          </w:r>
        </w:p>
        <w:p w14:paraId="5B349303" w14:textId="77777777" w:rsidR="00B663DC" w:rsidRPr="00C51A8E" w:rsidRDefault="00B663DC" w:rsidP="00B663DC">
          <w:pPr>
            <w:pStyle w:val="Bibliografa"/>
            <w:ind w:left="720" w:hanging="720"/>
            <w:rPr>
              <w:noProof/>
              <w:lang w:val="en-US"/>
            </w:rPr>
          </w:pPr>
          <w:r>
            <w:rPr>
              <w:noProof/>
              <w:lang w:val="es-ES"/>
            </w:rPr>
            <w:t xml:space="preserve">Congreso de la República, G. (2002). Decreto número 12-2002. </w:t>
          </w:r>
          <w:r>
            <w:rPr>
              <w:i/>
              <w:iCs/>
              <w:noProof/>
              <w:lang w:val="es-ES"/>
            </w:rPr>
            <w:t>Código Municipal</w:t>
          </w:r>
          <w:r>
            <w:rPr>
              <w:noProof/>
              <w:lang w:val="es-ES"/>
            </w:rPr>
            <w:t xml:space="preserve">. </w:t>
          </w:r>
          <w:r w:rsidRPr="00C51A8E">
            <w:rPr>
              <w:noProof/>
              <w:lang w:val="en-US"/>
            </w:rPr>
            <w:t>Guatemala.</w:t>
          </w:r>
        </w:p>
        <w:p w14:paraId="0AF8AF49" w14:textId="77777777" w:rsidR="00B663DC" w:rsidRPr="00C51A8E" w:rsidRDefault="00B663DC" w:rsidP="00B663DC">
          <w:pPr>
            <w:pStyle w:val="Bibliografa"/>
            <w:ind w:left="720" w:hanging="720"/>
            <w:rPr>
              <w:noProof/>
              <w:lang w:val="en-US"/>
            </w:rPr>
          </w:pPr>
          <w:r w:rsidRPr="00C51A8E">
            <w:rPr>
              <w:noProof/>
              <w:lang w:val="en-US"/>
            </w:rPr>
            <w:t xml:space="preserve">European Commission. (2020). </w:t>
          </w:r>
          <w:r w:rsidRPr="00C51A8E">
            <w:rPr>
              <w:i/>
              <w:iCs/>
              <w:noProof/>
              <w:lang w:val="en-US"/>
            </w:rPr>
            <w:t>The 2021 Ageing Report Underlying Assumptions &amp; Projection Methodologies.</w:t>
          </w:r>
          <w:r w:rsidRPr="00C51A8E">
            <w:rPr>
              <w:noProof/>
              <w:lang w:val="en-US"/>
            </w:rPr>
            <w:t xml:space="preserve"> Luxembourg: European Union.</w:t>
          </w:r>
        </w:p>
        <w:p w14:paraId="01694B28" w14:textId="77777777" w:rsidR="00B663DC" w:rsidRDefault="00B663DC" w:rsidP="00B663DC">
          <w:pPr>
            <w:pStyle w:val="Bibliografa"/>
            <w:ind w:left="720" w:hanging="720"/>
            <w:rPr>
              <w:noProof/>
              <w:lang w:val="es-ES"/>
            </w:rPr>
          </w:pPr>
          <w:r w:rsidRPr="00C51A8E">
            <w:rPr>
              <w:noProof/>
              <w:lang w:val="en-US"/>
            </w:rPr>
            <w:t xml:space="preserve">Federal Reserve Bank of St. Lous. (2023). </w:t>
          </w:r>
          <w:r w:rsidRPr="00C51A8E">
            <w:rPr>
              <w:i/>
              <w:iCs/>
              <w:noProof/>
              <w:lang w:val="en-US"/>
            </w:rPr>
            <w:t>FRED Economic Data</w:t>
          </w:r>
          <w:r w:rsidRPr="00C51A8E">
            <w:rPr>
              <w:noProof/>
              <w:lang w:val="en-US"/>
            </w:rPr>
            <w:t xml:space="preserve">. </w:t>
          </w:r>
          <w:r>
            <w:rPr>
              <w:noProof/>
              <w:lang w:val="es-ES"/>
            </w:rPr>
            <w:t>Obtenido de https://fred.stlouisfed.org/</w:t>
          </w:r>
        </w:p>
        <w:p w14:paraId="3F74E385" w14:textId="77777777" w:rsidR="00B663DC" w:rsidRPr="00C51A8E" w:rsidRDefault="00B663DC" w:rsidP="00B663DC">
          <w:pPr>
            <w:pStyle w:val="Bibliografa"/>
            <w:ind w:left="720" w:hanging="720"/>
            <w:rPr>
              <w:noProof/>
              <w:lang w:val="en-US"/>
            </w:rPr>
          </w:pPr>
          <w:r w:rsidRPr="00C51A8E">
            <w:rPr>
              <w:noProof/>
              <w:lang w:val="en-US"/>
            </w:rPr>
            <w:t xml:space="preserve">Fondo Monetario Internacional. (2013). </w:t>
          </w:r>
          <w:r w:rsidRPr="00C51A8E">
            <w:rPr>
              <w:i/>
              <w:iCs/>
              <w:noProof/>
              <w:lang w:val="en-US"/>
            </w:rPr>
            <w:t>Staff Guidance Note for Public Debt Sustainability Analysis in Market-Access Countries.</w:t>
          </w:r>
          <w:r w:rsidRPr="00C51A8E">
            <w:rPr>
              <w:noProof/>
              <w:lang w:val="en-US"/>
            </w:rPr>
            <w:t xml:space="preserve"> </w:t>
          </w:r>
        </w:p>
        <w:p w14:paraId="024942AF" w14:textId="77777777" w:rsidR="00B663DC" w:rsidRDefault="00B663DC" w:rsidP="00B663DC">
          <w:pPr>
            <w:pStyle w:val="Bibliografa"/>
            <w:ind w:left="720" w:hanging="720"/>
            <w:rPr>
              <w:noProof/>
              <w:lang w:val="es-ES"/>
            </w:rPr>
          </w:pPr>
          <w:r>
            <w:rPr>
              <w:noProof/>
              <w:lang w:val="es-ES"/>
            </w:rPr>
            <w:t xml:space="preserve">Fondo Monetario Internacional. (2023). </w:t>
          </w:r>
          <w:r>
            <w:rPr>
              <w:i/>
              <w:iCs/>
              <w:noProof/>
              <w:lang w:val="es-ES"/>
            </w:rPr>
            <w:t>Actualización de Perspectivas de la Economía Mundial; La inflación toca máximos en un contexto de bajo crecimiento</w:t>
          </w:r>
          <w:r>
            <w:rPr>
              <w:noProof/>
              <w:lang w:val="es-ES"/>
            </w:rPr>
            <w:t xml:space="preserve"> (Vol. Enero). Washington, DC.</w:t>
          </w:r>
        </w:p>
        <w:p w14:paraId="4F8FD897" w14:textId="77777777" w:rsidR="00B663DC" w:rsidRDefault="00B663DC" w:rsidP="00B663DC">
          <w:pPr>
            <w:pStyle w:val="Bibliografa"/>
            <w:ind w:left="720" w:hanging="720"/>
            <w:rPr>
              <w:noProof/>
              <w:lang w:val="es-ES"/>
            </w:rPr>
          </w:pPr>
          <w:r>
            <w:rPr>
              <w:noProof/>
              <w:lang w:val="es-ES"/>
            </w:rPr>
            <w:t xml:space="preserve">Fondo Monetario Internacional. (2023). </w:t>
          </w:r>
          <w:r>
            <w:rPr>
              <w:i/>
              <w:iCs/>
              <w:noProof/>
              <w:lang w:val="es-ES"/>
            </w:rPr>
            <w:t>Covid-19 Fiscal Stress Test (C-ST)</w:t>
          </w:r>
          <w:r>
            <w:rPr>
              <w:noProof/>
              <w:lang w:val="es-ES"/>
            </w:rPr>
            <w:t>. Obtenido de https://www.imf.org/en/Topics/fiscal-policies/Fiscal-Risks/Fiscal-Risks-Toolkit/Fiscal-Risks-Toolkit-C-ST</w:t>
          </w:r>
        </w:p>
        <w:p w14:paraId="5C74E85B" w14:textId="77777777" w:rsidR="00B663DC" w:rsidRDefault="00B663DC" w:rsidP="00B663DC">
          <w:pPr>
            <w:pStyle w:val="Bibliografa"/>
            <w:ind w:left="720" w:hanging="720"/>
            <w:rPr>
              <w:noProof/>
              <w:lang w:val="es-ES"/>
            </w:rPr>
          </w:pPr>
          <w:r>
            <w:rPr>
              <w:noProof/>
              <w:lang w:val="es-ES"/>
            </w:rPr>
            <w:t xml:space="preserve">Fondo Monetario Internacional. (2023). </w:t>
          </w:r>
          <w:r>
            <w:rPr>
              <w:i/>
              <w:iCs/>
              <w:noProof/>
              <w:lang w:val="es-ES"/>
            </w:rPr>
            <w:t>Fiscal Risk Assesment Tool (FRAT)</w:t>
          </w:r>
          <w:r>
            <w:rPr>
              <w:noProof/>
              <w:lang w:val="es-ES"/>
            </w:rPr>
            <w:t>. Obtenido de https://www.imf.org/en/Topics/fiscal-policies/Fiscal-Risks/Fiscal-Risks-Toolkit/Fiscal-Risks-Toolkit-FRAT</w:t>
          </w:r>
        </w:p>
        <w:p w14:paraId="0C02D130" w14:textId="77777777" w:rsidR="00B663DC" w:rsidRDefault="00B663DC" w:rsidP="00B663DC">
          <w:pPr>
            <w:pStyle w:val="Bibliografa"/>
            <w:ind w:left="720" w:hanging="720"/>
            <w:rPr>
              <w:noProof/>
              <w:lang w:val="es-ES"/>
            </w:rPr>
          </w:pPr>
          <w:r>
            <w:rPr>
              <w:noProof/>
              <w:lang w:val="es-ES"/>
            </w:rPr>
            <w:t xml:space="preserve">Fondo Monetario Internacional. (2023). </w:t>
          </w:r>
          <w:r>
            <w:rPr>
              <w:i/>
              <w:iCs/>
              <w:noProof/>
              <w:lang w:val="es-ES"/>
            </w:rPr>
            <w:t>Perspectivas de la Economía Mundial; Una recuperación accidentada</w:t>
          </w:r>
          <w:r>
            <w:rPr>
              <w:noProof/>
              <w:lang w:val="es-ES"/>
            </w:rPr>
            <w:t xml:space="preserve"> (Vol. Abril). Washington,DC.</w:t>
          </w:r>
        </w:p>
        <w:p w14:paraId="631FE804" w14:textId="77777777" w:rsidR="00B663DC" w:rsidRDefault="00B663DC" w:rsidP="00B663DC">
          <w:pPr>
            <w:pStyle w:val="Bibliografa"/>
            <w:ind w:left="720" w:hanging="720"/>
            <w:rPr>
              <w:noProof/>
              <w:lang w:val="es-ES"/>
            </w:rPr>
          </w:pPr>
          <w:r>
            <w:rPr>
              <w:noProof/>
              <w:lang w:val="es-ES"/>
            </w:rPr>
            <w:t xml:space="preserve">Fondo Monetario Internacional. (2023). </w:t>
          </w:r>
          <w:r>
            <w:rPr>
              <w:i/>
              <w:iCs/>
              <w:noProof/>
              <w:lang w:val="es-ES"/>
            </w:rPr>
            <w:t>World Economic Outlook Database: April 2023 Edition</w:t>
          </w:r>
          <w:r>
            <w:rPr>
              <w:noProof/>
              <w:lang w:val="es-ES"/>
            </w:rPr>
            <w:t>. Obtenido de https://www.imf.org/en/Publications/WEO/weo-database/2023/April</w:t>
          </w:r>
        </w:p>
        <w:p w14:paraId="5A14C987" w14:textId="77777777" w:rsidR="00B663DC" w:rsidRDefault="00B663DC" w:rsidP="00B663DC">
          <w:pPr>
            <w:pStyle w:val="Bibliografa"/>
            <w:ind w:left="720" w:hanging="720"/>
            <w:rPr>
              <w:noProof/>
              <w:lang w:val="es-ES"/>
            </w:rPr>
          </w:pPr>
          <w:r w:rsidRPr="00C51A8E">
            <w:rPr>
              <w:noProof/>
              <w:lang w:val="en-US"/>
            </w:rPr>
            <w:t xml:space="preserve">ICSID. (mayo de 2023). </w:t>
          </w:r>
          <w:r w:rsidRPr="00C51A8E">
            <w:rPr>
              <w:i/>
              <w:iCs/>
              <w:noProof/>
              <w:lang w:val="en-US"/>
            </w:rPr>
            <w:t>International Centre for Settlement of Investment Disputes</w:t>
          </w:r>
          <w:r w:rsidRPr="00C51A8E">
            <w:rPr>
              <w:noProof/>
              <w:lang w:val="en-US"/>
            </w:rPr>
            <w:t xml:space="preserve">. </w:t>
          </w:r>
          <w:r>
            <w:rPr>
              <w:noProof/>
              <w:lang w:val="es-ES"/>
            </w:rPr>
            <w:t>Obtenido de https://icsid.worldbank.org/cases/case-database</w:t>
          </w:r>
        </w:p>
        <w:p w14:paraId="6A842558" w14:textId="77777777" w:rsidR="00B663DC" w:rsidRDefault="00B663DC" w:rsidP="00B663DC">
          <w:pPr>
            <w:pStyle w:val="Bibliografa"/>
            <w:ind w:left="720" w:hanging="720"/>
            <w:rPr>
              <w:noProof/>
              <w:lang w:val="es-ES"/>
            </w:rPr>
          </w:pPr>
          <w:r>
            <w:rPr>
              <w:noProof/>
              <w:lang w:val="es-ES"/>
            </w:rPr>
            <w:t xml:space="preserve">Instituto Guatemalteco de Seguridad Social. (2023). </w:t>
          </w:r>
          <w:r>
            <w:rPr>
              <w:i/>
              <w:iCs/>
              <w:noProof/>
              <w:lang w:val="es-ES"/>
            </w:rPr>
            <w:t>Valuación Actuarial del Programa de Accidentes Año 2022.</w:t>
          </w:r>
          <w:r>
            <w:rPr>
              <w:noProof/>
              <w:lang w:val="es-ES"/>
            </w:rPr>
            <w:t xml:space="preserve"> Guatemala.</w:t>
          </w:r>
        </w:p>
        <w:p w14:paraId="6A9990FC" w14:textId="77777777" w:rsidR="00B663DC" w:rsidRDefault="00B663DC" w:rsidP="00B663DC">
          <w:pPr>
            <w:pStyle w:val="Bibliografa"/>
            <w:ind w:left="720" w:hanging="720"/>
            <w:rPr>
              <w:noProof/>
              <w:lang w:val="es-ES"/>
            </w:rPr>
          </w:pPr>
          <w:r>
            <w:rPr>
              <w:noProof/>
              <w:lang w:val="es-ES"/>
            </w:rPr>
            <w:t xml:space="preserve">Instituto Guatemalteco de Seguridad Social. (2023). </w:t>
          </w:r>
          <w:r>
            <w:rPr>
              <w:i/>
              <w:iCs/>
              <w:noProof/>
              <w:lang w:val="es-ES"/>
            </w:rPr>
            <w:t>Valuación Actuarial del Programa de Enfermedad y Maternidad Año 2022.</w:t>
          </w:r>
          <w:r>
            <w:rPr>
              <w:noProof/>
              <w:lang w:val="es-ES"/>
            </w:rPr>
            <w:t xml:space="preserve"> Guatemala.</w:t>
          </w:r>
        </w:p>
        <w:p w14:paraId="205C0298" w14:textId="77777777" w:rsidR="00B663DC" w:rsidRDefault="00B663DC" w:rsidP="00B663DC">
          <w:pPr>
            <w:pStyle w:val="Bibliografa"/>
            <w:ind w:left="720" w:hanging="720"/>
            <w:rPr>
              <w:noProof/>
              <w:lang w:val="es-ES"/>
            </w:rPr>
          </w:pPr>
          <w:r>
            <w:rPr>
              <w:noProof/>
              <w:lang w:val="es-ES"/>
            </w:rPr>
            <w:t xml:space="preserve">Instituto Guatemalteco de Seguridad Social. (2023). </w:t>
          </w:r>
          <w:r>
            <w:rPr>
              <w:i/>
              <w:iCs/>
              <w:noProof/>
              <w:lang w:val="es-ES"/>
            </w:rPr>
            <w:t>Valuación Actuarial: Programa Sobre Protección Relativa a Invalidez, Vejez y Sobrevivencia 2022.</w:t>
          </w:r>
          <w:r>
            <w:rPr>
              <w:noProof/>
              <w:lang w:val="es-ES"/>
            </w:rPr>
            <w:t xml:space="preserve"> Guatemala.</w:t>
          </w:r>
        </w:p>
        <w:p w14:paraId="04DC3C0B" w14:textId="77777777" w:rsidR="00B663DC" w:rsidRDefault="00B663DC" w:rsidP="00B663DC">
          <w:pPr>
            <w:pStyle w:val="Bibliografa"/>
            <w:ind w:left="720" w:hanging="720"/>
            <w:rPr>
              <w:noProof/>
              <w:lang w:val="es-ES"/>
            </w:rPr>
          </w:pPr>
          <w:r>
            <w:rPr>
              <w:noProof/>
              <w:lang w:val="es-ES"/>
            </w:rPr>
            <w:t xml:space="preserve">Instituto Nacional de Estadística Guatemala. (2023). </w:t>
          </w:r>
          <w:r>
            <w:rPr>
              <w:i/>
              <w:iCs/>
              <w:noProof/>
              <w:lang w:val="es-ES"/>
            </w:rPr>
            <w:t>Población</w:t>
          </w:r>
          <w:r>
            <w:rPr>
              <w:noProof/>
              <w:lang w:val="es-ES"/>
            </w:rPr>
            <w:t>. Obtenido de https://www.ine.gob.gt/poblacion-menu/</w:t>
          </w:r>
        </w:p>
        <w:p w14:paraId="0FF815AA" w14:textId="77777777" w:rsidR="00B663DC" w:rsidRDefault="00B663DC" w:rsidP="00B663DC">
          <w:pPr>
            <w:pStyle w:val="Bibliografa"/>
            <w:ind w:left="720" w:hanging="720"/>
            <w:rPr>
              <w:noProof/>
              <w:lang w:val="es-ES"/>
            </w:rPr>
          </w:pPr>
          <w:r>
            <w:rPr>
              <w:noProof/>
              <w:lang w:val="es-ES"/>
            </w:rPr>
            <w:t xml:space="preserve">Instituto Nacional de Estadísticas. (julio de 2023). </w:t>
          </w:r>
          <w:r>
            <w:rPr>
              <w:i/>
              <w:iCs/>
              <w:noProof/>
              <w:lang w:val="es-ES"/>
            </w:rPr>
            <w:t>Instituto Nacional de Estadísticas</w:t>
          </w:r>
          <w:r>
            <w:rPr>
              <w:noProof/>
              <w:lang w:val="es-ES"/>
            </w:rPr>
            <w:t>. Obtenido de INE: https://www.ine.gob.gt/proyecciones/</w:t>
          </w:r>
        </w:p>
        <w:p w14:paraId="3B63DFEB" w14:textId="77777777" w:rsidR="00B663DC" w:rsidRDefault="00B663DC" w:rsidP="00B663DC">
          <w:pPr>
            <w:pStyle w:val="Bibliografa"/>
            <w:ind w:left="720" w:hanging="720"/>
            <w:rPr>
              <w:noProof/>
              <w:lang w:val="es-ES"/>
            </w:rPr>
          </w:pPr>
          <w:r>
            <w:rPr>
              <w:noProof/>
              <w:lang w:val="es-ES"/>
            </w:rPr>
            <w:t xml:space="preserve">Investing. (2023). </w:t>
          </w:r>
          <w:r>
            <w:rPr>
              <w:i/>
              <w:iCs/>
              <w:noProof/>
              <w:lang w:val="es-ES"/>
            </w:rPr>
            <w:t>Futuros de Índices y Materias primas</w:t>
          </w:r>
          <w:r>
            <w:rPr>
              <w:noProof/>
              <w:lang w:val="es-ES"/>
            </w:rPr>
            <w:t>. Obtenido de https://es.investing.com/</w:t>
          </w:r>
        </w:p>
        <w:p w14:paraId="019206F4" w14:textId="77777777" w:rsidR="00B663DC" w:rsidRDefault="00B663DC" w:rsidP="00B663DC">
          <w:pPr>
            <w:pStyle w:val="Bibliografa"/>
            <w:ind w:left="720" w:hanging="720"/>
            <w:rPr>
              <w:noProof/>
              <w:lang w:val="es-ES"/>
            </w:rPr>
          </w:pPr>
          <w:r>
            <w:rPr>
              <w:noProof/>
              <w:lang w:val="es-ES"/>
            </w:rPr>
            <w:t xml:space="preserve">Labandeira, X., Labeaga, J., &amp; Otero, L. (2017). </w:t>
          </w:r>
          <w:r w:rsidRPr="00C51A8E">
            <w:rPr>
              <w:noProof/>
              <w:lang w:val="en-US"/>
            </w:rPr>
            <w:t xml:space="preserve">A Meta-Analysis on the price elasticity of energy demand. </w:t>
          </w:r>
          <w:r>
            <w:rPr>
              <w:i/>
              <w:iCs/>
              <w:noProof/>
              <w:lang w:val="es-ES"/>
            </w:rPr>
            <w:t>102</w:t>
          </w:r>
          <w:r>
            <w:rPr>
              <w:noProof/>
              <w:lang w:val="es-ES"/>
            </w:rPr>
            <w:t>, 549-568.</w:t>
          </w:r>
        </w:p>
        <w:p w14:paraId="5A21642E" w14:textId="77777777" w:rsidR="00B663DC" w:rsidRDefault="00B663DC" w:rsidP="00B663DC">
          <w:pPr>
            <w:pStyle w:val="Bibliografa"/>
            <w:ind w:left="720" w:hanging="720"/>
            <w:rPr>
              <w:noProof/>
              <w:lang w:val="es-ES"/>
            </w:rPr>
          </w:pPr>
          <w:r>
            <w:rPr>
              <w:noProof/>
              <w:lang w:val="es-ES"/>
            </w:rPr>
            <w:t xml:space="preserve">Ministerio de Finanzas. (2022). </w:t>
          </w:r>
          <w:r>
            <w:rPr>
              <w:i/>
              <w:iCs/>
              <w:noProof/>
              <w:lang w:val="es-ES"/>
            </w:rPr>
            <w:t>Portal de Fideicomisos de la Administración Central (FCB).</w:t>
          </w:r>
          <w:r>
            <w:rPr>
              <w:noProof/>
              <w:lang w:val="es-ES"/>
            </w:rPr>
            <w:t xml:space="preserve"> Obtenido de https://portalfideicomisos.minfin.gob.gt/detalle-fideicomiso/36</w:t>
          </w:r>
        </w:p>
        <w:p w14:paraId="4E0D12A0" w14:textId="77777777" w:rsidR="00B663DC" w:rsidRDefault="00B663DC" w:rsidP="00B663DC">
          <w:pPr>
            <w:pStyle w:val="Bibliografa"/>
            <w:ind w:left="720" w:hanging="720"/>
            <w:rPr>
              <w:noProof/>
              <w:lang w:val="es-ES"/>
            </w:rPr>
          </w:pPr>
          <w:r>
            <w:rPr>
              <w:noProof/>
              <w:lang w:val="es-ES"/>
            </w:rPr>
            <w:lastRenderedPageBreak/>
            <w:t xml:space="preserve">Ministerio de Finanzas. (31 de 12 de 2022). </w:t>
          </w:r>
          <w:r>
            <w:rPr>
              <w:i/>
              <w:iCs/>
              <w:noProof/>
              <w:lang w:val="es-ES"/>
            </w:rPr>
            <w:t>Portal de Fideicomisos de la Administración Central (GuateInvierte).</w:t>
          </w:r>
          <w:r>
            <w:rPr>
              <w:noProof/>
              <w:lang w:val="es-ES"/>
            </w:rPr>
            <w:t xml:space="preserve"> Obtenido de https://portalfideicomisos.minfin.gob.gt/detalle-fideicomiso/3</w:t>
          </w:r>
        </w:p>
        <w:p w14:paraId="6690683A" w14:textId="77777777" w:rsidR="00B663DC" w:rsidRDefault="00B663DC" w:rsidP="00B663DC">
          <w:pPr>
            <w:pStyle w:val="Bibliografa"/>
            <w:ind w:left="720" w:hanging="720"/>
            <w:rPr>
              <w:noProof/>
              <w:lang w:val="es-ES"/>
            </w:rPr>
          </w:pPr>
          <w:r>
            <w:rPr>
              <w:noProof/>
              <w:lang w:val="es-ES"/>
            </w:rPr>
            <w:t xml:space="preserve">Ministerio de Finanzas Públicas. (2018). </w:t>
          </w:r>
          <w:r>
            <w:rPr>
              <w:i/>
              <w:iCs/>
              <w:noProof/>
              <w:lang w:val="es-ES"/>
            </w:rPr>
            <w:t>Manúal de Clasificaciones Presupuestarias para el Sector Público de Guatemala.</w:t>
          </w:r>
          <w:r>
            <w:rPr>
              <w:noProof/>
              <w:lang w:val="es-ES"/>
            </w:rPr>
            <w:t xml:space="preserve"> Guatemala.</w:t>
          </w:r>
        </w:p>
        <w:p w14:paraId="4CFB6CAF" w14:textId="77777777" w:rsidR="00B663DC" w:rsidRDefault="00B663DC" w:rsidP="00B663DC">
          <w:pPr>
            <w:pStyle w:val="Bibliografa"/>
            <w:ind w:left="720" w:hanging="720"/>
            <w:rPr>
              <w:noProof/>
              <w:lang w:val="es-ES"/>
            </w:rPr>
          </w:pPr>
          <w:r>
            <w:rPr>
              <w:noProof/>
              <w:lang w:val="es-ES"/>
            </w:rPr>
            <w:t xml:space="preserve">Ministerio de Finanzas Públicas. (2021). </w:t>
          </w:r>
          <w:r>
            <w:rPr>
              <w:i/>
              <w:iCs/>
              <w:noProof/>
              <w:lang w:val="es-ES"/>
            </w:rPr>
            <w:t>Guia de usuario para la elaboración, interpretación y análisis del indice consolidado financiero municipal - ICFM-.</w:t>
          </w:r>
          <w:r>
            <w:rPr>
              <w:noProof/>
              <w:lang w:val="es-ES"/>
            </w:rPr>
            <w:t xml:space="preserve"> Guatemala.</w:t>
          </w:r>
        </w:p>
        <w:p w14:paraId="648559D4" w14:textId="77777777" w:rsidR="00B663DC" w:rsidRDefault="00B663DC" w:rsidP="00B663DC">
          <w:pPr>
            <w:pStyle w:val="Bibliografa"/>
            <w:ind w:left="720" w:hanging="720"/>
            <w:rPr>
              <w:noProof/>
              <w:lang w:val="es-ES"/>
            </w:rPr>
          </w:pPr>
          <w:r>
            <w:rPr>
              <w:noProof/>
              <w:lang w:val="es-ES"/>
            </w:rPr>
            <w:t xml:space="preserve">Ministerio de Finanzas Públicas. (2023). </w:t>
          </w:r>
          <w:r>
            <w:rPr>
              <w:i/>
              <w:iCs/>
              <w:noProof/>
              <w:lang w:val="es-ES"/>
            </w:rPr>
            <w:t>Manual de Contabilidad Integrada Gubernamental.</w:t>
          </w:r>
          <w:r>
            <w:rPr>
              <w:noProof/>
              <w:lang w:val="es-ES"/>
            </w:rPr>
            <w:t xml:space="preserve"> Guatemala.</w:t>
          </w:r>
        </w:p>
        <w:p w14:paraId="6AD3F533" w14:textId="77777777" w:rsidR="00B663DC" w:rsidRDefault="00B663DC" w:rsidP="00B663DC">
          <w:pPr>
            <w:pStyle w:val="Bibliografa"/>
            <w:ind w:left="720" w:hanging="720"/>
            <w:rPr>
              <w:noProof/>
              <w:lang w:val="es-ES"/>
            </w:rPr>
          </w:pPr>
          <w:r>
            <w:rPr>
              <w:noProof/>
              <w:lang w:val="es-ES"/>
            </w:rPr>
            <w:t xml:space="preserve">Ministerio de Finanzas Públicas. (julio de 2023). </w:t>
          </w:r>
          <w:r>
            <w:rPr>
              <w:i/>
              <w:iCs/>
              <w:noProof/>
              <w:lang w:val="es-ES"/>
            </w:rPr>
            <w:t>Portal de Gobiernos Locales</w:t>
          </w:r>
          <w:r>
            <w:rPr>
              <w:noProof/>
              <w:lang w:val="es-ES"/>
            </w:rPr>
            <w:t>. Obtenido de https://portalgl.minfin.gob.gt/</w:t>
          </w:r>
        </w:p>
        <w:p w14:paraId="6072A7E7" w14:textId="77777777" w:rsidR="00B663DC" w:rsidRDefault="00B663DC" w:rsidP="00B663DC">
          <w:pPr>
            <w:pStyle w:val="Bibliografa"/>
            <w:ind w:left="720" w:hanging="720"/>
            <w:rPr>
              <w:noProof/>
              <w:lang w:val="es-ES"/>
            </w:rPr>
          </w:pPr>
          <w:r>
            <w:rPr>
              <w:noProof/>
              <w:lang w:val="es-ES"/>
            </w:rPr>
            <w:t xml:space="preserve">Ministerio de Finanzas Públicas. (julio de 2023). </w:t>
          </w:r>
          <w:r>
            <w:rPr>
              <w:i/>
              <w:iCs/>
              <w:noProof/>
              <w:lang w:val="es-ES"/>
            </w:rPr>
            <w:t>Sistema Integrado de Administración Financiera para entidades descentralizadas</w:t>
          </w:r>
          <w:r>
            <w:rPr>
              <w:noProof/>
              <w:lang w:val="es-ES"/>
            </w:rPr>
            <w:t>. Obtenido de SICOINDES: https://sicoindes.minfin.gob.gt/SICOINWEB/login/frmlogin.htm</w:t>
          </w:r>
        </w:p>
        <w:p w14:paraId="29A024DB" w14:textId="77777777" w:rsidR="00B663DC" w:rsidRDefault="00B663DC" w:rsidP="00B663DC">
          <w:pPr>
            <w:pStyle w:val="Bibliografa"/>
            <w:ind w:left="720" w:hanging="720"/>
            <w:rPr>
              <w:noProof/>
              <w:lang w:val="es-ES"/>
            </w:rPr>
          </w:pPr>
          <w:r>
            <w:rPr>
              <w:noProof/>
              <w:lang w:val="es-ES"/>
            </w:rPr>
            <w:t xml:space="preserve">Ministerio de Saslud Pública y Asistencia Social. (2023). </w:t>
          </w:r>
          <w:r>
            <w:rPr>
              <w:i/>
              <w:iCs/>
              <w:noProof/>
              <w:lang w:val="es-ES"/>
            </w:rPr>
            <w:t>Situación de Covid-19 en Guatemala</w:t>
          </w:r>
          <w:r>
            <w:rPr>
              <w:noProof/>
              <w:lang w:val="es-ES"/>
            </w:rPr>
            <w:t>. Obtenido de https://tableros.mspas.gob.gt/covid/</w:t>
          </w:r>
        </w:p>
        <w:p w14:paraId="7FB2BA86" w14:textId="77777777" w:rsidR="00B663DC" w:rsidRDefault="00B663DC" w:rsidP="00B663DC">
          <w:pPr>
            <w:pStyle w:val="Bibliografa"/>
            <w:ind w:left="720" w:hanging="720"/>
            <w:rPr>
              <w:noProof/>
              <w:lang w:val="es-ES"/>
            </w:rPr>
          </w:pPr>
          <w:r>
            <w:rPr>
              <w:noProof/>
              <w:lang w:val="es-ES"/>
            </w:rPr>
            <w:t>Minsiterio de Finanzas Públicas. (2023). Reporte de Operaciones de Crédito Público. Guatemala.</w:t>
          </w:r>
        </w:p>
        <w:p w14:paraId="06AAA623" w14:textId="77777777" w:rsidR="00B663DC" w:rsidRDefault="00B663DC" w:rsidP="00B663DC">
          <w:pPr>
            <w:pStyle w:val="Bibliografa"/>
            <w:ind w:left="720" w:hanging="720"/>
            <w:rPr>
              <w:noProof/>
              <w:lang w:val="es-ES"/>
            </w:rPr>
          </w:pPr>
          <w:r>
            <w:rPr>
              <w:noProof/>
              <w:lang w:val="es-ES"/>
            </w:rPr>
            <w:t xml:space="preserve">Naciones Unidas. (2023). </w:t>
          </w:r>
          <w:r>
            <w:rPr>
              <w:i/>
              <w:iCs/>
              <w:noProof/>
              <w:lang w:val="es-ES"/>
            </w:rPr>
            <w:t>World Population Prospects 2022</w:t>
          </w:r>
          <w:r>
            <w:rPr>
              <w:noProof/>
              <w:lang w:val="es-ES"/>
            </w:rPr>
            <w:t>. Obtenido de https://population.un.org/wpp/</w:t>
          </w:r>
        </w:p>
        <w:p w14:paraId="5BB43F24" w14:textId="77777777" w:rsidR="00B663DC" w:rsidRPr="00C51A8E" w:rsidRDefault="00B663DC" w:rsidP="00B663DC">
          <w:pPr>
            <w:pStyle w:val="Bibliografa"/>
            <w:ind w:left="720" w:hanging="720"/>
            <w:rPr>
              <w:noProof/>
              <w:lang w:val="en-US"/>
            </w:rPr>
          </w:pPr>
          <w:r>
            <w:rPr>
              <w:noProof/>
              <w:lang w:val="es-ES"/>
            </w:rPr>
            <w:t xml:space="preserve">Oficina Nacional de Servicio Civil. (2022). </w:t>
          </w:r>
          <w:r>
            <w:rPr>
              <w:i/>
              <w:iCs/>
              <w:noProof/>
              <w:lang w:val="es-ES"/>
            </w:rPr>
            <w:t>Estudio Acturial del Régimen de Clases Pasivas Civiles del Estado.</w:t>
          </w:r>
          <w:r>
            <w:rPr>
              <w:noProof/>
              <w:lang w:val="es-ES"/>
            </w:rPr>
            <w:t xml:space="preserve"> </w:t>
          </w:r>
          <w:r w:rsidRPr="00C51A8E">
            <w:rPr>
              <w:noProof/>
              <w:lang w:val="en-US"/>
            </w:rPr>
            <w:t>Guatemala.</w:t>
          </w:r>
        </w:p>
        <w:p w14:paraId="2CE72B49" w14:textId="77777777" w:rsidR="00B663DC" w:rsidRPr="00C51A8E" w:rsidRDefault="00B663DC" w:rsidP="00B663DC">
          <w:pPr>
            <w:pStyle w:val="Bibliografa"/>
            <w:ind w:left="720" w:hanging="720"/>
            <w:rPr>
              <w:noProof/>
              <w:lang w:val="en-US"/>
            </w:rPr>
          </w:pPr>
          <w:r w:rsidRPr="00C51A8E">
            <w:rPr>
              <w:noProof/>
              <w:lang w:val="en-US"/>
            </w:rPr>
            <w:t xml:space="preserve">Our World in Data. (2023). </w:t>
          </w:r>
          <w:r w:rsidRPr="00C51A8E">
            <w:rPr>
              <w:i/>
              <w:iCs/>
              <w:noProof/>
              <w:lang w:val="en-US"/>
            </w:rPr>
            <w:t>Covid-19 dataset</w:t>
          </w:r>
          <w:r w:rsidRPr="00C51A8E">
            <w:rPr>
              <w:noProof/>
              <w:lang w:val="en-US"/>
            </w:rPr>
            <w:t>. Obtenido de https://ourworldindata.org/</w:t>
          </w:r>
        </w:p>
        <w:p w14:paraId="3B7455E1" w14:textId="77777777" w:rsidR="00B663DC" w:rsidRDefault="00B663DC" w:rsidP="00B663DC">
          <w:pPr>
            <w:pStyle w:val="Bibliografa"/>
            <w:ind w:left="720" w:hanging="720"/>
            <w:rPr>
              <w:noProof/>
              <w:lang w:val="es-ES"/>
            </w:rPr>
          </w:pPr>
          <w:r>
            <w:rPr>
              <w:noProof/>
              <w:lang w:val="es-ES"/>
            </w:rPr>
            <w:t xml:space="preserve">Presidencia de la República de Guatemala. (1988). </w:t>
          </w:r>
          <w:r>
            <w:rPr>
              <w:i/>
              <w:iCs/>
              <w:noProof/>
              <w:lang w:val="es-ES"/>
            </w:rPr>
            <w:t>Reglamento de la Ley de Clases Pasivas Civiles del eStado.</w:t>
          </w:r>
          <w:r>
            <w:rPr>
              <w:noProof/>
              <w:lang w:val="es-ES"/>
            </w:rPr>
            <w:t xml:space="preserve"> Guatemala.</w:t>
          </w:r>
        </w:p>
        <w:p w14:paraId="790F61B7" w14:textId="77777777" w:rsidR="00B663DC" w:rsidRDefault="00B663DC" w:rsidP="00B663DC">
          <w:pPr>
            <w:pStyle w:val="Bibliografa"/>
            <w:ind w:left="720" w:hanging="720"/>
            <w:rPr>
              <w:noProof/>
              <w:lang w:val="es-ES"/>
            </w:rPr>
          </w:pPr>
          <w:r>
            <w:rPr>
              <w:noProof/>
              <w:lang w:val="es-ES"/>
            </w:rPr>
            <w:t xml:space="preserve">Procuraduria General de la Nacion, P. (2023). </w:t>
          </w:r>
          <w:r>
            <w:rPr>
              <w:i/>
              <w:iCs/>
              <w:noProof/>
              <w:lang w:val="es-ES"/>
            </w:rPr>
            <w:t>Demandas Judiciales en Contra del Estado de Guatemala.</w:t>
          </w:r>
          <w:r>
            <w:rPr>
              <w:noProof/>
              <w:lang w:val="es-ES"/>
            </w:rPr>
            <w:t xml:space="preserve"> Guatemala.</w:t>
          </w:r>
        </w:p>
        <w:p w14:paraId="5E24A689" w14:textId="77777777" w:rsidR="00B663DC" w:rsidRPr="00C51A8E" w:rsidRDefault="00B663DC" w:rsidP="00B663DC">
          <w:pPr>
            <w:pStyle w:val="Bibliografa"/>
            <w:ind w:left="720" w:hanging="720"/>
            <w:rPr>
              <w:noProof/>
              <w:lang w:val="en-US"/>
            </w:rPr>
          </w:pPr>
          <w:r>
            <w:rPr>
              <w:noProof/>
              <w:lang w:val="es-ES"/>
            </w:rPr>
            <w:t xml:space="preserve">Superintendencia de Bancos. (2022). </w:t>
          </w:r>
          <w:r>
            <w:rPr>
              <w:i/>
              <w:iCs/>
              <w:noProof/>
              <w:lang w:val="es-ES"/>
            </w:rPr>
            <w:t>Informe del Superintendente de Banco a la Junta Monetaria.</w:t>
          </w:r>
          <w:r>
            <w:rPr>
              <w:noProof/>
              <w:lang w:val="es-ES"/>
            </w:rPr>
            <w:t xml:space="preserve"> </w:t>
          </w:r>
          <w:r w:rsidRPr="00C51A8E">
            <w:rPr>
              <w:noProof/>
              <w:lang w:val="en-US"/>
            </w:rPr>
            <w:t>Guatemala.</w:t>
          </w:r>
        </w:p>
        <w:p w14:paraId="3F15B5C1" w14:textId="77777777" w:rsidR="00B663DC" w:rsidRPr="00C51A8E" w:rsidRDefault="00B663DC" w:rsidP="00B663DC">
          <w:pPr>
            <w:pStyle w:val="Bibliografa"/>
            <w:ind w:left="720" w:hanging="720"/>
            <w:rPr>
              <w:noProof/>
              <w:lang w:val="en-US"/>
            </w:rPr>
          </w:pPr>
          <w:r w:rsidRPr="00C51A8E">
            <w:rPr>
              <w:noProof/>
              <w:lang w:val="en-US"/>
            </w:rPr>
            <w:t xml:space="preserve">U.S. Energy Information Administration. (2023). </w:t>
          </w:r>
          <w:r w:rsidRPr="00C51A8E">
            <w:rPr>
              <w:i/>
              <w:iCs/>
              <w:noProof/>
              <w:lang w:val="en-US"/>
            </w:rPr>
            <w:t>Independent Statistics and Analysis</w:t>
          </w:r>
          <w:r w:rsidRPr="00C51A8E">
            <w:rPr>
              <w:noProof/>
              <w:lang w:val="en-US"/>
            </w:rPr>
            <w:t>. Obtenido de https://www.eia.gov/</w:t>
          </w:r>
        </w:p>
        <w:p w14:paraId="3EEA7ABD" w14:textId="77777777" w:rsidR="00B663DC" w:rsidRDefault="00B663DC" w:rsidP="00B663DC">
          <w:pPr>
            <w:pStyle w:val="Bibliografa"/>
            <w:ind w:left="720" w:hanging="720"/>
            <w:rPr>
              <w:noProof/>
              <w:lang w:val="es-ES"/>
            </w:rPr>
          </w:pPr>
          <w:r w:rsidRPr="00C51A8E">
            <w:rPr>
              <w:noProof/>
              <w:lang w:val="en-US"/>
            </w:rPr>
            <w:t xml:space="preserve">University of Groningen. (2023). </w:t>
          </w:r>
          <w:r w:rsidRPr="00C51A8E">
            <w:rPr>
              <w:i/>
              <w:iCs/>
              <w:noProof/>
              <w:lang w:val="en-US"/>
            </w:rPr>
            <w:t>Penn World Table Version 10.01</w:t>
          </w:r>
          <w:r w:rsidRPr="00C51A8E">
            <w:rPr>
              <w:noProof/>
              <w:lang w:val="en-US"/>
            </w:rPr>
            <w:t xml:space="preserve">. </w:t>
          </w:r>
          <w:r>
            <w:rPr>
              <w:noProof/>
              <w:lang w:val="es-ES"/>
            </w:rPr>
            <w:t>Obtenido de https://www.rug.nl/ggdc/productivity/pwt/?lang=en</w:t>
          </w:r>
        </w:p>
        <w:p w14:paraId="44738565" w14:textId="77777777" w:rsidR="00B663DC" w:rsidRDefault="00B663DC" w:rsidP="00B663DC">
          <w:r>
            <w:rPr>
              <w:b/>
              <w:bCs/>
            </w:rPr>
            <w:fldChar w:fldCharType="end"/>
          </w:r>
        </w:p>
      </w:sdtContent>
    </w:sdt>
    <w:p w14:paraId="1ED13A47" w14:textId="77777777" w:rsidR="00B663DC" w:rsidRDefault="00B663DC" w:rsidP="00B663DC"/>
    <w:p w14:paraId="72BDEC3E" w14:textId="77777777" w:rsidR="00C36261" w:rsidRPr="00A57ABC" w:rsidRDefault="00C36261" w:rsidP="00C36261">
      <w:pPr>
        <w:widowControl w:val="0"/>
        <w:rPr>
          <w:sz w:val="22"/>
          <w:szCs w:val="22"/>
          <w:lang w:val="es-ES" w:eastAsia="en-US"/>
        </w:rPr>
      </w:pPr>
    </w:p>
    <w:p w14:paraId="7B1CFEC8" w14:textId="77777777" w:rsidR="00C36261" w:rsidRPr="00A57ABC" w:rsidRDefault="00C36261" w:rsidP="00C36261">
      <w:pPr>
        <w:widowControl w:val="0"/>
        <w:rPr>
          <w:sz w:val="22"/>
          <w:szCs w:val="22"/>
          <w:lang w:val="es-ES" w:eastAsia="en-US"/>
        </w:rPr>
      </w:pPr>
    </w:p>
    <w:p w14:paraId="22672D07" w14:textId="77777777" w:rsidR="00C36261" w:rsidRPr="00A57ABC" w:rsidRDefault="00C36261" w:rsidP="00C36261">
      <w:pPr>
        <w:widowControl w:val="0"/>
        <w:rPr>
          <w:sz w:val="22"/>
          <w:szCs w:val="22"/>
          <w:lang w:val="es-ES" w:eastAsia="en-US"/>
        </w:rPr>
      </w:pPr>
    </w:p>
    <w:p w14:paraId="1FC688B2" w14:textId="77777777" w:rsidR="00244284" w:rsidRPr="00660DE7" w:rsidRDefault="00244284" w:rsidP="00660DE7"/>
    <w:sectPr w:rsidR="00244284" w:rsidRPr="00660DE7" w:rsidSect="00A62AFA">
      <w:type w:val="continuous"/>
      <w:pgSz w:w="12240" w:h="15840" w:code="1"/>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970AD" w14:textId="77777777" w:rsidR="00805A42" w:rsidRDefault="00805A42" w:rsidP="005F38A6">
      <w:r>
        <w:separator/>
      </w:r>
    </w:p>
  </w:endnote>
  <w:endnote w:type="continuationSeparator" w:id="0">
    <w:p w14:paraId="3C0CD486" w14:textId="77777777" w:rsidR="00805A42" w:rsidRDefault="00805A42" w:rsidP="005F3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287" w:usb1="00000000" w:usb2="00000000" w:usb3="00000000" w:csb0="0000009F" w:csb1="00000000"/>
  </w:font>
  <w:font w:name="Andada">
    <w:altName w:val="Cambria"/>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OptimaLTStd">
    <w:altName w:val="Yu Gothic"/>
    <w:panose1 w:val="00000000000000000000"/>
    <w:charset w:val="80"/>
    <w:family w:val="swiss"/>
    <w:notTrueType/>
    <w:pitch w:val="default"/>
    <w:sig w:usb0="00000001" w:usb1="08070000" w:usb2="00000010" w:usb3="00000000" w:csb0="00020000" w:csb1="00000000"/>
  </w:font>
  <w:font w:name="Lato">
    <w:charset w:val="00"/>
    <w:family w:val="swiss"/>
    <w:pitch w:val="variable"/>
    <w:sig w:usb0="E10002FF" w:usb1="5000ECF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192660"/>
      <w:docPartObj>
        <w:docPartGallery w:val="Page Numbers (Bottom of Page)"/>
        <w:docPartUnique/>
      </w:docPartObj>
    </w:sdtPr>
    <w:sdtEndPr/>
    <w:sdtContent>
      <w:p w14:paraId="5A514826" w14:textId="77777777" w:rsidR="005F38A6" w:rsidRDefault="005F38A6">
        <w:pPr>
          <w:jc w:val="right"/>
        </w:pPr>
        <w:r>
          <w:fldChar w:fldCharType="begin"/>
        </w:r>
        <w:r>
          <w:instrText>PAGE   \* MERGEFORMAT</w:instrText>
        </w:r>
        <w:r>
          <w:fldChar w:fldCharType="separate"/>
        </w:r>
        <w:r w:rsidRPr="0046566D">
          <w:rPr>
            <w:noProof/>
            <w:lang w:val="es-ES"/>
          </w:rPr>
          <w:t>8</w:t>
        </w:r>
        <w:r>
          <w:fldChar w:fldCharType="end"/>
        </w:r>
      </w:p>
    </w:sdtContent>
  </w:sdt>
  <w:p w14:paraId="7B49B8F6" w14:textId="77777777" w:rsidR="005F38A6" w:rsidRDefault="005F38A6"/>
  <w:p w14:paraId="5649A96E" w14:textId="77777777" w:rsidR="005F38A6" w:rsidRDefault="005F38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C4FC" w14:textId="1619678C" w:rsidR="00A62AFA" w:rsidRDefault="00A62AFA" w:rsidP="00A62AFA">
    <w:pPr>
      <w:pStyle w:val="Piedepgina"/>
      <w:tabs>
        <w:tab w:val="center" w:pos="4419"/>
        <w:tab w:val="left" w:pos="5490"/>
      </w:tabs>
      <w:rPr>
        <w:caps/>
        <w:color w:val="4472C4" w:themeColor="accent1"/>
      </w:rPr>
    </w:pPr>
    <w:r>
      <w:rPr>
        <w:caps/>
        <w:color w:val="4472C4" w:themeColor="accent1"/>
      </w:rPr>
      <w:tab/>
    </w:r>
    <w:r>
      <w:rPr>
        <w:caps/>
        <w:color w:val="4472C4" w:themeColor="accent1"/>
      </w:rPr>
      <w:tab/>
    </w: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lang w:val="es-ES"/>
      </w:rPr>
      <w:t>2</w:t>
    </w:r>
    <w:r>
      <w:rPr>
        <w:caps/>
        <w:color w:val="4472C4" w:themeColor="accent1"/>
      </w:rPr>
      <w:fldChar w:fldCharType="end"/>
    </w:r>
    <w:r>
      <w:rPr>
        <w:caps/>
        <w:color w:val="4472C4" w:themeColor="accent1"/>
      </w:rPr>
      <w:tab/>
    </w:r>
  </w:p>
  <w:p w14:paraId="5838E3FE" w14:textId="77777777" w:rsidR="00A62AFA" w:rsidRDefault="00A62A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38D00" w14:textId="77777777" w:rsidR="00805A42" w:rsidRDefault="00805A42" w:rsidP="005F38A6">
      <w:r>
        <w:separator/>
      </w:r>
    </w:p>
  </w:footnote>
  <w:footnote w:type="continuationSeparator" w:id="0">
    <w:p w14:paraId="27AEC179" w14:textId="77777777" w:rsidR="00805A42" w:rsidRDefault="00805A42" w:rsidP="005F38A6">
      <w:r>
        <w:continuationSeparator/>
      </w:r>
    </w:p>
  </w:footnote>
  <w:footnote w:id="1">
    <w:sdt>
      <w:sdtPr>
        <w:rPr>
          <w:sz w:val="18"/>
          <w:szCs w:val="18"/>
        </w:rPr>
        <w:id w:val="-222987294"/>
        <w:bibliography/>
      </w:sdtPr>
      <w:sdtEndPr/>
      <w:sdtContent>
        <w:p w14:paraId="2F735705" w14:textId="77777777" w:rsidR="005F38A6" w:rsidRPr="00836D10" w:rsidRDefault="005F38A6" w:rsidP="005F38A6">
          <w:pPr>
            <w:pStyle w:val="Bibliografa"/>
            <w:ind w:left="720" w:hanging="720"/>
            <w:rPr>
              <w:sz w:val="18"/>
              <w:szCs w:val="18"/>
            </w:rPr>
          </w:pPr>
          <w:r w:rsidRPr="00601E35">
            <w:rPr>
              <w:rStyle w:val="Refdenotaalpie"/>
              <w:sz w:val="18"/>
              <w:szCs w:val="18"/>
            </w:rPr>
            <w:footnoteRef/>
          </w:r>
          <w:r w:rsidRPr="00601E35">
            <w:rPr>
              <w:sz w:val="18"/>
              <w:szCs w:val="18"/>
            </w:rPr>
            <w:t xml:space="preserve"> Labandeira, X., Labaega, J., &amp; Lopez, X. (2017). </w:t>
          </w:r>
          <w:r w:rsidRPr="00601E35">
            <w:rPr>
              <w:sz w:val="18"/>
              <w:szCs w:val="18"/>
              <w:lang w:val="en-US"/>
            </w:rPr>
            <w:t xml:space="preserve">A Meta-Analisis on the Price Elasticity of Energy Demand. </w:t>
          </w:r>
          <w:r w:rsidRPr="00836D10">
            <w:rPr>
              <w:sz w:val="18"/>
              <w:szCs w:val="18"/>
            </w:rPr>
            <w:t>Energy Policy 102, 549 68.</w:t>
          </w:r>
        </w:p>
      </w:sdtContent>
    </w:sdt>
  </w:footnote>
  <w:footnote w:id="2">
    <w:p w14:paraId="76DE2AC3" w14:textId="77777777" w:rsidR="005F38A6" w:rsidRPr="00601E35" w:rsidRDefault="005F38A6" w:rsidP="005F38A6">
      <w:pPr>
        <w:pStyle w:val="Textonotapie"/>
        <w:rPr>
          <w:sz w:val="18"/>
          <w:szCs w:val="18"/>
        </w:rPr>
      </w:pPr>
      <w:r w:rsidRPr="00601E35">
        <w:rPr>
          <w:rStyle w:val="Refdenotaalpie"/>
          <w:sz w:val="18"/>
          <w:szCs w:val="18"/>
        </w:rPr>
        <w:footnoteRef/>
      </w:r>
      <w:r w:rsidRPr="00601E35">
        <w:rPr>
          <w:sz w:val="18"/>
          <w:szCs w:val="18"/>
        </w:rPr>
        <w:t xml:space="preserve"> Para </w:t>
      </w:r>
      <w:r>
        <w:rPr>
          <w:sz w:val="18"/>
          <w:szCs w:val="18"/>
        </w:rPr>
        <w:t>la estimación del modelo de consumo se utilizaron las series anualizadas para tratar la estacionalidad.</w:t>
      </w:r>
    </w:p>
  </w:footnote>
  <w:footnote w:id="3">
    <w:p w14:paraId="441B73C6" w14:textId="77777777" w:rsidR="005F38A6" w:rsidRPr="006014B3" w:rsidRDefault="005F38A6" w:rsidP="005F38A6">
      <w:pPr>
        <w:pStyle w:val="Bibliografa"/>
        <w:ind w:left="720" w:hanging="720"/>
        <w:rPr>
          <w:sz w:val="18"/>
          <w:szCs w:val="18"/>
        </w:rPr>
      </w:pPr>
      <w:r w:rsidRPr="00601E35">
        <w:rPr>
          <w:rStyle w:val="Refdenotaalpie"/>
          <w:sz w:val="18"/>
          <w:szCs w:val="18"/>
        </w:rPr>
        <w:footnoteRef/>
      </w:r>
      <w:r w:rsidRPr="00836D10">
        <w:rPr>
          <w:sz w:val="18"/>
          <w:szCs w:val="18"/>
          <w:lang w:val="en-US"/>
        </w:rPr>
        <w:t xml:space="preserve"> Uusitalo, L., &amp; Djerf, K. (1983). </w:t>
      </w:r>
      <w:r w:rsidRPr="00601E35">
        <w:rPr>
          <w:sz w:val="18"/>
          <w:szCs w:val="18"/>
          <w:lang w:val="en-US"/>
        </w:rPr>
        <w:t>Determinants of Gasoline consumptio</w:t>
      </w:r>
      <w:r>
        <w:rPr>
          <w:sz w:val="18"/>
          <w:szCs w:val="18"/>
          <w:lang w:val="en-US"/>
        </w:rPr>
        <w:t>n</w:t>
      </w:r>
      <w:r w:rsidRPr="00601E35">
        <w:rPr>
          <w:sz w:val="18"/>
          <w:szCs w:val="18"/>
          <w:lang w:val="en-US"/>
        </w:rPr>
        <w:t xml:space="preserve">. </w:t>
      </w:r>
      <w:r w:rsidRPr="006014B3">
        <w:rPr>
          <w:sz w:val="18"/>
          <w:szCs w:val="18"/>
        </w:rPr>
        <w:t>Journal of Economic Psychology, 149-165.</w:t>
      </w:r>
    </w:p>
    <w:p w14:paraId="6C35535C" w14:textId="77777777" w:rsidR="005F38A6" w:rsidRPr="006014B3" w:rsidRDefault="005F38A6" w:rsidP="005F38A6">
      <w:pPr>
        <w:pStyle w:val="Textonotapie"/>
        <w:rPr>
          <w:sz w:val="18"/>
          <w:szCs w:val="18"/>
        </w:rPr>
      </w:pPr>
    </w:p>
  </w:footnote>
  <w:footnote w:id="4">
    <w:p w14:paraId="1FFAA93E" w14:textId="77777777" w:rsidR="005F38A6" w:rsidRDefault="005F38A6" w:rsidP="005F38A6">
      <w:pPr>
        <w:ind w:right="49"/>
        <w:jc w:val="both"/>
      </w:pPr>
      <w:r w:rsidRPr="00934738">
        <w:rPr>
          <w:sz w:val="18"/>
          <w:szCs w:val="18"/>
          <w:lang w:val="es-MX"/>
        </w:rPr>
        <w:footnoteRef/>
      </w:r>
      <w:r w:rsidRPr="00934738">
        <w:rPr>
          <w:sz w:val="18"/>
          <w:szCs w:val="18"/>
          <w:lang w:val="es-MX"/>
        </w:rPr>
        <w:t xml:space="preserve"> </w:t>
      </w:r>
      <w:r w:rsidRPr="00EC5462">
        <w:rPr>
          <w:sz w:val="18"/>
          <w:szCs w:val="18"/>
          <w:lang w:val="es-MX"/>
        </w:rPr>
        <w:t>Las estimaciones fiscales de mediano plazo (</w:t>
      </w:r>
      <w:r>
        <w:rPr>
          <w:noProof/>
          <w:sz w:val="18"/>
          <w:szCs w:val="18"/>
          <w:lang w:val="es-MX"/>
        </w:rPr>
        <w:t>2024</w:t>
      </w:r>
      <w:r w:rsidRPr="00EC5462">
        <w:rPr>
          <w:sz w:val="18"/>
          <w:szCs w:val="18"/>
          <w:lang w:val="es-MX"/>
        </w:rPr>
        <w:t>-</w:t>
      </w:r>
      <w:r>
        <w:rPr>
          <w:noProof/>
          <w:sz w:val="18"/>
          <w:szCs w:val="18"/>
          <w:lang w:val="es-MX"/>
        </w:rPr>
        <w:t>2028</w:t>
      </w:r>
      <w:r w:rsidRPr="00EC5462">
        <w:rPr>
          <w:sz w:val="18"/>
          <w:szCs w:val="18"/>
          <w:lang w:val="es-MX"/>
        </w:rPr>
        <w:t>)</w:t>
      </w:r>
      <w:r>
        <w:rPr>
          <w:sz w:val="18"/>
          <w:szCs w:val="18"/>
          <w:lang w:val="es-MX"/>
        </w:rPr>
        <w:t xml:space="preserve"> contenidas en la separata de riesgos fiscales en el Proyecto de Presupuesto General de Ingresos y Egresos del Ejercicio Fiscal 2023,</w:t>
      </w:r>
      <w:r w:rsidRPr="00EC5462">
        <w:rPr>
          <w:sz w:val="18"/>
          <w:szCs w:val="18"/>
          <w:lang w:val="es-MX"/>
        </w:rPr>
        <w:t xml:space="preserve"> se hicieron sobre la base de información que se tuvo hasta el </w:t>
      </w:r>
      <w:r>
        <w:rPr>
          <w:sz w:val="18"/>
          <w:szCs w:val="18"/>
          <w:lang w:val="es-MX"/>
        </w:rPr>
        <w:t>09</w:t>
      </w:r>
      <w:r w:rsidRPr="00EC5462">
        <w:rPr>
          <w:sz w:val="18"/>
          <w:szCs w:val="18"/>
          <w:lang w:val="es-MX"/>
        </w:rPr>
        <w:t xml:space="preserve"> de </w:t>
      </w:r>
      <w:r>
        <w:rPr>
          <w:sz w:val="18"/>
          <w:szCs w:val="18"/>
          <w:lang w:val="es-MX"/>
        </w:rPr>
        <w:t>agosto</w:t>
      </w:r>
      <w:r w:rsidRPr="00EC5462">
        <w:rPr>
          <w:sz w:val="18"/>
          <w:szCs w:val="18"/>
          <w:lang w:val="es-MX"/>
        </w:rPr>
        <w:t xml:space="preserve">. </w:t>
      </w:r>
      <w:r>
        <w:rPr>
          <w:sz w:val="18"/>
          <w:szCs w:val="18"/>
          <w:lang w:val="es-MX"/>
        </w:rPr>
        <w:t xml:space="preserve"> </w:t>
      </w:r>
    </w:p>
  </w:footnote>
  <w:footnote w:id="5">
    <w:p w14:paraId="35ABC3DC" w14:textId="77777777" w:rsidR="00B86D82" w:rsidRDefault="00B86D82" w:rsidP="00B86D82">
      <w:pPr>
        <w:pStyle w:val="Textonotapie"/>
        <w:jc w:val="both"/>
      </w:pPr>
      <w:r>
        <w:rPr>
          <w:rStyle w:val="Refdenotaalpie"/>
        </w:rPr>
        <w:footnoteRef/>
      </w:r>
      <w:r w:rsidRPr="00726F04">
        <w:rPr>
          <w:rStyle w:val="Refdenotaalpie"/>
        </w:rPr>
        <w:t xml:space="preserve"> </w:t>
      </w:r>
      <w:r w:rsidRPr="00726F04">
        <w:rPr>
          <w:sz w:val="18"/>
          <w:szCs w:val="18"/>
        </w:rPr>
        <w:t xml:space="preserve">Recientemente se ha reformado para que </w:t>
      </w:r>
      <w:r>
        <w:rPr>
          <w:sz w:val="18"/>
          <w:szCs w:val="18"/>
        </w:rPr>
        <w:t>todas las empresas</w:t>
      </w:r>
      <w:r w:rsidRPr="00726F04">
        <w:rPr>
          <w:sz w:val="18"/>
          <w:szCs w:val="18"/>
        </w:rPr>
        <w:t xml:space="preserve"> a partir de un empleado</w:t>
      </w:r>
      <w:r>
        <w:rPr>
          <w:sz w:val="18"/>
          <w:szCs w:val="18"/>
        </w:rPr>
        <w:t>,</w:t>
      </w:r>
      <w:r w:rsidRPr="00726F04">
        <w:rPr>
          <w:sz w:val="18"/>
          <w:szCs w:val="18"/>
        </w:rPr>
        <w:t xml:space="preserve"> deberán cotizar</w:t>
      </w:r>
      <w:r>
        <w:rPr>
          <w:sz w:val="18"/>
          <w:szCs w:val="18"/>
        </w:rPr>
        <w:t xml:space="preserve"> obligatoriamente</w:t>
      </w:r>
      <w:r w:rsidRPr="00726F04">
        <w:rPr>
          <w:sz w:val="18"/>
          <w:szCs w:val="18"/>
        </w:rPr>
        <w:t xml:space="preserve"> en el IGSS</w:t>
      </w:r>
      <w:r>
        <w:rPr>
          <w:sz w:val="18"/>
          <w:szCs w:val="18"/>
        </w:rPr>
        <w:t xml:space="preserve"> para recibir la cobertura de los programas IVS y EMA; además los afiliados al IGSS que ganen menos del salario mínimo (independientemente del motivo), contribuirán con la cuota laboral que les corresponde -4.83%-, según su salario. A partir del 16 de enero del 2023, según reformas al acuerdo 1529 y los artículos 4,5 y 9 del acuerdo 1520 de JD del IGSS,</w:t>
      </w:r>
    </w:p>
  </w:footnote>
  <w:footnote w:id="6">
    <w:p w14:paraId="19859163" w14:textId="77777777" w:rsidR="00B86D82" w:rsidRDefault="00B86D82" w:rsidP="00B86D82">
      <w:pPr>
        <w:pStyle w:val="Textonotapie"/>
      </w:pPr>
      <w:r>
        <w:rPr>
          <w:rStyle w:val="Refdenotaalpie"/>
        </w:rPr>
        <w:footnoteRef/>
      </w:r>
      <w:r>
        <w:t xml:space="preserve"> </w:t>
      </w:r>
      <w:r w:rsidRPr="00C32AA5">
        <w:rPr>
          <w:sz w:val="18"/>
          <w:szCs w:val="18"/>
        </w:rPr>
        <w:t>La contribución no ha sido efectiva en su totalidad al IGSS</w:t>
      </w:r>
      <w:r>
        <w:t>.</w:t>
      </w:r>
    </w:p>
  </w:footnote>
  <w:footnote w:id="7">
    <w:p w14:paraId="34273ADD" w14:textId="77777777" w:rsidR="00B86D82" w:rsidRPr="00EB61E3" w:rsidRDefault="00B86D82" w:rsidP="00B86D82">
      <w:pPr>
        <w:pStyle w:val="Textonotapie"/>
      </w:pPr>
      <w:r>
        <w:rPr>
          <w:rStyle w:val="Refdenotaalpie"/>
        </w:rPr>
        <w:footnoteRef/>
      </w:r>
      <w:r>
        <w:t xml:space="preserve"> </w:t>
      </w:r>
      <w:r w:rsidRPr="00890231">
        <w:rPr>
          <w:sz w:val="18"/>
          <w:szCs w:val="18"/>
        </w:rPr>
        <w:t>Reformas al Acuerdo 1124 “Reglamento sobre Protección relativa a Invalidez, Vejez y Sobrevivencia”, según Acuerdo 1492 del 12 de enero del 2,021.</w:t>
      </w:r>
      <w:r>
        <w:t xml:space="preserve">  </w:t>
      </w:r>
    </w:p>
  </w:footnote>
  <w:footnote w:id="8">
    <w:p w14:paraId="6009F717" w14:textId="77777777" w:rsidR="00B86D82" w:rsidRPr="00E70BB3" w:rsidRDefault="00B86D82" w:rsidP="00B86D82">
      <w:pPr>
        <w:pStyle w:val="Textonotapie"/>
        <w:rPr>
          <w:color w:val="C00000"/>
        </w:rPr>
      </w:pPr>
      <w:r>
        <w:rPr>
          <w:rStyle w:val="Refdenotaalpie"/>
        </w:rPr>
        <w:footnoteRef/>
      </w:r>
      <w:r>
        <w:t xml:space="preserve"> </w:t>
      </w:r>
      <w:r w:rsidRPr="00C32AA5">
        <w:rPr>
          <w:sz w:val="18"/>
          <w:szCs w:val="18"/>
        </w:rPr>
        <w:t>El monto máximo base que se utiliza para el otorgamiento de las pensiones de invalidez o vejez se sitúa en Q9,000.</w:t>
      </w:r>
      <w:r>
        <w:rPr>
          <w:sz w:val="18"/>
          <w:szCs w:val="18"/>
        </w:rPr>
        <w:t>00</w:t>
      </w:r>
    </w:p>
  </w:footnote>
  <w:footnote w:id="9">
    <w:p w14:paraId="79592024" w14:textId="77777777" w:rsidR="00B86D82" w:rsidRDefault="00B86D82" w:rsidP="00B86D82">
      <w:pPr>
        <w:pStyle w:val="Textonotapie"/>
        <w:jc w:val="both"/>
      </w:pPr>
      <w:r w:rsidRPr="00411D33">
        <w:rPr>
          <w:rStyle w:val="Refdenotaalpie"/>
          <w:sz w:val="20"/>
          <w:szCs w:val="20"/>
        </w:rPr>
        <w:footnoteRef/>
      </w:r>
      <w:r w:rsidRPr="00411D33">
        <w:rPr>
          <w:sz w:val="20"/>
          <w:szCs w:val="20"/>
        </w:rPr>
        <w:t xml:space="preserve"> No se incluyen a los trabajadores presupuestados del Estado, por cotizar a su propio régimen de jubilación.</w:t>
      </w:r>
    </w:p>
  </w:footnote>
  <w:footnote w:id="10">
    <w:p w14:paraId="6B330FC5" w14:textId="77777777" w:rsidR="00B86D82" w:rsidRPr="00ED7246" w:rsidRDefault="00B86D82" w:rsidP="00B86D82">
      <w:pPr>
        <w:pStyle w:val="Textonotapie"/>
        <w:jc w:val="both"/>
        <w:rPr>
          <w:sz w:val="16"/>
          <w:szCs w:val="16"/>
        </w:rPr>
      </w:pPr>
      <w:r w:rsidRPr="003C6B83">
        <w:rPr>
          <w:rStyle w:val="Refdenotaalpie"/>
          <w:sz w:val="18"/>
          <w:szCs w:val="18"/>
        </w:rPr>
        <w:footnoteRef/>
      </w:r>
      <w:r w:rsidRPr="00ED7246">
        <w:rPr>
          <w:sz w:val="16"/>
          <w:szCs w:val="16"/>
        </w:rPr>
        <w:t xml:space="preserve"> Sistema financiero que ha sido modificado en su concepto original, debido que además de integrar reservas de previsión, ha logrado formar una reserva que tiene como propósito cubrir en buena medida los costos de la atención médica de los pensionados del IGSS.</w:t>
      </w:r>
    </w:p>
  </w:footnote>
  <w:footnote w:id="11">
    <w:p w14:paraId="20F0DACD" w14:textId="77777777" w:rsidR="00B86D82" w:rsidRPr="00E5441E" w:rsidRDefault="00B86D82" w:rsidP="00B86D82">
      <w:pPr>
        <w:pStyle w:val="Textonotapie"/>
        <w:jc w:val="both"/>
        <w:rPr>
          <w:sz w:val="16"/>
          <w:szCs w:val="16"/>
        </w:rPr>
      </w:pPr>
      <w:r w:rsidRPr="00E5441E">
        <w:rPr>
          <w:sz w:val="16"/>
          <w:szCs w:val="16"/>
        </w:rPr>
        <w:footnoteRef/>
      </w:r>
      <w:r w:rsidRPr="00E5441E">
        <w:rPr>
          <w:sz w:val="16"/>
          <w:szCs w:val="16"/>
        </w:rPr>
        <w:t xml:space="preserve"> La información proporcionada en 2020 incluía información de Accidentes en general sin embargo en 2021 y 2022 dicha información no fue proporcionada. En dicho año los accidentes en general representaron un 6.9% del costo de la atención médica, según riesgo y tipo de servicio de los programas EMA. </w:t>
      </w:r>
    </w:p>
  </w:footnote>
  <w:footnote w:id="12">
    <w:p w14:paraId="3C68990C" w14:textId="77777777" w:rsidR="005F38A6" w:rsidRPr="002954EE" w:rsidRDefault="005F38A6" w:rsidP="005F38A6">
      <w:pPr>
        <w:pStyle w:val="Textonotapie"/>
        <w:rPr>
          <w:sz w:val="14"/>
          <w:szCs w:val="14"/>
        </w:rPr>
      </w:pPr>
      <w:r w:rsidRPr="002954EE">
        <w:rPr>
          <w:rStyle w:val="Refdenotaalpie"/>
          <w:sz w:val="14"/>
          <w:szCs w:val="14"/>
        </w:rPr>
        <w:footnoteRef/>
      </w:r>
      <w:r w:rsidRPr="002954EE">
        <w:rPr>
          <w:sz w:val="14"/>
          <w:szCs w:val="14"/>
        </w:rPr>
        <w:t xml:space="preserve"> https://www.international-arbitration-attorney.com/es/investment-arbitration/</w:t>
      </w:r>
    </w:p>
  </w:footnote>
  <w:footnote w:id="13">
    <w:p w14:paraId="13C423F9" w14:textId="77777777" w:rsidR="005F38A6" w:rsidRPr="00BA7A14" w:rsidRDefault="005F38A6" w:rsidP="005F38A6">
      <w:pPr>
        <w:pStyle w:val="Textonotapie"/>
        <w:rPr>
          <w:sz w:val="14"/>
          <w:szCs w:val="14"/>
        </w:rPr>
      </w:pPr>
      <w:r w:rsidRPr="00BA7A14">
        <w:rPr>
          <w:sz w:val="14"/>
          <w:szCs w:val="14"/>
        </w:rPr>
        <w:footnoteRef/>
      </w:r>
      <w:r w:rsidRPr="00BA7A14">
        <w:rPr>
          <w:sz w:val="14"/>
          <w:szCs w:val="14"/>
        </w:rPr>
        <w:t xml:space="preserve"> https://icsid.worldbank.org/cases/case-database</w:t>
      </w:r>
    </w:p>
  </w:footnote>
  <w:footnote w:id="14">
    <w:p w14:paraId="66A4CD4A" w14:textId="77777777" w:rsidR="005F38A6" w:rsidRDefault="005F38A6" w:rsidP="005F38A6">
      <w:pPr>
        <w:pStyle w:val="Textonotapie"/>
      </w:pPr>
      <w:r w:rsidRPr="00BA7A14">
        <w:rPr>
          <w:sz w:val="14"/>
          <w:szCs w:val="14"/>
        </w:rPr>
        <w:footnoteRef/>
      </w:r>
      <w:r w:rsidRPr="00BA7A14">
        <w:rPr>
          <w:sz w:val="14"/>
          <w:szCs w:val="14"/>
        </w:rPr>
        <w:t xml:space="preserve"> https://icsid.worldbank.org/sites/default/files/publications/ICSID_AR.SP.pdf</w:t>
      </w:r>
    </w:p>
  </w:footnote>
  <w:footnote w:id="15">
    <w:p w14:paraId="5B6474CF" w14:textId="77777777" w:rsidR="005F38A6" w:rsidRDefault="005F38A6" w:rsidP="005F38A6">
      <w:pPr>
        <w:pStyle w:val="Textonotapie"/>
      </w:pPr>
      <w:r w:rsidRPr="00425FCA">
        <w:rPr>
          <w:sz w:val="14"/>
          <w:szCs w:val="14"/>
        </w:rPr>
        <w:footnoteRef/>
      </w:r>
      <w:r w:rsidRPr="00425FCA">
        <w:rPr>
          <w:sz w:val="14"/>
          <w:szCs w:val="14"/>
        </w:rPr>
        <w:t xml:space="preserve"> Convenio CIADI “Artículo 53 (1) El laudo será obligatorio para las partes y no podrá ser objeto de apelación ni de cualquier otro recurso, excepto en los casos previstos en este Convenio. Las partes lo acatarán y cumplirán en todos sus términos, salvo en la medida en que se suspenda su ejecución, de acuerdo con lo establecido en las correspondientes cláusulas de este Convenio”. (P.28).</w:t>
      </w:r>
    </w:p>
  </w:footnote>
  <w:footnote w:id="16">
    <w:p w14:paraId="77F1CA7D" w14:textId="77777777" w:rsidR="00C36261" w:rsidRPr="00422525" w:rsidRDefault="00C36261" w:rsidP="00C36261">
      <w:pPr>
        <w:pStyle w:val="Textonotapie"/>
        <w:jc w:val="both"/>
        <w:rPr>
          <w:sz w:val="18"/>
          <w:szCs w:val="18"/>
        </w:rPr>
      </w:pPr>
      <w:r w:rsidRPr="00422525">
        <w:rPr>
          <w:rStyle w:val="Refdenotaalpie"/>
        </w:rPr>
        <w:footnoteRef/>
      </w:r>
      <w:r w:rsidRPr="00422525">
        <w:t xml:space="preserve"> </w:t>
      </w:r>
      <w:r w:rsidRPr="00422525">
        <w:rPr>
          <w:sz w:val="18"/>
          <w:szCs w:val="18"/>
        </w:rPr>
        <w:t>El Reglamento para la Administración del Riesgo de Crédito, en su artículo 38 bis, establece: “Las instituciones deberán constituir y mantener, como mínimo, reservas genéricas que sumadas a las reservas específicas totalicen el equivalente al cien por ciento (100%) de la cartera vencida. La sumatoria de las reservas anteriores en ningún caso podrá ser menor al equivalente del uno punto veinticinco por ciento (1.25%) del total de los activos crediticios brutos. (…)”.</w:t>
      </w:r>
    </w:p>
  </w:footnote>
  <w:footnote w:id="17">
    <w:p w14:paraId="11F2239C" w14:textId="77777777" w:rsidR="00C36261" w:rsidRPr="00547F84" w:rsidRDefault="00C36261" w:rsidP="00C36261">
      <w:pPr>
        <w:pStyle w:val="Textonotapie"/>
        <w:jc w:val="both"/>
        <w:rPr>
          <w:sz w:val="16"/>
          <w:szCs w:val="16"/>
        </w:rPr>
      </w:pPr>
      <w:r>
        <w:rPr>
          <w:rStyle w:val="Refdenotaalpie"/>
        </w:rPr>
        <w:footnoteRef/>
      </w:r>
      <w:r w:rsidRPr="00547F84">
        <w:rPr>
          <w:sz w:val="18"/>
          <w:szCs w:val="18"/>
        </w:rPr>
        <w:t>Adolfo César Di</w:t>
      </w:r>
      <w:r>
        <w:rPr>
          <w:sz w:val="18"/>
          <w:szCs w:val="18"/>
        </w:rPr>
        <w:t>a</w:t>
      </w:r>
      <w:r w:rsidRPr="00547F84">
        <w:rPr>
          <w:sz w:val="18"/>
          <w:szCs w:val="18"/>
        </w:rPr>
        <w:t>z y Martín Lagos, El Vademécum del Seguro de Depósitos – Recomendaciones sobre el seguro de depósitos. Documento de trabajo No. 1, febrero 2003.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8ECC" w14:textId="77777777" w:rsidR="005F38A6" w:rsidRPr="0046566D" w:rsidRDefault="005F38A6" w:rsidP="0046566D">
    <w:pPr>
      <w:jc w:val="right"/>
      <w:rPr>
        <w:i/>
        <w:sz w:val="20"/>
      </w:rPr>
    </w:pPr>
    <w:r w:rsidRPr="0046566D">
      <w:rPr>
        <w:i/>
        <w:sz w:val="20"/>
      </w:rPr>
      <w:t>Informe de Riesgos Fiscales 202</w:t>
    </w:r>
    <w:r>
      <w:rPr>
        <w:i/>
        <w:sz w:val="20"/>
      </w:rPr>
      <w:t>4</w:t>
    </w:r>
    <w:r w:rsidRPr="0046566D">
      <w:rPr>
        <w:i/>
        <w:sz w:val="20"/>
      </w:rPr>
      <w:t>-202</w:t>
    </w:r>
    <w:r>
      <w:rPr>
        <w:i/>
        <w:sz w:val="20"/>
      </w:rPr>
      <w:t>8</w:t>
    </w:r>
  </w:p>
  <w:p w14:paraId="733911D5" w14:textId="77777777" w:rsidR="005F38A6" w:rsidRPr="0046566D" w:rsidRDefault="005F38A6" w:rsidP="0046566D">
    <w:pPr>
      <w:jc w:val="right"/>
      <w:rPr>
        <w:i/>
        <w:sz w:val="20"/>
      </w:rPr>
    </w:pPr>
    <w:r w:rsidRPr="0046566D">
      <w:rPr>
        <w:i/>
        <w:noProof/>
        <w:sz w:val="20"/>
      </w:rPr>
      <mc:AlternateContent>
        <mc:Choice Requires="wps">
          <w:drawing>
            <wp:anchor distT="0" distB="0" distL="114300" distR="114300" simplePos="0" relativeHeight="251659264" behindDoc="0" locked="0" layoutInCell="1" allowOverlap="1" wp14:anchorId="0EB0CD22" wp14:editId="2FBA46C7">
              <wp:simplePos x="0" y="0"/>
              <wp:positionH relativeFrom="column">
                <wp:posOffset>709930</wp:posOffset>
              </wp:positionH>
              <wp:positionV relativeFrom="paragraph">
                <wp:posOffset>144145</wp:posOffset>
              </wp:positionV>
              <wp:extent cx="5991225" cy="0"/>
              <wp:effectExtent l="19050" t="38100" r="66675" b="114300"/>
              <wp:wrapNone/>
              <wp:docPr id="226" name="Conector recto 226"/>
              <wp:cNvGraphicFramePr/>
              <a:graphic xmlns:a="http://schemas.openxmlformats.org/drawingml/2006/main">
                <a:graphicData uri="http://schemas.microsoft.com/office/word/2010/wordprocessingShape">
                  <wps:wsp>
                    <wps:cNvCnPr/>
                    <wps:spPr>
                      <a:xfrm>
                        <a:off x="0" y="0"/>
                        <a:ext cx="5991225" cy="0"/>
                      </a:xfrm>
                      <a:prstGeom prst="line">
                        <a:avLst/>
                      </a:prstGeom>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F08DD" id="Conector recto 2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9pt,11.35pt" to="527.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" strokecolor="#4472c4 [3204]" strokeweight=".5pt">
              <v:stroke joinstyle="miter"/>
              <v:shadow on="t" color="black" opacity="26214f" origin="-.5,-.5" offset=".74836mm,.74836mm"/>
            </v:line>
          </w:pict>
        </mc:Fallback>
      </mc:AlternateContent>
    </w:r>
  </w:p>
  <w:p w14:paraId="6F6DFD88" w14:textId="77777777" w:rsidR="005F38A6" w:rsidRDefault="005F38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9"/>
    <w:multiLevelType w:val="singleLevel"/>
    <w:tmpl w:val="DA709A6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B54209"/>
    <w:multiLevelType w:val="hybridMultilevel"/>
    <w:tmpl w:val="3DECF46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062E3FAB"/>
    <w:multiLevelType w:val="hybridMultilevel"/>
    <w:tmpl w:val="C96848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68B31BC"/>
    <w:multiLevelType w:val="hybridMultilevel"/>
    <w:tmpl w:val="52DE68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6F87991"/>
    <w:multiLevelType w:val="hybridMultilevel"/>
    <w:tmpl w:val="3FB69900"/>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1">
    <w:nsid w:val="0C3E67EA"/>
    <w:multiLevelType w:val="multilevel"/>
    <w:tmpl w:val="100A001F"/>
    <w:styleLink w:val="Estilo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CF6EAC"/>
    <w:multiLevelType w:val="multilevel"/>
    <w:tmpl w:val="D8BAF88C"/>
    <w:lvl w:ilvl="0">
      <w:start w:val="1"/>
      <w:numFmt w:val="decimal"/>
      <w:lvlText w:val="%1."/>
      <w:lvlJc w:val="left"/>
      <w:pPr>
        <w:ind w:left="1211" w:hanging="360"/>
      </w:pPr>
      <w:rPr>
        <w:sz w:val="24"/>
        <w:szCs w:val="24"/>
      </w:rPr>
    </w:lvl>
    <w:lvl w:ilvl="1">
      <w:start w:val="1"/>
      <w:numFmt w:val="decimal"/>
      <w:isLgl/>
      <w:lvlText w:val="%1.%2"/>
      <w:lvlJc w:val="left"/>
      <w:pPr>
        <w:ind w:left="1211" w:hanging="360"/>
      </w:pPr>
      <w:rPr>
        <w:rFonts w:hint="default"/>
      </w:rPr>
    </w:lvl>
    <w:lvl w:ilvl="2">
      <w:start w:val="1"/>
      <w:numFmt w:val="decimal"/>
      <w:isLgl/>
      <w:lvlText w:val="%1.%2.%3"/>
      <w:lvlJc w:val="left"/>
      <w:pPr>
        <w:ind w:left="1211" w:hanging="360"/>
      </w:pPr>
      <w:rPr>
        <w:rFonts w:hint="default"/>
        <w:b/>
        <w:bCs w:val="0"/>
        <w:sz w:val="24"/>
        <w:szCs w:val="40"/>
      </w:rPr>
    </w:lvl>
    <w:lvl w:ilvl="3">
      <w:start w:val="1"/>
      <w:numFmt w:val="decimal"/>
      <w:isLgl/>
      <w:lvlText w:val="%1.%2.%3.%4"/>
      <w:lvlJc w:val="left"/>
      <w:pPr>
        <w:ind w:left="1571" w:hanging="720"/>
      </w:pPr>
      <w:rPr>
        <w:rFonts w:hint="default"/>
      </w:rPr>
    </w:lvl>
    <w:lvl w:ilvl="4">
      <w:start w:val="1"/>
      <w:numFmt w:val="decimal"/>
      <w:isLgl/>
      <w:lvlText w:val="%1.%2.%3.%4.%5"/>
      <w:lvlJc w:val="left"/>
      <w:pPr>
        <w:ind w:left="1571" w:hanging="720"/>
      </w:pPr>
      <w:rPr>
        <w:rFonts w:hint="default"/>
      </w:rPr>
    </w:lvl>
    <w:lvl w:ilvl="5">
      <w:start w:val="1"/>
      <w:numFmt w:val="decimal"/>
      <w:isLgl/>
      <w:lvlText w:val="%1.%2.%3.%4.%5.%6"/>
      <w:lvlJc w:val="left"/>
      <w:pPr>
        <w:ind w:left="1571" w:hanging="72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1931" w:hanging="1080"/>
      </w:pPr>
      <w:rPr>
        <w:rFonts w:hint="default"/>
      </w:rPr>
    </w:lvl>
    <w:lvl w:ilvl="8">
      <w:start w:val="1"/>
      <w:numFmt w:val="decimal"/>
      <w:isLgl/>
      <w:lvlText w:val="%1.%2.%3.%4.%5.%6.%7.%8.%9"/>
      <w:lvlJc w:val="left"/>
      <w:pPr>
        <w:ind w:left="1931" w:hanging="1080"/>
      </w:pPr>
      <w:rPr>
        <w:rFonts w:hint="default"/>
      </w:rPr>
    </w:lvl>
  </w:abstractNum>
  <w:abstractNum w:abstractNumId="7" w15:restartNumberingAfterBreak="0">
    <w:nsid w:val="105D7D6D"/>
    <w:multiLevelType w:val="multilevel"/>
    <w:tmpl w:val="4642CB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06A6045"/>
    <w:multiLevelType w:val="hybridMultilevel"/>
    <w:tmpl w:val="E99EE17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12087944"/>
    <w:multiLevelType w:val="hybridMultilevel"/>
    <w:tmpl w:val="210AC1F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138049AF"/>
    <w:multiLevelType w:val="hybridMultilevel"/>
    <w:tmpl w:val="8F2642F6"/>
    <w:lvl w:ilvl="0" w:tplc="F4CE3988">
      <w:start w:val="2"/>
      <w:numFmt w:val="bullet"/>
      <w:lvlText w:val="-"/>
      <w:lvlJc w:val="left"/>
      <w:pPr>
        <w:ind w:left="1140" w:hanging="360"/>
      </w:pPr>
      <w:rPr>
        <w:rFonts w:ascii="Times New Roman" w:eastAsiaTheme="minorHAnsi" w:hAnsi="Times New Roman" w:cs="Times New Roman" w:hint="default"/>
      </w:rPr>
    </w:lvl>
    <w:lvl w:ilvl="1" w:tplc="100A0003" w:tentative="1">
      <w:start w:val="1"/>
      <w:numFmt w:val="bullet"/>
      <w:lvlText w:val="o"/>
      <w:lvlJc w:val="left"/>
      <w:pPr>
        <w:ind w:left="1860" w:hanging="360"/>
      </w:pPr>
      <w:rPr>
        <w:rFonts w:ascii="Courier New" w:hAnsi="Courier New" w:cs="Courier New" w:hint="default"/>
      </w:rPr>
    </w:lvl>
    <w:lvl w:ilvl="2" w:tplc="100A0005" w:tentative="1">
      <w:start w:val="1"/>
      <w:numFmt w:val="bullet"/>
      <w:lvlText w:val=""/>
      <w:lvlJc w:val="left"/>
      <w:pPr>
        <w:ind w:left="2580" w:hanging="360"/>
      </w:pPr>
      <w:rPr>
        <w:rFonts w:ascii="Wingdings" w:hAnsi="Wingdings" w:hint="default"/>
      </w:rPr>
    </w:lvl>
    <w:lvl w:ilvl="3" w:tplc="100A0001" w:tentative="1">
      <w:start w:val="1"/>
      <w:numFmt w:val="bullet"/>
      <w:lvlText w:val=""/>
      <w:lvlJc w:val="left"/>
      <w:pPr>
        <w:ind w:left="3300" w:hanging="360"/>
      </w:pPr>
      <w:rPr>
        <w:rFonts w:ascii="Symbol" w:hAnsi="Symbol" w:hint="default"/>
      </w:rPr>
    </w:lvl>
    <w:lvl w:ilvl="4" w:tplc="100A0003" w:tentative="1">
      <w:start w:val="1"/>
      <w:numFmt w:val="bullet"/>
      <w:lvlText w:val="o"/>
      <w:lvlJc w:val="left"/>
      <w:pPr>
        <w:ind w:left="4020" w:hanging="360"/>
      </w:pPr>
      <w:rPr>
        <w:rFonts w:ascii="Courier New" w:hAnsi="Courier New" w:cs="Courier New" w:hint="default"/>
      </w:rPr>
    </w:lvl>
    <w:lvl w:ilvl="5" w:tplc="100A0005" w:tentative="1">
      <w:start w:val="1"/>
      <w:numFmt w:val="bullet"/>
      <w:lvlText w:val=""/>
      <w:lvlJc w:val="left"/>
      <w:pPr>
        <w:ind w:left="4740" w:hanging="360"/>
      </w:pPr>
      <w:rPr>
        <w:rFonts w:ascii="Wingdings" w:hAnsi="Wingdings" w:hint="default"/>
      </w:rPr>
    </w:lvl>
    <w:lvl w:ilvl="6" w:tplc="100A0001" w:tentative="1">
      <w:start w:val="1"/>
      <w:numFmt w:val="bullet"/>
      <w:lvlText w:val=""/>
      <w:lvlJc w:val="left"/>
      <w:pPr>
        <w:ind w:left="5460" w:hanging="360"/>
      </w:pPr>
      <w:rPr>
        <w:rFonts w:ascii="Symbol" w:hAnsi="Symbol" w:hint="default"/>
      </w:rPr>
    </w:lvl>
    <w:lvl w:ilvl="7" w:tplc="100A0003" w:tentative="1">
      <w:start w:val="1"/>
      <w:numFmt w:val="bullet"/>
      <w:lvlText w:val="o"/>
      <w:lvlJc w:val="left"/>
      <w:pPr>
        <w:ind w:left="6180" w:hanging="360"/>
      </w:pPr>
      <w:rPr>
        <w:rFonts w:ascii="Courier New" w:hAnsi="Courier New" w:cs="Courier New" w:hint="default"/>
      </w:rPr>
    </w:lvl>
    <w:lvl w:ilvl="8" w:tplc="100A0005" w:tentative="1">
      <w:start w:val="1"/>
      <w:numFmt w:val="bullet"/>
      <w:lvlText w:val=""/>
      <w:lvlJc w:val="left"/>
      <w:pPr>
        <w:ind w:left="6900" w:hanging="360"/>
      </w:pPr>
      <w:rPr>
        <w:rFonts w:ascii="Wingdings" w:hAnsi="Wingdings" w:hint="default"/>
      </w:rPr>
    </w:lvl>
  </w:abstractNum>
  <w:abstractNum w:abstractNumId="11" w15:restartNumberingAfterBreak="0">
    <w:nsid w:val="14A404BA"/>
    <w:multiLevelType w:val="hybridMultilevel"/>
    <w:tmpl w:val="1D5CA5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1C5109BD"/>
    <w:multiLevelType w:val="multilevel"/>
    <w:tmpl w:val="4642CB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E710C8C"/>
    <w:multiLevelType w:val="hybridMultilevel"/>
    <w:tmpl w:val="25EE68C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E9C032B"/>
    <w:multiLevelType w:val="hybridMultilevel"/>
    <w:tmpl w:val="55B8FB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1">
    <w:nsid w:val="25531925"/>
    <w:multiLevelType w:val="multilevel"/>
    <w:tmpl w:val="13002434"/>
    <w:lvl w:ilvl="0">
      <w:start w:val="1"/>
      <w:numFmt w:val="decimal"/>
      <w:lvlText w:val="%1."/>
      <w:lvlJc w:val="left"/>
      <w:pPr>
        <w:ind w:left="360" w:hanging="360"/>
      </w:pPr>
      <w:rPr>
        <w:rFonts w:cs="Times New Roman"/>
        <w:b/>
        <w:bCs/>
        <w:color w:val="1F3864" w:themeColor="accent1" w:themeShade="80"/>
      </w:rPr>
    </w:lvl>
    <w:lvl w:ilvl="1">
      <w:start w:val="1"/>
      <w:numFmt w:val="decimal"/>
      <w:lvlText w:val="%1.%2."/>
      <w:lvlJc w:val="left"/>
      <w:pPr>
        <w:ind w:left="715" w:hanging="432"/>
      </w:pPr>
      <w:rPr>
        <w:rFonts w:cs="Times New Roman"/>
        <w:b/>
        <w:bCs/>
        <w:color w:val="auto"/>
      </w:rPr>
    </w:lvl>
    <w:lvl w:ilvl="2">
      <w:start w:val="1"/>
      <w:numFmt w:val="decimal"/>
      <w:lvlText w:val="%1.%2.%3."/>
      <w:lvlJc w:val="left"/>
      <w:pPr>
        <w:ind w:left="646" w:hanging="504"/>
      </w:pPr>
      <w:rPr>
        <w:rFonts w:cs="Times New Roman"/>
        <w:color w:val="1F3864" w:themeColor="accent1" w:themeShade="80"/>
        <w:sz w:val="24"/>
        <w:szCs w:val="24"/>
      </w:rPr>
    </w:lvl>
    <w:lvl w:ilvl="3">
      <w:start w:val="1"/>
      <w:numFmt w:val="decimal"/>
      <w:lvlText w:val="%1.%2.%3.%4."/>
      <w:lvlJc w:val="left"/>
      <w:pPr>
        <w:ind w:left="931" w:hanging="648"/>
      </w:pPr>
      <w:rPr>
        <w:rFonts w:cs="Times New Roman"/>
        <w:b/>
        <w:bCs w:val="0"/>
      </w:rPr>
    </w:lvl>
    <w:lvl w:ilvl="4">
      <w:start w:val="1"/>
      <w:numFmt w:val="decimal"/>
      <w:lvlText w:val="%1.%2.%3.%4.%5."/>
      <w:lvlJc w:val="left"/>
      <w:pPr>
        <w:ind w:left="1807" w:hanging="792"/>
      </w:pPr>
      <w:rPr>
        <w:rFonts w:cs="Times New Roman"/>
      </w:rPr>
    </w:lvl>
    <w:lvl w:ilvl="5">
      <w:start w:val="1"/>
      <w:numFmt w:val="decimal"/>
      <w:lvlText w:val="%1.%2.%3.%4.%5.%6."/>
      <w:lvlJc w:val="left"/>
      <w:pPr>
        <w:ind w:left="2311" w:hanging="936"/>
      </w:pPr>
      <w:rPr>
        <w:rFonts w:cs="Times New Roman"/>
      </w:rPr>
    </w:lvl>
    <w:lvl w:ilvl="6">
      <w:start w:val="1"/>
      <w:numFmt w:val="decimal"/>
      <w:lvlText w:val="%1.%2.%3.%4.%5.%6.%7."/>
      <w:lvlJc w:val="left"/>
      <w:pPr>
        <w:ind w:left="2815" w:hanging="1080"/>
      </w:pPr>
      <w:rPr>
        <w:rFonts w:cs="Times New Roman"/>
      </w:rPr>
    </w:lvl>
    <w:lvl w:ilvl="7">
      <w:start w:val="1"/>
      <w:numFmt w:val="decimal"/>
      <w:lvlText w:val="%1.%2.%3.%4.%5.%6.%7.%8."/>
      <w:lvlJc w:val="left"/>
      <w:pPr>
        <w:ind w:left="3319" w:hanging="1224"/>
      </w:pPr>
      <w:rPr>
        <w:rFonts w:cs="Times New Roman"/>
      </w:rPr>
    </w:lvl>
    <w:lvl w:ilvl="8">
      <w:start w:val="1"/>
      <w:numFmt w:val="decimal"/>
      <w:lvlText w:val="%1.%2.%3.%4.%5.%6.%7.%8.%9."/>
      <w:lvlJc w:val="left"/>
      <w:pPr>
        <w:ind w:left="3895" w:hanging="1440"/>
      </w:pPr>
      <w:rPr>
        <w:rFonts w:cs="Times New Roman"/>
      </w:rPr>
    </w:lvl>
  </w:abstractNum>
  <w:abstractNum w:abstractNumId="16" w15:restartNumberingAfterBreak="0">
    <w:nsid w:val="25817D42"/>
    <w:multiLevelType w:val="multilevel"/>
    <w:tmpl w:val="35F0A56A"/>
    <w:lvl w:ilvl="0">
      <w:start w:val="1"/>
      <w:numFmt w:val="decimal"/>
      <w:lvlText w:val="%1."/>
      <w:lvlJc w:val="left"/>
      <w:pPr>
        <w:ind w:left="785" w:hanging="360"/>
      </w:pPr>
      <w:rPr>
        <w:b/>
        <w:bCs/>
        <w:color w:val="1F3864" w:themeColor="accent1" w:themeShade="80"/>
      </w:rPr>
    </w:lvl>
    <w:lvl w:ilvl="1">
      <w:start w:val="1"/>
      <w:numFmt w:val="decimal"/>
      <w:lvlText w:val="%1.%2."/>
      <w:lvlJc w:val="left"/>
      <w:pPr>
        <w:ind w:left="1140" w:hanging="432"/>
      </w:pPr>
      <w:rPr>
        <w:b/>
        <w:bCs/>
        <w:color w:val="1F3864" w:themeColor="accent1" w:themeShade="80"/>
      </w:rPr>
    </w:lvl>
    <w:lvl w:ilvl="2">
      <w:start w:val="1"/>
      <w:numFmt w:val="decimal"/>
      <w:lvlText w:val="%1.%2.%3."/>
      <w:lvlJc w:val="left"/>
      <w:pPr>
        <w:ind w:left="1071" w:hanging="504"/>
      </w:pPr>
      <w:rPr>
        <w:color w:val="1F3864" w:themeColor="accent1" w:themeShade="80"/>
        <w:sz w:val="24"/>
        <w:szCs w:val="24"/>
      </w:rPr>
    </w:lvl>
    <w:lvl w:ilvl="3">
      <w:start w:val="1"/>
      <w:numFmt w:val="decimal"/>
      <w:lvlText w:val="%1.%2.%3.%4."/>
      <w:lvlJc w:val="left"/>
      <w:pPr>
        <w:ind w:left="135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6EC5F94"/>
    <w:multiLevelType w:val="hybridMultilevel"/>
    <w:tmpl w:val="F7F87F2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27EE0BC9"/>
    <w:multiLevelType w:val="hybridMultilevel"/>
    <w:tmpl w:val="B9CA2B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2A0F4C3C"/>
    <w:multiLevelType w:val="hybridMultilevel"/>
    <w:tmpl w:val="CAA0FF6C"/>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2A3E3EBD"/>
    <w:multiLevelType w:val="hybridMultilevel"/>
    <w:tmpl w:val="25D02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2AB93945"/>
    <w:multiLevelType w:val="multilevel"/>
    <w:tmpl w:val="35F0A56A"/>
    <w:lvl w:ilvl="0">
      <w:start w:val="1"/>
      <w:numFmt w:val="decimal"/>
      <w:lvlText w:val="%1."/>
      <w:lvlJc w:val="left"/>
      <w:pPr>
        <w:ind w:left="785" w:hanging="360"/>
      </w:pPr>
      <w:rPr>
        <w:b/>
        <w:bCs/>
        <w:color w:val="1F3864" w:themeColor="accent1" w:themeShade="80"/>
      </w:rPr>
    </w:lvl>
    <w:lvl w:ilvl="1">
      <w:start w:val="1"/>
      <w:numFmt w:val="decimal"/>
      <w:lvlText w:val="%1.%2."/>
      <w:lvlJc w:val="left"/>
      <w:pPr>
        <w:ind w:left="1140" w:hanging="432"/>
      </w:pPr>
      <w:rPr>
        <w:b/>
        <w:bCs/>
        <w:color w:val="1F3864" w:themeColor="accent1" w:themeShade="80"/>
      </w:rPr>
    </w:lvl>
    <w:lvl w:ilvl="2">
      <w:start w:val="1"/>
      <w:numFmt w:val="decimal"/>
      <w:lvlText w:val="%1.%2.%3."/>
      <w:lvlJc w:val="left"/>
      <w:pPr>
        <w:ind w:left="1071" w:hanging="504"/>
      </w:pPr>
      <w:rPr>
        <w:color w:val="1F3864" w:themeColor="accent1" w:themeShade="80"/>
        <w:sz w:val="24"/>
        <w:szCs w:val="24"/>
      </w:rPr>
    </w:lvl>
    <w:lvl w:ilvl="3">
      <w:start w:val="1"/>
      <w:numFmt w:val="decimal"/>
      <w:lvlText w:val="%1.%2.%3.%4."/>
      <w:lvlJc w:val="left"/>
      <w:pPr>
        <w:ind w:left="135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C9B62D0"/>
    <w:multiLevelType w:val="multilevel"/>
    <w:tmpl w:val="B8681E92"/>
    <w:lvl w:ilvl="0">
      <w:start w:val="1"/>
      <w:numFmt w:val="upperRoman"/>
      <w:lvlText w:val="%1."/>
      <w:lvlJc w:val="right"/>
      <w:pPr>
        <w:ind w:left="360" w:hanging="360"/>
      </w:pPr>
    </w:lvl>
    <w:lvl w:ilvl="1">
      <w:start w:val="1"/>
      <w:numFmt w:val="decimal"/>
      <w:isLgl/>
      <w:lvlText w:val="%1.%2"/>
      <w:lvlJc w:val="left"/>
      <w:pPr>
        <w:ind w:left="360" w:hanging="360"/>
      </w:pPr>
      <w:rPr>
        <w:rFonts w:hint="default"/>
        <w:b/>
        <w:bCs w:val="0"/>
      </w:rPr>
    </w:lvl>
    <w:lvl w:ilvl="2">
      <w:start w:val="1"/>
      <w:numFmt w:val="decimal"/>
      <w:isLgl/>
      <w:lvlText w:val="%1.%2.%3"/>
      <w:lvlJc w:val="left"/>
      <w:pPr>
        <w:ind w:left="1146" w:hanging="720"/>
      </w:pPr>
      <w:rPr>
        <w:rFonts w:hint="default"/>
        <w:b/>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CF57B3B"/>
    <w:multiLevelType w:val="hybridMultilevel"/>
    <w:tmpl w:val="8F9E49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2DEF53AC"/>
    <w:multiLevelType w:val="multilevel"/>
    <w:tmpl w:val="4642CB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E44211A"/>
    <w:multiLevelType w:val="hybridMultilevel"/>
    <w:tmpl w:val="4A52BF2A"/>
    <w:lvl w:ilvl="0" w:tplc="100A000D">
      <w:start w:val="1"/>
      <w:numFmt w:val="bullet"/>
      <w:lvlText w:val=""/>
      <w:lvlJc w:val="left"/>
      <w:pPr>
        <w:ind w:left="1105" w:hanging="360"/>
      </w:pPr>
      <w:rPr>
        <w:rFonts w:ascii="Wingdings" w:hAnsi="Wingdings" w:hint="default"/>
      </w:rPr>
    </w:lvl>
    <w:lvl w:ilvl="1" w:tplc="100A0003" w:tentative="1">
      <w:start w:val="1"/>
      <w:numFmt w:val="bullet"/>
      <w:lvlText w:val="o"/>
      <w:lvlJc w:val="left"/>
      <w:pPr>
        <w:ind w:left="1825" w:hanging="360"/>
      </w:pPr>
      <w:rPr>
        <w:rFonts w:ascii="Courier New" w:hAnsi="Courier New" w:hint="default"/>
      </w:rPr>
    </w:lvl>
    <w:lvl w:ilvl="2" w:tplc="100A0005" w:tentative="1">
      <w:start w:val="1"/>
      <w:numFmt w:val="bullet"/>
      <w:lvlText w:val=""/>
      <w:lvlJc w:val="left"/>
      <w:pPr>
        <w:ind w:left="2545" w:hanging="360"/>
      </w:pPr>
      <w:rPr>
        <w:rFonts w:ascii="Wingdings" w:hAnsi="Wingdings" w:hint="default"/>
      </w:rPr>
    </w:lvl>
    <w:lvl w:ilvl="3" w:tplc="100A0001" w:tentative="1">
      <w:start w:val="1"/>
      <w:numFmt w:val="bullet"/>
      <w:lvlText w:val=""/>
      <w:lvlJc w:val="left"/>
      <w:pPr>
        <w:ind w:left="3265" w:hanging="360"/>
      </w:pPr>
      <w:rPr>
        <w:rFonts w:ascii="Symbol" w:hAnsi="Symbol" w:hint="default"/>
      </w:rPr>
    </w:lvl>
    <w:lvl w:ilvl="4" w:tplc="100A0003" w:tentative="1">
      <w:start w:val="1"/>
      <w:numFmt w:val="bullet"/>
      <w:lvlText w:val="o"/>
      <w:lvlJc w:val="left"/>
      <w:pPr>
        <w:ind w:left="3985" w:hanging="360"/>
      </w:pPr>
      <w:rPr>
        <w:rFonts w:ascii="Courier New" w:hAnsi="Courier New" w:hint="default"/>
      </w:rPr>
    </w:lvl>
    <w:lvl w:ilvl="5" w:tplc="100A0005" w:tentative="1">
      <w:start w:val="1"/>
      <w:numFmt w:val="bullet"/>
      <w:lvlText w:val=""/>
      <w:lvlJc w:val="left"/>
      <w:pPr>
        <w:ind w:left="4705" w:hanging="360"/>
      </w:pPr>
      <w:rPr>
        <w:rFonts w:ascii="Wingdings" w:hAnsi="Wingdings" w:hint="default"/>
      </w:rPr>
    </w:lvl>
    <w:lvl w:ilvl="6" w:tplc="100A0001" w:tentative="1">
      <w:start w:val="1"/>
      <w:numFmt w:val="bullet"/>
      <w:lvlText w:val=""/>
      <w:lvlJc w:val="left"/>
      <w:pPr>
        <w:ind w:left="5425" w:hanging="360"/>
      </w:pPr>
      <w:rPr>
        <w:rFonts w:ascii="Symbol" w:hAnsi="Symbol" w:hint="default"/>
      </w:rPr>
    </w:lvl>
    <w:lvl w:ilvl="7" w:tplc="100A0003" w:tentative="1">
      <w:start w:val="1"/>
      <w:numFmt w:val="bullet"/>
      <w:lvlText w:val="o"/>
      <w:lvlJc w:val="left"/>
      <w:pPr>
        <w:ind w:left="6145" w:hanging="360"/>
      </w:pPr>
      <w:rPr>
        <w:rFonts w:ascii="Courier New" w:hAnsi="Courier New" w:hint="default"/>
      </w:rPr>
    </w:lvl>
    <w:lvl w:ilvl="8" w:tplc="100A0005" w:tentative="1">
      <w:start w:val="1"/>
      <w:numFmt w:val="bullet"/>
      <w:lvlText w:val=""/>
      <w:lvlJc w:val="left"/>
      <w:pPr>
        <w:ind w:left="6865" w:hanging="360"/>
      </w:pPr>
      <w:rPr>
        <w:rFonts w:ascii="Wingdings" w:hAnsi="Wingdings" w:hint="default"/>
      </w:rPr>
    </w:lvl>
  </w:abstractNum>
  <w:abstractNum w:abstractNumId="26" w15:restartNumberingAfterBreak="0">
    <w:nsid w:val="373B14E7"/>
    <w:multiLevelType w:val="hybridMultilevel"/>
    <w:tmpl w:val="4DBEE3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 w15:restartNumberingAfterBreak="0">
    <w:nsid w:val="37AA45DB"/>
    <w:multiLevelType w:val="multilevel"/>
    <w:tmpl w:val="1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7C5340A"/>
    <w:multiLevelType w:val="hybridMultilevel"/>
    <w:tmpl w:val="43AEE228"/>
    <w:lvl w:ilvl="0" w:tplc="100A0001">
      <w:start w:val="1"/>
      <w:numFmt w:val="bullet"/>
      <w:lvlText w:val=""/>
      <w:lvlJc w:val="left"/>
      <w:pPr>
        <w:ind w:left="774" w:hanging="360"/>
      </w:pPr>
      <w:rPr>
        <w:rFonts w:ascii="Symbol" w:hAnsi="Symbol" w:hint="default"/>
      </w:rPr>
    </w:lvl>
    <w:lvl w:ilvl="1" w:tplc="100A0003" w:tentative="1">
      <w:start w:val="1"/>
      <w:numFmt w:val="bullet"/>
      <w:lvlText w:val="o"/>
      <w:lvlJc w:val="left"/>
      <w:pPr>
        <w:ind w:left="1494" w:hanging="360"/>
      </w:pPr>
      <w:rPr>
        <w:rFonts w:ascii="Courier New" w:hAnsi="Courier New" w:cs="Courier New" w:hint="default"/>
      </w:rPr>
    </w:lvl>
    <w:lvl w:ilvl="2" w:tplc="100A0005" w:tentative="1">
      <w:start w:val="1"/>
      <w:numFmt w:val="bullet"/>
      <w:lvlText w:val=""/>
      <w:lvlJc w:val="left"/>
      <w:pPr>
        <w:ind w:left="2214" w:hanging="360"/>
      </w:pPr>
      <w:rPr>
        <w:rFonts w:ascii="Wingdings" w:hAnsi="Wingdings" w:hint="default"/>
      </w:rPr>
    </w:lvl>
    <w:lvl w:ilvl="3" w:tplc="100A0001" w:tentative="1">
      <w:start w:val="1"/>
      <w:numFmt w:val="bullet"/>
      <w:lvlText w:val=""/>
      <w:lvlJc w:val="left"/>
      <w:pPr>
        <w:ind w:left="2934" w:hanging="360"/>
      </w:pPr>
      <w:rPr>
        <w:rFonts w:ascii="Symbol" w:hAnsi="Symbol" w:hint="default"/>
      </w:rPr>
    </w:lvl>
    <w:lvl w:ilvl="4" w:tplc="100A0003" w:tentative="1">
      <w:start w:val="1"/>
      <w:numFmt w:val="bullet"/>
      <w:lvlText w:val="o"/>
      <w:lvlJc w:val="left"/>
      <w:pPr>
        <w:ind w:left="3654" w:hanging="360"/>
      </w:pPr>
      <w:rPr>
        <w:rFonts w:ascii="Courier New" w:hAnsi="Courier New" w:cs="Courier New" w:hint="default"/>
      </w:rPr>
    </w:lvl>
    <w:lvl w:ilvl="5" w:tplc="100A0005" w:tentative="1">
      <w:start w:val="1"/>
      <w:numFmt w:val="bullet"/>
      <w:lvlText w:val=""/>
      <w:lvlJc w:val="left"/>
      <w:pPr>
        <w:ind w:left="4374" w:hanging="360"/>
      </w:pPr>
      <w:rPr>
        <w:rFonts w:ascii="Wingdings" w:hAnsi="Wingdings" w:hint="default"/>
      </w:rPr>
    </w:lvl>
    <w:lvl w:ilvl="6" w:tplc="100A0001" w:tentative="1">
      <w:start w:val="1"/>
      <w:numFmt w:val="bullet"/>
      <w:lvlText w:val=""/>
      <w:lvlJc w:val="left"/>
      <w:pPr>
        <w:ind w:left="5094" w:hanging="360"/>
      </w:pPr>
      <w:rPr>
        <w:rFonts w:ascii="Symbol" w:hAnsi="Symbol" w:hint="default"/>
      </w:rPr>
    </w:lvl>
    <w:lvl w:ilvl="7" w:tplc="100A0003" w:tentative="1">
      <w:start w:val="1"/>
      <w:numFmt w:val="bullet"/>
      <w:lvlText w:val="o"/>
      <w:lvlJc w:val="left"/>
      <w:pPr>
        <w:ind w:left="5814" w:hanging="360"/>
      </w:pPr>
      <w:rPr>
        <w:rFonts w:ascii="Courier New" w:hAnsi="Courier New" w:cs="Courier New" w:hint="default"/>
      </w:rPr>
    </w:lvl>
    <w:lvl w:ilvl="8" w:tplc="100A0005" w:tentative="1">
      <w:start w:val="1"/>
      <w:numFmt w:val="bullet"/>
      <w:lvlText w:val=""/>
      <w:lvlJc w:val="left"/>
      <w:pPr>
        <w:ind w:left="6534" w:hanging="360"/>
      </w:pPr>
      <w:rPr>
        <w:rFonts w:ascii="Wingdings" w:hAnsi="Wingdings" w:hint="default"/>
      </w:rPr>
    </w:lvl>
  </w:abstractNum>
  <w:abstractNum w:abstractNumId="29" w15:restartNumberingAfterBreak="0">
    <w:nsid w:val="42D11798"/>
    <w:multiLevelType w:val="hybridMultilevel"/>
    <w:tmpl w:val="CD4C90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432D6394"/>
    <w:multiLevelType w:val="hybridMultilevel"/>
    <w:tmpl w:val="00CC08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45187A0C"/>
    <w:multiLevelType w:val="hybridMultilevel"/>
    <w:tmpl w:val="360CB90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4D7C58ED"/>
    <w:multiLevelType w:val="hybridMultilevel"/>
    <w:tmpl w:val="81DA0CA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3" w15:restartNumberingAfterBreak="0">
    <w:nsid w:val="4E556565"/>
    <w:multiLevelType w:val="hybridMultilevel"/>
    <w:tmpl w:val="373A03AA"/>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4" w15:restartNumberingAfterBreak="0">
    <w:nsid w:val="4E6D7FBC"/>
    <w:multiLevelType w:val="hybridMultilevel"/>
    <w:tmpl w:val="2DB624FC"/>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5" w15:restartNumberingAfterBreak="0">
    <w:nsid w:val="52D574F7"/>
    <w:multiLevelType w:val="multilevel"/>
    <w:tmpl w:val="35F0A56A"/>
    <w:lvl w:ilvl="0">
      <w:start w:val="1"/>
      <w:numFmt w:val="decimal"/>
      <w:lvlText w:val="%1."/>
      <w:lvlJc w:val="left"/>
      <w:pPr>
        <w:ind w:left="785" w:hanging="360"/>
      </w:pPr>
      <w:rPr>
        <w:b/>
        <w:bCs/>
        <w:color w:val="1F3864" w:themeColor="accent1" w:themeShade="80"/>
      </w:rPr>
    </w:lvl>
    <w:lvl w:ilvl="1">
      <w:start w:val="1"/>
      <w:numFmt w:val="decimal"/>
      <w:lvlText w:val="%1.%2."/>
      <w:lvlJc w:val="left"/>
      <w:pPr>
        <w:ind w:left="1140" w:hanging="432"/>
      </w:pPr>
      <w:rPr>
        <w:b/>
        <w:bCs/>
        <w:color w:val="1F3864" w:themeColor="accent1" w:themeShade="80"/>
      </w:rPr>
    </w:lvl>
    <w:lvl w:ilvl="2">
      <w:start w:val="1"/>
      <w:numFmt w:val="decimal"/>
      <w:lvlText w:val="%1.%2.%3."/>
      <w:lvlJc w:val="left"/>
      <w:pPr>
        <w:ind w:left="1071" w:hanging="504"/>
      </w:pPr>
      <w:rPr>
        <w:color w:val="1F3864" w:themeColor="accent1" w:themeShade="80"/>
        <w:sz w:val="24"/>
        <w:szCs w:val="24"/>
      </w:rPr>
    </w:lvl>
    <w:lvl w:ilvl="3">
      <w:start w:val="1"/>
      <w:numFmt w:val="decimal"/>
      <w:lvlText w:val="%1.%2.%3.%4."/>
      <w:lvlJc w:val="left"/>
      <w:pPr>
        <w:ind w:left="135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A75760C"/>
    <w:multiLevelType w:val="hybridMultilevel"/>
    <w:tmpl w:val="9A38C792"/>
    <w:lvl w:ilvl="0" w:tplc="AC060D90">
      <w:start w:val="1"/>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5B854420"/>
    <w:multiLevelType w:val="hybridMultilevel"/>
    <w:tmpl w:val="1F02D5B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5D3B6F25"/>
    <w:multiLevelType w:val="hybridMultilevel"/>
    <w:tmpl w:val="793446F6"/>
    <w:lvl w:ilvl="0" w:tplc="100A0003">
      <w:start w:val="1"/>
      <w:numFmt w:val="bullet"/>
      <w:lvlText w:val="o"/>
      <w:lvlJc w:val="left"/>
      <w:pPr>
        <w:ind w:left="1105" w:hanging="360"/>
      </w:pPr>
      <w:rPr>
        <w:rFonts w:ascii="Courier New" w:hAnsi="Courier New" w:cs="Courier New" w:hint="default"/>
      </w:rPr>
    </w:lvl>
    <w:lvl w:ilvl="1" w:tplc="100A0003" w:tentative="1">
      <w:start w:val="1"/>
      <w:numFmt w:val="bullet"/>
      <w:lvlText w:val="o"/>
      <w:lvlJc w:val="left"/>
      <w:pPr>
        <w:ind w:left="1825" w:hanging="360"/>
      </w:pPr>
      <w:rPr>
        <w:rFonts w:ascii="Courier New" w:hAnsi="Courier New" w:hint="default"/>
      </w:rPr>
    </w:lvl>
    <w:lvl w:ilvl="2" w:tplc="100A0005" w:tentative="1">
      <w:start w:val="1"/>
      <w:numFmt w:val="bullet"/>
      <w:lvlText w:val=""/>
      <w:lvlJc w:val="left"/>
      <w:pPr>
        <w:ind w:left="2545" w:hanging="360"/>
      </w:pPr>
      <w:rPr>
        <w:rFonts w:ascii="Wingdings" w:hAnsi="Wingdings" w:hint="default"/>
      </w:rPr>
    </w:lvl>
    <w:lvl w:ilvl="3" w:tplc="100A0001" w:tentative="1">
      <w:start w:val="1"/>
      <w:numFmt w:val="bullet"/>
      <w:lvlText w:val=""/>
      <w:lvlJc w:val="left"/>
      <w:pPr>
        <w:ind w:left="3265" w:hanging="360"/>
      </w:pPr>
      <w:rPr>
        <w:rFonts w:ascii="Symbol" w:hAnsi="Symbol" w:hint="default"/>
      </w:rPr>
    </w:lvl>
    <w:lvl w:ilvl="4" w:tplc="100A0003" w:tentative="1">
      <w:start w:val="1"/>
      <w:numFmt w:val="bullet"/>
      <w:lvlText w:val="o"/>
      <w:lvlJc w:val="left"/>
      <w:pPr>
        <w:ind w:left="3985" w:hanging="360"/>
      </w:pPr>
      <w:rPr>
        <w:rFonts w:ascii="Courier New" w:hAnsi="Courier New" w:hint="default"/>
      </w:rPr>
    </w:lvl>
    <w:lvl w:ilvl="5" w:tplc="100A0005" w:tentative="1">
      <w:start w:val="1"/>
      <w:numFmt w:val="bullet"/>
      <w:lvlText w:val=""/>
      <w:lvlJc w:val="left"/>
      <w:pPr>
        <w:ind w:left="4705" w:hanging="360"/>
      </w:pPr>
      <w:rPr>
        <w:rFonts w:ascii="Wingdings" w:hAnsi="Wingdings" w:hint="default"/>
      </w:rPr>
    </w:lvl>
    <w:lvl w:ilvl="6" w:tplc="100A0001" w:tentative="1">
      <w:start w:val="1"/>
      <w:numFmt w:val="bullet"/>
      <w:lvlText w:val=""/>
      <w:lvlJc w:val="left"/>
      <w:pPr>
        <w:ind w:left="5425" w:hanging="360"/>
      </w:pPr>
      <w:rPr>
        <w:rFonts w:ascii="Symbol" w:hAnsi="Symbol" w:hint="default"/>
      </w:rPr>
    </w:lvl>
    <w:lvl w:ilvl="7" w:tplc="100A0003" w:tentative="1">
      <w:start w:val="1"/>
      <w:numFmt w:val="bullet"/>
      <w:lvlText w:val="o"/>
      <w:lvlJc w:val="left"/>
      <w:pPr>
        <w:ind w:left="6145" w:hanging="360"/>
      </w:pPr>
      <w:rPr>
        <w:rFonts w:ascii="Courier New" w:hAnsi="Courier New" w:hint="default"/>
      </w:rPr>
    </w:lvl>
    <w:lvl w:ilvl="8" w:tplc="100A0005" w:tentative="1">
      <w:start w:val="1"/>
      <w:numFmt w:val="bullet"/>
      <w:lvlText w:val=""/>
      <w:lvlJc w:val="left"/>
      <w:pPr>
        <w:ind w:left="6865" w:hanging="360"/>
      </w:pPr>
      <w:rPr>
        <w:rFonts w:ascii="Wingdings" w:hAnsi="Wingdings" w:hint="default"/>
      </w:rPr>
    </w:lvl>
  </w:abstractNum>
  <w:abstractNum w:abstractNumId="39" w15:restartNumberingAfterBreak="1">
    <w:nsid w:val="60183E67"/>
    <w:multiLevelType w:val="multilevel"/>
    <w:tmpl w:val="100A0025"/>
    <w:styleLink w:val="Estilo1"/>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1">
    <w:nsid w:val="604503B5"/>
    <w:multiLevelType w:val="multilevel"/>
    <w:tmpl w:val="AC0E14CA"/>
    <w:lvl w:ilvl="0">
      <w:start w:val="1"/>
      <w:numFmt w:val="decimal"/>
      <w:pStyle w:val="Ttulo11"/>
      <w:lvlText w:val="%1"/>
      <w:lvlJc w:val="left"/>
      <w:pPr>
        <w:ind w:left="432" w:hanging="432"/>
      </w:pPr>
    </w:lvl>
    <w:lvl w:ilvl="1">
      <w:start w:val="1"/>
      <w:numFmt w:val="decimal"/>
      <w:pStyle w:val="Ttulo21"/>
      <w:lvlText w:val="%1.%2"/>
      <w:lvlJc w:val="left"/>
      <w:pPr>
        <w:ind w:left="4262" w:hanging="576"/>
      </w:pPr>
      <w:rPr>
        <w:rFonts w:ascii="Times New Roman" w:hAnsi="Times New Roman" w:cs="Times New Roman" w:hint="default"/>
        <w:b/>
        <w:sz w:val="24"/>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41" w15:restartNumberingAfterBreak="0">
    <w:nsid w:val="614304AA"/>
    <w:multiLevelType w:val="hybridMultilevel"/>
    <w:tmpl w:val="2AE852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683348F4"/>
    <w:multiLevelType w:val="hybridMultilevel"/>
    <w:tmpl w:val="1876C1DC"/>
    <w:lvl w:ilvl="0" w:tplc="E4CE3A1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69233E60"/>
    <w:multiLevelType w:val="hybridMultilevel"/>
    <w:tmpl w:val="5350AB4A"/>
    <w:lvl w:ilvl="0" w:tplc="CDB8C2BC">
      <w:start w:val="1"/>
      <w:numFmt w:val="bullet"/>
      <w:lvlText w:val="•"/>
      <w:lvlJc w:val="left"/>
      <w:pPr>
        <w:tabs>
          <w:tab w:val="num" w:pos="720"/>
        </w:tabs>
        <w:ind w:left="720" w:hanging="360"/>
      </w:pPr>
      <w:rPr>
        <w:rFonts w:ascii="Times New Roman" w:hAnsi="Times New Roman" w:hint="default"/>
      </w:rPr>
    </w:lvl>
    <w:lvl w:ilvl="1" w:tplc="33CC6B22">
      <w:numFmt w:val="bullet"/>
      <w:lvlText w:val="•"/>
      <w:lvlJc w:val="left"/>
      <w:pPr>
        <w:tabs>
          <w:tab w:val="num" w:pos="1440"/>
        </w:tabs>
        <w:ind w:left="1440" w:hanging="360"/>
      </w:pPr>
      <w:rPr>
        <w:rFonts w:ascii="Times New Roman" w:hAnsi="Times New Roman" w:hint="default"/>
      </w:rPr>
    </w:lvl>
    <w:lvl w:ilvl="2" w:tplc="5F526560" w:tentative="1">
      <w:start w:val="1"/>
      <w:numFmt w:val="bullet"/>
      <w:lvlText w:val="•"/>
      <w:lvlJc w:val="left"/>
      <w:pPr>
        <w:tabs>
          <w:tab w:val="num" w:pos="2160"/>
        </w:tabs>
        <w:ind w:left="2160" w:hanging="360"/>
      </w:pPr>
      <w:rPr>
        <w:rFonts w:ascii="Times New Roman" w:hAnsi="Times New Roman" w:hint="default"/>
      </w:rPr>
    </w:lvl>
    <w:lvl w:ilvl="3" w:tplc="6FE40950" w:tentative="1">
      <w:start w:val="1"/>
      <w:numFmt w:val="bullet"/>
      <w:lvlText w:val="•"/>
      <w:lvlJc w:val="left"/>
      <w:pPr>
        <w:tabs>
          <w:tab w:val="num" w:pos="2880"/>
        </w:tabs>
        <w:ind w:left="2880" w:hanging="360"/>
      </w:pPr>
      <w:rPr>
        <w:rFonts w:ascii="Times New Roman" w:hAnsi="Times New Roman" w:hint="default"/>
      </w:rPr>
    </w:lvl>
    <w:lvl w:ilvl="4" w:tplc="901605A4" w:tentative="1">
      <w:start w:val="1"/>
      <w:numFmt w:val="bullet"/>
      <w:lvlText w:val="•"/>
      <w:lvlJc w:val="left"/>
      <w:pPr>
        <w:tabs>
          <w:tab w:val="num" w:pos="3600"/>
        </w:tabs>
        <w:ind w:left="3600" w:hanging="360"/>
      </w:pPr>
      <w:rPr>
        <w:rFonts w:ascii="Times New Roman" w:hAnsi="Times New Roman" w:hint="default"/>
      </w:rPr>
    </w:lvl>
    <w:lvl w:ilvl="5" w:tplc="A0DCA2EC" w:tentative="1">
      <w:start w:val="1"/>
      <w:numFmt w:val="bullet"/>
      <w:lvlText w:val="•"/>
      <w:lvlJc w:val="left"/>
      <w:pPr>
        <w:tabs>
          <w:tab w:val="num" w:pos="4320"/>
        </w:tabs>
        <w:ind w:left="4320" w:hanging="360"/>
      </w:pPr>
      <w:rPr>
        <w:rFonts w:ascii="Times New Roman" w:hAnsi="Times New Roman" w:hint="default"/>
      </w:rPr>
    </w:lvl>
    <w:lvl w:ilvl="6" w:tplc="AC68B396" w:tentative="1">
      <w:start w:val="1"/>
      <w:numFmt w:val="bullet"/>
      <w:lvlText w:val="•"/>
      <w:lvlJc w:val="left"/>
      <w:pPr>
        <w:tabs>
          <w:tab w:val="num" w:pos="5040"/>
        </w:tabs>
        <w:ind w:left="5040" w:hanging="360"/>
      </w:pPr>
      <w:rPr>
        <w:rFonts w:ascii="Times New Roman" w:hAnsi="Times New Roman" w:hint="default"/>
      </w:rPr>
    </w:lvl>
    <w:lvl w:ilvl="7" w:tplc="2654E19A" w:tentative="1">
      <w:start w:val="1"/>
      <w:numFmt w:val="bullet"/>
      <w:lvlText w:val="•"/>
      <w:lvlJc w:val="left"/>
      <w:pPr>
        <w:tabs>
          <w:tab w:val="num" w:pos="5760"/>
        </w:tabs>
        <w:ind w:left="5760" w:hanging="360"/>
      </w:pPr>
      <w:rPr>
        <w:rFonts w:ascii="Times New Roman" w:hAnsi="Times New Roman" w:hint="default"/>
      </w:rPr>
    </w:lvl>
    <w:lvl w:ilvl="8" w:tplc="679428D8"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6D424B82"/>
    <w:multiLevelType w:val="hybridMultilevel"/>
    <w:tmpl w:val="030661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15:restartNumberingAfterBreak="0">
    <w:nsid w:val="751B66DE"/>
    <w:multiLevelType w:val="hybridMultilevel"/>
    <w:tmpl w:val="257A470C"/>
    <w:lvl w:ilvl="0" w:tplc="BDEA6DE8">
      <w:start w:val="1"/>
      <w:numFmt w:val="bullet"/>
      <w:lvlText w:val="-"/>
      <w:lvlJc w:val="left"/>
      <w:pPr>
        <w:ind w:left="720" w:hanging="360"/>
      </w:pPr>
      <w:rPr>
        <w:rFonts w:ascii="Courier New" w:hAnsi="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15:restartNumberingAfterBreak="0">
    <w:nsid w:val="783E41E0"/>
    <w:multiLevelType w:val="hybridMultilevel"/>
    <w:tmpl w:val="E1F2B7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15:restartNumberingAfterBreak="0">
    <w:nsid w:val="79AC137F"/>
    <w:multiLevelType w:val="multilevel"/>
    <w:tmpl w:val="DAEE5F4A"/>
    <w:lvl w:ilvl="0">
      <w:start w:val="1"/>
      <w:numFmt w:val="decimal"/>
      <w:lvlText w:val="%1."/>
      <w:lvlJc w:val="left"/>
      <w:pPr>
        <w:ind w:left="785" w:hanging="360"/>
      </w:pPr>
      <w:rPr>
        <w:b/>
        <w:bCs/>
        <w:color w:val="1F3864" w:themeColor="accent1" w:themeShade="80"/>
      </w:rPr>
    </w:lvl>
    <w:lvl w:ilvl="1">
      <w:start w:val="1"/>
      <w:numFmt w:val="decimal"/>
      <w:lvlText w:val="%1.%2."/>
      <w:lvlJc w:val="left"/>
      <w:pPr>
        <w:ind w:left="1140" w:hanging="432"/>
      </w:pPr>
      <w:rPr>
        <w:b/>
        <w:bCs/>
        <w:color w:val="auto"/>
      </w:rPr>
    </w:lvl>
    <w:lvl w:ilvl="2">
      <w:start w:val="1"/>
      <w:numFmt w:val="decimal"/>
      <w:lvlText w:val="%1.%2.%3."/>
      <w:lvlJc w:val="left"/>
      <w:pPr>
        <w:ind w:left="1071" w:hanging="504"/>
      </w:pPr>
      <w:rPr>
        <w:color w:val="auto"/>
        <w:sz w:val="24"/>
        <w:szCs w:val="24"/>
      </w:rPr>
    </w:lvl>
    <w:lvl w:ilvl="3">
      <w:start w:val="1"/>
      <w:numFmt w:val="decimal"/>
      <w:lvlText w:val="%1.%2.%3.%4."/>
      <w:lvlJc w:val="left"/>
      <w:pPr>
        <w:ind w:left="135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E880D2D"/>
    <w:multiLevelType w:val="hybridMultilevel"/>
    <w:tmpl w:val="613A6A64"/>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15:restartNumberingAfterBreak="0">
    <w:nsid w:val="7FD3067A"/>
    <w:multiLevelType w:val="hybridMultilevel"/>
    <w:tmpl w:val="A05C5BA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9"/>
  </w:num>
  <w:num w:numId="2">
    <w:abstractNumId w:val="14"/>
  </w:num>
  <w:num w:numId="3">
    <w:abstractNumId w:val="28"/>
  </w:num>
  <w:num w:numId="4">
    <w:abstractNumId w:val="20"/>
  </w:num>
  <w:num w:numId="5">
    <w:abstractNumId w:val="42"/>
  </w:num>
  <w:num w:numId="6">
    <w:abstractNumId w:val="6"/>
  </w:num>
  <w:num w:numId="7">
    <w:abstractNumId w:val="47"/>
  </w:num>
  <w:num w:numId="8">
    <w:abstractNumId w:val="21"/>
  </w:num>
  <w:num w:numId="9">
    <w:abstractNumId w:val="11"/>
  </w:num>
  <w:num w:numId="10">
    <w:abstractNumId w:val="13"/>
  </w:num>
  <w:num w:numId="11">
    <w:abstractNumId w:val="9"/>
  </w:num>
  <w:num w:numId="12">
    <w:abstractNumId w:val="31"/>
  </w:num>
  <w:num w:numId="13">
    <w:abstractNumId w:val="43"/>
  </w:num>
  <w:num w:numId="14">
    <w:abstractNumId w:val="15"/>
  </w:num>
  <w:num w:numId="15">
    <w:abstractNumId w:val="19"/>
  </w:num>
  <w:num w:numId="16">
    <w:abstractNumId w:val="44"/>
  </w:num>
  <w:num w:numId="17">
    <w:abstractNumId w:val="25"/>
  </w:num>
  <w:num w:numId="18">
    <w:abstractNumId w:val="17"/>
  </w:num>
  <w:num w:numId="19">
    <w:abstractNumId w:val="30"/>
  </w:num>
  <w:num w:numId="20">
    <w:abstractNumId w:val="32"/>
  </w:num>
  <w:num w:numId="21">
    <w:abstractNumId w:val="4"/>
  </w:num>
  <w:num w:numId="22">
    <w:abstractNumId w:val="1"/>
  </w:num>
  <w:num w:numId="23">
    <w:abstractNumId w:val="45"/>
  </w:num>
  <w:num w:numId="24">
    <w:abstractNumId w:val="48"/>
  </w:num>
  <w:num w:numId="25">
    <w:abstractNumId w:val="36"/>
  </w:num>
  <w:num w:numId="26">
    <w:abstractNumId w:val="37"/>
  </w:num>
  <w:num w:numId="27">
    <w:abstractNumId w:val="39"/>
  </w:num>
  <w:num w:numId="28">
    <w:abstractNumId w:val="5"/>
  </w:num>
  <w:num w:numId="29">
    <w:abstractNumId w:val="0"/>
  </w:num>
  <w:num w:numId="30">
    <w:abstractNumId w:val="40"/>
  </w:num>
  <w:num w:numId="31">
    <w:abstractNumId w:val="34"/>
  </w:num>
  <w:num w:numId="32">
    <w:abstractNumId w:val="8"/>
  </w:num>
  <w:num w:numId="33">
    <w:abstractNumId w:val="18"/>
  </w:num>
  <w:num w:numId="34">
    <w:abstractNumId w:val="10"/>
  </w:num>
  <w:num w:numId="35">
    <w:abstractNumId w:val="22"/>
  </w:num>
  <w:num w:numId="36">
    <w:abstractNumId w:val="16"/>
  </w:num>
  <w:num w:numId="37">
    <w:abstractNumId w:val="35"/>
  </w:num>
  <w:num w:numId="38">
    <w:abstractNumId w:val="26"/>
  </w:num>
  <w:num w:numId="39">
    <w:abstractNumId w:val="3"/>
  </w:num>
  <w:num w:numId="40">
    <w:abstractNumId w:val="27"/>
  </w:num>
  <w:num w:numId="41">
    <w:abstractNumId w:val="7"/>
  </w:num>
  <w:num w:numId="42">
    <w:abstractNumId w:val="24"/>
  </w:num>
  <w:num w:numId="43">
    <w:abstractNumId w:val="12"/>
  </w:num>
  <w:num w:numId="44">
    <w:abstractNumId w:val="49"/>
  </w:num>
  <w:num w:numId="45">
    <w:abstractNumId w:val="23"/>
  </w:num>
  <w:num w:numId="46">
    <w:abstractNumId w:val="41"/>
  </w:num>
  <w:num w:numId="47">
    <w:abstractNumId w:val="33"/>
  </w:num>
  <w:num w:numId="48">
    <w:abstractNumId w:val="2"/>
  </w:num>
  <w:num w:numId="49">
    <w:abstractNumId w:val="38"/>
  </w:num>
  <w:num w:numId="50">
    <w:abstractNumId w:val="4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83A"/>
    <w:rsid w:val="00005091"/>
    <w:rsid w:val="0002396C"/>
    <w:rsid w:val="0002461D"/>
    <w:rsid w:val="00024A42"/>
    <w:rsid w:val="00037E1D"/>
    <w:rsid w:val="000438E8"/>
    <w:rsid w:val="0005550C"/>
    <w:rsid w:val="00057A68"/>
    <w:rsid w:val="00096829"/>
    <w:rsid w:val="000A2800"/>
    <w:rsid w:val="000A42AE"/>
    <w:rsid w:val="000A6BF2"/>
    <w:rsid w:val="000B275F"/>
    <w:rsid w:val="000C36F8"/>
    <w:rsid w:val="000D3804"/>
    <w:rsid w:val="000D77CC"/>
    <w:rsid w:val="000E01EC"/>
    <w:rsid w:val="000E12CF"/>
    <w:rsid w:val="000E7D33"/>
    <w:rsid w:val="000F06D1"/>
    <w:rsid w:val="00105A46"/>
    <w:rsid w:val="001158BC"/>
    <w:rsid w:val="00135E7F"/>
    <w:rsid w:val="001443D5"/>
    <w:rsid w:val="00145862"/>
    <w:rsid w:val="00150283"/>
    <w:rsid w:val="00162DF6"/>
    <w:rsid w:val="00164DC2"/>
    <w:rsid w:val="00167F1B"/>
    <w:rsid w:val="00173001"/>
    <w:rsid w:val="00183E98"/>
    <w:rsid w:val="0019691E"/>
    <w:rsid w:val="001B0754"/>
    <w:rsid w:val="001C0298"/>
    <w:rsid w:val="001C083A"/>
    <w:rsid w:val="001C3F9D"/>
    <w:rsid w:val="001D68AB"/>
    <w:rsid w:val="001D724F"/>
    <w:rsid w:val="001E6EF8"/>
    <w:rsid w:val="00224282"/>
    <w:rsid w:val="00244284"/>
    <w:rsid w:val="00256C88"/>
    <w:rsid w:val="0027005C"/>
    <w:rsid w:val="00274C36"/>
    <w:rsid w:val="00294776"/>
    <w:rsid w:val="002A00D1"/>
    <w:rsid w:val="002B4A97"/>
    <w:rsid w:val="002C7BFB"/>
    <w:rsid w:val="002D40BF"/>
    <w:rsid w:val="002D5363"/>
    <w:rsid w:val="002E7071"/>
    <w:rsid w:val="002F0D44"/>
    <w:rsid w:val="0030738C"/>
    <w:rsid w:val="00311409"/>
    <w:rsid w:val="00315C8C"/>
    <w:rsid w:val="003170B7"/>
    <w:rsid w:val="00317729"/>
    <w:rsid w:val="0032007B"/>
    <w:rsid w:val="00333DE4"/>
    <w:rsid w:val="003415B0"/>
    <w:rsid w:val="00344F23"/>
    <w:rsid w:val="00353AC4"/>
    <w:rsid w:val="00357CAA"/>
    <w:rsid w:val="00373DFA"/>
    <w:rsid w:val="00374091"/>
    <w:rsid w:val="0038655C"/>
    <w:rsid w:val="00387F92"/>
    <w:rsid w:val="003B2B85"/>
    <w:rsid w:val="003B5749"/>
    <w:rsid w:val="003C60F7"/>
    <w:rsid w:val="003D33CF"/>
    <w:rsid w:val="003D384B"/>
    <w:rsid w:val="003E08DB"/>
    <w:rsid w:val="003E577B"/>
    <w:rsid w:val="003F375D"/>
    <w:rsid w:val="003F7531"/>
    <w:rsid w:val="003F793D"/>
    <w:rsid w:val="00411D33"/>
    <w:rsid w:val="00413AB4"/>
    <w:rsid w:val="00430941"/>
    <w:rsid w:val="00433A63"/>
    <w:rsid w:val="00447AA7"/>
    <w:rsid w:val="0045022F"/>
    <w:rsid w:val="00450BFB"/>
    <w:rsid w:val="00451A2D"/>
    <w:rsid w:val="00481F00"/>
    <w:rsid w:val="0048273D"/>
    <w:rsid w:val="004A12A1"/>
    <w:rsid w:val="004B36FA"/>
    <w:rsid w:val="004B6E60"/>
    <w:rsid w:val="004C3810"/>
    <w:rsid w:val="00504EB9"/>
    <w:rsid w:val="00505F46"/>
    <w:rsid w:val="005105AC"/>
    <w:rsid w:val="00514050"/>
    <w:rsid w:val="00517B35"/>
    <w:rsid w:val="00525665"/>
    <w:rsid w:val="0052639C"/>
    <w:rsid w:val="00527749"/>
    <w:rsid w:val="00534CF1"/>
    <w:rsid w:val="005639CE"/>
    <w:rsid w:val="00572651"/>
    <w:rsid w:val="005833DD"/>
    <w:rsid w:val="00583F1F"/>
    <w:rsid w:val="0059173D"/>
    <w:rsid w:val="005917FC"/>
    <w:rsid w:val="005A11CF"/>
    <w:rsid w:val="005B7FDB"/>
    <w:rsid w:val="005C48A1"/>
    <w:rsid w:val="005C56A0"/>
    <w:rsid w:val="005C69D1"/>
    <w:rsid w:val="005D3402"/>
    <w:rsid w:val="005D51F5"/>
    <w:rsid w:val="005E0AEB"/>
    <w:rsid w:val="005F07F9"/>
    <w:rsid w:val="005F38A6"/>
    <w:rsid w:val="006014B3"/>
    <w:rsid w:val="0060493C"/>
    <w:rsid w:val="00610819"/>
    <w:rsid w:val="00623943"/>
    <w:rsid w:val="00624091"/>
    <w:rsid w:val="0063187F"/>
    <w:rsid w:val="00635B13"/>
    <w:rsid w:val="00636619"/>
    <w:rsid w:val="00646B5B"/>
    <w:rsid w:val="00654FD8"/>
    <w:rsid w:val="00660DE7"/>
    <w:rsid w:val="00675270"/>
    <w:rsid w:val="00695A55"/>
    <w:rsid w:val="006B598F"/>
    <w:rsid w:val="006B6F50"/>
    <w:rsid w:val="006C6819"/>
    <w:rsid w:val="006E6D16"/>
    <w:rsid w:val="006F35E5"/>
    <w:rsid w:val="006F4B59"/>
    <w:rsid w:val="007016B6"/>
    <w:rsid w:val="00703504"/>
    <w:rsid w:val="00704D47"/>
    <w:rsid w:val="00721715"/>
    <w:rsid w:val="00731104"/>
    <w:rsid w:val="007368AE"/>
    <w:rsid w:val="00737DC2"/>
    <w:rsid w:val="00750765"/>
    <w:rsid w:val="00752A7C"/>
    <w:rsid w:val="007537E3"/>
    <w:rsid w:val="00767E54"/>
    <w:rsid w:val="00774135"/>
    <w:rsid w:val="00781360"/>
    <w:rsid w:val="00782EC9"/>
    <w:rsid w:val="007859D6"/>
    <w:rsid w:val="00785A3B"/>
    <w:rsid w:val="0078770C"/>
    <w:rsid w:val="007A0B9B"/>
    <w:rsid w:val="007C78B7"/>
    <w:rsid w:val="007E4049"/>
    <w:rsid w:val="007F19DF"/>
    <w:rsid w:val="00805A42"/>
    <w:rsid w:val="00820C09"/>
    <w:rsid w:val="00831109"/>
    <w:rsid w:val="00842054"/>
    <w:rsid w:val="00855473"/>
    <w:rsid w:val="00866BDD"/>
    <w:rsid w:val="008678BE"/>
    <w:rsid w:val="00872FC6"/>
    <w:rsid w:val="00883C00"/>
    <w:rsid w:val="00883FCD"/>
    <w:rsid w:val="00885487"/>
    <w:rsid w:val="00894C26"/>
    <w:rsid w:val="008967A4"/>
    <w:rsid w:val="008B19F9"/>
    <w:rsid w:val="008B4F21"/>
    <w:rsid w:val="008C0ACF"/>
    <w:rsid w:val="008C1F1E"/>
    <w:rsid w:val="008D3F5A"/>
    <w:rsid w:val="008E0613"/>
    <w:rsid w:val="008E6901"/>
    <w:rsid w:val="008E77F3"/>
    <w:rsid w:val="008F0347"/>
    <w:rsid w:val="009004BD"/>
    <w:rsid w:val="00910096"/>
    <w:rsid w:val="0091174A"/>
    <w:rsid w:val="00935189"/>
    <w:rsid w:val="00972650"/>
    <w:rsid w:val="00974817"/>
    <w:rsid w:val="0098263D"/>
    <w:rsid w:val="009866CE"/>
    <w:rsid w:val="00987058"/>
    <w:rsid w:val="0099315C"/>
    <w:rsid w:val="009A4D38"/>
    <w:rsid w:val="009A7BD0"/>
    <w:rsid w:val="009B5177"/>
    <w:rsid w:val="009C6904"/>
    <w:rsid w:val="009D188B"/>
    <w:rsid w:val="009D2E39"/>
    <w:rsid w:val="009D45E5"/>
    <w:rsid w:val="009D7DE4"/>
    <w:rsid w:val="009E279E"/>
    <w:rsid w:val="00A01EB8"/>
    <w:rsid w:val="00A05C8B"/>
    <w:rsid w:val="00A07629"/>
    <w:rsid w:val="00A23951"/>
    <w:rsid w:val="00A26A0D"/>
    <w:rsid w:val="00A37F2C"/>
    <w:rsid w:val="00A56542"/>
    <w:rsid w:val="00A62AFA"/>
    <w:rsid w:val="00A676B4"/>
    <w:rsid w:val="00A7253B"/>
    <w:rsid w:val="00A77D12"/>
    <w:rsid w:val="00A809B4"/>
    <w:rsid w:val="00A902FA"/>
    <w:rsid w:val="00A95812"/>
    <w:rsid w:val="00A9717E"/>
    <w:rsid w:val="00AA6F46"/>
    <w:rsid w:val="00AB5D78"/>
    <w:rsid w:val="00AD040B"/>
    <w:rsid w:val="00AD5433"/>
    <w:rsid w:val="00AD6A7D"/>
    <w:rsid w:val="00AE5FA8"/>
    <w:rsid w:val="00AF445F"/>
    <w:rsid w:val="00AF4BA0"/>
    <w:rsid w:val="00B109C0"/>
    <w:rsid w:val="00B150B0"/>
    <w:rsid w:val="00B20FD7"/>
    <w:rsid w:val="00B21CCA"/>
    <w:rsid w:val="00B306EE"/>
    <w:rsid w:val="00B32A75"/>
    <w:rsid w:val="00B663DC"/>
    <w:rsid w:val="00B707F1"/>
    <w:rsid w:val="00B8625D"/>
    <w:rsid w:val="00B865FB"/>
    <w:rsid w:val="00B86D82"/>
    <w:rsid w:val="00B91F1D"/>
    <w:rsid w:val="00B96728"/>
    <w:rsid w:val="00B9722B"/>
    <w:rsid w:val="00BB0A30"/>
    <w:rsid w:val="00BB51FE"/>
    <w:rsid w:val="00BC7E77"/>
    <w:rsid w:val="00BD23FA"/>
    <w:rsid w:val="00BD320E"/>
    <w:rsid w:val="00BD5C3F"/>
    <w:rsid w:val="00BD7E56"/>
    <w:rsid w:val="00BE5D5C"/>
    <w:rsid w:val="00BF054D"/>
    <w:rsid w:val="00BF6159"/>
    <w:rsid w:val="00C0320E"/>
    <w:rsid w:val="00C06A79"/>
    <w:rsid w:val="00C15373"/>
    <w:rsid w:val="00C36261"/>
    <w:rsid w:val="00C3734B"/>
    <w:rsid w:val="00C44997"/>
    <w:rsid w:val="00C62C1C"/>
    <w:rsid w:val="00C66093"/>
    <w:rsid w:val="00C66E93"/>
    <w:rsid w:val="00C80054"/>
    <w:rsid w:val="00C84132"/>
    <w:rsid w:val="00CA2251"/>
    <w:rsid w:val="00CA5D00"/>
    <w:rsid w:val="00CB3C2C"/>
    <w:rsid w:val="00CB3CDE"/>
    <w:rsid w:val="00CB5379"/>
    <w:rsid w:val="00CC412C"/>
    <w:rsid w:val="00CC7591"/>
    <w:rsid w:val="00CD08A4"/>
    <w:rsid w:val="00CD61D4"/>
    <w:rsid w:val="00CE2AF5"/>
    <w:rsid w:val="00CF1986"/>
    <w:rsid w:val="00CF3012"/>
    <w:rsid w:val="00D027A7"/>
    <w:rsid w:val="00D0775B"/>
    <w:rsid w:val="00D15297"/>
    <w:rsid w:val="00D15483"/>
    <w:rsid w:val="00D16711"/>
    <w:rsid w:val="00D17F18"/>
    <w:rsid w:val="00D20A44"/>
    <w:rsid w:val="00D31AF2"/>
    <w:rsid w:val="00D33D14"/>
    <w:rsid w:val="00D54F96"/>
    <w:rsid w:val="00D60783"/>
    <w:rsid w:val="00D73789"/>
    <w:rsid w:val="00DA0177"/>
    <w:rsid w:val="00DC28BD"/>
    <w:rsid w:val="00DC2C13"/>
    <w:rsid w:val="00DC2F72"/>
    <w:rsid w:val="00DC45A3"/>
    <w:rsid w:val="00DC46E9"/>
    <w:rsid w:val="00DD4546"/>
    <w:rsid w:val="00DE1611"/>
    <w:rsid w:val="00DF59FC"/>
    <w:rsid w:val="00E0020B"/>
    <w:rsid w:val="00E07415"/>
    <w:rsid w:val="00E1202F"/>
    <w:rsid w:val="00E12202"/>
    <w:rsid w:val="00E411A4"/>
    <w:rsid w:val="00E448E8"/>
    <w:rsid w:val="00E73436"/>
    <w:rsid w:val="00E809A8"/>
    <w:rsid w:val="00EA432F"/>
    <w:rsid w:val="00EB681D"/>
    <w:rsid w:val="00ED4664"/>
    <w:rsid w:val="00EE475B"/>
    <w:rsid w:val="00F0645D"/>
    <w:rsid w:val="00F073EC"/>
    <w:rsid w:val="00F1324E"/>
    <w:rsid w:val="00F1633D"/>
    <w:rsid w:val="00F17B0D"/>
    <w:rsid w:val="00F20232"/>
    <w:rsid w:val="00F40E1A"/>
    <w:rsid w:val="00F5172B"/>
    <w:rsid w:val="00F615C1"/>
    <w:rsid w:val="00F62367"/>
    <w:rsid w:val="00F737B2"/>
    <w:rsid w:val="00F75946"/>
    <w:rsid w:val="00F908A8"/>
    <w:rsid w:val="00FA7AC8"/>
    <w:rsid w:val="00FD0580"/>
    <w:rsid w:val="00FD30BC"/>
    <w:rsid w:val="00FF2014"/>
    <w:rsid w:val="00FF285E"/>
    <w:rsid w:val="00FF602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AC353"/>
  <w15:chartTrackingRefBased/>
  <w15:docId w15:val="{69202737-B307-481C-8271-BC7F9C81C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F1E"/>
    <w:pPr>
      <w:spacing w:after="0" w:line="240" w:lineRule="auto"/>
    </w:pPr>
    <w:rPr>
      <w:rFonts w:ascii="Times New Roman" w:eastAsia="Times New Roman" w:hAnsi="Times New Roman" w:cs="Times New Roman"/>
      <w:sz w:val="24"/>
      <w:szCs w:val="24"/>
      <w:lang w:eastAsia="es-GT"/>
    </w:rPr>
  </w:style>
  <w:style w:type="paragraph" w:styleId="Ttulo1">
    <w:name w:val="heading 1"/>
    <w:aliases w:val="título 1"/>
    <w:basedOn w:val="Normal"/>
    <w:next w:val="Normal"/>
    <w:link w:val="Ttulo1Car"/>
    <w:uiPriority w:val="9"/>
    <w:qFormat/>
    <w:rsid w:val="005F38A6"/>
    <w:pPr>
      <w:keepNext/>
      <w:widowControl w:val="0"/>
      <w:jc w:val="center"/>
      <w:outlineLvl w:val="0"/>
    </w:pPr>
    <w:rPr>
      <w:rFonts w:eastAsiaTheme="minorHAnsi"/>
      <w:b/>
      <w:color w:val="000000"/>
      <w:sz w:val="16"/>
      <w:lang w:eastAsia="en-US"/>
    </w:rPr>
  </w:style>
  <w:style w:type="paragraph" w:styleId="Ttulo2">
    <w:name w:val="heading 2"/>
    <w:basedOn w:val="Normal"/>
    <w:next w:val="Normal"/>
    <w:link w:val="Ttulo2Car"/>
    <w:uiPriority w:val="9"/>
    <w:qFormat/>
    <w:rsid w:val="005F38A6"/>
    <w:pPr>
      <w:keepNext/>
      <w:widowControl w:val="0"/>
      <w:outlineLvl w:val="1"/>
    </w:pPr>
    <w:rPr>
      <w:rFonts w:eastAsiaTheme="minorHAnsi"/>
      <w:b/>
      <w:color w:val="000000"/>
      <w:lang w:eastAsia="en-US"/>
    </w:rPr>
  </w:style>
  <w:style w:type="paragraph" w:styleId="Ttulo3">
    <w:name w:val="heading 3"/>
    <w:aliases w:val="título 3,Título proyecto,Títul4,Título 3 Sección,I3-3,h3,3,Título 3 Car Car,T3 para doc. Metro,Titulo 3,head:3#,.h3,Headline 3,Bold Head,bh,Títulobis,Map title,ARTICULO,Subsubcapitulo,Título 3_SIGMA,Capít.,Heading 31,heading 5"/>
    <w:basedOn w:val="Normal"/>
    <w:next w:val="Normal"/>
    <w:link w:val="Ttulo3Car"/>
    <w:uiPriority w:val="9"/>
    <w:qFormat/>
    <w:rsid w:val="005F38A6"/>
    <w:pPr>
      <w:keepNext/>
      <w:widowControl w:val="0"/>
      <w:outlineLvl w:val="2"/>
    </w:pPr>
    <w:rPr>
      <w:rFonts w:eastAsiaTheme="minorHAnsi"/>
      <w:b/>
      <w:sz w:val="16"/>
      <w:u w:val="single"/>
      <w:lang w:eastAsia="en-US"/>
    </w:rPr>
  </w:style>
  <w:style w:type="paragraph" w:styleId="Ttulo4">
    <w:name w:val="heading 4"/>
    <w:basedOn w:val="Normal"/>
    <w:next w:val="Normal"/>
    <w:link w:val="Ttulo4Car"/>
    <w:uiPriority w:val="9"/>
    <w:qFormat/>
    <w:rsid w:val="00C36261"/>
    <w:pPr>
      <w:keepNext/>
      <w:widowControl w:val="0"/>
      <w:jc w:val="center"/>
      <w:outlineLvl w:val="3"/>
    </w:pPr>
    <w:rPr>
      <w:rFonts w:eastAsiaTheme="minorHAnsi"/>
      <w:b/>
      <w:sz w:val="16"/>
      <w:lang w:eastAsia="en-US"/>
    </w:rPr>
  </w:style>
  <w:style w:type="paragraph" w:styleId="Ttulo5">
    <w:name w:val="heading 5"/>
    <w:basedOn w:val="Normal"/>
    <w:next w:val="Normal"/>
    <w:link w:val="Ttulo5Car"/>
    <w:uiPriority w:val="9"/>
    <w:qFormat/>
    <w:rsid w:val="00C36261"/>
    <w:pPr>
      <w:keepNext/>
      <w:widowControl w:val="0"/>
      <w:jc w:val="center"/>
      <w:outlineLvl w:val="4"/>
    </w:pPr>
    <w:rPr>
      <w:rFonts w:eastAsiaTheme="minorHAnsi"/>
      <w:b/>
      <w:color w:val="0000FF"/>
      <w:lang w:eastAsia="en-US"/>
    </w:rPr>
  </w:style>
  <w:style w:type="paragraph" w:styleId="Ttulo6">
    <w:name w:val="heading 6"/>
    <w:basedOn w:val="Normal"/>
    <w:next w:val="Normal"/>
    <w:link w:val="Ttulo6Car"/>
    <w:uiPriority w:val="9"/>
    <w:qFormat/>
    <w:rsid w:val="00C36261"/>
    <w:pPr>
      <w:keepNext/>
      <w:widowControl w:val="0"/>
      <w:outlineLvl w:val="5"/>
    </w:pPr>
    <w:rPr>
      <w:rFonts w:eastAsiaTheme="minorHAnsi"/>
      <w:b/>
      <w:color w:val="000000"/>
      <w:sz w:val="16"/>
      <w:lang w:eastAsia="en-US"/>
    </w:rPr>
  </w:style>
  <w:style w:type="paragraph" w:styleId="Ttulo7">
    <w:name w:val="heading 7"/>
    <w:basedOn w:val="Normal"/>
    <w:next w:val="Normal"/>
    <w:link w:val="Ttulo7Car"/>
    <w:uiPriority w:val="9"/>
    <w:qFormat/>
    <w:rsid w:val="00C36261"/>
    <w:pPr>
      <w:keepNext/>
      <w:widowControl w:val="0"/>
      <w:jc w:val="both"/>
      <w:outlineLvl w:val="6"/>
    </w:pPr>
    <w:rPr>
      <w:rFonts w:eastAsiaTheme="minorHAnsi"/>
      <w:b/>
      <w:lang w:eastAsia="en-US"/>
    </w:rPr>
  </w:style>
  <w:style w:type="paragraph" w:styleId="Ttulo8">
    <w:name w:val="heading 8"/>
    <w:basedOn w:val="Normal"/>
    <w:next w:val="Normal"/>
    <w:link w:val="Ttulo8Car"/>
    <w:uiPriority w:val="9"/>
    <w:qFormat/>
    <w:rsid w:val="00C36261"/>
    <w:pPr>
      <w:keepNext/>
      <w:widowControl w:val="0"/>
      <w:outlineLvl w:val="7"/>
    </w:pPr>
    <w:rPr>
      <w:rFonts w:eastAsiaTheme="minorHAnsi"/>
      <w:b/>
      <w:color w:val="000000"/>
      <w:sz w:val="18"/>
      <w:lang w:val="es-ES" w:eastAsia="en-US"/>
    </w:rPr>
  </w:style>
  <w:style w:type="paragraph" w:styleId="Ttulo9">
    <w:name w:val="heading 9"/>
    <w:basedOn w:val="Normal"/>
    <w:next w:val="Normal"/>
    <w:link w:val="Ttulo9Car"/>
    <w:uiPriority w:val="9"/>
    <w:qFormat/>
    <w:rsid w:val="00C36261"/>
    <w:pPr>
      <w:keepNext/>
      <w:widowControl w:val="0"/>
      <w:outlineLvl w:val="8"/>
    </w:pPr>
    <w:rPr>
      <w:rFonts w:eastAsiaTheme="minorHAnsi"/>
      <w:b/>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
    <w:basedOn w:val="Fuentedeprrafopredeter"/>
    <w:link w:val="Ttulo1"/>
    <w:uiPriority w:val="9"/>
    <w:rsid w:val="005F38A6"/>
    <w:rPr>
      <w:rFonts w:ascii="Times New Roman" w:hAnsi="Times New Roman" w:cs="Times New Roman"/>
      <w:b/>
      <w:color w:val="000000"/>
      <w:sz w:val="16"/>
      <w:szCs w:val="24"/>
    </w:rPr>
  </w:style>
  <w:style w:type="character" w:customStyle="1" w:styleId="Ttulo2Car">
    <w:name w:val="Título 2 Car"/>
    <w:basedOn w:val="Fuentedeprrafopredeter"/>
    <w:link w:val="Ttulo2"/>
    <w:uiPriority w:val="9"/>
    <w:rsid w:val="005F38A6"/>
    <w:rPr>
      <w:rFonts w:ascii="Times New Roman" w:hAnsi="Times New Roman" w:cs="Times New Roman"/>
      <w:b/>
      <w:color w:val="000000"/>
      <w:sz w:val="24"/>
      <w:szCs w:val="24"/>
    </w:rPr>
  </w:style>
  <w:style w:type="character" w:customStyle="1" w:styleId="Ttulo3Car">
    <w:name w:val="Título 3 Car"/>
    <w:aliases w:val="título 3 Car,Título proyecto Car,Títul4 Car,Título 3 Sección Car,I3-3 Car,h3 Car,3 Car,Título 3 Car Car Car,T3 para doc. Metro Car,Titulo 3 Car,head:3# Car,.h3 Car,Headline 3 Car,Bold Head Car,bh Car,Títulobis Car,Map title Car,ARTICULO Car"/>
    <w:basedOn w:val="Fuentedeprrafopredeter"/>
    <w:link w:val="Ttulo3"/>
    <w:uiPriority w:val="9"/>
    <w:rsid w:val="005F38A6"/>
    <w:rPr>
      <w:rFonts w:ascii="Times New Roman" w:hAnsi="Times New Roman" w:cs="Times New Roman"/>
      <w:b/>
      <w:sz w:val="16"/>
      <w:szCs w:val="24"/>
      <w:u w:val="single"/>
    </w:rPr>
  </w:style>
  <w:style w:type="paragraph" w:styleId="Prrafodelista">
    <w:name w:val="List Paragraph"/>
    <w:aliases w:val="Párrafo de lista 2,Título PDM,List Paragraph1,Dot pt,Bullet Points,No Spacing1,List Paragraph Char Char Char,Indicator Text,Numbered Para 1,Bullet 1,MAIN CONTENT,List Paragraph12,OBC Bullet,F5 List Paragraph,Colorful List - Accent 11,Ha"/>
    <w:basedOn w:val="Normal"/>
    <w:link w:val="PrrafodelistaCar"/>
    <w:uiPriority w:val="1"/>
    <w:qFormat/>
    <w:rsid w:val="00F073EC"/>
    <w:pPr>
      <w:ind w:left="720"/>
      <w:contextualSpacing/>
    </w:pPr>
  </w:style>
  <w:style w:type="character" w:customStyle="1" w:styleId="PrrafodelistaCar">
    <w:name w:val="Párrafo de lista Car"/>
    <w:aliases w:val="Párrafo de lista 2 Car,Título PDM Car,List Paragraph1 Car,Dot pt Car,Bullet Points Car,No Spacing1 Car,List Paragraph Char Char Char Car,Indicator Text Car,Numbered Para 1 Car,Bullet 1 Car,MAIN CONTENT Car,List Paragraph12 Car"/>
    <w:basedOn w:val="Fuentedeprrafopredeter"/>
    <w:link w:val="Prrafodelista"/>
    <w:uiPriority w:val="1"/>
    <w:qFormat/>
    <w:rsid w:val="005F38A6"/>
    <w:rPr>
      <w:rFonts w:ascii="Times New Roman" w:eastAsia="Times New Roman" w:hAnsi="Times New Roman" w:cs="Times New Roman"/>
      <w:sz w:val="24"/>
      <w:szCs w:val="24"/>
      <w:lang w:eastAsia="es-GT"/>
    </w:rPr>
  </w:style>
  <w:style w:type="paragraph" w:styleId="Descripcin">
    <w:name w:val="caption"/>
    <w:basedOn w:val="Normal"/>
    <w:next w:val="Normal"/>
    <w:link w:val="DescripcinCar"/>
    <w:uiPriority w:val="35"/>
    <w:qFormat/>
    <w:rsid w:val="005F38A6"/>
    <w:pPr>
      <w:widowControl w:val="0"/>
      <w:jc w:val="center"/>
    </w:pPr>
    <w:rPr>
      <w:rFonts w:eastAsiaTheme="minorHAnsi"/>
      <w:b/>
      <w:color w:val="0000FF"/>
      <w:lang w:eastAsia="en-US"/>
    </w:rPr>
  </w:style>
  <w:style w:type="character" w:customStyle="1" w:styleId="DescripcinCar">
    <w:name w:val="Descripción Car"/>
    <w:basedOn w:val="Fuentedeprrafopredeter"/>
    <w:link w:val="Descripcin"/>
    <w:uiPriority w:val="35"/>
    <w:rsid w:val="005F38A6"/>
    <w:rPr>
      <w:rFonts w:ascii="Times New Roman" w:hAnsi="Times New Roman" w:cs="Times New Roman"/>
      <w:b/>
      <w:color w:val="0000FF"/>
      <w:sz w:val="24"/>
      <w:szCs w:val="24"/>
    </w:rPr>
  </w:style>
  <w:style w:type="table" w:styleId="Tablaconcuadrcula">
    <w:name w:val="Table Grid"/>
    <w:basedOn w:val="Tablanormal"/>
    <w:uiPriority w:val="39"/>
    <w:rsid w:val="005F38A6"/>
    <w:pPr>
      <w:spacing w:after="0" w:line="240" w:lineRule="auto"/>
    </w:pPr>
    <w:rPr>
      <w:rFonts w:ascii="Times New Roman" w:eastAsia="Times New Roman" w:hAnsi="Times New Roman" w:cs="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F38A6"/>
    <w:pPr>
      <w:spacing w:after="0" w:line="240" w:lineRule="auto"/>
    </w:pPr>
    <w:rPr>
      <w:rFonts w:ascii="Times New Roman" w:eastAsia="Times New Roman" w:hAnsi="Times New Roman" w:cs="Times New Roman"/>
      <w:sz w:val="24"/>
      <w:szCs w:val="24"/>
      <w:lang w:val="es-ES"/>
    </w:rPr>
  </w:style>
  <w:style w:type="character" w:customStyle="1" w:styleId="SinespaciadoCar">
    <w:name w:val="Sin espaciado Car"/>
    <w:basedOn w:val="Fuentedeprrafopredeter"/>
    <w:link w:val="Sinespaciado"/>
    <w:uiPriority w:val="1"/>
    <w:rsid w:val="005F38A6"/>
    <w:rPr>
      <w:rFonts w:ascii="Times New Roman" w:eastAsia="Times New Roman" w:hAnsi="Times New Roman" w:cs="Times New Roman"/>
      <w:sz w:val="24"/>
      <w:szCs w:val="24"/>
      <w:lang w:val="es-ES"/>
    </w:rPr>
  </w:style>
  <w:style w:type="table" w:customStyle="1" w:styleId="Tablaconcuadrcula3">
    <w:name w:val="Tabla con cuadrícula3"/>
    <w:basedOn w:val="Tablanormal"/>
    <w:next w:val="Tablaconcuadrcula"/>
    <w:uiPriority w:val="39"/>
    <w:rsid w:val="005F38A6"/>
    <w:pPr>
      <w:spacing w:after="0" w:line="240" w:lineRule="auto"/>
    </w:pPr>
    <w:rPr>
      <w:rFonts w:ascii="Times New Roman" w:eastAsia="Times New Roman" w:hAnsi="Times New Roman" w:cs="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F38A6"/>
    <w:pPr>
      <w:spacing w:after="0" w:line="240" w:lineRule="auto"/>
    </w:pPr>
    <w:rPr>
      <w:rFonts w:ascii="Times New Roman" w:eastAsia="Times New Roman" w:hAnsi="Times New Roman" w:cs="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F38A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F38A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5F38A6"/>
    <w:pPr>
      <w:widowControl w:val="0"/>
    </w:pPr>
    <w:rPr>
      <w:rFonts w:eastAsiaTheme="minorHAnsi"/>
      <w:lang w:eastAsia="en-US"/>
    </w:rPr>
  </w:style>
  <w:style w:type="paragraph" w:styleId="Textonotapie">
    <w:name w:val="footnote text"/>
    <w:aliases w:val="ft,ft Car,ft Car Car,Texto nota pie2,ft1,ft Car Car Car1,Texto nota pie Car2,ft Car Car2,ft Car Car Car,fn,single space,footnote text,FOOTNOTES,Texto nota pie IIRSA,foottextfra,footnote,F,Char,Footnote Text Char2,Footnote Text Char1 Char1"/>
    <w:basedOn w:val="Normal"/>
    <w:link w:val="TextonotapieCar"/>
    <w:uiPriority w:val="99"/>
    <w:rsid w:val="005F38A6"/>
    <w:pPr>
      <w:widowControl w:val="0"/>
    </w:pPr>
    <w:rPr>
      <w:rFonts w:eastAsiaTheme="minorHAnsi"/>
      <w:lang w:eastAsia="en-US"/>
    </w:rPr>
  </w:style>
  <w:style w:type="character" w:customStyle="1" w:styleId="TextonotapieCar">
    <w:name w:val="Texto nota pie Car"/>
    <w:aliases w:val="ft Car1,ft Car Car1,ft Car Car Car2,Texto nota pie2 Car,ft1 Car,ft Car Car Car1 Car,Texto nota pie Car2 Car,ft Car Car2 Car,ft Car Car Car Car,fn Car,single space Car,footnote text Car,FOOTNOTES Car,Texto nota pie IIRSA Car,F Car"/>
    <w:basedOn w:val="Fuentedeprrafopredeter"/>
    <w:link w:val="Textonotapie"/>
    <w:uiPriority w:val="99"/>
    <w:rsid w:val="005F38A6"/>
    <w:rPr>
      <w:rFonts w:ascii="Times New Roman" w:hAnsi="Times New Roman" w:cs="Times New Roman"/>
      <w:sz w:val="24"/>
      <w:szCs w:val="24"/>
    </w:rPr>
  </w:style>
  <w:style w:type="character" w:styleId="Refdenotaalpie">
    <w:name w:val="footnote reference"/>
    <w:aliases w:val="ftref,16 Point,Superscript 6 Point,fr,Footnote Reference Number,Footnote Reference_LVL6,Footnote Reference_LVL61,Footnote Reference_LVL62,Footnote Reference_LVL63,Footnote Reference_LVL64,SUPERS,EN Footnote Reference,number"/>
    <w:basedOn w:val="Fuentedeprrafopredeter"/>
    <w:uiPriority w:val="99"/>
    <w:rsid w:val="005F38A6"/>
    <w:rPr>
      <w:vertAlign w:val="superscript"/>
    </w:rPr>
  </w:style>
  <w:style w:type="paragraph" w:styleId="Textocomentario">
    <w:name w:val="annotation text"/>
    <w:basedOn w:val="Normal"/>
    <w:link w:val="TextocomentarioCar"/>
    <w:uiPriority w:val="99"/>
    <w:semiHidden/>
    <w:unhideWhenUsed/>
    <w:rsid w:val="005F38A6"/>
    <w:pPr>
      <w:widowControl w:val="0"/>
    </w:pPr>
    <w:rPr>
      <w:rFonts w:eastAsiaTheme="minorHAnsi"/>
      <w:sz w:val="20"/>
      <w:szCs w:val="20"/>
      <w:lang w:eastAsia="en-US"/>
    </w:rPr>
  </w:style>
  <w:style w:type="character" w:customStyle="1" w:styleId="TextocomentarioCar">
    <w:name w:val="Texto comentario Car"/>
    <w:basedOn w:val="Fuentedeprrafopredeter"/>
    <w:link w:val="Textocomentario"/>
    <w:uiPriority w:val="99"/>
    <w:semiHidden/>
    <w:rsid w:val="005F38A6"/>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unhideWhenUsed/>
    <w:rsid w:val="005F38A6"/>
    <w:rPr>
      <w:b/>
      <w:bCs/>
    </w:rPr>
  </w:style>
  <w:style w:type="character" w:customStyle="1" w:styleId="AsuntodelcomentarioCar">
    <w:name w:val="Asunto del comentario Car"/>
    <w:basedOn w:val="TextocomentarioCar"/>
    <w:link w:val="Asuntodelcomentario"/>
    <w:uiPriority w:val="99"/>
    <w:rsid w:val="005F38A6"/>
    <w:rPr>
      <w:rFonts w:ascii="Times New Roman" w:hAnsi="Times New Roman" w:cs="Times New Roman"/>
      <w:b/>
      <w:bCs/>
      <w:sz w:val="20"/>
      <w:szCs w:val="20"/>
    </w:rPr>
  </w:style>
  <w:style w:type="paragraph" w:styleId="NormalWeb">
    <w:name w:val="Normal (Web)"/>
    <w:basedOn w:val="Normal"/>
    <w:uiPriority w:val="99"/>
    <w:unhideWhenUsed/>
    <w:rsid w:val="005F38A6"/>
    <w:pPr>
      <w:spacing w:before="100" w:beforeAutospacing="1" w:after="100" w:afterAutospacing="1"/>
    </w:pPr>
  </w:style>
  <w:style w:type="paragraph" w:styleId="Encabezado">
    <w:name w:val="header"/>
    <w:basedOn w:val="Normal"/>
    <w:link w:val="EncabezadoCar"/>
    <w:uiPriority w:val="99"/>
    <w:rsid w:val="005F38A6"/>
    <w:pPr>
      <w:widowControl w:val="0"/>
      <w:tabs>
        <w:tab w:val="center" w:pos="4252"/>
        <w:tab w:val="right" w:pos="8504"/>
      </w:tabs>
    </w:pPr>
    <w:rPr>
      <w:rFonts w:eastAsiaTheme="minorHAnsi"/>
      <w:lang w:eastAsia="en-US"/>
    </w:rPr>
  </w:style>
  <w:style w:type="character" w:customStyle="1" w:styleId="EncabezadoCar">
    <w:name w:val="Encabezado Car"/>
    <w:basedOn w:val="Fuentedeprrafopredeter"/>
    <w:link w:val="Encabezado"/>
    <w:uiPriority w:val="99"/>
    <w:rsid w:val="005F38A6"/>
    <w:rPr>
      <w:rFonts w:ascii="Times New Roman" w:hAnsi="Times New Roman" w:cs="Times New Roman"/>
      <w:sz w:val="24"/>
      <w:szCs w:val="24"/>
    </w:rPr>
  </w:style>
  <w:style w:type="paragraph" w:styleId="Piedepgina">
    <w:name w:val="footer"/>
    <w:basedOn w:val="Normal"/>
    <w:link w:val="PiedepginaCar"/>
    <w:uiPriority w:val="99"/>
    <w:rsid w:val="005F38A6"/>
    <w:pPr>
      <w:widowControl w:val="0"/>
      <w:tabs>
        <w:tab w:val="center" w:pos="4252"/>
        <w:tab w:val="right" w:pos="8504"/>
      </w:tabs>
    </w:pPr>
    <w:rPr>
      <w:rFonts w:eastAsiaTheme="minorHAnsi"/>
      <w:lang w:eastAsia="en-US"/>
    </w:rPr>
  </w:style>
  <w:style w:type="character" w:customStyle="1" w:styleId="PiedepginaCar">
    <w:name w:val="Pie de página Car"/>
    <w:basedOn w:val="Fuentedeprrafopredeter"/>
    <w:link w:val="Piedepgina"/>
    <w:uiPriority w:val="99"/>
    <w:rsid w:val="005F38A6"/>
    <w:rPr>
      <w:rFonts w:ascii="Times New Roman" w:hAnsi="Times New Roman" w:cs="Times New Roman"/>
      <w:sz w:val="24"/>
      <w:szCs w:val="24"/>
    </w:rPr>
  </w:style>
  <w:style w:type="table" w:customStyle="1" w:styleId="Tablaconcuadrcula1">
    <w:name w:val="Tabla con cuadrícula1"/>
    <w:basedOn w:val="Tablanormal"/>
    <w:next w:val="Tablaconcuadrcula"/>
    <w:uiPriority w:val="39"/>
    <w:rsid w:val="005F38A6"/>
    <w:pPr>
      <w:spacing w:after="0" w:line="240" w:lineRule="auto"/>
    </w:pPr>
    <w:rPr>
      <w:rFonts w:ascii="Calibri"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C36261"/>
    <w:pPr>
      <w:spacing w:after="0" w:line="240" w:lineRule="auto"/>
    </w:pPr>
    <w:rPr>
      <w:rFonts w:ascii="Cambria" w:eastAsia="Malgun Gothic" w:hAnsi="Cambria" w:cs="Times New Roman"/>
      <w:sz w:val="20"/>
      <w:szCs w:val="20"/>
      <w:lang w:eastAsia="es-G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4Car">
    <w:name w:val="Título 4 Car"/>
    <w:basedOn w:val="Fuentedeprrafopredeter"/>
    <w:link w:val="Ttulo4"/>
    <w:uiPriority w:val="9"/>
    <w:rsid w:val="00C36261"/>
    <w:rPr>
      <w:rFonts w:ascii="Times New Roman" w:hAnsi="Times New Roman" w:cs="Times New Roman"/>
      <w:b/>
      <w:sz w:val="16"/>
      <w:szCs w:val="24"/>
    </w:rPr>
  </w:style>
  <w:style w:type="character" w:customStyle="1" w:styleId="Ttulo5Car">
    <w:name w:val="Título 5 Car"/>
    <w:basedOn w:val="Fuentedeprrafopredeter"/>
    <w:link w:val="Ttulo5"/>
    <w:uiPriority w:val="9"/>
    <w:rsid w:val="00C36261"/>
    <w:rPr>
      <w:rFonts w:ascii="Times New Roman" w:hAnsi="Times New Roman" w:cs="Times New Roman"/>
      <w:b/>
      <w:color w:val="0000FF"/>
      <w:sz w:val="24"/>
      <w:szCs w:val="24"/>
    </w:rPr>
  </w:style>
  <w:style w:type="character" w:customStyle="1" w:styleId="Ttulo6Car">
    <w:name w:val="Título 6 Car"/>
    <w:basedOn w:val="Fuentedeprrafopredeter"/>
    <w:link w:val="Ttulo6"/>
    <w:uiPriority w:val="9"/>
    <w:rsid w:val="00C36261"/>
    <w:rPr>
      <w:rFonts w:ascii="Times New Roman" w:hAnsi="Times New Roman" w:cs="Times New Roman"/>
      <w:b/>
      <w:color w:val="000000"/>
      <w:sz w:val="16"/>
      <w:szCs w:val="24"/>
    </w:rPr>
  </w:style>
  <w:style w:type="character" w:customStyle="1" w:styleId="Ttulo7Car">
    <w:name w:val="Título 7 Car"/>
    <w:basedOn w:val="Fuentedeprrafopredeter"/>
    <w:link w:val="Ttulo7"/>
    <w:uiPriority w:val="9"/>
    <w:rsid w:val="00C36261"/>
    <w:rPr>
      <w:rFonts w:ascii="Times New Roman" w:hAnsi="Times New Roman" w:cs="Times New Roman"/>
      <w:b/>
      <w:sz w:val="24"/>
      <w:szCs w:val="24"/>
    </w:rPr>
  </w:style>
  <w:style w:type="character" w:customStyle="1" w:styleId="Ttulo8Car">
    <w:name w:val="Título 8 Car"/>
    <w:basedOn w:val="Fuentedeprrafopredeter"/>
    <w:link w:val="Ttulo8"/>
    <w:uiPriority w:val="9"/>
    <w:rsid w:val="00C36261"/>
    <w:rPr>
      <w:rFonts w:ascii="Times New Roman" w:hAnsi="Times New Roman" w:cs="Times New Roman"/>
      <w:b/>
      <w:color w:val="000000"/>
      <w:sz w:val="18"/>
      <w:szCs w:val="24"/>
      <w:lang w:val="es-ES"/>
    </w:rPr>
  </w:style>
  <w:style w:type="character" w:customStyle="1" w:styleId="Ttulo9Car">
    <w:name w:val="Título 9 Car"/>
    <w:basedOn w:val="Fuentedeprrafopredeter"/>
    <w:link w:val="Ttulo9"/>
    <w:uiPriority w:val="9"/>
    <w:rsid w:val="00C36261"/>
    <w:rPr>
      <w:rFonts w:ascii="Times New Roman" w:hAnsi="Times New Roman" w:cs="Times New Roman"/>
      <w:b/>
      <w:sz w:val="24"/>
      <w:szCs w:val="24"/>
    </w:rPr>
  </w:style>
  <w:style w:type="character" w:styleId="Nmerodepgina">
    <w:name w:val="page number"/>
    <w:basedOn w:val="Fuentedeprrafopredeter"/>
    <w:rsid w:val="00C36261"/>
  </w:style>
  <w:style w:type="character" w:styleId="Refdecomentario">
    <w:name w:val="annotation reference"/>
    <w:basedOn w:val="Fuentedeprrafopredeter"/>
    <w:uiPriority w:val="99"/>
    <w:semiHidden/>
    <w:rsid w:val="00C36261"/>
    <w:rPr>
      <w:sz w:val="16"/>
    </w:rPr>
  </w:style>
  <w:style w:type="paragraph" w:styleId="Ttulo">
    <w:name w:val="Title"/>
    <w:basedOn w:val="Normal"/>
    <w:link w:val="TtuloCar"/>
    <w:uiPriority w:val="10"/>
    <w:qFormat/>
    <w:rsid w:val="00C36261"/>
    <w:pPr>
      <w:widowControl w:val="0"/>
      <w:jc w:val="center"/>
    </w:pPr>
    <w:rPr>
      <w:rFonts w:eastAsiaTheme="minorHAnsi"/>
      <w:b/>
      <w:sz w:val="22"/>
      <w:lang w:eastAsia="en-US"/>
    </w:rPr>
  </w:style>
  <w:style w:type="character" w:customStyle="1" w:styleId="TtuloCar">
    <w:name w:val="Título Car"/>
    <w:basedOn w:val="Fuentedeprrafopredeter"/>
    <w:link w:val="Ttulo"/>
    <w:uiPriority w:val="10"/>
    <w:rsid w:val="00C36261"/>
    <w:rPr>
      <w:rFonts w:ascii="Times New Roman" w:hAnsi="Times New Roman" w:cs="Times New Roman"/>
      <w:b/>
      <w:szCs w:val="24"/>
    </w:rPr>
  </w:style>
  <w:style w:type="paragraph" w:styleId="Textoindependiente">
    <w:name w:val="Body Text"/>
    <w:basedOn w:val="Normal"/>
    <w:link w:val="TextoindependienteCar"/>
    <w:uiPriority w:val="1"/>
    <w:qFormat/>
    <w:rsid w:val="00C36261"/>
    <w:pPr>
      <w:widowControl w:val="0"/>
    </w:pPr>
    <w:rPr>
      <w:rFonts w:eastAsiaTheme="minorHAnsi"/>
      <w:color w:val="0000FF"/>
      <w:sz w:val="16"/>
      <w:lang w:eastAsia="en-US"/>
    </w:rPr>
  </w:style>
  <w:style w:type="character" w:customStyle="1" w:styleId="TextoindependienteCar">
    <w:name w:val="Texto independiente Car"/>
    <w:basedOn w:val="Fuentedeprrafopredeter"/>
    <w:link w:val="Textoindependiente"/>
    <w:uiPriority w:val="1"/>
    <w:rsid w:val="00C36261"/>
    <w:rPr>
      <w:rFonts w:ascii="Times New Roman" w:hAnsi="Times New Roman" w:cs="Times New Roman"/>
      <w:color w:val="0000FF"/>
      <w:sz w:val="16"/>
      <w:szCs w:val="24"/>
    </w:rPr>
  </w:style>
  <w:style w:type="paragraph" w:styleId="Sangradetextonormal">
    <w:name w:val="Body Text Indent"/>
    <w:basedOn w:val="Normal"/>
    <w:link w:val="SangradetextonormalCar"/>
    <w:rsid w:val="00C36261"/>
    <w:pPr>
      <w:widowControl w:val="0"/>
      <w:jc w:val="center"/>
    </w:pPr>
    <w:rPr>
      <w:rFonts w:eastAsiaTheme="minorHAnsi"/>
      <w:b/>
      <w:lang w:eastAsia="en-US"/>
    </w:rPr>
  </w:style>
  <w:style w:type="character" w:customStyle="1" w:styleId="SangradetextonormalCar">
    <w:name w:val="Sangría de texto normal Car"/>
    <w:basedOn w:val="Fuentedeprrafopredeter"/>
    <w:link w:val="Sangradetextonormal"/>
    <w:rsid w:val="00C36261"/>
    <w:rPr>
      <w:rFonts w:ascii="Times New Roman" w:hAnsi="Times New Roman" w:cs="Times New Roman"/>
      <w:b/>
      <w:sz w:val="24"/>
      <w:szCs w:val="24"/>
    </w:rPr>
  </w:style>
  <w:style w:type="paragraph" w:styleId="Sangra2detindependiente">
    <w:name w:val="Body Text Indent 2"/>
    <w:basedOn w:val="Normal"/>
    <w:link w:val="Sangra2detindependienteCar"/>
    <w:rsid w:val="00C36261"/>
    <w:pPr>
      <w:widowControl w:val="0"/>
      <w:ind w:left="709"/>
    </w:pPr>
    <w:rPr>
      <w:rFonts w:eastAsiaTheme="minorHAnsi"/>
      <w:lang w:eastAsia="en-US"/>
    </w:rPr>
  </w:style>
  <w:style w:type="character" w:customStyle="1" w:styleId="Sangra2detindependienteCar">
    <w:name w:val="Sangría 2 de t. independiente Car"/>
    <w:basedOn w:val="Fuentedeprrafopredeter"/>
    <w:link w:val="Sangra2detindependiente"/>
    <w:rsid w:val="00C36261"/>
    <w:rPr>
      <w:rFonts w:ascii="Times New Roman" w:hAnsi="Times New Roman" w:cs="Times New Roman"/>
      <w:sz w:val="24"/>
      <w:szCs w:val="24"/>
    </w:rPr>
  </w:style>
  <w:style w:type="paragraph" w:styleId="Sangra3detindependiente">
    <w:name w:val="Body Text Indent 3"/>
    <w:basedOn w:val="Normal"/>
    <w:link w:val="Sangra3detindependienteCar"/>
    <w:rsid w:val="00C36261"/>
    <w:pPr>
      <w:widowControl w:val="0"/>
      <w:ind w:left="630" w:firstLine="439"/>
      <w:jc w:val="both"/>
    </w:pPr>
    <w:rPr>
      <w:rFonts w:eastAsiaTheme="minorHAnsi"/>
      <w:lang w:eastAsia="en-US"/>
    </w:rPr>
  </w:style>
  <w:style w:type="character" w:customStyle="1" w:styleId="Sangra3detindependienteCar">
    <w:name w:val="Sangría 3 de t. independiente Car"/>
    <w:basedOn w:val="Fuentedeprrafopredeter"/>
    <w:link w:val="Sangra3detindependiente"/>
    <w:rsid w:val="00C36261"/>
    <w:rPr>
      <w:rFonts w:ascii="Times New Roman" w:hAnsi="Times New Roman" w:cs="Times New Roman"/>
      <w:sz w:val="24"/>
      <w:szCs w:val="24"/>
    </w:rPr>
  </w:style>
  <w:style w:type="paragraph" w:styleId="Textoindependiente2">
    <w:name w:val="Body Text 2"/>
    <w:basedOn w:val="Normal"/>
    <w:link w:val="Textoindependiente2Car"/>
    <w:rsid w:val="00C36261"/>
    <w:pPr>
      <w:widowControl w:val="0"/>
      <w:jc w:val="both"/>
    </w:pPr>
    <w:rPr>
      <w:rFonts w:eastAsiaTheme="minorHAnsi"/>
      <w:noProof/>
      <w:lang w:eastAsia="en-US"/>
    </w:rPr>
  </w:style>
  <w:style w:type="character" w:customStyle="1" w:styleId="Textoindependiente2Car">
    <w:name w:val="Texto independiente 2 Car"/>
    <w:basedOn w:val="Fuentedeprrafopredeter"/>
    <w:link w:val="Textoindependiente2"/>
    <w:rsid w:val="00C36261"/>
    <w:rPr>
      <w:rFonts w:ascii="Times New Roman" w:hAnsi="Times New Roman" w:cs="Times New Roman"/>
      <w:noProof/>
      <w:sz w:val="24"/>
      <w:szCs w:val="24"/>
    </w:rPr>
  </w:style>
  <w:style w:type="paragraph" w:styleId="Mapadeldocumento">
    <w:name w:val="Document Map"/>
    <w:basedOn w:val="Normal"/>
    <w:link w:val="MapadeldocumentoCar"/>
    <w:semiHidden/>
    <w:rsid w:val="00C36261"/>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C36261"/>
    <w:rPr>
      <w:rFonts w:ascii="Tahoma" w:eastAsia="Times New Roman" w:hAnsi="Tahoma" w:cs="Times New Roman"/>
      <w:sz w:val="24"/>
      <w:szCs w:val="24"/>
      <w:shd w:val="clear" w:color="auto" w:fill="000080"/>
      <w:lang w:eastAsia="es-GT"/>
    </w:rPr>
  </w:style>
  <w:style w:type="paragraph" w:styleId="Textoindependiente3">
    <w:name w:val="Body Text 3"/>
    <w:basedOn w:val="Normal"/>
    <w:link w:val="Textoindependiente3Car"/>
    <w:rsid w:val="00C36261"/>
    <w:pPr>
      <w:widowControl w:val="0"/>
      <w:jc w:val="center"/>
    </w:pPr>
    <w:rPr>
      <w:rFonts w:eastAsia="Arial Unicode MS"/>
      <w:b/>
      <w:bCs/>
      <w:sz w:val="14"/>
      <w:lang w:eastAsia="en-US"/>
    </w:rPr>
  </w:style>
  <w:style w:type="character" w:customStyle="1" w:styleId="Textoindependiente3Car">
    <w:name w:val="Texto independiente 3 Car"/>
    <w:basedOn w:val="Fuentedeprrafopredeter"/>
    <w:link w:val="Textoindependiente3"/>
    <w:rsid w:val="00C36261"/>
    <w:rPr>
      <w:rFonts w:ascii="Times New Roman" w:eastAsia="Arial Unicode MS" w:hAnsi="Times New Roman" w:cs="Times New Roman"/>
      <w:b/>
      <w:bCs/>
      <w:sz w:val="14"/>
      <w:szCs w:val="24"/>
    </w:rPr>
  </w:style>
  <w:style w:type="paragraph" w:customStyle="1" w:styleId="xl24">
    <w:name w:val="xl24"/>
    <w:basedOn w:val="Normal"/>
    <w:rsid w:val="00C36261"/>
    <w:pPr>
      <w:pBdr>
        <w:left w:val="double" w:sz="6" w:space="0" w:color="auto"/>
        <w:right w:val="single" w:sz="4" w:space="0" w:color="auto"/>
      </w:pBdr>
      <w:spacing w:before="100" w:beforeAutospacing="1" w:after="100" w:afterAutospacing="1"/>
      <w:jc w:val="center"/>
    </w:pPr>
    <w:rPr>
      <w:rFonts w:eastAsia="Arial Unicode MS"/>
      <w:lang w:val="es-ES" w:eastAsia="en-US"/>
    </w:rPr>
  </w:style>
  <w:style w:type="paragraph" w:customStyle="1" w:styleId="xl25">
    <w:name w:val="xl25"/>
    <w:basedOn w:val="Normal"/>
    <w:rsid w:val="00C36261"/>
    <w:pPr>
      <w:pBdr>
        <w:left w:val="double" w:sz="6" w:space="0" w:color="auto"/>
        <w:right w:val="single" w:sz="4" w:space="0" w:color="auto"/>
      </w:pBdr>
      <w:spacing w:before="100" w:beforeAutospacing="1" w:after="100" w:afterAutospacing="1"/>
    </w:pPr>
    <w:rPr>
      <w:rFonts w:eastAsia="Arial Unicode MS"/>
      <w:lang w:val="es-ES" w:eastAsia="en-US"/>
    </w:rPr>
  </w:style>
  <w:style w:type="paragraph" w:customStyle="1" w:styleId="xl26">
    <w:name w:val="xl26"/>
    <w:basedOn w:val="Normal"/>
    <w:rsid w:val="00C36261"/>
    <w:pPr>
      <w:pBdr>
        <w:right w:val="single" w:sz="4" w:space="0" w:color="auto"/>
      </w:pBdr>
      <w:spacing w:before="100" w:beforeAutospacing="1" w:after="100" w:afterAutospacing="1"/>
    </w:pPr>
    <w:rPr>
      <w:rFonts w:eastAsia="Arial Unicode MS"/>
      <w:lang w:val="es-ES" w:eastAsia="en-US"/>
    </w:rPr>
  </w:style>
  <w:style w:type="paragraph" w:customStyle="1" w:styleId="xl27">
    <w:name w:val="xl27"/>
    <w:basedOn w:val="Normal"/>
    <w:rsid w:val="00C36261"/>
    <w:pPr>
      <w:pBdr>
        <w:left w:val="single" w:sz="4" w:space="0" w:color="auto"/>
        <w:right w:val="single" w:sz="4" w:space="0" w:color="auto"/>
      </w:pBdr>
      <w:spacing w:before="100" w:beforeAutospacing="1" w:after="100" w:afterAutospacing="1"/>
    </w:pPr>
    <w:rPr>
      <w:rFonts w:eastAsia="Arial Unicode MS"/>
      <w:lang w:val="es-ES" w:eastAsia="en-US"/>
    </w:rPr>
  </w:style>
  <w:style w:type="paragraph" w:customStyle="1" w:styleId="xl28">
    <w:name w:val="xl28"/>
    <w:basedOn w:val="Normal"/>
    <w:rsid w:val="00C36261"/>
    <w:pPr>
      <w:pBdr>
        <w:left w:val="single" w:sz="4" w:space="0" w:color="auto"/>
        <w:right w:val="double" w:sz="6" w:space="0" w:color="auto"/>
      </w:pBdr>
      <w:spacing w:before="100" w:beforeAutospacing="1" w:after="100" w:afterAutospacing="1"/>
      <w:jc w:val="center"/>
    </w:pPr>
    <w:rPr>
      <w:rFonts w:eastAsia="Arial Unicode MS"/>
      <w:lang w:val="es-ES" w:eastAsia="en-US"/>
    </w:rPr>
  </w:style>
  <w:style w:type="paragraph" w:customStyle="1" w:styleId="xl29">
    <w:name w:val="xl29"/>
    <w:basedOn w:val="Normal"/>
    <w:rsid w:val="00C36261"/>
    <w:pPr>
      <w:pBdr>
        <w:right w:val="single" w:sz="4" w:space="0" w:color="auto"/>
      </w:pBdr>
      <w:spacing w:before="100" w:beforeAutospacing="1" w:after="100" w:afterAutospacing="1"/>
      <w:jc w:val="center"/>
    </w:pPr>
    <w:rPr>
      <w:rFonts w:eastAsia="Arial Unicode MS"/>
      <w:b/>
      <w:bCs/>
      <w:lang w:val="es-ES" w:eastAsia="en-US"/>
    </w:rPr>
  </w:style>
  <w:style w:type="paragraph" w:customStyle="1" w:styleId="xl30">
    <w:name w:val="xl30"/>
    <w:basedOn w:val="Normal"/>
    <w:rsid w:val="00C36261"/>
    <w:pPr>
      <w:pBdr>
        <w:left w:val="single" w:sz="4" w:space="0" w:color="auto"/>
        <w:right w:val="single" w:sz="4" w:space="0" w:color="auto"/>
      </w:pBdr>
      <w:spacing w:before="100" w:beforeAutospacing="1" w:after="100" w:afterAutospacing="1"/>
    </w:pPr>
    <w:rPr>
      <w:rFonts w:eastAsia="Arial Unicode MS"/>
      <w:b/>
      <w:bCs/>
      <w:u w:val="double"/>
      <w:lang w:val="es-ES" w:eastAsia="en-US"/>
    </w:rPr>
  </w:style>
  <w:style w:type="paragraph" w:customStyle="1" w:styleId="xl31">
    <w:name w:val="xl31"/>
    <w:basedOn w:val="Normal"/>
    <w:rsid w:val="00C36261"/>
    <w:pPr>
      <w:pBdr>
        <w:left w:val="single" w:sz="4" w:space="0" w:color="auto"/>
        <w:right w:val="double" w:sz="6" w:space="0" w:color="auto"/>
      </w:pBdr>
      <w:spacing w:before="100" w:beforeAutospacing="1" w:after="100" w:afterAutospacing="1"/>
      <w:jc w:val="center"/>
    </w:pPr>
    <w:rPr>
      <w:rFonts w:eastAsia="Arial Unicode MS"/>
      <w:b/>
      <w:bCs/>
      <w:u w:val="double"/>
      <w:lang w:val="es-ES" w:eastAsia="en-US"/>
    </w:rPr>
  </w:style>
  <w:style w:type="paragraph" w:customStyle="1" w:styleId="xl32">
    <w:name w:val="xl32"/>
    <w:basedOn w:val="Normal"/>
    <w:rsid w:val="00C36261"/>
    <w:pPr>
      <w:pBdr>
        <w:right w:val="single" w:sz="4" w:space="0" w:color="auto"/>
      </w:pBdr>
      <w:spacing w:before="100" w:beforeAutospacing="1" w:after="100" w:afterAutospacing="1"/>
    </w:pPr>
    <w:rPr>
      <w:rFonts w:eastAsia="Arial Unicode MS"/>
      <w:b/>
      <w:bCs/>
      <w:lang w:val="es-ES" w:eastAsia="en-US"/>
    </w:rPr>
  </w:style>
  <w:style w:type="paragraph" w:customStyle="1" w:styleId="xl33">
    <w:name w:val="xl33"/>
    <w:basedOn w:val="Normal"/>
    <w:rsid w:val="00C36261"/>
    <w:pPr>
      <w:pBdr>
        <w:left w:val="single" w:sz="4" w:space="0" w:color="auto"/>
        <w:right w:val="single" w:sz="4" w:space="0" w:color="auto"/>
      </w:pBdr>
      <w:spacing w:before="100" w:beforeAutospacing="1" w:after="100" w:afterAutospacing="1"/>
    </w:pPr>
    <w:rPr>
      <w:rFonts w:eastAsia="Arial Unicode MS"/>
      <w:b/>
      <w:bCs/>
      <w:lang w:val="es-ES" w:eastAsia="en-US"/>
    </w:rPr>
  </w:style>
  <w:style w:type="paragraph" w:customStyle="1" w:styleId="xl34">
    <w:name w:val="xl34"/>
    <w:basedOn w:val="Normal"/>
    <w:rsid w:val="00C36261"/>
    <w:pPr>
      <w:pBdr>
        <w:left w:val="single" w:sz="4" w:space="0" w:color="auto"/>
        <w:right w:val="double" w:sz="6" w:space="0" w:color="auto"/>
      </w:pBdr>
      <w:spacing w:before="100" w:beforeAutospacing="1" w:after="100" w:afterAutospacing="1"/>
      <w:jc w:val="center"/>
    </w:pPr>
    <w:rPr>
      <w:rFonts w:eastAsia="Arial Unicode MS"/>
      <w:b/>
      <w:bCs/>
      <w:lang w:val="es-ES" w:eastAsia="en-US"/>
    </w:rPr>
  </w:style>
  <w:style w:type="paragraph" w:customStyle="1" w:styleId="xl35">
    <w:name w:val="xl35"/>
    <w:basedOn w:val="Normal"/>
    <w:rsid w:val="00C36261"/>
    <w:pPr>
      <w:pBdr>
        <w:left w:val="double" w:sz="6" w:space="0" w:color="auto"/>
        <w:right w:val="single" w:sz="4" w:space="0" w:color="auto"/>
      </w:pBdr>
      <w:spacing w:before="100" w:beforeAutospacing="1" w:after="100" w:afterAutospacing="1"/>
      <w:jc w:val="center"/>
    </w:pPr>
    <w:rPr>
      <w:rFonts w:eastAsia="Arial Unicode MS"/>
      <w:b/>
      <w:bCs/>
      <w:u w:val="single"/>
      <w:lang w:val="es-ES" w:eastAsia="en-US"/>
    </w:rPr>
  </w:style>
  <w:style w:type="paragraph" w:customStyle="1" w:styleId="xl36">
    <w:name w:val="xl36"/>
    <w:basedOn w:val="Normal"/>
    <w:rsid w:val="00C36261"/>
    <w:pPr>
      <w:pBdr>
        <w:left w:val="single" w:sz="4" w:space="0" w:color="auto"/>
        <w:right w:val="single" w:sz="4" w:space="0" w:color="auto"/>
      </w:pBdr>
      <w:spacing w:before="100" w:beforeAutospacing="1" w:after="100" w:afterAutospacing="1"/>
    </w:pPr>
    <w:rPr>
      <w:rFonts w:eastAsia="Arial Unicode MS"/>
      <w:b/>
      <w:bCs/>
      <w:u w:val="single"/>
      <w:lang w:val="es-ES" w:eastAsia="en-US"/>
    </w:rPr>
  </w:style>
  <w:style w:type="paragraph" w:customStyle="1" w:styleId="xl37">
    <w:name w:val="xl37"/>
    <w:basedOn w:val="Normal"/>
    <w:rsid w:val="00C36261"/>
    <w:pPr>
      <w:pBdr>
        <w:left w:val="single" w:sz="4" w:space="0" w:color="auto"/>
        <w:right w:val="double" w:sz="6" w:space="0" w:color="auto"/>
      </w:pBdr>
      <w:spacing w:before="100" w:beforeAutospacing="1" w:after="100" w:afterAutospacing="1"/>
      <w:jc w:val="center"/>
    </w:pPr>
    <w:rPr>
      <w:rFonts w:eastAsia="Arial Unicode MS"/>
      <w:b/>
      <w:bCs/>
      <w:u w:val="single"/>
      <w:lang w:val="es-ES" w:eastAsia="en-US"/>
    </w:rPr>
  </w:style>
  <w:style w:type="paragraph" w:customStyle="1" w:styleId="xl38">
    <w:name w:val="xl38"/>
    <w:basedOn w:val="Normal"/>
    <w:rsid w:val="00C36261"/>
    <w:pPr>
      <w:pBdr>
        <w:left w:val="double" w:sz="6" w:space="0" w:color="auto"/>
        <w:right w:val="single" w:sz="4" w:space="0" w:color="auto"/>
      </w:pBdr>
      <w:spacing w:before="100" w:beforeAutospacing="1" w:after="100" w:afterAutospacing="1"/>
      <w:jc w:val="center"/>
    </w:pPr>
    <w:rPr>
      <w:rFonts w:eastAsia="Arial Unicode MS"/>
      <w:b/>
      <w:bCs/>
      <w:lang w:val="es-ES" w:eastAsia="en-US"/>
    </w:rPr>
  </w:style>
  <w:style w:type="paragraph" w:customStyle="1" w:styleId="xl39">
    <w:name w:val="xl39"/>
    <w:basedOn w:val="Normal"/>
    <w:rsid w:val="00C36261"/>
    <w:pPr>
      <w:pBdr>
        <w:left w:val="double" w:sz="6" w:space="0" w:color="auto"/>
        <w:right w:val="single" w:sz="4" w:space="0" w:color="auto"/>
      </w:pBdr>
      <w:spacing w:before="100" w:beforeAutospacing="1" w:after="100" w:afterAutospacing="1"/>
      <w:jc w:val="center"/>
      <w:textAlignment w:val="top"/>
    </w:pPr>
    <w:rPr>
      <w:rFonts w:eastAsia="Arial Unicode MS"/>
      <w:lang w:val="es-ES" w:eastAsia="en-US"/>
    </w:rPr>
  </w:style>
  <w:style w:type="paragraph" w:customStyle="1" w:styleId="xl40">
    <w:name w:val="xl40"/>
    <w:basedOn w:val="Normal"/>
    <w:rsid w:val="00C36261"/>
    <w:pPr>
      <w:pBdr>
        <w:left w:val="single" w:sz="4" w:space="0" w:color="auto"/>
        <w:right w:val="single" w:sz="4" w:space="0" w:color="auto"/>
      </w:pBdr>
      <w:spacing w:before="100" w:beforeAutospacing="1" w:after="100" w:afterAutospacing="1"/>
    </w:pPr>
    <w:rPr>
      <w:rFonts w:eastAsia="Arial Unicode MS"/>
      <w:lang w:val="es-ES" w:eastAsia="en-US"/>
    </w:rPr>
  </w:style>
  <w:style w:type="paragraph" w:customStyle="1" w:styleId="xl41">
    <w:name w:val="xl41"/>
    <w:basedOn w:val="Normal"/>
    <w:rsid w:val="00C36261"/>
    <w:pPr>
      <w:pBdr>
        <w:left w:val="double" w:sz="6" w:space="0" w:color="auto"/>
      </w:pBdr>
      <w:spacing w:before="100" w:beforeAutospacing="1" w:after="100" w:afterAutospacing="1"/>
    </w:pPr>
    <w:rPr>
      <w:rFonts w:eastAsia="Arial Unicode MS"/>
      <w:lang w:val="es-ES" w:eastAsia="en-US"/>
    </w:rPr>
  </w:style>
  <w:style w:type="paragraph" w:customStyle="1" w:styleId="xl42">
    <w:name w:val="xl42"/>
    <w:basedOn w:val="Normal"/>
    <w:rsid w:val="00C36261"/>
    <w:pPr>
      <w:pBdr>
        <w:left w:val="double" w:sz="6" w:space="0" w:color="auto"/>
        <w:bottom w:val="double" w:sz="6" w:space="0" w:color="auto"/>
        <w:right w:val="single" w:sz="4" w:space="0" w:color="auto"/>
      </w:pBdr>
      <w:spacing w:before="100" w:beforeAutospacing="1" w:after="100" w:afterAutospacing="1"/>
    </w:pPr>
    <w:rPr>
      <w:rFonts w:eastAsia="Arial Unicode MS"/>
      <w:lang w:val="es-ES" w:eastAsia="en-US"/>
    </w:rPr>
  </w:style>
  <w:style w:type="paragraph" w:customStyle="1" w:styleId="xl43">
    <w:name w:val="xl43"/>
    <w:basedOn w:val="Normal"/>
    <w:rsid w:val="00C36261"/>
    <w:pPr>
      <w:pBdr>
        <w:bottom w:val="double" w:sz="6" w:space="0" w:color="auto"/>
        <w:right w:val="single" w:sz="4" w:space="0" w:color="auto"/>
      </w:pBdr>
      <w:spacing w:before="100" w:beforeAutospacing="1" w:after="100" w:afterAutospacing="1"/>
    </w:pPr>
    <w:rPr>
      <w:rFonts w:eastAsia="Arial Unicode MS"/>
      <w:lang w:val="es-ES" w:eastAsia="en-US"/>
    </w:rPr>
  </w:style>
  <w:style w:type="paragraph" w:customStyle="1" w:styleId="xl44">
    <w:name w:val="xl44"/>
    <w:basedOn w:val="Normal"/>
    <w:rsid w:val="00C36261"/>
    <w:pPr>
      <w:pBdr>
        <w:left w:val="single" w:sz="4" w:space="0" w:color="auto"/>
        <w:bottom w:val="double" w:sz="6" w:space="0" w:color="auto"/>
        <w:right w:val="single" w:sz="4" w:space="0" w:color="auto"/>
      </w:pBdr>
      <w:spacing w:before="100" w:beforeAutospacing="1" w:after="100" w:afterAutospacing="1"/>
    </w:pPr>
    <w:rPr>
      <w:rFonts w:eastAsia="Arial Unicode MS"/>
      <w:lang w:val="es-ES" w:eastAsia="en-US"/>
    </w:rPr>
  </w:style>
  <w:style w:type="paragraph" w:customStyle="1" w:styleId="xl45">
    <w:name w:val="xl45"/>
    <w:basedOn w:val="Normal"/>
    <w:rsid w:val="00C36261"/>
    <w:pPr>
      <w:pBdr>
        <w:left w:val="single" w:sz="4" w:space="0" w:color="auto"/>
        <w:bottom w:val="double" w:sz="6" w:space="0" w:color="auto"/>
        <w:right w:val="double" w:sz="6" w:space="0" w:color="auto"/>
      </w:pBdr>
      <w:spacing w:before="100" w:beforeAutospacing="1" w:after="100" w:afterAutospacing="1"/>
      <w:jc w:val="center"/>
    </w:pPr>
    <w:rPr>
      <w:rFonts w:eastAsia="Arial Unicode MS"/>
      <w:lang w:val="es-ES" w:eastAsia="en-US"/>
    </w:rPr>
  </w:style>
  <w:style w:type="paragraph" w:customStyle="1" w:styleId="xl46">
    <w:name w:val="xl46"/>
    <w:basedOn w:val="Normal"/>
    <w:rsid w:val="00C36261"/>
    <w:pPr>
      <w:pBdr>
        <w:top w:val="double" w:sz="6" w:space="0" w:color="auto"/>
        <w:left w:val="double" w:sz="6" w:space="0" w:color="auto"/>
        <w:right w:val="single" w:sz="4" w:space="0" w:color="auto"/>
      </w:pBdr>
      <w:spacing w:before="100" w:beforeAutospacing="1" w:after="100" w:afterAutospacing="1"/>
      <w:jc w:val="center"/>
    </w:pPr>
    <w:rPr>
      <w:rFonts w:eastAsia="Arial Unicode MS"/>
      <w:b/>
      <w:bCs/>
      <w:lang w:val="es-ES" w:eastAsia="en-US"/>
    </w:rPr>
  </w:style>
  <w:style w:type="paragraph" w:customStyle="1" w:styleId="xl47">
    <w:name w:val="xl47"/>
    <w:basedOn w:val="Normal"/>
    <w:rsid w:val="00C36261"/>
    <w:pPr>
      <w:pBdr>
        <w:top w:val="double" w:sz="6" w:space="0" w:color="auto"/>
        <w:right w:val="single" w:sz="4" w:space="0" w:color="auto"/>
      </w:pBdr>
      <w:spacing w:before="100" w:beforeAutospacing="1" w:after="100" w:afterAutospacing="1"/>
    </w:pPr>
    <w:rPr>
      <w:rFonts w:eastAsia="Arial Unicode MS"/>
      <w:b/>
      <w:bCs/>
      <w:lang w:val="es-ES" w:eastAsia="en-US"/>
    </w:rPr>
  </w:style>
  <w:style w:type="paragraph" w:customStyle="1" w:styleId="xl48">
    <w:name w:val="xl48"/>
    <w:basedOn w:val="Normal"/>
    <w:rsid w:val="00C36261"/>
    <w:pPr>
      <w:pBdr>
        <w:top w:val="double" w:sz="6" w:space="0" w:color="auto"/>
        <w:left w:val="single" w:sz="4" w:space="0" w:color="auto"/>
        <w:right w:val="single" w:sz="4" w:space="0" w:color="auto"/>
      </w:pBdr>
      <w:spacing w:before="100" w:beforeAutospacing="1" w:after="100" w:afterAutospacing="1"/>
      <w:jc w:val="center"/>
    </w:pPr>
    <w:rPr>
      <w:rFonts w:eastAsia="Arial Unicode MS"/>
      <w:b/>
      <w:bCs/>
      <w:lang w:val="es-ES" w:eastAsia="en-US"/>
    </w:rPr>
  </w:style>
  <w:style w:type="paragraph" w:customStyle="1" w:styleId="xl49">
    <w:name w:val="xl49"/>
    <w:basedOn w:val="Normal"/>
    <w:rsid w:val="00C36261"/>
    <w:pPr>
      <w:pBdr>
        <w:top w:val="double" w:sz="6" w:space="0" w:color="auto"/>
        <w:left w:val="single" w:sz="4" w:space="0" w:color="auto"/>
        <w:right w:val="double" w:sz="6" w:space="0" w:color="auto"/>
      </w:pBdr>
      <w:spacing w:before="100" w:beforeAutospacing="1" w:after="100" w:afterAutospacing="1"/>
      <w:jc w:val="center"/>
    </w:pPr>
    <w:rPr>
      <w:rFonts w:eastAsia="Arial Unicode MS"/>
      <w:b/>
      <w:bCs/>
      <w:lang w:val="es-ES" w:eastAsia="en-US"/>
    </w:rPr>
  </w:style>
  <w:style w:type="paragraph" w:customStyle="1" w:styleId="xl50">
    <w:name w:val="xl50"/>
    <w:basedOn w:val="Normal"/>
    <w:rsid w:val="00C36261"/>
    <w:pPr>
      <w:pBdr>
        <w:right w:val="single" w:sz="4" w:space="0" w:color="auto"/>
      </w:pBdr>
      <w:spacing w:before="100" w:beforeAutospacing="1" w:after="100" w:afterAutospacing="1"/>
      <w:jc w:val="center"/>
    </w:pPr>
    <w:rPr>
      <w:rFonts w:eastAsia="Arial Unicode MS"/>
      <w:b/>
      <w:bCs/>
      <w:lang w:val="es-ES" w:eastAsia="en-US"/>
    </w:rPr>
  </w:style>
  <w:style w:type="paragraph" w:customStyle="1" w:styleId="xl51">
    <w:name w:val="xl51"/>
    <w:basedOn w:val="Normal"/>
    <w:rsid w:val="00C36261"/>
    <w:pPr>
      <w:pBdr>
        <w:left w:val="single" w:sz="4" w:space="0" w:color="auto"/>
        <w:right w:val="single" w:sz="4" w:space="0" w:color="auto"/>
      </w:pBdr>
      <w:spacing w:before="100" w:beforeAutospacing="1" w:after="100" w:afterAutospacing="1"/>
      <w:jc w:val="center"/>
    </w:pPr>
    <w:rPr>
      <w:rFonts w:eastAsia="Arial Unicode MS"/>
      <w:b/>
      <w:bCs/>
      <w:lang w:val="es-ES" w:eastAsia="en-US"/>
    </w:rPr>
  </w:style>
  <w:style w:type="paragraph" w:customStyle="1" w:styleId="xl52">
    <w:name w:val="xl52"/>
    <w:basedOn w:val="Normal"/>
    <w:rsid w:val="00C36261"/>
    <w:pPr>
      <w:pBdr>
        <w:left w:val="single" w:sz="4" w:space="0" w:color="auto"/>
        <w:right w:val="double" w:sz="6" w:space="0" w:color="auto"/>
      </w:pBdr>
      <w:spacing w:before="100" w:beforeAutospacing="1" w:after="100" w:afterAutospacing="1"/>
      <w:jc w:val="center"/>
    </w:pPr>
    <w:rPr>
      <w:rFonts w:eastAsia="Arial Unicode MS"/>
      <w:b/>
      <w:bCs/>
      <w:lang w:val="es-ES" w:eastAsia="en-US"/>
    </w:rPr>
  </w:style>
  <w:style w:type="paragraph" w:customStyle="1" w:styleId="xl53">
    <w:name w:val="xl53"/>
    <w:basedOn w:val="Normal"/>
    <w:rsid w:val="00C36261"/>
    <w:pPr>
      <w:pBdr>
        <w:left w:val="double" w:sz="6" w:space="0" w:color="auto"/>
        <w:bottom w:val="single" w:sz="4" w:space="0" w:color="auto"/>
        <w:right w:val="single" w:sz="4" w:space="0" w:color="auto"/>
      </w:pBdr>
      <w:spacing w:before="100" w:beforeAutospacing="1" w:after="100" w:afterAutospacing="1"/>
      <w:jc w:val="center"/>
    </w:pPr>
    <w:rPr>
      <w:rFonts w:eastAsia="Arial Unicode MS"/>
      <w:b/>
      <w:bCs/>
      <w:lang w:val="es-ES" w:eastAsia="en-US"/>
    </w:rPr>
  </w:style>
  <w:style w:type="paragraph" w:customStyle="1" w:styleId="xl54">
    <w:name w:val="xl54"/>
    <w:basedOn w:val="Normal"/>
    <w:rsid w:val="00C36261"/>
    <w:pPr>
      <w:pBdr>
        <w:bottom w:val="single" w:sz="4" w:space="0" w:color="auto"/>
        <w:right w:val="single" w:sz="4" w:space="0" w:color="auto"/>
      </w:pBdr>
      <w:spacing w:before="100" w:beforeAutospacing="1" w:after="100" w:afterAutospacing="1"/>
    </w:pPr>
    <w:rPr>
      <w:rFonts w:eastAsia="Arial Unicode MS"/>
      <w:b/>
      <w:bCs/>
      <w:lang w:val="es-ES" w:eastAsia="en-US"/>
    </w:rPr>
  </w:style>
  <w:style w:type="paragraph" w:customStyle="1" w:styleId="xl55">
    <w:name w:val="xl55"/>
    <w:basedOn w:val="Normal"/>
    <w:rsid w:val="00C3626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lang w:val="es-ES" w:eastAsia="en-US"/>
    </w:rPr>
  </w:style>
  <w:style w:type="paragraph" w:customStyle="1" w:styleId="xl56">
    <w:name w:val="xl56"/>
    <w:basedOn w:val="Normal"/>
    <w:rsid w:val="00C36261"/>
    <w:pPr>
      <w:pBdr>
        <w:left w:val="single" w:sz="4" w:space="0" w:color="auto"/>
        <w:bottom w:val="single" w:sz="4" w:space="0" w:color="auto"/>
        <w:right w:val="double" w:sz="6" w:space="0" w:color="auto"/>
      </w:pBdr>
      <w:spacing w:before="100" w:beforeAutospacing="1" w:after="100" w:afterAutospacing="1"/>
      <w:jc w:val="center"/>
    </w:pPr>
    <w:rPr>
      <w:rFonts w:eastAsia="Arial Unicode MS"/>
      <w:b/>
      <w:bCs/>
      <w:lang w:val="es-ES" w:eastAsia="en-US"/>
    </w:rPr>
  </w:style>
  <w:style w:type="paragraph" w:styleId="Textodeglobo">
    <w:name w:val="Balloon Text"/>
    <w:basedOn w:val="Normal"/>
    <w:link w:val="TextodegloboCar"/>
    <w:uiPriority w:val="99"/>
    <w:semiHidden/>
    <w:rsid w:val="00C36261"/>
    <w:rPr>
      <w:rFonts w:ascii="Tahoma" w:hAnsi="Tahoma" w:cs="Tahoma"/>
      <w:sz w:val="16"/>
      <w:szCs w:val="16"/>
    </w:rPr>
  </w:style>
  <w:style w:type="character" w:customStyle="1" w:styleId="TextodegloboCar">
    <w:name w:val="Texto de globo Car"/>
    <w:basedOn w:val="Fuentedeprrafopredeter"/>
    <w:link w:val="Textodeglobo"/>
    <w:uiPriority w:val="99"/>
    <w:semiHidden/>
    <w:rsid w:val="00C36261"/>
    <w:rPr>
      <w:rFonts w:ascii="Tahoma" w:eastAsia="Times New Roman" w:hAnsi="Tahoma" w:cs="Tahoma"/>
      <w:sz w:val="16"/>
      <w:szCs w:val="16"/>
      <w:lang w:eastAsia="es-GT"/>
    </w:rPr>
  </w:style>
  <w:style w:type="paragraph" w:customStyle="1" w:styleId="xl60">
    <w:name w:val="xl60"/>
    <w:basedOn w:val="Normal"/>
    <w:rsid w:val="00C36261"/>
    <w:pPr>
      <w:pBdr>
        <w:right w:val="single" w:sz="4" w:space="0" w:color="auto"/>
      </w:pBdr>
      <w:spacing w:before="100" w:beforeAutospacing="1" w:after="100" w:afterAutospacing="1"/>
    </w:pPr>
    <w:rPr>
      <w:rFonts w:eastAsiaTheme="minorHAnsi"/>
      <w:sz w:val="18"/>
      <w:szCs w:val="18"/>
      <w:lang w:val="es-ES" w:eastAsia="en-US"/>
    </w:rPr>
  </w:style>
  <w:style w:type="paragraph" w:customStyle="1" w:styleId="xl96">
    <w:name w:val="xl96"/>
    <w:basedOn w:val="Normal"/>
    <w:rsid w:val="00C36261"/>
    <w:pPr>
      <w:pBdr>
        <w:left w:val="single" w:sz="4" w:space="0" w:color="auto"/>
        <w:right w:val="single" w:sz="4" w:space="0" w:color="auto"/>
      </w:pBdr>
      <w:spacing w:before="100" w:beforeAutospacing="1" w:after="100" w:afterAutospacing="1"/>
      <w:textAlignment w:val="top"/>
    </w:pPr>
    <w:rPr>
      <w:rFonts w:eastAsia="Arial Unicode MS"/>
      <w:sz w:val="14"/>
      <w:szCs w:val="14"/>
      <w:lang w:val="es-ES" w:eastAsia="en-US"/>
    </w:rPr>
  </w:style>
  <w:style w:type="paragraph" w:customStyle="1" w:styleId="Default">
    <w:name w:val="Default"/>
    <w:rsid w:val="00C36261"/>
    <w:pPr>
      <w:autoSpaceDE w:val="0"/>
      <w:autoSpaceDN w:val="0"/>
      <w:adjustRightInd w:val="0"/>
      <w:spacing w:after="0" w:line="240" w:lineRule="auto"/>
    </w:pPr>
    <w:rPr>
      <w:rFonts w:ascii="Helvetica" w:eastAsia="Times New Roman" w:hAnsi="Helvetica" w:cs="Helvetica"/>
      <w:color w:val="000000"/>
      <w:sz w:val="24"/>
      <w:szCs w:val="24"/>
      <w:lang w:eastAsia="es-GT"/>
    </w:rPr>
  </w:style>
  <w:style w:type="character" w:styleId="Hipervnculo">
    <w:name w:val="Hyperlink"/>
    <w:basedOn w:val="Fuentedeprrafopredeter"/>
    <w:uiPriority w:val="99"/>
    <w:rsid w:val="00C36261"/>
    <w:rPr>
      <w:color w:val="0000FF"/>
      <w:u w:val="single"/>
    </w:rPr>
  </w:style>
  <w:style w:type="numbering" w:customStyle="1" w:styleId="Estilo1">
    <w:name w:val="Estilo1"/>
    <w:uiPriority w:val="99"/>
    <w:rsid w:val="00C36261"/>
    <w:pPr>
      <w:numPr>
        <w:numId w:val="27"/>
      </w:numPr>
    </w:pPr>
  </w:style>
  <w:style w:type="numbering" w:customStyle="1" w:styleId="Estilo2">
    <w:name w:val="Estilo2"/>
    <w:uiPriority w:val="99"/>
    <w:rsid w:val="00C36261"/>
    <w:pPr>
      <w:numPr>
        <w:numId w:val="28"/>
      </w:numPr>
    </w:pPr>
  </w:style>
  <w:style w:type="character" w:styleId="Hipervnculovisitado">
    <w:name w:val="FollowedHyperlink"/>
    <w:basedOn w:val="Fuentedeprrafopredeter"/>
    <w:uiPriority w:val="99"/>
    <w:semiHidden/>
    <w:unhideWhenUsed/>
    <w:rsid w:val="00C36261"/>
    <w:rPr>
      <w:color w:val="800080"/>
      <w:u w:val="single"/>
    </w:rPr>
  </w:style>
  <w:style w:type="paragraph" w:customStyle="1" w:styleId="xl57">
    <w:name w:val="xl57"/>
    <w:basedOn w:val="Normal"/>
    <w:rsid w:val="00C36261"/>
    <w:pPr>
      <w:pBdr>
        <w:left w:val="single" w:sz="8" w:space="0" w:color="auto"/>
        <w:right w:val="single" w:sz="8" w:space="0" w:color="auto"/>
      </w:pBdr>
      <w:spacing w:before="100" w:beforeAutospacing="1" w:after="100" w:afterAutospacing="1"/>
      <w:textAlignment w:val="top"/>
    </w:pPr>
    <w:rPr>
      <w:rFonts w:eastAsiaTheme="minorHAnsi"/>
      <w:color w:val="000000"/>
      <w:sz w:val="16"/>
      <w:szCs w:val="16"/>
    </w:rPr>
  </w:style>
  <w:style w:type="paragraph" w:customStyle="1" w:styleId="xl58">
    <w:name w:val="xl58"/>
    <w:basedOn w:val="Normal"/>
    <w:rsid w:val="00C36261"/>
    <w:pPr>
      <w:pBdr>
        <w:left w:val="single" w:sz="8" w:space="0" w:color="auto"/>
        <w:bottom w:val="double" w:sz="6" w:space="0" w:color="auto"/>
        <w:right w:val="single" w:sz="8" w:space="0" w:color="auto"/>
      </w:pBdr>
      <w:spacing w:before="100" w:beforeAutospacing="1" w:after="100" w:afterAutospacing="1"/>
      <w:jc w:val="center"/>
      <w:textAlignment w:val="top"/>
    </w:pPr>
    <w:rPr>
      <w:rFonts w:eastAsiaTheme="minorHAnsi"/>
      <w:sz w:val="16"/>
      <w:szCs w:val="16"/>
    </w:rPr>
  </w:style>
  <w:style w:type="paragraph" w:customStyle="1" w:styleId="xl59">
    <w:name w:val="xl59"/>
    <w:basedOn w:val="Normal"/>
    <w:rsid w:val="00C36261"/>
    <w:pPr>
      <w:pBdr>
        <w:left w:val="single" w:sz="8" w:space="0" w:color="auto"/>
        <w:bottom w:val="double" w:sz="6" w:space="0" w:color="auto"/>
        <w:right w:val="single" w:sz="8" w:space="0" w:color="auto"/>
      </w:pBdr>
      <w:spacing w:before="100" w:beforeAutospacing="1" w:after="100" w:afterAutospacing="1"/>
      <w:jc w:val="right"/>
    </w:pPr>
    <w:rPr>
      <w:rFonts w:eastAsiaTheme="minorHAnsi"/>
      <w:sz w:val="16"/>
      <w:szCs w:val="16"/>
    </w:rPr>
  </w:style>
  <w:style w:type="paragraph" w:customStyle="1" w:styleId="xl61">
    <w:name w:val="xl61"/>
    <w:basedOn w:val="Normal"/>
    <w:rsid w:val="00C36261"/>
    <w:pPr>
      <w:pBdr>
        <w:left w:val="single" w:sz="8" w:space="0" w:color="auto"/>
        <w:right w:val="double" w:sz="6" w:space="0" w:color="auto"/>
      </w:pBdr>
      <w:spacing w:before="100" w:beforeAutospacing="1" w:after="100" w:afterAutospacing="1"/>
      <w:jc w:val="center"/>
    </w:pPr>
    <w:rPr>
      <w:rFonts w:eastAsiaTheme="minorHAnsi"/>
      <w:color w:val="000000"/>
      <w:sz w:val="16"/>
      <w:szCs w:val="16"/>
    </w:rPr>
  </w:style>
  <w:style w:type="paragraph" w:customStyle="1" w:styleId="xl62">
    <w:name w:val="xl62"/>
    <w:basedOn w:val="Normal"/>
    <w:rsid w:val="00C36261"/>
    <w:pPr>
      <w:pBdr>
        <w:left w:val="single" w:sz="8" w:space="0" w:color="auto"/>
        <w:right w:val="double" w:sz="6" w:space="0" w:color="auto"/>
      </w:pBdr>
      <w:spacing w:before="100" w:beforeAutospacing="1" w:after="100" w:afterAutospacing="1"/>
      <w:jc w:val="center"/>
    </w:pPr>
    <w:rPr>
      <w:rFonts w:eastAsiaTheme="minorHAnsi"/>
      <w:b/>
      <w:bCs/>
      <w:sz w:val="16"/>
      <w:szCs w:val="16"/>
    </w:rPr>
  </w:style>
  <w:style w:type="paragraph" w:customStyle="1" w:styleId="xl63">
    <w:name w:val="xl63"/>
    <w:basedOn w:val="Normal"/>
    <w:rsid w:val="00C36261"/>
    <w:pPr>
      <w:pBdr>
        <w:left w:val="single" w:sz="8" w:space="0" w:color="auto"/>
        <w:right w:val="single" w:sz="8" w:space="0" w:color="auto"/>
      </w:pBdr>
      <w:spacing w:before="100" w:beforeAutospacing="1" w:after="100" w:afterAutospacing="1"/>
      <w:jc w:val="center"/>
      <w:textAlignment w:val="top"/>
    </w:pPr>
    <w:rPr>
      <w:rFonts w:eastAsiaTheme="minorHAnsi"/>
      <w:sz w:val="16"/>
      <w:szCs w:val="16"/>
    </w:rPr>
  </w:style>
  <w:style w:type="paragraph" w:customStyle="1" w:styleId="xl64">
    <w:name w:val="xl64"/>
    <w:basedOn w:val="Normal"/>
    <w:rsid w:val="00C36261"/>
    <w:pPr>
      <w:pBdr>
        <w:left w:val="single" w:sz="8" w:space="0" w:color="auto"/>
        <w:right w:val="double" w:sz="6" w:space="0" w:color="auto"/>
      </w:pBdr>
      <w:spacing w:before="100" w:beforeAutospacing="1" w:after="100" w:afterAutospacing="1"/>
      <w:jc w:val="center"/>
      <w:textAlignment w:val="top"/>
    </w:pPr>
    <w:rPr>
      <w:rFonts w:eastAsiaTheme="minorHAnsi"/>
      <w:sz w:val="16"/>
      <w:szCs w:val="16"/>
    </w:rPr>
  </w:style>
  <w:style w:type="paragraph" w:customStyle="1" w:styleId="xl65">
    <w:name w:val="xl65"/>
    <w:basedOn w:val="Normal"/>
    <w:rsid w:val="00C36261"/>
    <w:pPr>
      <w:pBdr>
        <w:left w:val="single" w:sz="8" w:space="0" w:color="auto"/>
        <w:right w:val="single" w:sz="8" w:space="0" w:color="auto"/>
      </w:pBdr>
      <w:spacing w:before="100" w:beforeAutospacing="1" w:after="100" w:afterAutospacing="1"/>
      <w:jc w:val="center"/>
      <w:textAlignment w:val="top"/>
    </w:pPr>
    <w:rPr>
      <w:rFonts w:eastAsiaTheme="minorHAnsi"/>
      <w:b/>
      <w:bCs/>
      <w:sz w:val="16"/>
      <w:szCs w:val="16"/>
    </w:rPr>
  </w:style>
  <w:style w:type="paragraph" w:customStyle="1" w:styleId="xl66">
    <w:name w:val="xl66"/>
    <w:basedOn w:val="Normal"/>
    <w:rsid w:val="00C36261"/>
    <w:pPr>
      <w:pBdr>
        <w:left w:val="single" w:sz="8" w:space="0" w:color="auto"/>
        <w:right w:val="double" w:sz="6" w:space="0" w:color="auto"/>
      </w:pBdr>
      <w:spacing w:before="100" w:beforeAutospacing="1" w:after="100" w:afterAutospacing="1"/>
      <w:jc w:val="center"/>
      <w:textAlignment w:val="top"/>
    </w:pPr>
    <w:rPr>
      <w:rFonts w:eastAsiaTheme="minorHAnsi"/>
      <w:b/>
      <w:bCs/>
      <w:sz w:val="16"/>
      <w:szCs w:val="16"/>
    </w:rPr>
  </w:style>
  <w:style w:type="paragraph" w:customStyle="1" w:styleId="xl67">
    <w:name w:val="xl67"/>
    <w:basedOn w:val="Normal"/>
    <w:rsid w:val="00C36261"/>
    <w:pPr>
      <w:pBdr>
        <w:left w:val="single" w:sz="8" w:space="0" w:color="auto"/>
        <w:right w:val="double" w:sz="6" w:space="0" w:color="auto"/>
      </w:pBdr>
      <w:spacing w:before="100" w:beforeAutospacing="1" w:after="100" w:afterAutospacing="1"/>
      <w:jc w:val="center"/>
    </w:pPr>
    <w:rPr>
      <w:rFonts w:eastAsiaTheme="minorHAnsi"/>
      <w:b/>
      <w:bCs/>
      <w:color w:val="000000"/>
      <w:sz w:val="16"/>
      <w:szCs w:val="16"/>
    </w:rPr>
  </w:style>
  <w:style w:type="paragraph" w:customStyle="1" w:styleId="xl68">
    <w:name w:val="xl68"/>
    <w:basedOn w:val="Normal"/>
    <w:rsid w:val="00C36261"/>
    <w:pPr>
      <w:pBdr>
        <w:left w:val="single" w:sz="8" w:space="0" w:color="auto"/>
        <w:bottom w:val="double" w:sz="6" w:space="0" w:color="auto"/>
        <w:right w:val="single" w:sz="8" w:space="0" w:color="auto"/>
      </w:pBdr>
      <w:spacing w:before="100" w:beforeAutospacing="1" w:after="100" w:afterAutospacing="1"/>
    </w:pPr>
    <w:rPr>
      <w:rFonts w:eastAsiaTheme="minorHAnsi"/>
      <w:sz w:val="16"/>
      <w:szCs w:val="16"/>
    </w:rPr>
  </w:style>
  <w:style w:type="paragraph" w:customStyle="1" w:styleId="xl69">
    <w:name w:val="xl69"/>
    <w:basedOn w:val="Normal"/>
    <w:rsid w:val="00C36261"/>
    <w:pPr>
      <w:pBdr>
        <w:left w:val="single" w:sz="8" w:space="0" w:color="auto"/>
        <w:bottom w:val="double" w:sz="6" w:space="0" w:color="auto"/>
        <w:right w:val="double" w:sz="6" w:space="0" w:color="auto"/>
      </w:pBdr>
      <w:spacing w:before="100" w:beforeAutospacing="1" w:after="100" w:afterAutospacing="1"/>
      <w:jc w:val="center"/>
    </w:pPr>
    <w:rPr>
      <w:rFonts w:eastAsiaTheme="minorHAnsi"/>
      <w:sz w:val="16"/>
      <w:szCs w:val="16"/>
    </w:rPr>
  </w:style>
  <w:style w:type="paragraph" w:customStyle="1" w:styleId="xl70">
    <w:name w:val="xl70"/>
    <w:basedOn w:val="Normal"/>
    <w:rsid w:val="00C36261"/>
    <w:pPr>
      <w:pBdr>
        <w:left w:val="double" w:sz="6" w:space="0" w:color="auto"/>
        <w:right w:val="single" w:sz="8" w:space="0" w:color="auto"/>
      </w:pBdr>
      <w:spacing w:before="100" w:beforeAutospacing="1" w:after="100" w:afterAutospacing="1"/>
      <w:jc w:val="center"/>
    </w:pPr>
    <w:rPr>
      <w:rFonts w:eastAsiaTheme="minorHAnsi"/>
      <w:b/>
      <w:bCs/>
      <w:sz w:val="16"/>
      <w:szCs w:val="16"/>
    </w:rPr>
  </w:style>
  <w:style w:type="paragraph" w:customStyle="1" w:styleId="xl71">
    <w:name w:val="xl71"/>
    <w:basedOn w:val="Normal"/>
    <w:rsid w:val="00C36261"/>
    <w:pPr>
      <w:pBdr>
        <w:left w:val="single" w:sz="8" w:space="0" w:color="auto"/>
        <w:right w:val="single" w:sz="8" w:space="0" w:color="auto"/>
      </w:pBdr>
      <w:spacing w:before="100" w:beforeAutospacing="1" w:after="100" w:afterAutospacing="1"/>
      <w:jc w:val="center"/>
    </w:pPr>
    <w:rPr>
      <w:rFonts w:eastAsiaTheme="minorHAnsi"/>
      <w:b/>
      <w:bCs/>
      <w:sz w:val="16"/>
      <w:szCs w:val="16"/>
    </w:rPr>
  </w:style>
  <w:style w:type="paragraph" w:customStyle="1" w:styleId="xl72">
    <w:name w:val="xl72"/>
    <w:basedOn w:val="Normal"/>
    <w:rsid w:val="00C36261"/>
    <w:pPr>
      <w:pBdr>
        <w:left w:val="double" w:sz="6" w:space="0" w:color="auto"/>
        <w:right w:val="single" w:sz="8" w:space="0" w:color="auto"/>
      </w:pBdr>
      <w:spacing w:before="100" w:beforeAutospacing="1" w:after="100" w:afterAutospacing="1"/>
    </w:pPr>
    <w:rPr>
      <w:rFonts w:eastAsiaTheme="minorHAnsi"/>
      <w:b/>
      <w:bCs/>
      <w:sz w:val="16"/>
      <w:szCs w:val="16"/>
    </w:rPr>
  </w:style>
  <w:style w:type="paragraph" w:customStyle="1" w:styleId="xl73">
    <w:name w:val="xl73"/>
    <w:basedOn w:val="Normal"/>
    <w:rsid w:val="00C36261"/>
    <w:pPr>
      <w:pBdr>
        <w:left w:val="single" w:sz="8" w:space="0" w:color="auto"/>
        <w:right w:val="single" w:sz="8" w:space="0" w:color="auto"/>
      </w:pBdr>
      <w:spacing w:before="100" w:beforeAutospacing="1" w:after="100" w:afterAutospacing="1"/>
      <w:textAlignment w:val="top"/>
    </w:pPr>
    <w:rPr>
      <w:rFonts w:eastAsiaTheme="minorHAnsi"/>
      <w:sz w:val="16"/>
      <w:szCs w:val="16"/>
    </w:rPr>
  </w:style>
  <w:style w:type="paragraph" w:customStyle="1" w:styleId="xl74">
    <w:name w:val="xl74"/>
    <w:basedOn w:val="Normal"/>
    <w:rsid w:val="00C36261"/>
    <w:pPr>
      <w:pBdr>
        <w:left w:val="single" w:sz="8" w:space="0" w:color="auto"/>
        <w:right w:val="double" w:sz="6" w:space="0" w:color="auto"/>
      </w:pBdr>
      <w:spacing w:before="100" w:beforeAutospacing="1" w:after="100" w:afterAutospacing="1"/>
    </w:pPr>
    <w:rPr>
      <w:rFonts w:eastAsiaTheme="minorHAnsi"/>
    </w:rPr>
  </w:style>
  <w:style w:type="paragraph" w:customStyle="1" w:styleId="xl75">
    <w:name w:val="xl75"/>
    <w:basedOn w:val="Normal"/>
    <w:rsid w:val="00C36261"/>
    <w:pPr>
      <w:pBdr>
        <w:left w:val="single" w:sz="8" w:space="0" w:color="auto"/>
      </w:pBdr>
      <w:spacing w:before="100" w:beforeAutospacing="1" w:after="100" w:afterAutospacing="1"/>
    </w:pPr>
    <w:rPr>
      <w:rFonts w:eastAsiaTheme="minorHAnsi"/>
      <w:b/>
      <w:bCs/>
      <w:color w:val="000000"/>
      <w:sz w:val="16"/>
      <w:szCs w:val="16"/>
    </w:rPr>
  </w:style>
  <w:style w:type="paragraph" w:customStyle="1" w:styleId="xl76">
    <w:name w:val="xl76"/>
    <w:basedOn w:val="Normal"/>
    <w:rsid w:val="00C36261"/>
    <w:pPr>
      <w:pBdr>
        <w:left w:val="single" w:sz="8" w:space="0" w:color="auto"/>
      </w:pBdr>
      <w:spacing w:before="100" w:beforeAutospacing="1" w:after="100" w:afterAutospacing="1"/>
      <w:textAlignment w:val="top"/>
    </w:pPr>
    <w:rPr>
      <w:rFonts w:eastAsiaTheme="minorHAnsi"/>
      <w:b/>
      <w:bCs/>
      <w:color w:val="000000"/>
      <w:sz w:val="16"/>
      <w:szCs w:val="16"/>
    </w:rPr>
  </w:style>
  <w:style w:type="paragraph" w:customStyle="1" w:styleId="xl77">
    <w:name w:val="xl77"/>
    <w:basedOn w:val="Normal"/>
    <w:rsid w:val="00C36261"/>
    <w:pPr>
      <w:pBdr>
        <w:left w:val="double" w:sz="6" w:space="0" w:color="auto"/>
        <w:right w:val="single" w:sz="8" w:space="0" w:color="auto"/>
      </w:pBdr>
      <w:spacing w:before="100" w:beforeAutospacing="1" w:after="100" w:afterAutospacing="1"/>
    </w:pPr>
    <w:rPr>
      <w:rFonts w:eastAsiaTheme="minorHAnsi"/>
      <w:color w:val="000000"/>
      <w:sz w:val="16"/>
      <w:szCs w:val="16"/>
    </w:rPr>
  </w:style>
  <w:style w:type="paragraph" w:customStyle="1" w:styleId="xl78">
    <w:name w:val="xl78"/>
    <w:basedOn w:val="Normal"/>
    <w:rsid w:val="00C36261"/>
    <w:pPr>
      <w:pBdr>
        <w:left w:val="single" w:sz="8" w:space="0" w:color="auto"/>
        <w:right w:val="single" w:sz="8" w:space="0" w:color="auto"/>
      </w:pBdr>
      <w:spacing w:before="100" w:beforeAutospacing="1" w:after="100" w:afterAutospacing="1"/>
    </w:pPr>
    <w:rPr>
      <w:rFonts w:eastAsiaTheme="minorHAnsi"/>
      <w:color w:val="000000"/>
      <w:sz w:val="16"/>
      <w:szCs w:val="16"/>
    </w:rPr>
  </w:style>
  <w:style w:type="paragraph" w:customStyle="1" w:styleId="xl79">
    <w:name w:val="xl79"/>
    <w:basedOn w:val="Normal"/>
    <w:rsid w:val="00C36261"/>
    <w:pPr>
      <w:pBdr>
        <w:left w:val="single" w:sz="8" w:space="0" w:color="auto"/>
        <w:right w:val="double" w:sz="6" w:space="0" w:color="auto"/>
      </w:pBdr>
      <w:spacing w:before="100" w:beforeAutospacing="1" w:after="100" w:afterAutospacing="1"/>
    </w:pPr>
    <w:rPr>
      <w:rFonts w:eastAsiaTheme="minorHAnsi"/>
      <w:color w:val="000000"/>
      <w:sz w:val="16"/>
      <w:szCs w:val="16"/>
    </w:rPr>
  </w:style>
  <w:style w:type="paragraph" w:customStyle="1" w:styleId="xl80">
    <w:name w:val="xl80"/>
    <w:basedOn w:val="Normal"/>
    <w:rsid w:val="00C36261"/>
    <w:pPr>
      <w:pBdr>
        <w:left w:val="single" w:sz="8" w:space="0" w:color="auto"/>
        <w:right w:val="single" w:sz="8" w:space="0" w:color="auto"/>
      </w:pBdr>
      <w:spacing w:before="100" w:beforeAutospacing="1" w:after="100" w:afterAutospacing="1"/>
      <w:jc w:val="center"/>
    </w:pPr>
    <w:rPr>
      <w:rFonts w:eastAsiaTheme="minorHAnsi"/>
      <w:b/>
      <w:bCs/>
      <w:color w:val="000000"/>
      <w:sz w:val="16"/>
      <w:szCs w:val="16"/>
    </w:rPr>
  </w:style>
  <w:style w:type="paragraph" w:customStyle="1" w:styleId="xl81">
    <w:name w:val="xl81"/>
    <w:basedOn w:val="Normal"/>
    <w:rsid w:val="00C36261"/>
    <w:pPr>
      <w:pBdr>
        <w:left w:val="single" w:sz="8" w:space="0" w:color="auto"/>
        <w:right w:val="single" w:sz="8" w:space="0" w:color="auto"/>
      </w:pBdr>
      <w:spacing w:before="100" w:beforeAutospacing="1" w:after="100" w:afterAutospacing="1"/>
      <w:jc w:val="center"/>
      <w:textAlignment w:val="top"/>
    </w:pPr>
    <w:rPr>
      <w:rFonts w:eastAsiaTheme="minorHAnsi"/>
      <w:b/>
      <w:bCs/>
      <w:color w:val="000000"/>
      <w:sz w:val="16"/>
      <w:szCs w:val="16"/>
    </w:rPr>
  </w:style>
  <w:style w:type="paragraph" w:customStyle="1" w:styleId="xl82">
    <w:name w:val="xl82"/>
    <w:basedOn w:val="Normal"/>
    <w:rsid w:val="00C36261"/>
    <w:pPr>
      <w:pBdr>
        <w:left w:val="double" w:sz="6" w:space="0" w:color="auto"/>
        <w:right w:val="single" w:sz="8" w:space="0" w:color="auto"/>
      </w:pBdr>
      <w:spacing w:before="100" w:beforeAutospacing="1" w:after="100" w:afterAutospacing="1"/>
    </w:pPr>
    <w:rPr>
      <w:rFonts w:eastAsiaTheme="minorHAnsi"/>
    </w:rPr>
  </w:style>
  <w:style w:type="paragraph" w:customStyle="1" w:styleId="xl83">
    <w:name w:val="xl83"/>
    <w:basedOn w:val="Normal"/>
    <w:rsid w:val="00C36261"/>
    <w:pPr>
      <w:pBdr>
        <w:left w:val="single" w:sz="8" w:space="0" w:color="auto"/>
        <w:right w:val="single" w:sz="8" w:space="0" w:color="auto"/>
      </w:pBdr>
      <w:spacing w:before="100" w:beforeAutospacing="1" w:after="100" w:afterAutospacing="1"/>
    </w:pPr>
    <w:rPr>
      <w:rFonts w:eastAsiaTheme="minorHAnsi"/>
      <w:b/>
      <w:bCs/>
      <w:color w:val="000000"/>
      <w:sz w:val="16"/>
      <w:szCs w:val="16"/>
    </w:rPr>
  </w:style>
  <w:style w:type="paragraph" w:customStyle="1" w:styleId="xl84">
    <w:name w:val="xl84"/>
    <w:basedOn w:val="Normal"/>
    <w:rsid w:val="00C36261"/>
    <w:pPr>
      <w:pBdr>
        <w:left w:val="single" w:sz="8" w:space="0" w:color="auto"/>
        <w:right w:val="single" w:sz="8" w:space="0" w:color="auto"/>
      </w:pBdr>
      <w:spacing w:before="100" w:beforeAutospacing="1" w:after="100" w:afterAutospacing="1"/>
      <w:textAlignment w:val="top"/>
    </w:pPr>
    <w:rPr>
      <w:rFonts w:eastAsiaTheme="minorHAnsi"/>
      <w:b/>
      <w:bCs/>
      <w:color w:val="000000"/>
      <w:sz w:val="16"/>
      <w:szCs w:val="16"/>
    </w:rPr>
  </w:style>
  <w:style w:type="paragraph" w:customStyle="1" w:styleId="xl85">
    <w:name w:val="xl85"/>
    <w:basedOn w:val="Normal"/>
    <w:rsid w:val="00C36261"/>
    <w:pPr>
      <w:pBdr>
        <w:left w:val="single" w:sz="8" w:space="0" w:color="auto"/>
        <w:bottom w:val="double" w:sz="6" w:space="0" w:color="auto"/>
        <w:right w:val="single" w:sz="8" w:space="0" w:color="auto"/>
      </w:pBdr>
      <w:spacing w:before="100" w:beforeAutospacing="1" w:after="100" w:afterAutospacing="1"/>
      <w:jc w:val="center"/>
      <w:textAlignment w:val="top"/>
    </w:pPr>
    <w:rPr>
      <w:rFonts w:eastAsiaTheme="minorHAnsi"/>
      <w:sz w:val="16"/>
      <w:szCs w:val="16"/>
    </w:rPr>
  </w:style>
  <w:style w:type="paragraph" w:customStyle="1" w:styleId="xl86">
    <w:name w:val="xl86"/>
    <w:basedOn w:val="Normal"/>
    <w:rsid w:val="00C36261"/>
    <w:pPr>
      <w:pBdr>
        <w:left w:val="single" w:sz="8" w:space="0" w:color="auto"/>
        <w:bottom w:val="double" w:sz="6" w:space="0" w:color="auto"/>
        <w:right w:val="single" w:sz="8" w:space="0" w:color="auto"/>
      </w:pBdr>
      <w:spacing w:before="100" w:beforeAutospacing="1" w:after="100" w:afterAutospacing="1"/>
      <w:jc w:val="right"/>
    </w:pPr>
    <w:rPr>
      <w:rFonts w:eastAsiaTheme="minorHAnsi"/>
      <w:sz w:val="16"/>
      <w:szCs w:val="16"/>
    </w:rPr>
  </w:style>
  <w:style w:type="paragraph" w:customStyle="1" w:styleId="xl87">
    <w:name w:val="xl87"/>
    <w:basedOn w:val="Normal"/>
    <w:rsid w:val="00C36261"/>
    <w:pPr>
      <w:pBdr>
        <w:left w:val="single" w:sz="8" w:space="0" w:color="auto"/>
        <w:right w:val="single" w:sz="8" w:space="0" w:color="auto"/>
      </w:pBdr>
      <w:spacing w:before="100" w:beforeAutospacing="1" w:after="100" w:afterAutospacing="1"/>
    </w:pPr>
    <w:rPr>
      <w:rFonts w:eastAsiaTheme="minorHAnsi"/>
      <w:b/>
      <w:bCs/>
      <w:sz w:val="16"/>
      <w:szCs w:val="16"/>
    </w:rPr>
  </w:style>
  <w:style w:type="paragraph" w:customStyle="1" w:styleId="xl88">
    <w:name w:val="xl88"/>
    <w:basedOn w:val="Normal"/>
    <w:rsid w:val="00C36261"/>
    <w:pPr>
      <w:pBdr>
        <w:left w:val="single" w:sz="8" w:space="0" w:color="auto"/>
        <w:right w:val="double" w:sz="6" w:space="0" w:color="auto"/>
      </w:pBdr>
      <w:spacing w:before="100" w:beforeAutospacing="1" w:after="100" w:afterAutospacing="1"/>
      <w:jc w:val="center"/>
    </w:pPr>
    <w:rPr>
      <w:rFonts w:eastAsiaTheme="minorHAnsi"/>
      <w:color w:val="000000"/>
      <w:sz w:val="16"/>
      <w:szCs w:val="16"/>
    </w:rPr>
  </w:style>
  <w:style w:type="paragraph" w:customStyle="1" w:styleId="xl89">
    <w:name w:val="xl89"/>
    <w:basedOn w:val="Normal"/>
    <w:rsid w:val="00C36261"/>
    <w:pPr>
      <w:pBdr>
        <w:left w:val="single" w:sz="8" w:space="0" w:color="auto"/>
        <w:right w:val="double" w:sz="6" w:space="0" w:color="auto"/>
      </w:pBdr>
      <w:spacing w:before="100" w:beforeAutospacing="1" w:after="100" w:afterAutospacing="1"/>
      <w:jc w:val="center"/>
    </w:pPr>
    <w:rPr>
      <w:rFonts w:eastAsiaTheme="minorHAnsi"/>
      <w:b/>
      <w:bCs/>
      <w:sz w:val="16"/>
      <w:szCs w:val="16"/>
    </w:rPr>
  </w:style>
  <w:style w:type="paragraph" w:customStyle="1" w:styleId="xl90">
    <w:name w:val="xl90"/>
    <w:basedOn w:val="Normal"/>
    <w:rsid w:val="00C36261"/>
    <w:pPr>
      <w:pBdr>
        <w:left w:val="single" w:sz="8" w:space="0" w:color="auto"/>
        <w:right w:val="single" w:sz="8" w:space="0" w:color="auto"/>
      </w:pBdr>
      <w:spacing w:before="100" w:beforeAutospacing="1" w:after="100" w:afterAutospacing="1"/>
      <w:jc w:val="center"/>
      <w:textAlignment w:val="top"/>
    </w:pPr>
    <w:rPr>
      <w:rFonts w:eastAsiaTheme="minorHAnsi"/>
      <w:sz w:val="16"/>
      <w:szCs w:val="16"/>
    </w:rPr>
  </w:style>
  <w:style w:type="paragraph" w:customStyle="1" w:styleId="xl91">
    <w:name w:val="xl91"/>
    <w:basedOn w:val="Normal"/>
    <w:rsid w:val="00C36261"/>
    <w:pPr>
      <w:pBdr>
        <w:left w:val="single" w:sz="8" w:space="0" w:color="auto"/>
        <w:right w:val="double" w:sz="6" w:space="0" w:color="auto"/>
      </w:pBdr>
      <w:spacing w:before="100" w:beforeAutospacing="1" w:after="100" w:afterAutospacing="1"/>
      <w:jc w:val="center"/>
      <w:textAlignment w:val="top"/>
    </w:pPr>
    <w:rPr>
      <w:rFonts w:eastAsiaTheme="minorHAnsi"/>
      <w:sz w:val="16"/>
      <w:szCs w:val="16"/>
    </w:rPr>
  </w:style>
  <w:style w:type="paragraph" w:customStyle="1" w:styleId="xl92">
    <w:name w:val="xl92"/>
    <w:basedOn w:val="Normal"/>
    <w:rsid w:val="00C36261"/>
    <w:pPr>
      <w:pBdr>
        <w:left w:val="single" w:sz="8" w:space="0" w:color="auto"/>
        <w:right w:val="single" w:sz="8" w:space="0" w:color="auto"/>
      </w:pBdr>
      <w:spacing w:before="100" w:beforeAutospacing="1" w:after="100" w:afterAutospacing="1"/>
      <w:jc w:val="center"/>
      <w:textAlignment w:val="top"/>
    </w:pPr>
    <w:rPr>
      <w:rFonts w:eastAsiaTheme="minorHAnsi"/>
      <w:b/>
      <w:bCs/>
      <w:sz w:val="16"/>
      <w:szCs w:val="16"/>
    </w:rPr>
  </w:style>
  <w:style w:type="paragraph" w:customStyle="1" w:styleId="xl93">
    <w:name w:val="xl93"/>
    <w:basedOn w:val="Normal"/>
    <w:rsid w:val="00C36261"/>
    <w:pPr>
      <w:pBdr>
        <w:left w:val="single" w:sz="8" w:space="0" w:color="auto"/>
        <w:right w:val="double" w:sz="6" w:space="0" w:color="auto"/>
      </w:pBdr>
      <w:spacing w:before="100" w:beforeAutospacing="1" w:after="100" w:afterAutospacing="1"/>
      <w:jc w:val="center"/>
      <w:textAlignment w:val="top"/>
    </w:pPr>
    <w:rPr>
      <w:rFonts w:eastAsiaTheme="minorHAnsi"/>
      <w:b/>
      <w:bCs/>
      <w:sz w:val="16"/>
      <w:szCs w:val="16"/>
    </w:rPr>
  </w:style>
  <w:style w:type="paragraph" w:customStyle="1" w:styleId="xl94">
    <w:name w:val="xl94"/>
    <w:basedOn w:val="Normal"/>
    <w:rsid w:val="00C36261"/>
    <w:pPr>
      <w:pBdr>
        <w:left w:val="single" w:sz="8" w:space="0" w:color="auto"/>
        <w:right w:val="double" w:sz="6" w:space="0" w:color="auto"/>
      </w:pBdr>
      <w:spacing w:before="100" w:beforeAutospacing="1" w:after="100" w:afterAutospacing="1"/>
      <w:jc w:val="center"/>
    </w:pPr>
    <w:rPr>
      <w:rFonts w:eastAsiaTheme="minorHAnsi"/>
      <w:b/>
      <w:bCs/>
      <w:color w:val="000000"/>
      <w:sz w:val="16"/>
      <w:szCs w:val="16"/>
    </w:rPr>
  </w:style>
  <w:style w:type="paragraph" w:customStyle="1" w:styleId="xl95">
    <w:name w:val="xl95"/>
    <w:basedOn w:val="Normal"/>
    <w:rsid w:val="00C36261"/>
    <w:pPr>
      <w:pBdr>
        <w:left w:val="single" w:sz="8" w:space="0" w:color="auto"/>
        <w:bottom w:val="double" w:sz="6" w:space="0" w:color="auto"/>
        <w:right w:val="double" w:sz="6" w:space="0" w:color="auto"/>
      </w:pBdr>
      <w:spacing w:before="100" w:beforeAutospacing="1" w:after="100" w:afterAutospacing="1"/>
      <w:jc w:val="center"/>
    </w:pPr>
    <w:rPr>
      <w:rFonts w:eastAsiaTheme="minorHAnsi"/>
      <w:sz w:val="16"/>
      <w:szCs w:val="16"/>
    </w:rPr>
  </w:style>
  <w:style w:type="paragraph" w:customStyle="1" w:styleId="xl97">
    <w:name w:val="xl97"/>
    <w:basedOn w:val="Normal"/>
    <w:rsid w:val="00C36261"/>
    <w:pPr>
      <w:pBdr>
        <w:left w:val="single" w:sz="8" w:space="0" w:color="auto"/>
        <w:right w:val="single" w:sz="8" w:space="0" w:color="auto"/>
      </w:pBdr>
      <w:spacing w:before="100" w:beforeAutospacing="1" w:after="100" w:afterAutospacing="1"/>
      <w:textAlignment w:val="top"/>
    </w:pPr>
    <w:rPr>
      <w:rFonts w:eastAsiaTheme="minorHAnsi"/>
      <w:sz w:val="16"/>
      <w:szCs w:val="16"/>
    </w:rPr>
  </w:style>
  <w:style w:type="paragraph" w:customStyle="1" w:styleId="xl98">
    <w:name w:val="xl98"/>
    <w:basedOn w:val="Normal"/>
    <w:rsid w:val="00C36261"/>
    <w:pPr>
      <w:pBdr>
        <w:left w:val="single" w:sz="8" w:space="0" w:color="auto"/>
        <w:right w:val="double" w:sz="6" w:space="0" w:color="auto"/>
      </w:pBdr>
      <w:spacing w:before="100" w:beforeAutospacing="1" w:after="100" w:afterAutospacing="1"/>
    </w:pPr>
    <w:rPr>
      <w:rFonts w:eastAsiaTheme="minorHAnsi"/>
    </w:rPr>
  </w:style>
  <w:style w:type="paragraph" w:customStyle="1" w:styleId="xl99">
    <w:name w:val="xl99"/>
    <w:basedOn w:val="Normal"/>
    <w:rsid w:val="00C36261"/>
    <w:pPr>
      <w:pBdr>
        <w:left w:val="single" w:sz="8" w:space="0" w:color="auto"/>
      </w:pBdr>
      <w:spacing w:before="100" w:beforeAutospacing="1" w:after="100" w:afterAutospacing="1"/>
    </w:pPr>
    <w:rPr>
      <w:rFonts w:eastAsiaTheme="minorHAnsi"/>
      <w:b/>
      <w:bCs/>
      <w:color w:val="000000"/>
      <w:sz w:val="16"/>
      <w:szCs w:val="16"/>
    </w:rPr>
  </w:style>
  <w:style w:type="paragraph" w:customStyle="1" w:styleId="xl100">
    <w:name w:val="xl100"/>
    <w:basedOn w:val="Normal"/>
    <w:rsid w:val="00C36261"/>
    <w:pPr>
      <w:pBdr>
        <w:left w:val="single" w:sz="8" w:space="0" w:color="auto"/>
      </w:pBdr>
      <w:spacing w:before="100" w:beforeAutospacing="1" w:after="100" w:afterAutospacing="1"/>
      <w:textAlignment w:val="top"/>
    </w:pPr>
    <w:rPr>
      <w:rFonts w:eastAsiaTheme="minorHAnsi"/>
      <w:b/>
      <w:bCs/>
      <w:color w:val="000000"/>
      <w:sz w:val="16"/>
      <w:szCs w:val="16"/>
    </w:rPr>
  </w:style>
  <w:style w:type="paragraph" w:customStyle="1" w:styleId="xl101">
    <w:name w:val="xl101"/>
    <w:basedOn w:val="Normal"/>
    <w:rsid w:val="00C36261"/>
    <w:pPr>
      <w:pBdr>
        <w:left w:val="single" w:sz="8" w:space="0" w:color="auto"/>
        <w:bottom w:val="single" w:sz="8" w:space="0" w:color="auto"/>
        <w:right w:val="single" w:sz="8" w:space="0" w:color="auto"/>
      </w:pBdr>
      <w:spacing w:before="100" w:beforeAutospacing="1" w:after="100" w:afterAutospacing="1"/>
      <w:jc w:val="center"/>
    </w:pPr>
    <w:rPr>
      <w:rFonts w:eastAsiaTheme="minorHAnsi"/>
      <w:b/>
      <w:bCs/>
      <w:color w:val="000000"/>
      <w:sz w:val="16"/>
      <w:szCs w:val="16"/>
    </w:rPr>
  </w:style>
  <w:style w:type="paragraph" w:customStyle="1" w:styleId="xl102">
    <w:name w:val="xl102"/>
    <w:basedOn w:val="Normal"/>
    <w:rsid w:val="00C36261"/>
    <w:pPr>
      <w:pBdr>
        <w:top w:val="single" w:sz="8" w:space="0" w:color="auto"/>
        <w:left w:val="single" w:sz="8" w:space="0" w:color="auto"/>
        <w:bottom w:val="single" w:sz="8" w:space="0" w:color="auto"/>
        <w:right w:val="double" w:sz="6" w:space="0" w:color="auto"/>
      </w:pBdr>
      <w:spacing w:before="100" w:beforeAutospacing="1" w:after="100" w:afterAutospacing="1"/>
      <w:jc w:val="center"/>
    </w:pPr>
    <w:rPr>
      <w:rFonts w:eastAsiaTheme="minorHAnsi"/>
      <w:b/>
      <w:bCs/>
      <w:color w:val="000000"/>
      <w:sz w:val="16"/>
      <w:szCs w:val="16"/>
    </w:rPr>
  </w:style>
  <w:style w:type="paragraph" w:customStyle="1" w:styleId="xl103">
    <w:name w:val="xl103"/>
    <w:basedOn w:val="Normal"/>
    <w:rsid w:val="00C36261"/>
    <w:pPr>
      <w:pBdr>
        <w:left w:val="single" w:sz="8" w:space="0" w:color="auto"/>
        <w:right w:val="single" w:sz="8" w:space="0" w:color="auto"/>
      </w:pBdr>
      <w:spacing w:before="100" w:beforeAutospacing="1" w:after="100" w:afterAutospacing="1"/>
    </w:pPr>
    <w:rPr>
      <w:rFonts w:eastAsiaTheme="minorHAnsi"/>
      <w:b/>
      <w:bCs/>
      <w:color w:val="000000"/>
      <w:sz w:val="16"/>
      <w:szCs w:val="16"/>
    </w:rPr>
  </w:style>
  <w:style w:type="paragraph" w:customStyle="1" w:styleId="xl104">
    <w:name w:val="xl104"/>
    <w:basedOn w:val="Normal"/>
    <w:rsid w:val="00C36261"/>
    <w:pPr>
      <w:pBdr>
        <w:left w:val="single" w:sz="8" w:space="0" w:color="auto"/>
        <w:right w:val="single" w:sz="8" w:space="0" w:color="auto"/>
      </w:pBdr>
      <w:spacing w:before="100" w:beforeAutospacing="1" w:after="100" w:afterAutospacing="1"/>
      <w:jc w:val="center"/>
    </w:pPr>
    <w:rPr>
      <w:rFonts w:eastAsiaTheme="minorHAnsi"/>
      <w:b/>
      <w:bCs/>
      <w:color w:val="000000"/>
      <w:sz w:val="16"/>
      <w:szCs w:val="16"/>
    </w:rPr>
  </w:style>
  <w:style w:type="paragraph" w:customStyle="1" w:styleId="xl105">
    <w:name w:val="xl105"/>
    <w:basedOn w:val="Normal"/>
    <w:rsid w:val="00C36261"/>
    <w:pPr>
      <w:pBdr>
        <w:left w:val="single" w:sz="8" w:space="0" w:color="auto"/>
        <w:right w:val="single" w:sz="8" w:space="0" w:color="auto"/>
      </w:pBdr>
      <w:spacing w:before="100" w:beforeAutospacing="1" w:after="100" w:afterAutospacing="1"/>
    </w:pPr>
    <w:rPr>
      <w:rFonts w:eastAsiaTheme="minorHAnsi"/>
      <w:b/>
      <w:bCs/>
      <w:sz w:val="16"/>
      <w:szCs w:val="16"/>
    </w:rPr>
  </w:style>
  <w:style w:type="paragraph" w:customStyle="1" w:styleId="xl106">
    <w:name w:val="xl106"/>
    <w:basedOn w:val="Normal"/>
    <w:rsid w:val="00C36261"/>
    <w:pPr>
      <w:pBdr>
        <w:left w:val="single" w:sz="8" w:space="0" w:color="auto"/>
        <w:right w:val="single" w:sz="8" w:space="0" w:color="auto"/>
      </w:pBdr>
      <w:spacing w:before="100" w:beforeAutospacing="1" w:after="100" w:afterAutospacing="1"/>
      <w:textAlignment w:val="top"/>
    </w:pPr>
    <w:rPr>
      <w:rFonts w:eastAsiaTheme="minorHAnsi"/>
      <w:color w:val="000000"/>
      <w:sz w:val="16"/>
      <w:szCs w:val="16"/>
    </w:rPr>
  </w:style>
  <w:style w:type="paragraph" w:customStyle="1" w:styleId="xl107">
    <w:name w:val="xl107"/>
    <w:basedOn w:val="Normal"/>
    <w:rsid w:val="00C36261"/>
    <w:pPr>
      <w:pBdr>
        <w:left w:val="single" w:sz="8" w:space="0" w:color="auto"/>
        <w:right w:val="single" w:sz="8" w:space="0" w:color="auto"/>
      </w:pBdr>
      <w:spacing w:before="100" w:beforeAutospacing="1" w:after="100" w:afterAutospacing="1"/>
    </w:pPr>
    <w:rPr>
      <w:rFonts w:eastAsiaTheme="minorHAnsi"/>
      <w:color w:val="000000"/>
      <w:sz w:val="16"/>
      <w:szCs w:val="16"/>
    </w:rPr>
  </w:style>
  <w:style w:type="paragraph" w:customStyle="1" w:styleId="xl108">
    <w:name w:val="xl108"/>
    <w:basedOn w:val="Normal"/>
    <w:rsid w:val="00C36261"/>
    <w:pPr>
      <w:pBdr>
        <w:left w:val="single" w:sz="8" w:space="0" w:color="auto"/>
        <w:right w:val="single" w:sz="8" w:space="0" w:color="auto"/>
      </w:pBdr>
      <w:spacing w:before="100" w:beforeAutospacing="1" w:after="100" w:afterAutospacing="1"/>
      <w:textAlignment w:val="top"/>
    </w:pPr>
    <w:rPr>
      <w:rFonts w:eastAsiaTheme="minorHAnsi"/>
      <w:b/>
      <w:bCs/>
      <w:color w:val="000000"/>
      <w:sz w:val="16"/>
      <w:szCs w:val="16"/>
    </w:rPr>
  </w:style>
  <w:style w:type="paragraph" w:customStyle="1" w:styleId="xl109">
    <w:name w:val="xl109"/>
    <w:basedOn w:val="Normal"/>
    <w:rsid w:val="00C36261"/>
    <w:pPr>
      <w:pBdr>
        <w:left w:val="single" w:sz="8" w:space="0" w:color="auto"/>
        <w:right w:val="single" w:sz="8" w:space="0" w:color="auto"/>
      </w:pBdr>
      <w:spacing w:before="100" w:beforeAutospacing="1" w:after="100" w:afterAutospacing="1"/>
    </w:pPr>
    <w:rPr>
      <w:rFonts w:eastAsiaTheme="minorHAnsi"/>
      <w:sz w:val="16"/>
      <w:szCs w:val="16"/>
    </w:rPr>
  </w:style>
  <w:style w:type="paragraph" w:customStyle="1" w:styleId="xl110">
    <w:name w:val="xl110"/>
    <w:basedOn w:val="Normal"/>
    <w:rsid w:val="00C36261"/>
    <w:pPr>
      <w:pBdr>
        <w:left w:val="single" w:sz="8" w:space="0" w:color="auto"/>
        <w:bottom w:val="double" w:sz="6" w:space="0" w:color="auto"/>
        <w:right w:val="single" w:sz="8" w:space="0" w:color="auto"/>
      </w:pBdr>
      <w:spacing w:before="100" w:beforeAutospacing="1" w:after="100" w:afterAutospacing="1"/>
    </w:pPr>
    <w:rPr>
      <w:rFonts w:eastAsiaTheme="minorHAnsi"/>
      <w:sz w:val="16"/>
      <w:szCs w:val="16"/>
    </w:rPr>
  </w:style>
  <w:style w:type="paragraph" w:customStyle="1" w:styleId="xl111">
    <w:name w:val="xl111"/>
    <w:basedOn w:val="Normal"/>
    <w:rsid w:val="00C36261"/>
    <w:pPr>
      <w:spacing w:before="100" w:beforeAutospacing="1" w:after="100" w:afterAutospacing="1"/>
    </w:pPr>
    <w:rPr>
      <w:rFonts w:eastAsiaTheme="minorHAnsi"/>
    </w:rPr>
  </w:style>
  <w:style w:type="paragraph" w:customStyle="1" w:styleId="xl112">
    <w:name w:val="xl112"/>
    <w:basedOn w:val="Normal"/>
    <w:rsid w:val="00C36261"/>
    <w:pPr>
      <w:pBdr>
        <w:left w:val="double" w:sz="6" w:space="0" w:color="auto"/>
        <w:bottom w:val="single" w:sz="8" w:space="0" w:color="auto"/>
        <w:right w:val="single" w:sz="8" w:space="0" w:color="auto"/>
      </w:pBdr>
      <w:spacing w:before="100" w:beforeAutospacing="1" w:after="100" w:afterAutospacing="1"/>
      <w:jc w:val="center"/>
    </w:pPr>
    <w:rPr>
      <w:rFonts w:eastAsiaTheme="minorHAnsi"/>
      <w:b/>
      <w:bCs/>
      <w:sz w:val="16"/>
      <w:szCs w:val="16"/>
    </w:rPr>
  </w:style>
  <w:style w:type="paragraph" w:customStyle="1" w:styleId="xl113">
    <w:name w:val="xl113"/>
    <w:basedOn w:val="Normal"/>
    <w:rsid w:val="00C36261"/>
    <w:pPr>
      <w:pBdr>
        <w:left w:val="single" w:sz="8" w:space="0" w:color="auto"/>
        <w:bottom w:val="single" w:sz="8" w:space="0" w:color="auto"/>
        <w:right w:val="single" w:sz="8" w:space="0" w:color="auto"/>
      </w:pBdr>
      <w:spacing w:before="100" w:beforeAutospacing="1" w:after="100" w:afterAutospacing="1"/>
      <w:jc w:val="center"/>
    </w:pPr>
    <w:rPr>
      <w:rFonts w:eastAsiaTheme="minorHAnsi"/>
      <w:b/>
      <w:bCs/>
      <w:sz w:val="16"/>
      <w:szCs w:val="16"/>
    </w:rPr>
  </w:style>
  <w:style w:type="paragraph" w:customStyle="1" w:styleId="xl114">
    <w:name w:val="xl114"/>
    <w:basedOn w:val="Normal"/>
    <w:rsid w:val="00C36261"/>
    <w:pPr>
      <w:pBdr>
        <w:left w:val="single" w:sz="8" w:space="0" w:color="auto"/>
        <w:bottom w:val="single" w:sz="8" w:space="0" w:color="auto"/>
        <w:right w:val="single" w:sz="8" w:space="0" w:color="auto"/>
      </w:pBdr>
      <w:spacing w:before="100" w:beforeAutospacing="1" w:after="100" w:afterAutospacing="1"/>
      <w:jc w:val="center"/>
    </w:pPr>
    <w:rPr>
      <w:rFonts w:eastAsiaTheme="minorHAnsi"/>
      <w:b/>
      <w:bCs/>
      <w:sz w:val="16"/>
      <w:szCs w:val="16"/>
    </w:rPr>
  </w:style>
  <w:style w:type="paragraph" w:customStyle="1" w:styleId="xl115">
    <w:name w:val="xl115"/>
    <w:basedOn w:val="Normal"/>
    <w:rsid w:val="00C36261"/>
    <w:pPr>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heme="minorHAnsi"/>
      <w:b/>
      <w:bCs/>
      <w:color w:val="000000"/>
      <w:sz w:val="16"/>
      <w:szCs w:val="16"/>
    </w:rPr>
  </w:style>
  <w:style w:type="paragraph" w:customStyle="1" w:styleId="xl116">
    <w:name w:val="xl116"/>
    <w:basedOn w:val="Normal"/>
    <w:rsid w:val="00C36261"/>
    <w:pPr>
      <w:pBdr>
        <w:left w:val="single" w:sz="4" w:space="0" w:color="auto"/>
        <w:right w:val="single" w:sz="4" w:space="0" w:color="auto"/>
      </w:pBdr>
      <w:spacing w:before="100" w:beforeAutospacing="1" w:after="100" w:afterAutospacing="1"/>
      <w:jc w:val="right"/>
    </w:pPr>
    <w:rPr>
      <w:rFonts w:eastAsiaTheme="minorHAnsi"/>
      <w:i/>
      <w:iCs/>
      <w:color w:val="000000"/>
      <w:sz w:val="16"/>
      <w:szCs w:val="16"/>
      <w:u w:val="single"/>
    </w:rPr>
  </w:style>
  <w:style w:type="paragraph" w:customStyle="1" w:styleId="xl117">
    <w:name w:val="xl117"/>
    <w:basedOn w:val="Normal"/>
    <w:rsid w:val="00C36261"/>
    <w:pPr>
      <w:pBdr>
        <w:left w:val="single" w:sz="4" w:space="0" w:color="auto"/>
        <w:right w:val="single" w:sz="4" w:space="0" w:color="auto"/>
      </w:pBdr>
      <w:spacing w:before="100" w:beforeAutospacing="1" w:after="100" w:afterAutospacing="1"/>
    </w:pPr>
    <w:rPr>
      <w:rFonts w:eastAsiaTheme="minorHAnsi"/>
      <w:i/>
      <w:iCs/>
      <w:sz w:val="16"/>
      <w:szCs w:val="16"/>
      <w:u w:val="single"/>
    </w:rPr>
  </w:style>
  <w:style w:type="paragraph" w:customStyle="1" w:styleId="xl118">
    <w:name w:val="xl118"/>
    <w:basedOn w:val="Normal"/>
    <w:rsid w:val="00C3626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HAnsi"/>
      <w:b/>
      <w:bCs/>
      <w:sz w:val="16"/>
      <w:szCs w:val="16"/>
    </w:rPr>
  </w:style>
  <w:style w:type="paragraph" w:customStyle="1" w:styleId="xl119">
    <w:name w:val="xl119"/>
    <w:basedOn w:val="Normal"/>
    <w:rsid w:val="00C36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HAnsi"/>
      <w:b/>
      <w:bCs/>
      <w:sz w:val="16"/>
      <w:szCs w:val="16"/>
    </w:rPr>
  </w:style>
  <w:style w:type="paragraph" w:customStyle="1" w:styleId="xl120">
    <w:name w:val="xl120"/>
    <w:basedOn w:val="Normal"/>
    <w:rsid w:val="00C3626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HAnsi"/>
      <w:b/>
      <w:bCs/>
      <w:color w:val="000000"/>
      <w:sz w:val="16"/>
      <w:szCs w:val="16"/>
    </w:rPr>
  </w:style>
  <w:style w:type="paragraph" w:customStyle="1" w:styleId="xl121">
    <w:name w:val="xl121"/>
    <w:basedOn w:val="Normal"/>
    <w:rsid w:val="00C36261"/>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heme="minorHAnsi"/>
      <w:b/>
      <w:bCs/>
      <w:color w:val="000000"/>
      <w:sz w:val="16"/>
      <w:szCs w:val="16"/>
    </w:rPr>
  </w:style>
  <w:style w:type="paragraph" w:customStyle="1" w:styleId="xl122">
    <w:name w:val="xl122"/>
    <w:basedOn w:val="Normal"/>
    <w:rsid w:val="00C36261"/>
    <w:pPr>
      <w:pBdr>
        <w:top w:val="double" w:sz="6" w:space="0" w:color="auto"/>
        <w:left w:val="single" w:sz="4" w:space="0" w:color="auto"/>
        <w:right w:val="single" w:sz="4" w:space="0" w:color="auto"/>
      </w:pBdr>
      <w:spacing w:before="100" w:beforeAutospacing="1" w:after="100" w:afterAutospacing="1"/>
      <w:jc w:val="center"/>
    </w:pPr>
    <w:rPr>
      <w:rFonts w:eastAsiaTheme="minorHAnsi"/>
      <w:b/>
      <w:bCs/>
      <w:color w:val="000000"/>
      <w:sz w:val="16"/>
      <w:szCs w:val="16"/>
    </w:rPr>
  </w:style>
  <w:style w:type="paragraph" w:customStyle="1" w:styleId="xl123">
    <w:name w:val="xl123"/>
    <w:basedOn w:val="Normal"/>
    <w:rsid w:val="00C36261"/>
    <w:pPr>
      <w:pBdr>
        <w:left w:val="single" w:sz="4" w:space="0" w:color="auto"/>
        <w:bottom w:val="single" w:sz="4" w:space="0" w:color="auto"/>
        <w:right w:val="single" w:sz="4" w:space="0" w:color="auto"/>
      </w:pBdr>
      <w:spacing w:before="100" w:beforeAutospacing="1" w:after="100" w:afterAutospacing="1"/>
      <w:jc w:val="center"/>
    </w:pPr>
    <w:rPr>
      <w:rFonts w:eastAsiaTheme="minorHAnsi"/>
      <w:b/>
      <w:bCs/>
      <w:color w:val="000000"/>
      <w:sz w:val="16"/>
      <w:szCs w:val="16"/>
    </w:rPr>
  </w:style>
  <w:style w:type="paragraph" w:customStyle="1" w:styleId="xl124">
    <w:name w:val="xl124"/>
    <w:basedOn w:val="Normal"/>
    <w:rsid w:val="00C36261"/>
    <w:pPr>
      <w:pBdr>
        <w:top w:val="double" w:sz="6" w:space="0" w:color="auto"/>
        <w:left w:val="single" w:sz="4" w:space="0" w:color="auto"/>
        <w:bottom w:val="single" w:sz="4" w:space="0" w:color="auto"/>
      </w:pBdr>
      <w:spacing w:before="100" w:beforeAutospacing="1" w:after="100" w:afterAutospacing="1"/>
      <w:jc w:val="center"/>
      <w:textAlignment w:val="center"/>
    </w:pPr>
    <w:rPr>
      <w:rFonts w:eastAsiaTheme="minorHAnsi"/>
      <w:b/>
      <w:bCs/>
      <w:color w:val="000000"/>
      <w:sz w:val="16"/>
      <w:szCs w:val="16"/>
    </w:rPr>
  </w:style>
  <w:style w:type="paragraph" w:customStyle="1" w:styleId="xl125">
    <w:name w:val="xl125"/>
    <w:basedOn w:val="Normal"/>
    <w:rsid w:val="00C3626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heme="minorHAnsi"/>
      <w:b/>
      <w:bCs/>
      <w:color w:val="000000"/>
      <w:sz w:val="16"/>
      <w:szCs w:val="16"/>
    </w:rPr>
  </w:style>
  <w:style w:type="paragraph" w:styleId="Listaconvietas">
    <w:name w:val="List Bullet"/>
    <w:basedOn w:val="Normal"/>
    <w:uiPriority w:val="99"/>
    <w:unhideWhenUsed/>
    <w:rsid w:val="00C36261"/>
    <w:pPr>
      <w:widowControl w:val="0"/>
      <w:numPr>
        <w:numId w:val="29"/>
      </w:numPr>
      <w:contextualSpacing/>
    </w:pPr>
    <w:rPr>
      <w:rFonts w:eastAsiaTheme="minorHAnsi"/>
      <w:lang w:eastAsia="en-US"/>
    </w:rPr>
  </w:style>
  <w:style w:type="table" w:styleId="Sombreadoclaro-nfasis1">
    <w:name w:val="Light Shading Accent 1"/>
    <w:basedOn w:val="Tablanormal"/>
    <w:uiPriority w:val="60"/>
    <w:rsid w:val="00C36261"/>
    <w:pPr>
      <w:spacing w:after="0" w:line="240" w:lineRule="auto"/>
    </w:pPr>
    <w:rPr>
      <w:rFonts w:ascii="Times New Roman" w:hAnsi="Times New Roman" w:cs="Times New Roman"/>
      <w:color w:val="2F5496" w:themeColor="accent1" w:themeShade="BF"/>
      <w:sz w:val="24"/>
      <w:szCs w:val="24"/>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tuloTDC">
    <w:name w:val="TOC Heading"/>
    <w:basedOn w:val="Ttulo1"/>
    <w:next w:val="Normal"/>
    <w:uiPriority w:val="39"/>
    <w:unhideWhenUsed/>
    <w:qFormat/>
    <w:rsid w:val="00C36261"/>
    <w:pPr>
      <w:keepLines/>
      <w:widowControl/>
      <w:spacing w:before="480" w:line="276" w:lineRule="auto"/>
      <w:jc w:val="left"/>
      <w:outlineLvl w:val="9"/>
    </w:pPr>
    <w:rPr>
      <w:rFonts w:asciiTheme="majorHAnsi" w:eastAsiaTheme="majorEastAsia" w:hAnsiTheme="majorHAnsi" w:cstheme="majorBidi"/>
      <w:bCs/>
      <w:color w:val="2F5496" w:themeColor="accent1" w:themeShade="BF"/>
      <w:sz w:val="28"/>
      <w:szCs w:val="28"/>
      <w:lang w:eastAsia="es-GT"/>
    </w:rPr>
  </w:style>
  <w:style w:type="paragraph" w:styleId="TDC2">
    <w:name w:val="toc 2"/>
    <w:basedOn w:val="Normal"/>
    <w:next w:val="Normal"/>
    <w:autoRedefine/>
    <w:uiPriority w:val="39"/>
    <w:unhideWhenUsed/>
    <w:qFormat/>
    <w:rsid w:val="00C36261"/>
    <w:pPr>
      <w:widowControl w:val="0"/>
      <w:tabs>
        <w:tab w:val="left" w:pos="880"/>
        <w:tab w:val="right" w:leader="dot" w:pos="9962"/>
      </w:tabs>
      <w:spacing w:after="100"/>
      <w:ind w:left="284"/>
    </w:pPr>
    <w:rPr>
      <w:rFonts w:eastAsiaTheme="minorHAnsi"/>
      <w:lang w:eastAsia="en-US"/>
    </w:rPr>
  </w:style>
  <w:style w:type="paragraph" w:styleId="TDC3">
    <w:name w:val="toc 3"/>
    <w:basedOn w:val="Normal"/>
    <w:next w:val="Normal"/>
    <w:autoRedefine/>
    <w:uiPriority w:val="39"/>
    <w:unhideWhenUsed/>
    <w:qFormat/>
    <w:rsid w:val="00C36261"/>
    <w:pPr>
      <w:widowControl w:val="0"/>
      <w:tabs>
        <w:tab w:val="left" w:pos="993"/>
        <w:tab w:val="left" w:pos="1100"/>
        <w:tab w:val="right" w:leader="dot" w:pos="9962"/>
      </w:tabs>
      <w:spacing w:after="100"/>
      <w:ind w:left="142"/>
    </w:pPr>
    <w:rPr>
      <w:rFonts w:eastAsiaTheme="minorHAnsi"/>
      <w:lang w:eastAsia="en-US"/>
    </w:rPr>
  </w:style>
  <w:style w:type="paragraph" w:styleId="TDC1">
    <w:name w:val="toc 1"/>
    <w:basedOn w:val="Normal"/>
    <w:next w:val="Normal"/>
    <w:autoRedefine/>
    <w:uiPriority w:val="39"/>
    <w:unhideWhenUsed/>
    <w:qFormat/>
    <w:rsid w:val="00C36261"/>
    <w:pPr>
      <w:widowControl w:val="0"/>
      <w:tabs>
        <w:tab w:val="left" w:pos="400"/>
        <w:tab w:val="left" w:pos="720"/>
        <w:tab w:val="left" w:pos="960"/>
        <w:tab w:val="left" w:pos="1276"/>
        <w:tab w:val="right" w:leader="dot" w:pos="9962"/>
      </w:tabs>
      <w:ind w:left="142" w:hanging="142"/>
    </w:pPr>
    <w:rPr>
      <w:rFonts w:eastAsiaTheme="minorHAnsi"/>
      <w:bCs/>
      <w:noProof/>
      <w:lang w:eastAsia="en-US"/>
    </w:rPr>
  </w:style>
  <w:style w:type="character" w:styleId="Textoennegrita">
    <w:name w:val="Strong"/>
    <w:basedOn w:val="Fuentedeprrafopredeter"/>
    <w:uiPriority w:val="22"/>
    <w:qFormat/>
    <w:rsid w:val="00C36261"/>
    <w:rPr>
      <w:b/>
      <w:bCs/>
    </w:rPr>
  </w:style>
  <w:style w:type="paragraph" w:customStyle="1" w:styleId="default0">
    <w:name w:val="default"/>
    <w:basedOn w:val="Normal"/>
    <w:rsid w:val="00C36261"/>
    <w:pPr>
      <w:spacing w:after="150"/>
    </w:pPr>
    <w:rPr>
      <w:rFonts w:eastAsiaTheme="minorHAnsi"/>
    </w:rPr>
  </w:style>
  <w:style w:type="paragraph" w:styleId="Subttulo">
    <w:name w:val="Subtitle"/>
    <w:basedOn w:val="Normal"/>
    <w:link w:val="SubttuloCar"/>
    <w:uiPriority w:val="11"/>
    <w:qFormat/>
    <w:rsid w:val="00C36261"/>
    <w:pPr>
      <w:jc w:val="both"/>
    </w:pPr>
    <w:rPr>
      <w:rFonts w:ascii="CG Times" w:eastAsiaTheme="minorHAnsi" w:hAnsi="CG Times"/>
      <w:b/>
      <w:bCs/>
      <w:lang w:val="es-ES" w:eastAsia="en-US"/>
    </w:rPr>
  </w:style>
  <w:style w:type="character" w:customStyle="1" w:styleId="SubttuloCar">
    <w:name w:val="Subtítulo Car"/>
    <w:basedOn w:val="Fuentedeprrafopredeter"/>
    <w:link w:val="Subttulo"/>
    <w:uiPriority w:val="11"/>
    <w:rsid w:val="00C36261"/>
    <w:rPr>
      <w:rFonts w:ascii="CG Times" w:hAnsi="CG Times" w:cs="Times New Roman"/>
      <w:b/>
      <w:bCs/>
      <w:sz w:val="24"/>
      <w:szCs w:val="24"/>
      <w:lang w:val="es-ES"/>
    </w:rPr>
  </w:style>
  <w:style w:type="table" w:customStyle="1" w:styleId="TableNormal1">
    <w:name w:val="Table Normal1"/>
    <w:uiPriority w:val="2"/>
    <w:semiHidden/>
    <w:unhideWhenUsed/>
    <w:qFormat/>
    <w:rsid w:val="00C36261"/>
    <w:pPr>
      <w:widowControl w:val="0"/>
      <w:spacing w:after="0" w:line="240" w:lineRule="auto"/>
    </w:pPr>
    <w:rPr>
      <w:rFonts w:cs="Times New Roman"/>
      <w:szCs w:val="24"/>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36261"/>
    <w:pPr>
      <w:widowControl w:val="0"/>
    </w:pPr>
    <w:rPr>
      <w:rFonts w:asciiTheme="minorHAnsi" w:eastAsiaTheme="minorHAnsi" w:hAnsiTheme="minorHAnsi" w:cstheme="minorBidi"/>
      <w:sz w:val="22"/>
      <w:szCs w:val="22"/>
      <w:lang w:val="en-US" w:eastAsia="en-US"/>
    </w:rPr>
  </w:style>
  <w:style w:type="character" w:customStyle="1" w:styleId="None">
    <w:name w:val="None"/>
    <w:rsid w:val="00C36261"/>
  </w:style>
  <w:style w:type="paragraph" w:customStyle="1" w:styleId="Pa2">
    <w:name w:val="Pa2"/>
    <w:basedOn w:val="Default"/>
    <w:next w:val="Default"/>
    <w:uiPriority w:val="99"/>
    <w:rsid w:val="00C36261"/>
    <w:pPr>
      <w:spacing w:line="241" w:lineRule="atLeast"/>
    </w:pPr>
    <w:rPr>
      <w:rFonts w:ascii="Andada" w:eastAsia="Malgun Gothic" w:hAnsi="Andada" w:cs="Times New Roman"/>
      <w:color w:val="auto"/>
      <w:lang w:eastAsia="es-ES"/>
    </w:rPr>
  </w:style>
  <w:style w:type="paragraph" w:customStyle="1" w:styleId="Pa3">
    <w:name w:val="Pa3"/>
    <w:basedOn w:val="Default"/>
    <w:next w:val="Default"/>
    <w:uiPriority w:val="99"/>
    <w:rsid w:val="00C36261"/>
    <w:pPr>
      <w:spacing w:line="241" w:lineRule="atLeast"/>
    </w:pPr>
    <w:rPr>
      <w:rFonts w:ascii="Andada" w:eastAsia="Malgun Gothic" w:hAnsi="Andada" w:cs="Times New Roman"/>
      <w:color w:val="auto"/>
      <w:lang w:eastAsia="es-ES"/>
    </w:rPr>
  </w:style>
  <w:style w:type="character" w:customStyle="1" w:styleId="A4">
    <w:name w:val="A4"/>
    <w:uiPriority w:val="99"/>
    <w:rsid w:val="00C36261"/>
    <w:rPr>
      <w:rFonts w:cs="Andada"/>
      <w:color w:val="000000"/>
      <w:sz w:val="14"/>
      <w:szCs w:val="14"/>
    </w:rPr>
  </w:style>
  <w:style w:type="paragraph" w:customStyle="1" w:styleId="Pa4">
    <w:name w:val="Pa4"/>
    <w:basedOn w:val="Default"/>
    <w:next w:val="Default"/>
    <w:uiPriority w:val="99"/>
    <w:rsid w:val="00C36261"/>
    <w:pPr>
      <w:spacing w:line="241" w:lineRule="atLeast"/>
    </w:pPr>
    <w:rPr>
      <w:rFonts w:ascii="Andada" w:eastAsia="Malgun Gothic" w:hAnsi="Andada" w:cs="Times New Roman"/>
      <w:color w:val="auto"/>
      <w:lang w:eastAsia="es-ES"/>
    </w:rPr>
  </w:style>
  <w:style w:type="paragraph" w:styleId="HTMLconformatoprevio">
    <w:name w:val="HTML Preformatted"/>
    <w:basedOn w:val="Normal"/>
    <w:link w:val="HTMLconformatoprevioCar"/>
    <w:uiPriority w:val="99"/>
    <w:semiHidden/>
    <w:unhideWhenUsed/>
    <w:rsid w:val="00C3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C36261"/>
    <w:rPr>
      <w:rFonts w:ascii="Courier New" w:eastAsia="Times New Roman" w:hAnsi="Courier New" w:cs="Courier New"/>
      <w:sz w:val="24"/>
      <w:szCs w:val="24"/>
      <w:lang w:eastAsia="es-GT"/>
    </w:rPr>
  </w:style>
  <w:style w:type="character" w:customStyle="1" w:styleId="Mencinsinresolver1">
    <w:name w:val="Mención sin resolver1"/>
    <w:basedOn w:val="Fuentedeprrafopredeter"/>
    <w:uiPriority w:val="99"/>
    <w:semiHidden/>
    <w:unhideWhenUsed/>
    <w:rsid w:val="00C36261"/>
    <w:rPr>
      <w:color w:val="605E5C"/>
      <w:shd w:val="clear" w:color="auto" w:fill="E1DFDD"/>
    </w:rPr>
  </w:style>
  <w:style w:type="table" w:customStyle="1" w:styleId="Tablanormal41">
    <w:name w:val="Tabla normal 41"/>
    <w:basedOn w:val="Tablanormal"/>
    <w:uiPriority w:val="44"/>
    <w:rsid w:val="00C36261"/>
    <w:pPr>
      <w:spacing w:after="0" w:line="240" w:lineRule="auto"/>
    </w:pPr>
    <w:rPr>
      <w:rFonts w:ascii="Cambria" w:eastAsia="Malgun Gothic" w:hAnsi="Cambria" w:cs="Times New Roman"/>
      <w:sz w:val="20"/>
      <w:szCs w:val="20"/>
      <w:lang w:eastAsia="es-G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sutil">
    <w:name w:val="Subtle Emphasis"/>
    <w:uiPriority w:val="19"/>
    <w:qFormat/>
    <w:rsid w:val="00C36261"/>
    <w:rPr>
      <w:rFonts w:ascii="Times New Roman" w:hAnsi="Times New Roman"/>
    </w:rPr>
  </w:style>
  <w:style w:type="character" w:styleId="Textodelmarcadordeposicin">
    <w:name w:val="Placeholder Text"/>
    <w:basedOn w:val="Fuentedeprrafopredeter"/>
    <w:uiPriority w:val="99"/>
    <w:semiHidden/>
    <w:rsid w:val="00C36261"/>
    <w:rPr>
      <w:color w:val="808080"/>
    </w:rPr>
  </w:style>
  <w:style w:type="table" w:customStyle="1" w:styleId="Tablanormal11">
    <w:name w:val="Tabla normal 11"/>
    <w:basedOn w:val="Tablanormal"/>
    <w:uiPriority w:val="41"/>
    <w:rsid w:val="00C36261"/>
    <w:pPr>
      <w:spacing w:after="0" w:line="240" w:lineRule="auto"/>
    </w:pPr>
    <w:rPr>
      <w:rFonts w:ascii="Cambria" w:eastAsia="Malgun Gothic" w:hAnsi="Cambria" w:cs="Times New Roman"/>
      <w:sz w:val="20"/>
      <w:szCs w:val="20"/>
      <w:lang w:eastAsia="es-G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tulo11">
    <w:name w:val="Título 11"/>
    <w:basedOn w:val="Normal"/>
    <w:rsid w:val="00C36261"/>
    <w:pPr>
      <w:numPr>
        <w:numId w:val="30"/>
      </w:numPr>
      <w:spacing w:after="200" w:line="288" w:lineRule="auto"/>
    </w:pPr>
    <w:rPr>
      <w:rFonts w:asciiTheme="minorHAnsi" w:eastAsiaTheme="minorEastAsia" w:hAnsiTheme="minorHAnsi" w:cstheme="minorBidi"/>
      <w:sz w:val="21"/>
      <w:szCs w:val="21"/>
      <w:lang w:eastAsia="en-US"/>
    </w:rPr>
  </w:style>
  <w:style w:type="paragraph" w:customStyle="1" w:styleId="Ttulo21">
    <w:name w:val="Título 21"/>
    <w:basedOn w:val="Normal"/>
    <w:rsid w:val="00C36261"/>
    <w:pPr>
      <w:numPr>
        <w:ilvl w:val="1"/>
        <w:numId w:val="30"/>
      </w:numPr>
      <w:spacing w:after="200" w:line="288" w:lineRule="auto"/>
      <w:ind w:left="576"/>
    </w:pPr>
    <w:rPr>
      <w:rFonts w:asciiTheme="minorHAnsi" w:eastAsiaTheme="minorEastAsia" w:hAnsiTheme="minorHAnsi" w:cstheme="minorBidi"/>
      <w:sz w:val="21"/>
      <w:szCs w:val="21"/>
      <w:lang w:eastAsia="en-US"/>
    </w:rPr>
  </w:style>
  <w:style w:type="paragraph" w:customStyle="1" w:styleId="Ttulo31">
    <w:name w:val="Título 31"/>
    <w:basedOn w:val="Normal"/>
    <w:rsid w:val="00C36261"/>
    <w:pPr>
      <w:numPr>
        <w:ilvl w:val="2"/>
        <w:numId w:val="30"/>
      </w:numPr>
      <w:spacing w:after="200" w:line="288" w:lineRule="auto"/>
    </w:pPr>
    <w:rPr>
      <w:rFonts w:asciiTheme="minorHAnsi" w:eastAsiaTheme="minorEastAsia" w:hAnsiTheme="minorHAnsi" w:cstheme="minorBidi"/>
      <w:sz w:val="21"/>
      <w:szCs w:val="21"/>
      <w:lang w:eastAsia="en-US"/>
    </w:rPr>
  </w:style>
  <w:style w:type="paragraph" w:customStyle="1" w:styleId="Ttulo41">
    <w:name w:val="Título 41"/>
    <w:basedOn w:val="Normal"/>
    <w:rsid w:val="00C36261"/>
    <w:pPr>
      <w:numPr>
        <w:ilvl w:val="3"/>
        <w:numId w:val="30"/>
      </w:numPr>
      <w:spacing w:after="200" w:line="288" w:lineRule="auto"/>
    </w:pPr>
    <w:rPr>
      <w:rFonts w:asciiTheme="minorHAnsi" w:eastAsiaTheme="minorEastAsia" w:hAnsiTheme="minorHAnsi" w:cstheme="minorBidi"/>
      <w:sz w:val="21"/>
      <w:szCs w:val="21"/>
      <w:lang w:eastAsia="en-US"/>
    </w:rPr>
  </w:style>
  <w:style w:type="paragraph" w:customStyle="1" w:styleId="Ttulo51">
    <w:name w:val="Título 51"/>
    <w:basedOn w:val="Normal"/>
    <w:rsid w:val="00C36261"/>
    <w:pPr>
      <w:numPr>
        <w:ilvl w:val="4"/>
        <w:numId w:val="30"/>
      </w:numPr>
      <w:spacing w:after="200" w:line="288" w:lineRule="auto"/>
    </w:pPr>
    <w:rPr>
      <w:rFonts w:asciiTheme="minorHAnsi" w:eastAsiaTheme="minorEastAsia" w:hAnsiTheme="minorHAnsi" w:cstheme="minorBidi"/>
      <w:sz w:val="21"/>
      <w:szCs w:val="21"/>
      <w:lang w:eastAsia="en-US"/>
    </w:rPr>
  </w:style>
  <w:style w:type="paragraph" w:customStyle="1" w:styleId="Ttulo61">
    <w:name w:val="Título 61"/>
    <w:basedOn w:val="Normal"/>
    <w:rsid w:val="00C36261"/>
    <w:pPr>
      <w:numPr>
        <w:ilvl w:val="5"/>
        <w:numId w:val="30"/>
      </w:numPr>
      <w:spacing w:after="200" w:line="288" w:lineRule="auto"/>
    </w:pPr>
    <w:rPr>
      <w:rFonts w:asciiTheme="minorHAnsi" w:eastAsiaTheme="minorEastAsia" w:hAnsiTheme="minorHAnsi" w:cstheme="minorBidi"/>
      <w:sz w:val="21"/>
      <w:szCs w:val="21"/>
      <w:lang w:eastAsia="en-US"/>
    </w:rPr>
  </w:style>
  <w:style w:type="paragraph" w:customStyle="1" w:styleId="Ttulo71">
    <w:name w:val="Título 71"/>
    <w:basedOn w:val="Normal"/>
    <w:rsid w:val="00C36261"/>
    <w:pPr>
      <w:numPr>
        <w:ilvl w:val="6"/>
        <w:numId w:val="30"/>
      </w:numPr>
      <w:spacing w:after="200" w:line="288" w:lineRule="auto"/>
    </w:pPr>
    <w:rPr>
      <w:rFonts w:asciiTheme="minorHAnsi" w:eastAsiaTheme="minorEastAsia" w:hAnsiTheme="minorHAnsi" w:cstheme="minorBidi"/>
      <w:sz w:val="21"/>
      <w:szCs w:val="21"/>
      <w:lang w:eastAsia="en-US"/>
    </w:rPr>
  </w:style>
  <w:style w:type="paragraph" w:customStyle="1" w:styleId="Ttulo81">
    <w:name w:val="Título 81"/>
    <w:basedOn w:val="Normal"/>
    <w:rsid w:val="00C36261"/>
    <w:pPr>
      <w:numPr>
        <w:ilvl w:val="7"/>
        <w:numId w:val="30"/>
      </w:numPr>
      <w:spacing w:after="200" w:line="288" w:lineRule="auto"/>
    </w:pPr>
    <w:rPr>
      <w:rFonts w:asciiTheme="minorHAnsi" w:eastAsiaTheme="minorEastAsia" w:hAnsiTheme="minorHAnsi" w:cstheme="minorBidi"/>
      <w:sz w:val="21"/>
      <w:szCs w:val="21"/>
      <w:lang w:eastAsia="en-US"/>
    </w:rPr>
  </w:style>
  <w:style w:type="paragraph" w:customStyle="1" w:styleId="Ttulo91">
    <w:name w:val="Título 91"/>
    <w:basedOn w:val="Normal"/>
    <w:rsid w:val="00C36261"/>
    <w:pPr>
      <w:numPr>
        <w:ilvl w:val="8"/>
        <w:numId w:val="30"/>
      </w:numPr>
      <w:spacing w:after="200" w:line="288" w:lineRule="auto"/>
    </w:pPr>
    <w:rPr>
      <w:rFonts w:asciiTheme="minorHAnsi" w:eastAsiaTheme="minorEastAsia" w:hAnsiTheme="minorHAnsi" w:cstheme="minorBidi"/>
      <w:sz w:val="21"/>
      <w:szCs w:val="21"/>
      <w:lang w:eastAsia="en-US"/>
    </w:rPr>
  </w:style>
  <w:style w:type="table" w:customStyle="1" w:styleId="Tablanormal411">
    <w:name w:val="Tabla normal 411"/>
    <w:basedOn w:val="Tablanormal"/>
    <w:uiPriority w:val="44"/>
    <w:rsid w:val="00C36261"/>
    <w:pPr>
      <w:spacing w:after="0" w:line="240" w:lineRule="auto"/>
    </w:pPr>
    <w:rPr>
      <w:rFonts w:ascii="Cambria" w:eastAsia="Malgun Gothic" w:hAnsi="Cambria" w:cs="Times New Roman"/>
      <w:sz w:val="20"/>
      <w:szCs w:val="20"/>
      <w:lang w:eastAsia="es-G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1">
    <w:name w:val="Tabla de cuadrícula 4 - Énfasis 111"/>
    <w:basedOn w:val="Tablanormal"/>
    <w:uiPriority w:val="49"/>
    <w:rsid w:val="00C36261"/>
    <w:pPr>
      <w:spacing w:after="0" w:line="240" w:lineRule="auto"/>
    </w:pPr>
    <w:rPr>
      <w:rFonts w:ascii="Cambria" w:eastAsia="Malgun Gothic" w:hAnsi="Cambria" w:cs="Times New Roman"/>
      <w:sz w:val="20"/>
      <w:szCs w:val="20"/>
      <w:lang w:eastAsia="es-G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normal111">
    <w:name w:val="Tabla normal 111"/>
    <w:basedOn w:val="Tablanormal"/>
    <w:uiPriority w:val="41"/>
    <w:rsid w:val="00C36261"/>
    <w:pPr>
      <w:spacing w:after="0" w:line="240" w:lineRule="auto"/>
    </w:pPr>
    <w:rPr>
      <w:rFonts w:ascii="Cambria" w:eastAsia="Malgun Gothic" w:hAnsi="Cambria" w:cs="Times New Roman"/>
      <w:sz w:val="20"/>
      <w:szCs w:val="20"/>
      <w:lang w:eastAsia="es-G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C36261"/>
    <w:rPr>
      <w:rFonts w:asciiTheme="minorHAnsi" w:hAnsiTheme="minorHAnsi"/>
      <w:b/>
      <w:i/>
      <w:iCs/>
    </w:rPr>
  </w:style>
  <w:style w:type="paragraph" w:styleId="Cita">
    <w:name w:val="Quote"/>
    <w:basedOn w:val="Normal"/>
    <w:next w:val="Normal"/>
    <w:link w:val="CitaCar"/>
    <w:uiPriority w:val="29"/>
    <w:qFormat/>
    <w:rsid w:val="00C36261"/>
    <w:rPr>
      <w:rFonts w:asciiTheme="minorHAnsi" w:eastAsiaTheme="minorEastAsia" w:hAnsiTheme="minorHAnsi"/>
      <w:i/>
      <w:lang w:eastAsia="en-US"/>
    </w:rPr>
  </w:style>
  <w:style w:type="character" w:customStyle="1" w:styleId="CitaCar">
    <w:name w:val="Cita Car"/>
    <w:basedOn w:val="Fuentedeprrafopredeter"/>
    <w:link w:val="Cita"/>
    <w:uiPriority w:val="29"/>
    <w:rsid w:val="00C36261"/>
    <w:rPr>
      <w:rFonts w:eastAsiaTheme="minorEastAsia" w:cs="Times New Roman"/>
      <w:i/>
      <w:sz w:val="24"/>
      <w:szCs w:val="24"/>
    </w:rPr>
  </w:style>
  <w:style w:type="paragraph" w:styleId="Citadestacada">
    <w:name w:val="Intense Quote"/>
    <w:basedOn w:val="Normal"/>
    <w:next w:val="Normal"/>
    <w:link w:val="CitadestacadaCar"/>
    <w:uiPriority w:val="30"/>
    <w:qFormat/>
    <w:rsid w:val="00C36261"/>
    <w:pPr>
      <w:ind w:left="720" w:right="720"/>
    </w:pPr>
    <w:rPr>
      <w:rFonts w:asciiTheme="minorHAnsi" w:eastAsiaTheme="minorEastAsia" w:hAnsiTheme="minorHAnsi"/>
      <w:b/>
      <w:i/>
      <w:szCs w:val="22"/>
      <w:lang w:eastAsia="en-US"/>
    </w:rPr>
  </w:style>
  <w:style w:type="character" w:customStyle="1" w:styleId="CitadestacadaCar">
    <w:name w:val="Cita destacada Car"/>
    <w:basedOn w:val="Fuentedeprrafopredeter"/>
    <w:link w:val="Citadestacada"/>
    <w:uiPriority w:val="30"/>
    <w:rsid w:val="00C36261"/>
    <w:rPr>
      <w:rFonts w:eastAsiaTheme="minorEastAsia" w:cs="Times New Roman"/>
      <w:b/>
      <w:i/>
      <w:sz w:val="24"/>
    </w:rPr>
  </w:style>
  <w:style w:type="character" w:styleId="nfasisintenso">
    <w:name w:val="Intense Emphasis"/>
    <w:basedOn w:val="Fuentedeprrafopredeter"/>
    <w:uiPriority w:val="21"/>
    <w:qFormat/>
    <w:rsid w:val="00C36261"/>
    <w:rPr>
      <w:b/>
      <w:i/>
      <w:sz w:val="24"/>
      <w:szCs w:val="24"/>
      <w:u w:val="single"/>
    </w:rPr>
  </w:style>
  <w:style w:type="character" w:styleId="Referenciasutil">
    <w:name w:val="Subtle Reference"/>
    <w:basedOn w:val="Fuentedeprrafopredeter"/>
    <w:uiPriority w:val="31"/>
    <w:qFormat/>
    <w:rsid w:val="00C36261"/>
    <w:rPr>
      <w:sz w:val="24"/>
      <w:szCs w:val="24"/>
      <w:u w:val="single"/>
    </w:rPr>
  </w:style>
  <w:style w:type="character" w:styleId="Referenciaintensa">
    <w:name w:val="Intense Reference"/>
    <w:basedOn w:val="Fuentedeprrafopredeter"/>
    <w:uiPriority w:val="32"/>
    <w:qFormat/>
    <w:rsid w:val="00C36261"/>
    <w:rPr>
      <w:b/>
      <w:sz w:val="24"/>
      <w:u w:val="single"/>
    </w:rPr>
  </w:style>
  <w:style w:type="character" w:styleId="Ttulodellibro">
    <w:name w:val="Book Title"/>
    <w:basedOn w:val="Fuentedeprrafopredeter"/>
    <w:uiPriority w:val="33"/>
    <w:qFormat/>
    <w:rsid w:val="00C36261"/>
    <w:rPr>
      <w:rFonts w:asciiTheme="majorHAnsi" w:eastAsiaTheme="majorEastAsia" w:hAnsiTheme="majorHAnsi"/>
      <w:b/>
      <w:i/>
      <w:sz w:val="24"/>
      <w:szCs w:val="24"/>
    </w:rPr>
  </w:style>
  <w:style w:type="table" w:customStyle="1" w:styleId="Tabladecuadrcula4-nfasis51">
    <w:name w:val="Tabla de cuadrícula 4 - Énfasis 51"/>
    <w:basedOn w:val="Tablanormal"/>
    <w:uiPriority w:val="49"/>
    <w:rsid w:val="00C36261"/>
    <w:pPr>
      <w:spacing w:after="0" w:line="240" w:lineRule="auto"/>
    </w:pPr>
    <w:rPr>
      <w:rFonts w:cs="Times New Roman"/>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abladeilustraciones">
    <w:name w:val="table of figures"/>
    <w:basedOn w:val="Normal"/>
    <w:next w:val="Normal"/>
    <w:uiPriority w:val="99"/>
    <w:unhideWhenUsed/>
    <w:rsid w:val="00C36261"/>
    <w:pPr>
      <w:spacing w:after="60"/>
    </w:pPr>
    <w:rPr>
      <w:rFonts w:eastAsiaTheme="minorEastAsia"/>
      <w:lang w:eastAsia="en-US"/>
    </w:rPr>
  </w:style>
  <w:style w:type="paragraph" w:styleId="TDC4">
    <w:name w:val="toc 4"/>
    <w:basedOn w:val="Normal"/>
    <w:next w:val="Normal"/>
    <w:autoRedefine/>
    <w:uiPriority w:val="39"/>
    <w:unhideWhenUsed/>
    <w:rsid w:val="00C36261"/>
    <w:pPr>
      <w:tabs>
        <w:tab w:val="left" w:pos="1760"/>
        <w:tab w:val="right" w:leader="dot" w:pos="8828"/>
      </w:tabs>
      <w:spacing w:after="100"/>
      <w:ind w:left="720"/>
    </w:pPr>
    <w:rPr>
      <w:rFonts w:eastAsiaTheme="minorEastAsia"/>
      <w:noProof/>
      <w:lang w:eastAsia="en-US"/>
    </w:rPr>
  </w:style>
  <w:style w:type="paragraph" w:styleId="TDC5">
    <w:name w:val="toc 5"/>
    <w:basedOn w:val="Normal"/>
    <w:next w:val="Normal"/>
    <w:autoRedefine/>
    <w:uiPriority w:val="39"/>
    <w:unhideWhenUsed/>
    <w:rsid w:val="00C36261"/>
    <w:pPr>
      <w:spacing w:after="100"/>
      <w:ind w:left="960"/>
    </w:pPr>
    <w:rPr>
      <w:rFonts w:asciiTheme="minorHAnsi" w:eastAsiaTheme="minorEastAsia" w:hAnsiTheme="minorHAnsi"/>
      <w:lang w:eastAsia="en-US"/>
    </w:rPr>
  </w:style>
  <w:style w:type="table" w:styleId="Listaclara-nfasis1">
    <w:name w:val="Light List Accent 1"/>
    <w:basedOn w:val="Tablanormal"/>
    <w:uiPriority w:val="61"/>
    <w:rsid w:val="00C36261"/>
    <w:pPr>
      <w:spacing w:after="0" w:line="240" w:lineRule="auto"/>
    </w:pPr>
    <w:rPr>
      <w:rFonts w:cs="Times New Roman"/>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extonotaalfinal">
    <w:name w:val="endnote text"/>
    <w:basedOn w:val="Normal"/>
    <w:link w:val="TextonotaalfinalCar"/>
    <w:uiPriority w:val="99"/>
    <w:semiHidden/>
    <w:unhideWhenUsed/>
    <w:rsid w:val="00C36261"/>
  </w:style>
  <w:style w:type="character" w:customStyle="1" w:styleId="TextonotaalfinalCar">
    <w:name w:val="Texto nota al final Car"/>
    <w:basedOn w:val="Fuentedeprrafopredeter"/>
    <w:link w:val="Textonotaalfinal"/>
    <w:uiPriority w:val="99"/>
    <w:semiHidden/>
    <w:rsid w:val="00C36261"/>
    <w:rPr>
      <w:rFonts w:ascii="Times New Roman" w:eastAsia="Times New Roman" w:hAnsi="Times New Roman" w:cs="Times New Roman"/>
      <w:sz w:val="24"/>
      <w:szCs w:val="24"/>
      <w:lang w:eastAsia="es-GT"/>
    </w:rPr>
  </w:style>
  <w:style w:type="character" w:styleId="Refdenotaalfinal">
    <w:name w:val="endnote reference"/>
    <w:basedOn w:val="Fuentedeprrafopredeter"/>
    <w:uiPriority w:val="99"/>
    <w:semiHidden/>
    <w:unhideWhenUsed/>
    <w:rsid w:val="00C36261"/>
    <w:rPr>
      <w:vertAlign w:val="superscript"/>
    </w:rPr>
  </w:style>
  <w:style w:type="table" w:styleId="Cuadrculaclara-nfasis1">
    <w:name w:val="Light Grid Accent 1"/>
    <w:basedOn w:val="Tablanormal"/>
    <w:uiPriority w:val="62"/>
    <w:rsid w:val="00C36261"/>
    <w:pPr>
      <w:spacing w:after="0" w:line="240" w:lineRule="auto"/>
    </w:pPr>
    <w:rPr>
      <w:rFonts w:cs="Times New Roman"/>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ombreadoclaro-nfasis5">
    <w:name w:val="Light Shading Accent 5"/>
    <w:basedOn w:val="Tablanormal"/>
    <w:uiPriority w:val="60"/>
    <w:rsid w:val="00C36261"/>
    <w:pPr>
      <w:spacing w:after="0" w:line="240" w:lineRule="auto"/>
    </w:pPr>
    <w:rPr>
      <w:rFonts w:cs="Times New Roman"/>
      <w:color w:val="2E74B5" w:themeColor="accent5" w:themeShade="BF"/>
      <w:szCs w:val="24"/>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BodyText2Sgl">
    <w:name w:val="Body Text 2 Sgl"/>
    <w:basedOn w:val="Normal"/>
    <w:qFormat/>
    <w:rsid w:val="00C36261"/>
    <w:pPr>
      <w:spacing w:after="240"/>
      <w:ind w:firstLine="720"/>
    </w:pPr>
    <w:rPr>
      <w:rFonts w:eastAsiaTheme="minorHAnsi" w:cstheme="minorBidi"/>
      <w:lang w:val="en-US" w:eastAsia="en-US"/>
    </w:rPr>
  </w:style>
  <w:style w:type="paragraph" w:styleId="Revisin">
    <w:name w:val="Revision"/>
    <w:hidden/>
    <w:uiPriority w:val="99"/>
    <w:semiHidden/>
    <w:rsid w:val="00C36261"/>
    <w:pPr>
      <w:spacing w:after="0" w:line="240" w:lineRule="auto"/>
    </w:pPr>
    <w:rPr>
      <w:rFonts w:eastAsiaTheme="minorEastAsia" w:cs="Times New Roman"/>
      <w:sz w:val="24"/>
      <w:szCs w:val="24"/>
      <w:lang w:val="es-ES_tradnl" w:eastAsia="es-ES"/>
    </w:rPr>
  </w:style>
  <w:style w:type="character" w:customStyle="1" w:styleId="mw-headline">
    <w:name w:val="mw-headline"/>
    <w:basedOn w:val="Fuentedeprrafopredeter"/>
    <w:rsid w:val="00C36261"/>
  </w:style>
  <w:style w:type="character" w:customStyle="1" w:styleId="mw-editsection">
    <w:name w:val="mw-editsection"/>
    <w:basedOn w:val="Fuentedeprrafopredeter"/>
    <w:rsid w:val="00C36261"/>
  </w:style>
  <w:style w:type="character" w:customStyle="1" w:styleId="mw-editsection-bracket">
    <w:name w:val="mw-editsection-bracket"/>
    <w:basedOn w:val="Fuentedeprrafopredeter"/>
    <w:rsid w:val="00C36261"/>
  </w:style>
  <w:style w:type="paragraph" w:customStyle="1" w:styleId="print-icon">
    <w:name w:val="print-icon"/>
    <w:basedOn w:val="Normal"/>
    <w:rsid w:val="00C36261"/>
    <w:pPr>
      <w:spacing w:before="100" w:beforeAutospacing="1" w:after="100" w:afterAutospacing="1"/>
    </w:pPr>
    <w:rPr>
      <w:rFonts w:eastAsiaTheme="minorHAnsi"/>
      <w:lang w:val="es-MX" w:eastAsia="es-MX"/>
    </w:rPr>
  </w:style>
  <w:style w:type="paragraph" w:customStyle="1" w:styleId="email-icon">
    <w:name w:val="email-icon"/>
    <w:basedOn w:val="Normal"/>
    <w:rsid w:val="00C36261"/>
    <w:pPr>
      <w:spacing w:before="100" w:beforeAutospacing="1" w:after="100" w:afterAutospacing="1"/>
    </w:pPr>
    <w:rPr>
      <w:rFonts w:eastAsiaTheme="minorHAnsi"/>
      <w:lang w:val="es-MX" w:eastAsia="es-MX"/>
    </w:rPr>
  </w:style>
  <w:style w:type="paragraph" w:customStyle="1" w:styleId="twli">
    <w:name w:val="twli"/>
    <w:basedOn w:val="Normal"/>
    <w:rsid w:val="00C36261"/>
    <w:pPr>
      <w:spacing w:before="100" w:beforeAutospacing="1" w:after="100" w:afterAutospacing="1"/>
    </w:pPr>
    <w:rPr>
      <w:rFonts w:eastAsiaTheme="minorHAnsi"/>
      <w:lang w:val="es-MX" w:eastAsia="es-MX"/>
    </w:rPr>
  </w:style>
  <w:style w:type="paragraph" w:customStyle="1" w:styleId="fbli">
    <w:name w:val="fbli"/>
    <w:basedOn w:val="Normal"/>
    <w:rsid w:val="00C36261"/>
    <w:pPr>
      <w:spacing w:before="100" w:beforeAutospacing="1" w:after="100" w:afterAutospacing="1"/>
    </w:pPr>
    <w:rPr>
      <w:rFonts w:eastAsiaTheme="minorHAnsi"/>
      <w:lang w:val="es-MX" w:eastAsia="es-MX"/>
    </w:rPr>
  </w:style>
  <w:style w:type="character" w:customStyle="1" w:styleId="bylinename">
    <w:name w:val="byline__name"/>
    <w:basedOn w:val="Fuentedeprrafopredeter"/>
    <w:rsid w:val="00C36261"/>
  </w:style>
  <w:style w:type="character" w:customStyle="1" w:styleId="bylinetitle">
    <w:name w:val="byline__title"/>
    <w:basedOn w:val="Fuentedeprrafopredeter"/>
    <w:rsid w:val="00C36261"/>
  </w:style>
  <w:style w:type="paragraph" w:customStyle="1" w:styleId="mini-info-listitem">
    <w:name w:val="mini-info-list__item"/>
    <w:basedOn w:val="Normal"/>
    <w:rsid w:val="00C36261"/>
    <w:pPr>
      <w:spacing w:before="100" w:beforeAutospacing="1" w:after="100" w:afterAutospacing="1"/>
    </w:pPr>
    <w:rPr>
      <w:rFonts w:eastAsiaTheme="minorHAnsi"/>
      <w:lang w:val="es-MX" w:eastAsia="es-MX"/>
    </w:rPr>
  </w:style>
  <w:style w:type="character" w:customStyle="1" w:styleId="chart-title">
    <w:name w:val="chart-title"/>
    <w:basedOn w:val="Fuentedeprrafopredeter"/>
    <w:rsid w:val="00C36261"/>
  </w:style>
  <w:style w:type="character" w:customStyle="1" w:styleId="sapmtext">
    <w:name w:val="sapmtext"/>
    <w:basedOn w:val="Fuentedeprrafopredeter"/>
    <w:rsid w:val="00C36261"/>
  </w:style>
  <w:style w:type="character" w:customStyle="1" w:styleId="A9">
    <w:name w:val="A9"/>
    <w:uiPriority w:val="99"/>
    <w:rsid w:val="00C36261"/>
    <w:rPr>
      <w:rFonts w:cs="Myriad Pro"/>
      <w:color w:val="000000"/>
      <w:sz w:val="20"/>
      <w:szCs w:val="20"/>
    </w:rPr>
  </w:style>
  <w:style w:type="character" w:customStyle="1" w:styleId="A6">
    <w:name w:val="A6"/>
    <w:uiPriority w:val="99"/>
    <w:rsid w:val="00C36261"/>
    <w:rPr>
      <w:rFonts w:cs="Myriad Pro"/>
      <w:b/>
      <w:bCs/>
      <w:color w:val="000000"/>
      <w:sz w:val="22"/>
      <w:szCs w:val="22"/>
    </w:rPr>
  </w:style>
  <w:style w:type="character" w:customStyle="1" w:styleId="A5">
    <w:name w:val="A5"/>
    <w:uiPriority w:val="99"/>
    <w:rsid w:val="00C36261"/>
    <w:rPr>
      <w:rFonts w:cs="Myriad Pro Cond"/>
      <w:b/>
      <w:bCs/>
      <w:color w:val="000000"/>
      <w:sz w:val="52"/>
      <w:szCs w:val="52"/>
    </w:rPr>
  </w:style>
  <w:style w:type="character" w:customStyle="1" w:styleId="Mencinsinresolver2">
    <w:name w:val="Mención sin resolver2"/>
    <w:basedOn w:val="Fuentedeprrafopredeter"/>
    <w:uiPriority w:val="99"/>
    <w:semiHidden/>
    <w:unhideWhenUsed/>
    <w:rsid w:val="00C36261"/>
    <w:rPr>
      <w:color w:val="605E5C"/>
      <w:shd w:val="clear" w:color="auto" w:fill="E1DFDD"/>
    </w:rPr>
  </w:style>
  <w:style w:type="table" w:customStyle="1" w:styleId="Tablaconcuadrcula4">
    <w:name w:val="Tabla con cuadrícula4"/>
    <w:basedOn w:val="Tablanormal"/>
    <w:next w:val="Tablaconcuadrcula"/>
    <w:uiPriority w:val="39"/>
    <w:rsid w:val="00C36261"/>
    <w:pPr>
      <w:spacing w:after="0" w:line="240" w:lineRule="auto"/>
    </w:pPr>
    <w:rPr>
      <w:rFonts w:ascii="Times New Roman" w:eastAsia="Times New Roman" w:hAnsi="Times New Roman" w:cs="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C36261"/>
    <w:pPr>
      <w:spacing w:after="0" w:line="240" w:lineRule="auto"/>
    </w:pPr>
    <w:rPr>
      <w:rFonts w:ascii="Times New Roman" w:eastAsia="Times New Roman" w:hAnsi="Times New Roman" w:cs="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C36261"/>
    <w:pPr>
      <w:spacing w:after="0" w:line="240" w:lineRule="auto"/>
    </w:pPr>
    <w:rPr>
      <w:rFonts w:ascii="Times New Roman" w:eastAsia="Times New Roman" w:hAnsi="Times New Roman" w:cs="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basedOn w:val="Tablanormal"/>
    <w:uiPriority w:val="50"/>
    <w:rsid w:val="00C36261"/>
    <w:pPr>
      <w:spacing w:after="0" w:line="240" w:lineRule="auto"/>
    </w:pPr>
    <w:rPr>
      <w:rFonts w:ascii="Times New Roman" w:hAnsi="Times New Roman"/>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ParagraphCar">
    <w:name w:val="Paragraph Car"/>
    <w:link w:val="Paragraph"/>
    <w:locked/>
    <w:rsid w:val="00C36261"/>
    <w:rPr>
      <w:rFonts w:eastAsia="Times New Roman"/>
      <w:szCs w:val="20"/>
      <w:lang w:val="es-ES" w:eastAsia="es-ES"/>
    </w:rPr>
  </w:style>
  <w:style w:type="paragraph" w:customStyle="1" w:styleId="Paragraph">
    <w:name w:val="Paragraph"/>
    <w:aliases w:val="paragraph,p,PARAGRAPH,PG,pa,at,paragraph+1"/>
    <w:basedOn w:val="Sangradetextonormal"/>
    <w:link w:val="ParagraphCar"/>
    <w:qFormat/>
    <w:rsid w:val="00C36261"/>
    <w:pPr>
      <w:widowControl/>
      <w:tabs>
        <w:tab w:val="num" w:pos="720"/>
      </w:tabs>
      <w:spacing w:before="120" w:after="120"/>
      <w:ind w:left="720" w:hanging="720"/>
      <w:jc w:val="both"/>
      <w:outlineLvl w:val="1"/>
    </w:pPr>
    <w:rPr>
      <w:rFonts w:asciiTheme="minorHAnsi" w:eastAsia="Times New Roman" w:hAnsiTheme="minorHAnsi" w:cstheme="minorBidi"/>
      <w:b w:val="0"/>
      <w:sz w:val="22"/>
      <w:szCs w:val="20"/>
      <w:lang w:val="es-ES" w:eastAsia="es-ES"/>
    </w:rPr>
  </w:style>
  <w:style w:type="table" w:styleId="Tablaconcuadrcula1clara">
    <w:name w:val="Grid Table 1 Light"/>
    <w:basedOn w:val="Tablanormal"/>
    <w:uiPriority w:val="46"/>
    <w:rsid w:val="00C362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C36261"/>
    <w:pPr>
      <w:suppressAutoHyphens/>
      <w:spacing w:after="0" w:line="240" w:lineRule="auto"/>
    </w:pPr>
    <w:rPr>
      <w:lang w:val="en-US"/>
    </w:rPr>
    <w:tblPr>
      <w:tblCellMar>
        <w:top w:w="0" w:type="dxa"/>
        <w:left w:w="0" w:type="dxa"/>
        <w:bottom w:w="0" w:type="dxa"/>
        <w:right w:w="0" w:type="dxa"/>
      </w:tblCellMar>
    </w:tblPr>
  </w:style>
  <w:style w:type="table" w:styleId="Tabladelista3-nfasis5">
    <w:name w:val="List Table 3 Accent 5"/>
    <w:basedOn w:val="Tablanormal"/>
    <w:uiPriority w:val="48"/>
    <w:rsid w:val="00C3626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numbering" w:customStyle="1" w:styleId="Sinlista1">
    <w:name w:val="Sin lista1"/>
    <w:next w:val="Sinlista"/>
    <w:uiPriority w:val="99"/>
    <w:semiHidden/>
    <w:unhideWhenUsed/>
    <w:rsid w:val="00C36261"/>
  </w:style>
  <w:style w:type="numbering" w:customStyle="1" w:styleId="Estilo11">
    <w:name w:val="Estilo11"/>
    <w:uiPriority w:val="99"/>
    <w:rsid w:val="00C36261"/>
  </w:style>
  <w:style w:type="numbering" w:customStyle="1" w:styleId="Estilo21">
    <w:name w:val="Estilo21"/>
    <w:uiPriority w:val="99"/>
    <w:rsid w:val="00C36261"/>
  </w:style>
  <w:style w:type="paragraph" w:styleId="TDC6">
    <w:name w:val="toc 6"/>
    <w:basedOn w:val="Normal"/>
    <w:next w:val="Normal"/>
    <w:autoRedefine/>
    <w:uiPriority w:val="39"/>
    <w:unhideWhenUsed/>
    <w:rsid w:val="00872FC6"/>
    <w:pPr>
      <w:spacing w:after="100" w:line="259"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872FC6"/>
    <w:pPr>
      <w:spacing w:after="100" w:line="259"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872FC6"/>
    <w:pPr>
      <w:spacing w:after="100" w:line="259"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872FC6"/>
    <w:pPr>
      <w:spacing w:after="100" w:line="259" w:lineRule="auto"/>
      <w:ind w:left="1760"/>
    </w:pPr>
    <w:rPr>
      <w:rFonts w:asciiTheme="minorHAnsi" w:eastAsiaTheme="minorEastAsia" w:hAnsiTheme="minorHAnsi" w:cstheme="minorBidi"/>
      <w:sz w:val="22"/>
      <w:szCs w:val="22"/>
    </w:rPr>
  </w:style>
  <w:style w:type="character" w:styleId="Mencinsinresolver">
    <w:name w:val="Unresolved Mention"/>
    <w:basedOn w:val="Fuentedeprrafopredeter"/>
    <w:uiPriority w:val="99"/>
    <w:semiHidden/>
    <w:unhideWhenUsed/>
    <w:rsid w:val="00872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664031">
      <w:bodyDiv w:val="1"/>
      <w:marLeft w:val="0"/>
      <w:marRight w:val="0"/>
      <w:marTop w:val="0"/>
      <w:marBottom w:val="0"/>
      <w:divBdr>
        <w:top w:val="none" w:sz="0" w:space="0" w:color="auto"/>
        <w:left w:val="none" w:sz="0" w:space="0" w:color="auto"/>
        <w:bottom w:val="none" w:sz="0" w:space="0" w:color="auto"/>
        <w:right w:val="none" w:sz="0" w:space="0" w:color="auto"/>
      </w:divBdr>
    </w:div>
    <w:div w:id="753168134">
      <w:bodyDiv w:val="1"/>
      <w:marLeft w:val="0"/>
      <w:marRight w:val="0"/>
      <w:marTop w:val="0"/>
      <w:marBottom w:val="0"/>
      <w:divBdr>
        <w:top w:val="none" w:sz="0" w:space="0" w:color="auto"/>
        <w:left w:val="none" w:sz="0" w:space="0" w:color="auto"/>
        <w:bottom w:val="none" w:sz="0" w:space="0" w:color="auto"/>
        <w:right w:val="none" w:sz="0" w:space="0" w:color="auto"/>
      </w:divBdr>
    </w:div>
    <w:div w:id="905451505">
      <w:bodyDiv w:val="1"/>
      <w:marLeft w:val="0"/>
      <w:marRight w:val="0"/>
      <w:marTop w:val="0"/>
      <w:marBottom w:val="0"/>
      <w:divBdr>
        <w:top w:val="none" w:sz="0" w:space="0" w:color="auto"/>
        <w:left w:val="none" w:sz="0" w:space="0" w:color="auto"/>
        <w:bottom w:val="none" w:sz="0" w:space="0" w:color="auto"/>
        <w:right w:val="none" w:sz="0" w:space="0" w:color="auto"/>
      </w:divBdr>
    </w:div>
    <w:div w:id="929200064">
      <w:bodyDiv w:val="1"/>
      <w:marLeft w:val="0"/>
      <w:marRight w:val="0"/>
      <w:marTop w:val="0"/>
      <w:marBottom w:val="0"/>
      <w:divBdr>
        <w:top w:val="none" w:sz="0" w:space="0" w:color="auto"/>
        <w:left w:val="none" w:sz="0" w:space="0" w:color="auto"/>
        <w:bottom w:val="none" w:sz="0" w:space="0" w:color="auto"/>
        <w:right w:val="none" w:sz="0" w:space="0" w:color="auto"/>
      </w:divBdr>
    </w:div>
    <w:div w:id="1274358122">
      <w:bodyDiv w:val="1"/>
      <w:marLeft w:val="0"/>
      <w:marRight w:val="0"/>
      <w:marTop w:val="0"/>
      <w:marBottom w:val="0"/>
      <w:divBdr>
        <w:top w:val="none" w:sz="0" w:space="0" w:color="auto"/>
        <w:left w:val="none" w:sz="0" w:space="0" w:color="auto"/>
        <w:bottom w:val="none" w:sz="0" w:space="0" w:color="auto"/>
        <w:right w:val="none" w:sz="0" w:space="0" w:color="auto"/>
      </w:divBdr>
    </w:div>
    <w:div w:id="1508206180">
      <w:bodyDiv w:val="1"/>
      <w:marLeft w:val="0"/>
      <w:marRight w:val="0"/>
      <w:marTop w:val="0"/>
      <w:marBottom w:val="0"/>
      <w:divBdr>
        <w:top w:val="none" w:sz="0" w:space="0" w:color="auto"/>
        <w:left w:val="none" w:sz="0" w:space="0" w:color="auto"/>
        <w:bottom w:val="none" w:sz="0" w:space="0" w:color="auto"/>
        <w:right w:val="none" w:sz="0" w:space="0" w:color="auto"/>
      </w:divBdr>
    </w:div>
    <w:div w:id="1627665407">
      <w:bodyDiv w:val="1"/>
      <w:marLeft w:val="0"/>
      <w:marRight w:val="0"/>
      <w:marTop w:val="0"/>
      <w:marBottom w:val="0"/>
      <w:divBdr>
        <w:top w:val="none" w:sz="0" w:space="0" w:color="auto"/>
        <w:left w:val="none" w:sz="0" w:space="0" w:color="auto"/>
        <w:bottom w:val="none" w:sz="0" w:space="0" w:color="auto"/>
        <w:right w:val="none" w:sz="0" w:space="0" w:color="auto"/>
      </w:divBdr>
    </w:div>
    <w:div w:id="1629312449">
      <w:bodyDiv w:val="1"/>
      <w:marLeft w:val="0"/>
      <w:marRight w:val="0"/>
      <w:marTop w:val="0"/>
      <w:marBottom w:val="0"/>
      <w:divBdr>
        <w:top w:val="none" w:sz="0" w:space="0" w:color="auto"/>
        <w:left w:val="none" w:sz="0" w:space="0" w:color="auto"/>
        <w:bottom w:val="none" w:sz="0" w:space="0" w:color="auto"/>
        <w:right w:val="none" w:sz="0" w:space="0" w:color="auto"/>
      </w:divBdr>
    </w:div>
    <w:div w:id="1874730407">
      <w:bodyDiv w:val="1"/>
      <w:marLeft w:val="0"/>
      <w:marRight w:val="0"/>
      <w:marTop w:val="0"/>
      <w:marBottom w:val="0"/>
      <w:divBdr>
        <w:top w:val="none" w:sz="0" w:space="0" w:color="auto"/>
        <w:left w:val="none" w:sz="0" w:space="0" w:color="auto"/>
        <w:bottom w:val="none" w:sz="0" w:space="0" w:color="auto"/>
        <w:right w:val="none" w:sz="0" w:space="0" w:color="auto"/>
      </w:divBdr>
    </w:div>
    <w:div w:id="1932002536">
      <w:bodyDiv w:val="1"/>
      <w:marLeft w:val="0"/>
      <w:marRight w:val="0"/>
      <w:marTop w:val="0"/>
      <w:marBottom w:val="0"/>
      <w:divBdr>
        <w:top w:val="none" w:sz="0" w:space="0" w:color="auto"/>
        <w:left w:val="none" w:sz="0" w:space="0" w:color="auto"/>
        <w:bottom w:val="none" w:sz="0" w:space="0" w:color="auto"/>
        <w:right w:val="none" w:sz="0" w:space="0" w:color="auto"/>
      </w:divBdr>
      <w:divsChild>
        <w:div w:id="1742167987">
          <w:marLeft w:val="446"/>
          <w:marRight w:val="0"/>
          <w:marTop w:val="0"/>
          <w:marBottom w:val="0"/>
          <w:divBdr>
            <w:top w:val="none" w:sz="0" w:space="0" w:color="auto"/>
            <w:left w:val="none" w:sz="0" w:space="0" w:color="auto"/>
            <w:bottom w:val="none" w:sz="0" w:space="0" w:color="auto"/>
            <w:right w:val="none" w:sz="0" w:space="0" w:color="auto"/>
          </w:divBdr>
        </w:div>
        <w:div w:id="993486980">
          <w:marLeft w:val="446"/>
          <w:marRight w:val="0"/>
          <w:marTop w:val="0"/>
          <w:marBottom w:val="0"/>
          <w:divBdr>
            <w:top w:val="none" w:sz="0" w:space="0" w:color="auto"/>
            <w:left w:val="none" w:sz="0" w:space="0" w:color="auto"/>
            <w:bottom w:val="none" w:sz="0" w:space="0" w:color="auto"/>
            <w:right w:val="none" w:sz="0" w:space="0" w:color="auto"/>
          </w:divBdr>
        </w:div>
        <w:div w:id="1870597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4.xml"/><Relationship Id="rId21" Type="http://schemas.openxmlformats.org/officeDocument/2006/relationships/chart" Target="charts/chart7.xml"/><Relationship Id="rId42" Type="http://schemas.microsoft.com/office/2014/relationships/chartEx" Target="charts/chartEx3.xml"/><Relationship Id="rId63" Type="http://schemas.openxmlformats.org/officeDocument/2006/relationships/chart" Target="charts/chart36.xml"/><Relationship Id="rId84" Type="http://schemas.openxmlformats.org/officeDocument/2006/relationships/chart" Target="charts/chart55.xml"/><Relationship Id="rId138" Type="http://schemas.openxmlformats.org/officeDocument/2006/relationships/chart" Target="charts/chart105.xml"/><Relationship Id="rId159" Type="http://schemas.openxmlformats.org/officeDocument/2006/relationships/image" Target="media/image21.png"/><Relationship Id="rId170" Type="http://schemas.openxmlformats.org/officeDocument/2006/relationships/image" Target="media/image32.emf"/><Relationship Id="rId191" Type="http://schemas.openxmlformats.org/officeDocument/2006/relationships/chart" Target="charts/chart130.xml"/><Relationship Id="rId205" Type="http://schemas.openxmlformats.org/officeDocument/2006/relationships/theme" Target="theme/theme1.xml"/><Relationship Id="rId107" Type="http://schemas.openxmlformats.org/officeDocument/2006/relationships/chart" Target="charts/chart74.xml"/><Relationship Id="rId11" Type="http://schemas.openxmlformats.org/officeDocument/2006/relationships/image" Target="media/image3.png"/><Relationship Id="rId32" Type="http://schemas.microsoft.com/office/2014/relationships/chartEx" Target="charts/chartEx1.xml"/><Relationship Id="rId53" Type="http://schemas.openxmlformats.org/officeDocument/2006/relationships/image" Target="media/image9.emf"/><Relationship Id="rId74" Type="http://schemas.openxmlformats.org/officeDocument/2006/relationships/chart" Target="charts/chart46.xml"/><Relationship Id="rId128" Type="http://schemas.openxmlformats.org/officeDocument/2006/relationships/chart" Target="charts/chart95.xml"/><Relationship Id="rId149" Type="http://schemas.openxmlformats.org/officeDocument/2006/relationships/chart" Target="charts/chart115.xml"/><Relationship Id="rId5" Type="http://schemas.openxmlformats.org/officeDocument/2006/relationships/settings" Target="settings.xml"/><Relationship Id="rId95" Type="http://schemas.openxmlformats.org/officeDocument/2006/relationships/image" Target="media/image18.emf"/><Relationship Id="rId160" Type="http://schemas.openxmlformats.org/officeDocument/2006/relationships/image" Target="media/image22.png"/><Relationship Id="rId181" Type="http://schemas.openxmlformats.org/officeDocument/2006/relationships/diagramData" Target="diagrams/data1.xml"/><Relationship Id="rId22" Type="http://schemas.openxmlformats.org/officeDocument/2006/relationships/chart" Target="charts/chart8.xml"/><Relationship Id="rId43" Type="http://schemas.openxmlformats.org/officeDocument/2006/relationships/image" Target="media/image6.png"/><Relationship Id="rId64" Type="http://schemas.openxmlformats.org/officeDocument/2006/relationships/image" Target="media/image13.png"/><Relationship Id="rId118" Type="http://schemas.openxmlformats.org/officeDocument/2006/relationships/chart" Target="charts/chart85.xml"/><Relationship Id="rId139" Type="http://schemas.openxmlformats.org/officeDocument/2006/relationships/chart" Target="charts/chart106.xml"/><Relationship Id="rId85" Type="http://schemas.openxmlformats.org/officeDocument/2006/relationships/chart" Target="charts/chart56.xml"/><Relationship Id="rId150" Type="http://schemas.openxmlformats.org/officeDocument/2006/relationships/chart" Target="charts/chart116.xml"/><Relationship Id="rId171" Type="http://schemas.openxmlformats.org/officeDocument/2006/relationships/image" Target="media/image33.emf"/><Relationship Id="rId192" Type="http://schemas.openxmlformats.org/officeDocument/2006/relationships/chart" Target="charts/chart131.xml"/><Relationship Id="rId12" Type="http://schemas.openxmlformats.org/officeDocument/2006/relationships/header" Target="header1.xml"/><Relationship Id="rId33" Type="http://schemas.openxmlformats.org/officeDocument/2006/relationships/image" Target="media/image4.png"/><Relationship Id="rId108" Type="http://schemas.openxmlformats.org/officeDocument/2006/relationships/chart" Target="charts/chart75.xml"/><Relationship Id="rId129" Type="http://schemas.openxmlformats.org/officeDocument/2006/relationships/chart" Target="charts/chart96.xml"/><Relationship Id="rId54" Type="http://schemas.openxmlformats.org/officeDocument/2006/relationships/chart" Target="charts/chart30.xml"/><Relationship Id="rId75" Type="http://schemas.openxmlformats.org/officeDocument/2006/relationships/chart" Target="charts/chart47.xml"/><Relationship Id="rId96" Type="http://schemas.openxmlformats.org/officeDocument/2006/relationships/chart" Target="charts/chart63.xml"/><Relationship Id="rId140" Type="http://schemas.openxmlformats.org/officeDocument/2006/relationships/image" Target="media/image19.emf"/><Relationship Id="rId161" Type="http://schemas.openxmlformats.org/officeDocument/2006/relationships/image" Target="media/image23.png"/><Relationship Id="rId182" Type="http://schemas.openxmlformats.org/officeDocument/2006/relationships/diagramLayout" Target="diagrams/layout1.xml"/><Relationship Id="rId6" Type="http://schemas.openxmlformats.org/officeDocument/2006/relationships/webSettings" Target="webSettings.xml"/><Relationship Id="rId23" Type="http://schemas.openxmlformats.org/officeDocument/2006/relationships/chart" Target="charts/chart9.xml"/><Relationship Id="rId119" Type="http://schemas.openxmlformats.org/officeDocument/2006/relationships/chart" Target="charts/chart86.xml"/><Relationship Id="rId44" Type="http://schemas.openxmlformats.org/officeDocument/2006/relationships/chart" Target="charts/chart24.xml"/><Relationship Id="rId65" Type="http://schemas.openxmlformats.org/officeDocument/2006/relationships/chart" Target="charts/chart37.xml"/><Relationship Id="rId86" Type="http://schemas.openxmlformats.org/officeDocument/2006/relationships/chart" Target="charts/chart57.xml"/><Relationship Id="rId130" Type="http://schemas.openxmlformats.org/officeDocument/2006/relationships/chart" Target="charts/chart97.xml"/><Relationship Id="rId151" Type="http://schemas.openxmlformats.org/officeDocument/2006/relationships/chart" Target="charts/chart117.xml"/><Relationship Id="rId172" Type="http://schemas.openxmlformats.org/officeDocument/2006/relationships/image" Target="media/image34.emf"/><Relationship Id="rId193" Type="http://schemas.openxmlformats.org/officeDocument/2006/relationships/image" Target="media/image51.emf"/><Relationship Id="rId13" Type="http://schemas.openxmlformats.org/officeDocument/2006/relationships/footer" Target="footer1.xml"/><Relationship Id="rId109" Type="http://schemas.openxmlformats.org/officeDocument/2006/relationships/chart" Target="charts/chart76.xml"/><Relationship Id="rId34" Type="http://schemas.openxmlformats.org/officeDocument/2006/relationships/chart" Target="charts/chart18.xml"/><Relationship Id="rId55" Type="http://schemas.openxmlformats.org/officeDocument/2006/relationships/chart" Target="charts/chart31.xml"/><Relationship Id="rId76" Type="http://schemas.openxmlformats.org/officeDocument/2006/relationships/image" Target="media/image14.emf"/><Relationship Id="rId97" Type="http://schemas.openxmlformats.org/officeDocument/2006/relationships/chart" Target="charts/chart64.xml"/><Relationship Id="rId120" Type="http://schemas.openxmlformats.org/officeDocument/2006/relationships/chart" Target="charts/chart87.xml"/><Relationship Id="rId141" Type="http://schemas.openxmlformats.org/officeDocument/2006/relationships/chart" Target="charts/chart107.xml"/><Relationship Id="rId7" Type="http://schemas.openxmlformats.org/officeDocument/2006/relationships/footnotes" Target="footnotes.xml"/><Relationship Id="rId162" Type="http://schemas.openxmlformats.org/officeDocument/2006/relationships/image" Target="media/image24.png"/><Relationship Id="rId183" Type="http://schemas.openxmlformats.org/officeDocument/2006/relationships/diagramQuickStyle" Target="diagrams/quickStyle1.xml"/><Relationship Id="rId24" Type="http://schemas.openxmlformats.org/officeDocument/2006/relationships/chart" Target="charts/chart10.xml"/><Relationship Id="rId40" Type="http://schemas.openxmlformats.org/officeDocument/2006/relationships/chart" Target="charts/chart22.xml"/><Relationship Id="rId45" Type="http://schemas.openxmlformats.org/officeDocument/2006/relationships/chart" Target="charts/chart25.xml"/><Relationship Id="rId66" Type="http://schemas.openxmlformats.org/officeDocument/2006/relationships/chart" Target="charts/chart38.xml"/><Relationship Id="rId87" Type="http://schemas.openxmlformats.org/officeDocument/2006/relationships/image" Target="media/image15.emf"/><Relationship Id="rId110" Type="http://schemas.openxmlformats.org/officeDocument/2006/relationships/chart" Target="charts/chart77.xml"/><Relationship Id="rId115" Type="http://schemas.openxmlformats.org/officeDocument/2006/relationships/chart" Target="charts/chart82.xml"/><Relationship Id="rId131" Type="http://schemas.openxmlformats.org/officeDocument/2006/relationships/chart" Target="charts/chart98.xml"/><Relationship Id="rId136" Type="http://schemas.openxmlformats.org/officeDocument/2006/relationships/chart" Target="charts/chart103.xml"/><Relationship Id="rId157" Type="http://schemas.openxmlformats.org/officeDocument/2006/relationships/chart" Target="charts/chart123.xml"/><Relationship Id="rId178" Type="http://schemas.openxmlformats.org/officeDocument/2006/relationships/chart" Target="charts/chart128.xml"/><Relationship Id="rId61" Type="http://schemas.openxmlformats.org/officeDocument/2006/relationships/image" Target="media/image11.png"/><Relationship Id="rId82" Type="http://schemas.openxmlformats.org/officeDocument/2006/relationships/chart" Target="charts/chart53.xml"/><Relationship Id="rId152" Type="http://schemas.openxmlformats.org/officeDocument/2006/relationships/chart" Target="charts/chart118.xml"/><Relationship Id="rId173" Type="http://schemas.openxmlformats.org/officeDocument/2006/relationships/image" Target="media/image35.png"/><Relationship Id="rId194" Type="http://schemas.openxmlformats.org/officeDocument/2006/relationships/chart" Target="charts/chart132.xml"/><Relationship Id="rId199" Type="http://schemas.openxmlformats.org/officeDocument/2006/relationships/chart" Target="charts/chart137.xml"/><Relationship Id="rId203" Type="http://schemas.openxmlformats.org/officeDocument/2006/relationships/chart" Target="charts/chart141.xml"/><Relationship Id="rId19" Type="http://schemas.openxmlformats.org/officeDocument/2006/relationships/chart" Target="charts/chart5.xml"/><Relationship Id="rId14" Type="http://schemas.openxmlformats.org/officeDocument/2006/relationships/footer" Target="footer2.xml"/><Relationship Id="rId30" Type="http://schemas.openxmlformats.org/officeDocument/2006/relationships/chart" Target="charts/chart16.xml"/><Relationship Id="rId35" Type="http://schemas.openxmlformats.org/officeDocument/2006/relationships/chart" Target="charts/chart19.xml"/><Relationship Id="rId56" Type="http://schemas.openxmlformats.org/officeDocument/2006/relationships/chart" Target="charts/chart32.xml"/><Relationship Id="rId77" Type="http://schemas.openxmlformats.org/officeDocument/2006/relationships/chart" Target="charts/chart48.xml"/><Relationship Id="rId100" Type="http://schemas.openxmlformats.org/officeDocument/2006/relationships/chart" Target="charts/chart67.xml"/><Relationship Id="rId105" Type="http://schemas.openxmlformats.org/officeDocument/2006/relationships/chart" Target="charts/chart72.xml"/><Relationship Id="rId126" Type="http://schemas.openxmlformats.org/officeDocument/2006/relationships/chart" Target="charts/chart93.xml"/><Relationship Id="rId147" Type="http://schemas.openxmlformats.org/officeDocument/2006/relationships/chart" Target="charts/chart113.xml"/><Relationship Id="rId16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8.emf"/><Relationship Id="rId72" Type="http://schemas.openxmlformats.org/officeDocument/2006/relationships/chart" Target="charts/chart44.xml"/><Relationship Id="rId93" Type="http://schemas.openxmlformats.org/officeDocument/2006/relationships/chart" Target="charts/chart62.xml"/><Relationship Id="rId98" Type="http://schemas.openxmlformats.org/officeDocument/2006/relationships/chart" Target="charts/chart65.xml"/><Relationship Id="rId121" Type="http://schemas.openxmlformats.org/officeDocument/2006/relationships/chart" Target="charts/chart88.xml"/><Relationship Id="rId142" Type="http://schemas.openxmlformats.org/officeDocument/2006/relationships/chart" Target="charts/chart108.xml"/><Relationship Id="rId163" Type="http://schemas.openxmlformats.org/officeDocument/2006/relationships/image" Target="media/image25.png"/><Relationship Id="rId184" Type="http://schemas.openxmlformats.org/officeDocument/2006/relationships/diagramColors" Target="diagrams/colors1.xml"/><Relationship Id="rId189" Type="http://schemas.openxmlformats.org/officeDocument/2006/relationships/image" Target="media/image49.png"/><Relationship Id="rId3" Type="http://schemas.openxmlformats.org/officeDocument/2006/relationships/numbering" Target="numbering.xml"/><Relationship Id="rId25" Type="http://schemas.openxmlformats.org/officeDocument/2006/relationships/chart" Target="charts/chart11.xml"/><Relationship Id="rId46" Type="http://schemas.openxmlformats.org/officeDocument/2006/relationships/chart" Target="charts/chart26.xml"/><Relationship Id="rId67" Type="http://schemas.openxmlformats.org/officeDocument/2006/relationships/chart" Target="charts/chart39.xml"/><Relationship Id="rId116" Type="http://schemas.openxmlformats.org/officeDocument/2006/relationships/chart" Target="charts/chart83.xml"/><Relationship Id="rId137" Type="http://schemas.openxmlformats.org/officeDocument/2006/relationships/chart" Target="charts/chart104.xml"/><Relationship Id="rId158" Type="http://schemas.openxmlformats.org/officeDocument/2006/relationships/image" Target="media/image20.png"/><Relationship Id="rId20" Type="http://schemas.openxmlformats.org/officeDocument/2006/relationships/chart" Target="charts/chart6.xml"/><Relationship Id="rId41" Type="http://schemas.openxmlformats.org/officeDocument/2006/relationships/chart" Target="charts/chart23.xml"/><Relationship Id="rId62" Type="http://schemas.openxmlformats.org/officeDocument/2006/relationships/image" Target="media/image12.png"/><Relationship Id="rId83" Type="http://schemas.openxmlformats.org/officeDocument/2006/relationships/chart" Target="charts/chart54.xml"/><Relationship Id="rId88" Type="http://schemas.openxmlformats.org/officeDocument/2006/relationships/chart" Target="charts/chart58.xml"/><Relationship Id="rId111" Type="http://schemas.openxmlformats.org/officeDocument/2006/relationships/chart" Target="charts/chart78.xml"/><Relationship Id="rId132" Type="http://schemas.openxmlformats.org/officeDocument/2006/relationships/chart" Target="charts/chart99.xml"/><Relationship Id="rId153" Type="http://schemas.openxmlformats.org/officeDocument/2006/relationships/chart" Target="charts/chart119.xml"/><Relationship Id="rId174" Type="http://schemas.openxmlformats.org/officeDocument/2006/relationships/chart" Target="charts/chart124.xml"/><Relationship Id="rId179" Type="http://schemas.openxmlformats.org/officeDocument/2006/relationships/chart" Target="charts/chart129.xml"/><Relationship Id="rId195" Type="http://schemas.openxmlformats.org/officeDocument/2006/relationships/chart" Target="charts/chart133.xml"/><Relationship Id="rId190" Type="http://schemas.openxmlformats.org/officeDocument/2006/relationships/image" Target="media/image50.png"/><Relationship Id="rId204" Type="http://schemas.openxmlformats.org/officeDocument/2006/relationships/fontTable" Target="fontTable.xml"/><Relationship Id="rId15" Type="http://schemas.openxmlformats.org/officeDocument/2006/relationships/chart" Target="charts/chart1.xml"/><Relationship Id="rId36" Type="http://schemas.openxmlformats.org/officeDocument/2006/relationships/chart" Target="charts/chart20.xml"/><Relationship Id="rId57" Type="http://schemas.openxmlformats.org/officeDocument/2006/relationships/chart" Target="charts/chart33.xml"/><Relationship Id="rId106" Type="http://schemas.openxmlformats.org/officeDocument/2006/relationships/chart" Target="charts/chart73.xml"/><Relationship Id="rId127" Type="http://schemas.openxmlformats.org/officeDocument/2006/relationships/chart" Target="charts/chart94.xml"/><Relationship Id="rId10" Type="http://schemas.openxmlformats.org/officeDocument/2006/relationships/image" Target="media/image2.png"/><Relationship Id="rId31" Type="http://schemas.openxmlformats.org/officeDocument/2006/relationships/chart" Target="charts/chart17.xml"/><Relationship Id="rId52" Type="http://schemas.openxmlformats.org/officeDocument/2006/relationships/chart" Target="charts/chart29.xml"/><Relationship Id="rId73" Type="http://schemas.openxmlformats.org/officeDocument/2006/relationships/chart" Target="charts/chart45.xml"/><Relationship Id="rId78" Type="http://schemas.openxmlformats.org/officeDocument/2006/relationships/chart" Target="charts/chart49.xml"/><Relationship Id="rId94" Type="http://schemas.openxmlformats.org/officeDocument/2006/relationships/image" Target="media/image17.emf"/><Relationship Id="rId99" Type="http://schemas.openxmlformats.org/officeDocument/2006/relationships/chart" Target="charts/chart66.xml"/><Relationship Id="rId101" Type="http://schemas.openxmlformats.org/officeDocument/2006/relationships/chart" Target="charts/chart68.xml"/><Relationship Id="rId122" Type="http://schemas.openxmlformats.org/officeDocument/2006/relationships/chart" Target="charts/chart89.xml"/><Relationship Id="rId143" Type="http://schemas.openxmlformats.org/officeDocument/2006/relationships/chart" Target="charts/chart109.xml"/><Relationship Id="rId148" Type="http://schemas.openxmlformats.org/officeDocument/2006/relationships/chart" Target="charts/chart114.xml"/><Relationship Id="rId164" Type="http://schemas.openxmlformats.org/officeDocument/2006/relationships/image" Target="media/image26.png"/><Relationship Id="rId169" Type="http://schemas.openxmlformats.org/officeDocument/2006/relationships/image" Target="media/image31.emf"/><Relationship Id="rId185"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36.png"/><Relationship Id="rId26" Type="http://schemas.openxmlformats.org/officeDocument/2006/relationships/chart" Target="charts/chart12.xml"/><Relationship Id="rId47" Type="http://schemas.microsoft.com/office/2014/relationships/chartEx" Target="charts/chartEx4.xml"/><Relationship Id="rId68" Type="http://schemas.openxmlformats.org/officeDocument/2006/relationships/chart" Target="charts/chart40.xml"/><Relationship Id="rId89" Type="http://schemas.openxmlformats.org/officeDocument/2006/relationships/chart" Target="charts/chart59.xml"/><Relationship Id="rId112" Type="http://schemas.openxmlformats.org/officeDocument/2006/relationships/chart" Target="charts/chart79.xml"/><Relationship Id="rId133" Type="http://schemas.openxmlformats.org/officeDocument/2006/relationships/chart" Target="charts/chart100.xml"/><Relationship Id="rId154" Type="http://schemas.openxmlformats.org/officeDocument/2006/relationships/chart" Target="charts/chart120.xml"/><Relationship Id="rId175" Type="http://schemas.openxmlformats.org/officeDocument/2006/relationships/chart" Target="charts/chart125.xml"/><Relationship Id="rId196" Type="http://schemas.openxmlformats.org/officeDocument/2006/relationships/chart" Target="charts/chart134.xml"/><Relationship Id="rId200" Type="http://schemas.openxmlformats.org/officeDocument/2006/relationships/chart" Target="charts/chart138.xml"/><Relationship Id="rId16" Type="http://schemas.openxmlformats.org/officeDocument/2006/relationships/chart" Target="charts/chart2.xml"/><Relationship Id="rId37" Type="http://schemas.microsoft.com/office/2014/relationships/chartEx" Target="charts/chartEx2.xml"/><Relationship Id="rId58" Type="http://schemas.openxmlformats.org/officeDocument/2006/relationships/chart" Target="charts/chart34.xml"/><Relationship Id="rId79" Type="http://schemas.openxmlformats.org/officeDocument/2006/relationships/chart" Target="charts/chart50.xml"/><Relationship Id="rId102" Type="http://schemas.openxmlformats.org/officeDocument/2006/relationships/chart" Target="charts/chart69.xml"/><Relationship Id="rId123" Type="http://schemas.openxmlformats.org/officeDocument/2006/relationships/chart" Target="charts/chart90.xml"/><Relationship Id="rId144" Type="http://schemas.openxmlformats.org/officeDocument/2006/relationships/chart" Target="charts/chart110.xml"/><Relationship Id="rId90" Type="http://schemas.openxmlformats.org/officeDocument/2006/relationships/chart" Target="charts/chart60.xml"/><Relationship Id="rId165" Type="http://schemas.openxmlformats.org/officeDocument/2006/relationships/image" Target="media/image27.png"/><Relationship Id="rId186" Type="http://schemas.openxmlformats.org/officeDocument/2006/relationships/image" Target="media/image46.png"/><Relationship Id="rId27" Type="http://schemas.openxmlformats.org/officeDocument/2006/relationships/chart" Target="charts/chart13.xml"/><Relationship Id="rId48" Type="http://schemas.openxmlformats.org/officeDocument/2006/relationships/image" Target="media/image7.png"/><Relationship Id="rId69" Type="http://schemas.openxmlformats.org/officeDocument/2006/relationships/chart" Target="charts/chart41.xml"/><Relationship Id="rId113" Type="http://schemas.openxmlformats.org/officeDocument/2006/relationships/chart" Target="charts/chart80.xml"/><Relationship Id="rId134" Type="http://schemas.openxmlformats.org/officeDocument/2006/relationships/chart" Target="charts/chart101.xml"/><Relationship Id="rId80" Type="http://schemas.openxmlformats.org/officeDocument/2006/relationships/chart" Target="charts/chart51.xml"/><Relationship Id="rId155" Type="http://schemas.openxmlformats.org/officeDocument/2006/relationships/chart" Target="charts/chart121.xml"/><Relationship Id="rId176" Type="http://schemas.openxmlformats.org/officeDocument/2006/relationships/chart" Target="charts/chart126.xml"/><Relationship Id="rId197" Type="http://schemas.openxmlformats.org/officeDocument/2006/relationships/chart" Target="charts/chart135.xml"/><Relationship Id="rId201" Type="http://schemas.openxmlformats.org/officeDocument/2006/relationships/chart" Target="charts/chart139.xml"/><Relationship Id="rId17" Type="http://schemas.openxmlformats.org/officeDocument/2006/relationships/chart" Target="charts/chart3.xml"/><Relationship Id="rId38" Type="http://schemas.openxmlformats.org/officeDocument/2006/relationships/image" Target="media/image5.png"/><Relationship Id="rId59" Type="http://schemas.openxmlformats.org/officeDocument/2006/relationships/chart" Target="charts/chart35.xml"/><Relationship Id="rId103" Type="http://schemas.openxmlformats.org/officeDocument/2006/relationships/chart" Target="charts/chart70.xml"/><Relationship Id="rId124" Type="http://schemas.openxmlformats.org/officeDocument/2006/relationships/chart" Target="charts/chart91.xml"/><Relationship Id="rId70" Type="http://schemas.openxmlformats.org/officeDocument/2006/relationships/chart" Target="charts/chart42.xml"/><Relationship Id="rId91" Type="http://schemas.openxmlformats.org/officeDocument/2006/relationships/chart" Target="charts/chart61.xml"/><Relationship Id="rId145" Type="http://schemas.openxmlformats.org/officeDocument/2006/relationships/chart" Target="charts/chart111.xml"/><Relationship Id="rId166" Type="http://schemas.openxmlformats.org/officeDocument/2006/relationships/image" Target="media/image28.png"/><Relationship Id="rId187" Type="http://schemas.openxmlformats.org/officeDocument/2006/relationships/image" Target="media/image47.png"/><Relationship Id="rId1" Type="http://schemas.openxmlformats.org/officeDocument/2006/relationships/customXml" Target="../customXml/item1.xml"/><Relationship Id="rId28" Type="http://schemas.openxmlformats.org/officeDocument/2006/relationships/chart" Target="charts/chart14.xml"/><Relationship Id="rId49" Type="http://schemas.openxmlformats.org/officeDocument/2006/relationships/chart" Target="charts/chart27.xml"/><Relationship Id="rId114" Type="http://schemas.openxmlformats.org/officeDocument/2006/relationships/chart" Target="charts/chart81.xml"/><Relationship Id="rId60" Type="http://schemas.openxmlformats.org/officeDocument/2006/relationships/image" Target="media/image10.png"/><Relationship Id="rId81" Type="http://schemas.openxmlformats.org/officeDocument/2006/relationships/chart" Target="charts/chart52.xml"/><Relationship Id="rId135" Type="http://schemas.openxmlformats.org/officeDocument/2006/relationships/chart" Target="charts/chart102.xml"/><Relationship Id="rId156" Type="http://schemas.openxmlformats.org/officeDocument/2006/relationships/chart" Target="charts/chart122.xml"/><Relationship Id="rId177" Type="http://schemas.openxmlformats.org/officeDocument/2006/relationships/chart" Target="charts/chart127.xml"/><Relationship Id="rId198" Type="http://schemas.openxmlformats.org/officeDocument/2006/relationships/chart" Target="charts/chart136.xml"/><Relationship Id="rId202" Type="http://schemas.openxmlformats.org/officeDocument/2006/relationships/chart" Target="charts/chart140.xml"/><Relationship Id="rId18" Type="http://schemas.openxmlformats.org/officeDocument/2006/relationships/chart" Target="charts/chart4.xml"/><Relationship Id="rId39" Type="http://schemas.openxmlformats.org/officeDocument/2006/relationships/chart" Target="charts/chart21.xml"/><Relationship Id="rId50" Type="http://schemas.openxmlformats.org/officeDocument/2006/relationships/chart" Target="charts/chart28.xml"/><Relationship Id="rId104" Type="http://schemas.openxmlformats.org/officeDocument/2006/relationships/chart" Target="charts/chart71.xml"/><Relationship Id="rId125" Type="http://schemas.openxmlformats.org/officeDocument/2006/relationships/chart" Target="charts/chart92.xml"/><Relationship Id="rId146" Type="http://schemas.openxmlformats.org/officeDocument/2006/relationships/chart" Target="charts/chart112.xml"/><Relationship Id="rId167" Type="http://schemas.openxmlformats.org/officeDocument/2006/relationships/image" Target="media/image29.png"/><Relationship Id="rId188" Type="http://schemas.openxmlformats.org/officeDocument/2006/relationships/image" Target="media/image48.png"/><Relationship Id="rId71" Type="http://schemas.openxmlformats.org/officeDocument/2006/relationships/chart" Target="charts/chart43.xml"/><Relationship Id="rId92"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alegre\Documents\Heberto\MINFIN\riesgo%20fiscal\2023\db\fmi.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santizo\Desktop\Carpetas\Riesgos\Riesgos%202023\Errores%20de%20pron&#243;sticos%20macroecon&#243;micos.xlsx"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https://d.docs.live.net/839d125cae53b6db/FMI/EFP/Riesgos%20Fiscales/2023/GL/Evaluaci&#243;n%20a%20Municipalidades.xlsx"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https://d.docs.live.net/839d125cae53b6db/FMI/EFP/Riesgos%20Fiscales/2023/GL/Evaluaci&#243;n%20a%20Municipalidades.xlsx"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https://d.docs.live.net/839d125cae53b6db/FMI/EFP/Riesgos%20Fiscales/2023/GL/Evaluaci&#243;n%20a%20Municipalidades.xlsx"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84.xml"/><Relationship Id="rId1" Type="http://schemas.microsoft.com/office/2011/relationships/chartStyle" Target="style84.xml"/><Relationship Id="rId5" Type="http://schemas.openxmlformats.org/officeDocument/2006/relationships/chartUserShapes" Target="../drawings/drawing5.xml"/><Relationship Id="rId4" Type="http://schemas.openxmlformats.org/officeDocument/2006/relationships/oleObject" Target="https://d.docs.live.net/839d125cae53b6db/FMI/EFP/Riesgos%20Fiscales/2023/GL/Evaluaci&#243;n%20a%20Municipalidades.xlsx"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https://d.docs.live.net/839d125cae53b6db/FMI/EFP/Riesgos%20Fiscales/2023/GL/Evaluaci&#243;n%20a%20Municipalidades.xlsx"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https://d.docs.live.net/839d125cae53b6db/FMI/EFP/Riesgos%20Fiscales/2023/GL/Evaluaci&#243;n%20a%20Municipalidades.xlsx"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https://d.docs.live.net/839d125cae53b6db/FMI/EFP/Riesgos%20Fiscales/2023/GL/Evaluaci&#243;n%20a%20Municipalidades.xlsx" TargetMode="External"/></Relationships>
</file>

<file path=word/charts/_rels/chart10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88.xml"/><Relationship Id="rId1" Type="http://schemas.microsoft.com/office/2011/relationships/chartStyle" Target="style88.xml"/></Relationships>
</file>

<file path=word/charts/_rels/chart10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89.xml"/><Relationship Id="rId1" Type="http://schemas.microsoft.com/office/2011/relationships/chartStyle" Target="style89.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90.xml"/><Relationship Id="rId1" Type="http://schemas.microsoft.com/office/2011/relationships/chartStyle" Target="style90.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santizo\Desktop\Carpetas\Riesgos\Riesgos%202023\Errores%20de%20pron&#243;sticos%20macroecon&#243;micos.xlsx" TargetMode="External"/></Relationships>
</file>

<file path=word/charts/_rels/chart11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1.xml"/><Relationship Id="rId1" Type="http://schemas.microsoft.com/office/2011/relationships/chartStyle" Target="style91.xml"/></Relationships>
</file>

<file path=word/charts/_rels/chart11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92.xml"/><Relationship Id="rId1" Type="http://schemas.microsoft.com/office/2011/relationships/chartStyle" Target="style92.xml"/></Relationships>
</file>

<file path=word/charts/_rels/chart112.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93.xml"/><Relationship Id="rId1" Type="http://schemas.microsoft.com/office/2011/relationships/chartStyle" Target="style93.xml"/></Relationships>
</file>

<file path=word/charts/_rels/chart113.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94.xml"/><Relationship Id="rId1" Type="http://schemas.microsoft.com/office/2011/relationships/chartStyle" Target="style94.xml"/></Relationships>
</file>

<file path=word/charts/_rels/chart114.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95.xml"/><Relationship Id="rId1" Type="http://schemas.microsoft.com/office/2011/relationships/chartStyle" Target="style95.xm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package" Target="../embeddings/Microsoft_Excel_Worksheet21.xlsx"/></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package" Target="../embeddings/Microsoft_Excel_Worksheet22.xlsx"/></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package" Target="../embeddings/Microsoft_Excel_Worksheet23.xlsx"/></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package" Target="../embeddings/Microsoft_Excel_Worksheet24.xlsx"/></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25.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psantizo\Desktop\Carpetas\Riesgos\Riesgos%202023\Errores%20de%20pron&#243;sticos%20macroecon&#243;micos.xlsx"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package" Target="../embeddings/Microsoft_Excel_Worksheet26.xlsx"/></Relationships>
</file>

<file path=word/charts/_rels/chart121.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02.xml"/><Relationship Id="rId1" Type="http://schemas.microsoft.com/office/2011/relationships/chartStyle" Target="style102.xml"/></Relationships>
</file>

<file path=word/charts/_rels/chart122.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03.xml"/><Relationship Id="rId1" Type="http://schemas.microsoft.com/office/2011/relationships/chartStyle" Target="style103.xml"/></Relationships>
</file>

<file path=word/charts/_rels/chart123.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04.xml"/><Relationship Id="rId1" Type="http://schemas.microsoft.com/office/2011/relationships/chartStyle" Target="style104.xm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package" Target="../embeddings/Microsoft_Excel_Worksheet30.xlsx"/></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package" Target="../embeddings/Microsoft_Excel_Worksheet31.xlsx"/></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package" Target="../embeddings/Microsoft_Excel_Worksheet32.xlsx"/></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package" Target="../embeddings/Microsoft_Excel_Worksheet33.xlsx"/></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package" Target="../embeddings/Microsoft_Excel_Worksheet34.xlsx"/></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package" Target="../embeddings/Microsoft_Excel_Worksheet35.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psantizo\Desktop\Carpetas\Riesgos\Riesgos%202023\Errores%20de%20pron&#243;sticos%20macroecon&#243;micos.xlsx" TargetMode="External"/></Relationships>
</file>

<file path=word/charts/_rels/chart130.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111.xml"/><Relationship Id="rId1" Type="http://schemas.microsoft.com/office/2011/relationships/chartStyle" Target="style111.xml"/></Relationships>
</file>

<file path=word/charts/_rels/chart131.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112.xml"/><Relationship Id="rId1" Type="http://schemas.microsoft.com/office/2011/relationships/chartStyle" Target="style112.xml"/></Relationships>
</file>

<file path=word/charts/_rels/chart132.xml.rels><?xml version="1.0" encoding="UTF-8" standalone="yes"?>
<Relationships xmlns="http://schemas.openxmlformats.org/package/2006/relationships"><Relationship Id="rId1" Type="http://schemas.openxmlformats.org/officeDocument/2006/relationships/oleObject" Target="file:///C:\Users\psantizo\Desktop\Carpetas\Riesgos%20por%20desastres%20naturales\Herramienta%20de%20impacto%20macro%20fiscal%20de%20desastres%20template%20Tormentas%202023.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C:\Users\psantizo\Desktop\Carpetas\Riesgos%20por%20desastres%20naturales\Herramienta%20de%20impacto%20macro%20fiscal%20de%20desastres%20template%20Tormentas%202023.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C:\Users\psantizo\Desktop\Carpetas\Riesgos%20por%20desastres%20naturales\Herramienta%20de%20impacto%20macro%20fiscal%20de%20desastres%20template%20Tormentas%202023.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C:\Users\psantizo\Desktop\Carpetas\Riesgos%20por%20desastres%20naturales\Herramienta%20de%20impacto%20macro%20fiscal%20de%20desastres%20template%20terremoto%202023.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C:\Users\psantizo\Desktop\Carpetas\Riesgos%20por%20desastres%20naturales\Herramienta%20de%20impacto%20macro%20fiscal%20de%20desastres%20template%20terremoto%202023.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C:\Users\psantizo\Desktop\Carpetas\Riesgos%20por%20desastres%20naturales\Herramienta%20de%20impacto%20macro%20fiscal%20de%20desastres%20template%20terremoto%202023.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C:\Users\psantizo\Desktop\Carpetas\Riesgos%20por%20desastres%20naturales\Herramienta%20de%20impacto%20macro%20fiscal%20de%20desastres%20template%20volcan%202023.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C:\Users\psantizo\Desktop\Carpetas\Riesgos%20por%20desastres%20naturales\Herramienta%20de%20impacto%20macro%20fiscal%20de%20desastres%20template%20volcan%20202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santizo\Desktop\Carpetas\Riesgos\Riesgos%202023\Errores%20de%20pron&#243;sticos%20macroecon&#243;micos.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C:\Users\psantizo\Desktop\Carpetas\Riesgos%20por%20desastres%20naturales\Herramienta%20de%20impacto%20macro%20fiscal%20de%20desastres%20template%20volcan%202023.xlsx" TargetMode="External"/></Relationships>
</file>

<file path=word/charts/_rels/chart141.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113.xml"/><Relationship Id="rId1" Type="http://schemas.microsoft.com/office/2011/relationships/chartStyle" Target="style113.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halegre\Documents\Heberto\MINFIN\riesgo%20fiscal\2023\db\fm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7.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8.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9.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0.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1.xlsx"/></Relationships>
</file>

<file path=word/charts/_rels/chart27.xml.rels><?xml version="1.0" encoding="UTF-8" standalone="yes"?>
<Relationships xmlns="http://schemas.openxmlformats.org/package/2006/relationships"><Relationship Id="rId3" Type="http://schemas.openxmlformats.org/officeDocument/2006/relationships/oleObject" Target="file:///C:\Users\psantizo\Desktop\Carpetas\Riesgos\Riesgos%202023\Errores%20de%20pron&#243;sticos%20macroecon&#243;micos.xlsx" TargetMode="External"/><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santizo\Desktop\Carpetas\Riesgos\Riesgos%202023\Errores%20de%20pron&#243;sticos%20macroecon&#243;micos.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psantizo\Desktop\Carpetas\ASD%20tropicalizado\ASD%202023%20estimaci&#243;n%20de%20cierre%20090323.xlsm"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legre\Documents\Heberto\MINFIN\riesgo%20fiscal\2023\db\fmi.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psantizo\Desktop\Carpetas\Riesgos\Riesgos%202023\Tasas%20de%20inter&#233;s\Tasas%20de%20inter&#233;s%20modelo.xlsx" TargetMode="External"/><Relationship Id="rId2" Type="http://schemas.microsoft.com/office/2011/relationships/chartColorStyle" Target="colors26.xml"/><Relationship Id="rId1" Type="http://schemas.microsoft.com/office/2011/relationships/chartStyle" Target="style26.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psantizo\Desktop\Documentos%202022\MFMP\2023\tasas.xlsx" TargetMode="External"/><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halegre\Documents\Heberto\MINFIN\presentaciones\db.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psantizo\Desktop\Carpetas\Riesgos\Riesgos%202023\Tasas%20de%20inter&#233;s\Copia%20de%20Tasas%20de%20inter&#233;s%20modelo%202.xlsx" TargetMode="External"/><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santizo\Desktop\Carpetas\Riesgos\Riesgos%202023\Tasas%20de%20inter&#233;s\Copia%20de%20Tasas%20de%20inter&#233;s%20modelo%20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psantizo\Desktop\Carpetas\Riesgos\Riesgos%202023\Tasas%20de%20inter&#233;s\Copia%20de%20Tasas%20de%20inter&#233;s%20modelo%202.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C:\Users\psantizo\AppData\Local\Microsoft\Windows\INetCache\Content.Outlook\4CRZN17L\Precios%20Nacionales%20y%20costo%20refineria.xlsx" TargetMode="External"/><Relationship Id="rId2" Type="http://schemas.microsoft.com/office/2011/relationships/chartColorStyle" Target="colors29.xml"/><Relationship Id="rId1" Type="http://schemas.microsoft.com/office/2011/relationships/chartStyle" Target="style29.xml"/></Relationships>
</file>

<file path=word/charts/_rels/chart37.xml.rels><?xml version="1.0" encoding="UTF-8" standalone="yes"?>
<Relationships xmlns="http://schemas.openxmlformats.org/package/2006/relationships"><Relationship Id="rId1" Type="http://schemas.openxmlformats.org/officeDocument/2006/relationships/oleObject" Target="file:///C:\Users\psantizo\Desktop\Carpetas\Riesgos\Riesgos%202023\WTI\Modelo_Consumo.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psantizo\Desktop\Carpetas\Riesgos\Riesgos%202023\WTI\Modelo_Consumo.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psantizo\Desktop\Carpetas\Riesgos\Riesgos%202023\WTI\Modelo_Consumo.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legre\Documents\Heberto\MINFIN\riesgo%20fiscal\2023\db\fmi.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psantizo\Desktop\Carpetas\Riesgos\Riesgos%202023\WTI\Modelo_Consumo.xlsx" TargetMode="External"/><Relationship Id="rId2" Type="http://schemas.microsoft.com/office/2011/relationships/chartColorStyle" Target="colors30.xml"/><Relationship Id="rId1" Type="http://schemas.microsoft.com/office/2011/relationships/chartStyle" Target="style30.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psantizo\Desktop\Carpetas\Riesgos\Riesgos%202023\WTI\Modelo_Consumo.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C:\Users\psantizo\Desktop\Carpetas\Riesgos\Riesgos%202023\WTI\Modelo_Consumo.xlsx" TargetMode="External"/><Relationship Id="rId2" Type="http://schemas.microsoft.com/office/2011/relationships/chartColorStyle" Target="colors31.xml"/><Relationship Id="rId1" Type="http://schemas.microsoft.com/office/2011/relationships/chartStyle" Target="style31.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psantizo\Desktop\Carpetas\Riesgos\Riesgos%202023\WTI\Modelo_Consumo.xlsx" TargetMode="External"/><Relationship Id="rId2" Type="http://schemas.microsoft.com/office/2011/relationships/chartColorStyle" Target="colors32.xml"/><Relationship Id="rId1" Type="http://schemas.microsoft.com/office/2011/relationships/chartStyle" Target="style32.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psantizo\Desktop\Carpetas\Riesgos\Riesgos%202022\COVID\Gr&#225;ficos.xlsx" TargetMode="External"/><Relationship Id="rId2" Type="http://schemas.microsoft.com/office/2011/relationships/chartColorStyle" Target="colors33.xml"/><Relationship Id="rId1" Type="http://schemas.microsoft.com/office/2011/relationships/chartStyle" Target="style33.xml"/></Relationships>
</file>

<file path=word/charts/_rels/chart45.xml.rels><?xml version="1.0" encoding="UTF-8" standalone="yes"?>
<Relationships xmlns="http://schemas.openxmlformats.org/package/2006/relationships"><Relationship Id="rId1" Type="http://schemas.openxmlformats.org/officeDocument/2006/relationships/oleObject" Target="file:///C:\Users\psantizo\Desktop\Carpetas\Riesgos\Riesgos%202022\COVID\Gr&#225;ficos.xlsx" TargetMode="External"/></Relationships>
</file>

<file path=word/charts/_rels/chart46.xml.rels><?xml version="1.0" encoding="UTF-8" standalone="yes"?>
<Relationships xmlns="http://schemas.openxmlformats.org/package/2006/relationships"><Relationship Id="rId3" Type="http://schemas.openxmlformats.org/officeDocument/2006/relationships/oleObject" Target="file:///C:\Users\psantizo\Documents\Documentos%202022\Our_world\stringency%20index.xlsx" TargetMode="External"/><Relationship Id="rId2" Type="http://schemas.microsoft.com/office/2011/relationships/chartColorStyle" Target="colors34.xml"/><Relationship Id="rId1" Type="http://schemas.microsoft.com/office/2011/relationships/chartStyle" Target="style34.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psantizo\Desktop\Carpetas\Riesgos\Riesgos%202022\COVID\Gr&#225;ficos.xlsx" TargetMode="External"/><Relationship Id="rId2" Type="http://schemas.microsoft.com/office/2011/relationships/chartColorStyle" Target="colors35.xml"/><Relationship Id="rId1" Type="http://schemas.microsoft.com/office/2011/relationships/chartStyle" Target="style35.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psantizo\Desktop\Carpetas\Riesgos\Riesgos%202022\COVID\Escenarios%20de%20Riesgos%20COVID%202023.xlsx" TargetMode="External"/><Relationship Id="rId2" Type="http://schemas.microsoft.com/office/2011/relationships/chartColorStyle" Target="colors36.xml"/><Relationship Id="rId1" Type="http://schemas.microsoft.com/office/2011/relationships/chartStyle" Target="style36.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psantizo\AppData\Local\Microsoft\Windows\INetCache\Content.Outlook\4CRZN17L\Copia%20de%20Escenarios%20de%20Riesgos%20COVID%202023.xlsx" TargetMode="External"/><Relationship Id="rId2" Type="http://schemas.microsoft.com/office/2011/relationships/chartColorStyle" Target="colors37.xml"/><Relationship Id="rId1" Type="http://schemas.microsoft.com/office/2011/relationships/chartStyle" Target="style37.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santizo\Desktop\Carpetas\Riesgos\Riesgos%202023\Errores%20de%20pron&#243;sticos%20macroecon&#243;mico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8.xml"/><Relationship Id="rId1" Type="http://schemas.microsoft.com/office/2011/relationships/chartStyle" Target="style38.xml"/><Relationship Id="rId5" Type="http://schemas.openxmlformats.org/officeDocument/2006/relationships/chartUserShapes" Target="../drawings/drawing2.xml"/><Relationship Id="rId4" Type="http://schemas.openxmlformats.org/officeDocument/2006/relationships/oleObject" Target="file:///C:\Users\psantizo\Desktop\Carpetas\ASD%20tropicalizado\Reporte%20ASD\Gr&#225;ficos%20atlas.xls" TargetMode="External"/></Relationships>
</file>

<file path=word/charts/_rels/chart51.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39.xml"/><Relationship Id="rId1" Type="http://schemas.microsoft.com/office/2011/relationships/chartStyle" Target="style39.xml"/></Relationships>
</file>

<file path=word/charts/_rels/chart52.xml.rels><?xml version="1.0" encoding="UTF-8" standalone="yes"?>
<Relationships xmlns="http://schemas.openxmlformats.org/package/2006/relationships"><Relationship Id="rId1" Type="http://schemas.openxmlformats.org/officeDocument/2006/relationships/oleObject" Target="file:///C:\Users\psantizo\Desktop\Carpetas\Riesgos\Riesgos%202023\Deuda\ASD%202023-2028%20Riesgos%20fiscales.xlsm" TargetMode="External"/></Relationships>
</file>

<file path=word/charts/_rels/chart53.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0.xml"/><Relationship Id="rId1" Type="http://schemas.microsoft.com/office/2011/relationships/chartStyle" Target="style40.xml"/></Relationships>
</file>

<file path=word/charts/_rels/chart54.xml.rels><?xml version="1.0" encoding="UTF-8" standalone="yes"?>
<Relationships xmlns="http://schemas.openxmlformats.org/package/2006/relationships"><Relationship Id="rId1" Type="http://schemas.openxmlformats.org/officeDocument/2006/relationships/oleObject" Target="file:///C:\Users\psantizo\Desktop\Carpetas\Riesgos\Riesgos%202023\Deuda\ASD%202023-2028%20Riesgos%20fiscales.xlsm"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1.xml"/><Relationship Id="rId1" Type="http://schemas.microsoft.com/office/2011/relationships/chartStyle" Target="style41.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2.xml"/><Relationship Id="rId1" Type="http://schemas.microsoft.com/office/2011/relationships/chartStyle" Target="style42.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3.xml"/><Relationship Id="rId1" Type="http://schemas.microsoft.com/office/2011/relationships/chartStyle" Target="style43.xml"/></Relationships>
</file>

<file path=word/charts/_rels/chart58.xml.rels><?xml version="1.0" encoding="UTF-8" standalone="yes"?>
<Relationships xmlns="http://schemas.openxmlformats.org/package/2006/relationships"><Relationship Id="rId1" Type="http://schemas.openxmlformats.org/officeDocument/2006/relationships/oleObject" Target="file:///C:\Users\psantizo\Desktop\Carpetas\Riesgos\Riesgos%202023\Deuda\ASD%202023-2028%20Riesgos%20fiscales.xlsm" TargetMode="External"/></Relationships>
</file>

<file path=word/charts/_rels/chart59.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4.xml"/><Relationship Id="rId1" Type="http://schemas.microsoft.com/office/2011/relationships/chartStyle" Target="style4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santizo\Desktop\Carpetas\Riesgos\Riesgos%202023\Errores%20de%20pron&#243;sticos%20macroecon&#243;micos.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5.xml"/><Relationship Id="rId1" Type="http://schemas.microsoft.com/office/2011/relationships/chartStyle" Target="style45.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chartUserShapes" Target="../drawings/drawing3.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7.xml"/><Relationship Id="rId1" Type="http://schemas.microsoft.com/office/2011/relationships/chartStyle" Target="style47.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8.xml"/><Relationship Id="rId1" Type="http://schemas.microsoft.com/office/2011/relationships/chartStyle" Target="style48.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psantizo\Desktop\Carpetas\Riesgos\Riesgos%202023\Deuda\ASD%202023-2028%20Riesgos%20fiscales.xlsm" TargetMode="External"/><Relationship Id="rId2" Type="http://schemas.microsoft.com/office/2011/relationships/chartColorStyle" Target="colors49.xml"/><Relationship Id="rId1" Type="http://schemas.microsoft.com/office/2011/relationships/chartStyle" Target="style49.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psantizo\Desktop\Carpetas\Riesgos\Envejecimiento.xlsx" TargetMode="External"/><Relationship Id="rId2" Type="http://schemas.microsoft.com/office/2011/relationships/chartColorStyle" Target="colors50.xml"/><Relationship Id="rId1" Type="http://schemas.microsoft.com/office/2011/relationships/chartStyle" Target="style50.xml"/></Relationships>
</file>

<file path=word/charts/_rels/chart66.xml.rels><?xml version="1.0" encoding="UTF-8" standalone="yes"?>
<Relationships xmlns="http://schemas.openxmlformats.org/package/2006/relationships"><Relationship Id="rId1" Type="http://schemas.openxmlformats.org/officeDocument/2006/relationships/oleObject" Target="file:///C:\Users\psantizo\Desktop\Carpetas\Riesgos\Envejecimiento.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psantizo\Desktop\Carpetas\Riesgos\Riesgos%202023\Clases%20Pasivas\Base%20activos%20280723.xlsx" TargetMode="External"/></Relationships>
</file>

<file path=word/charts/_rels/chart68.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Base%20activos%20280723.xlsx" TargetMode="External"/><Relationship Id="rId2" Type="http://schemas.microsoft.com/office/2011/relationships/chartColorStyle" Target="colors51.xml"/><Relationship Id="rId1" Type="http://schemas.microsoft.com/office/2011/relationships/chartStyle" Target="style51.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Base%20activos%20280723.xlsx" TargetMode="External"/><Relationship Id="rId2" Type="http://schemas.microsoft.com/office/2011/relationships/chartColorStyle" Target="colors52.xml"/><Relationship Id="rId1" Type="http://schemas.microsoft.com/office/2011/relationships/chartStyle" Target="style5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psantizo\Desktop\Carpetas\Riesgos\Riesgos%202023\Errores%20de%20pron&#243;sticos%20macroecon&#243;micos.xlsx" TargetMode="External"/></Relationships>
</file>

<file path=word/charts/_rels/chart70.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Base%20activos%20280723.xlsx" TargetMode="External"/><Relationship Id="rId2" Type="http://schemas.microsoft.com/office/2011/relationships/chartColorStyle" Target="colors53.xml"/><Relationship Id="rId1" Type="http://schemas.microsoft.com/office/2011/relationships/chartStyle" Target="style53.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Base%20activos%20280723.xlsx" TargetMode="External"/><Relationship Id="rId2" Type="http://schemas.microsoft.com/office/2011/relationships/chartColorStyle" Target="colors54.xml"/><Relationship Id="rId1" Type="http://schemas.microsoft.com/office/2011/relationships/chartStyle" Target="style54.xml"/></Relationships>
</file>

<file path=word/charts/_rels/chart72.xml.rels><?xml version="1.0" encoding="UTF-8" standalone="yes"?>
<Relationships xmlns="http://schemas.openxmlformats.org/package/2006/relationships"><Relationship Id="rId1" Type="http://schemas.openxmlformats.org/officeDocument/2006/relationships/oleObject" Target="file:///C:\Users\psantizo\Desktop\Carpetas\Riesgos\Riesgos%202023\Clases%20Pasivas\Base%20activos%20280723.xlsx" TargetMode="External"/></Relationships>
</file>

<file path=word/charts/_rels/chart73.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An&#225;lisis%20presiones%20de%20jubilaci&#243;n%204.xlsx" TargetMode="External"/><Relationship Id="rId2" Type="http://schemas.microsoft.com/office/2011/relationships/chartColorStyle" Target="colors55.xml"/><Relationship Id="rId1" Type="http://schemas.microsoft.com/office/2011/relationships/chartStyle" Target="style55.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An&#225;lisis%20presiones%20de%20jubilaci&#243;n%204.xlsx" TargetMode="External"/><Relationship Id="rId2" Type="http://schemas.microsoft.com/office/2011/relationships/chartColorStyle" Target="colors56.xml"/><Relationship Id="rId1" Type="http://schemas.microsoft.com/office/2011/relationships/chartStyle" Target="style56.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An&#225;lisis%20presiones%20de%20jubilaci&#243;n%204.xlsx" TargetMode="External"/><Relationship Id="rId2" Type="http://schemas.microsoft.com/office/2011/relationships/chartColorStyle" Target="colors57.xml"/><Relationship Id="rId1" Type="http://schemas.microsoft.com/office/2011/relationships/chartStyle" Target="style57.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An&#225;lisis%20presiones%20de%20jubilaci&#243;n%204.xlsx" TargetMode="External"/><Relationship Id="rId2" Type="http://schemas.microsoft.com/office/2011/relationships/chartColorStyle" Target="colors58.xml"/><Relationship Id="rId1" Type="http://schemas.microsoft.com/office/2011/relationships/chartStyle" Target="style58.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An&#225;lisis%20presiones%20de%20jubilaci&#243;n%204.xlsx" TargetMode="External"/><Relationship Id="rId2" Type="http://schemas.microsoft.com/office/2011/relationships/chartColorStyle" Target="colors59.xml"/><Relationship Id="rId1" Type="http://schemas.microsoft.com/office/2011/relationships/chartStyle" Target="style59.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An&#225;lisis%20presiones%20de%20jubilaci&#243;n%204.xlsx" TargetMode="External"/><Relationship Id="rId2" Type="http://schemas.microsoft.com/office/2011/relationships/chartColorStyle" Target="colors60.xml"/><Relationship Id="rId1" Type="http://schemas.microsoft.com/office/2011/relationships/chartStyle" Target="style60.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hpirique\Downloads\IGSS-CIFRAS-2022-FINAL.xlsx" TargetMode="Externa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psantizo\Desktop\Carpetas\Riesgos\Riesgos%202023\Errores%20de%20pron&#243;sticos%20macroecon&#243;micos.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hpirique\Downloads\IGSS-CIFRAS-2022-FINAL.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https://d.docs.live.net/0cf8be92562e6368/DAPF/A&#241;os%20de%20Trabajo/2022/IGSS/GRAFICOS%20EMA%20IVS.xlsx" TargetMode="External"/></Relationships>
</file>

<file path=word/charts/_rels/chart82.xml.rels><?xml version="1.0" encoding="UTF-8" standalone="yes"?>
<Relationships xmlns="http://schemas.openxmlformats.org/package/2006/relationships"><Relationship Id="rId3" Type="http://schemas.openxmlformats.org/officeDocument/2006/relationships/oleObject" Target="file:///C:\Users\hpirique\Downloads\IGSS-CIFRAS-2022-FINAL.xlsx" TargetMode="External"/><Relationship Id="rId2" Type="http://schemas.microsoft.com/office/2011/relationships/chartColorStyle" Target="colors63.xml"/><Relationship Id="rId1" Type="http://schemas.microsoft.com/office/2011/relationships/chartStyle" Target="style63.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hpirique\Documents\Trabajo\2023\IVS%20y%20EMA%20DEL%20IGSS%202021%20y%202022\IVS%202023.xlsx" TargetMode="External"/><Relationship Id="rId2" Type="http://schemas.microsoft.com/office/2011/relationships/chartColorStyle" Target="colors64.xml"/><Relationship Id="rId1" Type="http://schemas.microsoft.com/office/2011/relationships/chartStyle" Target="style64.xm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d.docs.live.net/0cf8be92562e6368/DAPF/A&#241;os%20de%20Trabajo/2022/INFORMACION%20PARA%20ANALISIS%20DE%20IGSS%20SOSTENIBLIDAD%20FISCAL/2.%20Informaci&#243;n%20incisos%202%5eJ%203%20%5eJ%205%5eJ%206%20y%207.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C:\Users\psantizo\Desktop\Carpetas\Riesgos\Riesgos%202023\Deuda\ASD%202023-2028%20Riesgos%20fiscales.xlsm"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C:\Users\psantizo\Desktop\Carpetas\Riesgos\Riesgos%202023\Deuda\ASD%202023-2028%20Riesgos%20fiscales.xlsm" TargetMode="External"/></Relationships>
</file>

<file path=word/charts/_rels/chart87.xml.rels><?xml version="1.0" encoding="UTF-8" standalone="yes"?>
<Relationships xmlns="http://schemas.openxmlformats.org/package/2006/relationships"><Relationship Id="rId3" Type="http://schemas.openxmlformats.org/officeDocument/2006/relationships/oleObject" Target="file:///C:\Users\psantizo\Desktop\Carpetas\Riesgos\Riesgos%202023\Sostenibilidad%20Fiscal\Estructura%20poblacional.xlsx" TargetMode="External"/><Relationship Id="rId2" Type="http://schemas.microsoft.com/office/2011/relationships/chartColorStyle" Target="colors68.xml"/><Relationship Id="rId1" Type="http://schemas.microsoft.com/office/2011/relationships/chartStyle" Target="style68.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psantizo\Desktop\Carpetas\Riesgos\Riesgos%202023\Sostenibilidad%20Fiscal\Estructura%20poblacional.xlsx" TargetMode="External"/><Relationship Id="rId2" Type="http://schemas.microsoft.com/office/2011/relationships/chartColorStyle" Target="colors69.xml"/><Relationship Id="rId1" Type="http://schemas.microsoft.com/office/2011/relationships/chartStyle" Target="style69.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psantizo\Desktop\Carpetas\Riesgos\Riesgos%202023\Sostenibilidad%20Fiscal\Estructura%20poblacional.xlsx" TargetMode="External"/><Relationship Id="rId2" Type="http://schemas.microsoft.com/office/2011/relationships/chartColorStyle" Target="colors70.xml"/><Relationship Id="rId1" Type="http://schemas.microsoft.com/office/2011/relationships/chartStyle" Target="style70.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psantizo\Desktop\Carpetas\Riesgos\Riesgos%202023\Errores%20de%20pron&#243;sticos%20macroecon&#243;micos.xlsx" TargetMode="External"/></Relationships>
</file>

<file path=word/charts/_rels/chart90.xml.rels><?xml version="1.0" encoding="UTF-8" standalone="yes"?>
<Relationships xmlns="http://schemas.openxmlformats.org/package/2006/relationships"><Relationship Id="rId3" Type="http://schemas.openxmlformats.org/officeDocument/2006/relationships/oleObject" Target="file:///C:\Users\psantizo\Desktop\Carpetas\Riesgos\Riesgos%202023\Clases%20Pasivas\An&#225;lisis%20presiones%20de%20jubilaci&#243;n%204.xlsx" TargetMode="External"/><Relationship Id="rId2" Type="http://schemas.microsoft.com/office/2011/relationships/chartColorStyle" Target="colors71.xml"/><Relationship Id="rId1" Type="http://schemas.microsoft.com/office/2011/relationships/chartStyle" Target="style71.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psantizo\AppData\Local\Microsoft\Windows\INetCache\Content.Outlook\4CRZN17L\IVS%20PROY.xlsx" TargetMode="External"/><Relationship Id="rId2" Type="http://schemas.microsoft.com/office/2011/relationships/chartColorStyle" Target="colors72.xml"/><Relationship Id="rId1" Type="http://schemas.microsoft.com/office/2011/relationships/chartStyle" Target="style72.xml"/></Relationships>
</file>

<file path=word/charts/_rels/chart92.xml.rels><?xml version="1.0" encoding="UTF-8" standalone="yes"?>
<Relationships xmlns="http://schemas.openxmlformats.org/package/2006/relationships"><Relationship Id="rId3" Type="http://schemas.openxmlformats.org/officeDocument/2006/relationships/oleObject" Target="https://d.docs.live.net/839d125cae53b6db/FMI/EFP/Riesgos%20Fiscales/2023/GL/Evaluaci&#243;n%20a%20Municipalidades.xlsx" TargetMode="External"/><Relationship Id="rId2" Type="http://schemas.microsoft.com/office/2011/relationships/chartColorStyle" Target="colors73.xml"/><Relationship Id="rId1" Type="http://schemas.microsoft.com/office/2011/relationships/chartStyle" Target="style73.xm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https://d.docs.live.net/839d125cae53b6db/FMI/EFP/Riesgos%20Fiscales/2023/GL/Evaluaci&#243;n%20a%20Municipalidades.xlsx"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d.docs.live.net/839d125cae53b6db/FMI/EFP/Riesgos%20Fiscales/2023/GL/Evaluaci&#243;n%20a%20Municipalidades.xlsx" TargetMode="External"/></Relationships>
</file>

<file path=word/charts/_rels/chart9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76.xml"/><Relationship Id="rId1" Type="http://schemas.microsoft.com/office/2011/relationships/chartStyle" Target="style76.xm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https://d.docs.live.net/839d125cae53b6db/FMI/EFP/Riesgos%20Fiscales/2023/GL/Evaluaci&#243;n%20a%20Municipalidades.xlsx"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d.docs.live.net/839d125cae53b6db/FMI/EFP/Riesgos%20Fiscales/2023/GL/Evaluaci&#243;n%20a%20Municipalidades.xlsx"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d.docs.live.net/839d125cae53b6db/FMI/EFP/Riesgos%20Fiscales/2023/GL/Evaluaci&#243;n%20a%20Municipalidades.xlsx" TargetMode="External"/></Relationships>
</file>

<file path=word/charts/_rels/chart99.xml.rels><?xml version="1.0" encoding="UTF-8" standalone="yes"?>
<Relationships xmlns="http://schemas.openxmlformats.org/package/2006/relationships"><Relationship Id="rId3" Type="http://schemas.openxmlformats.org/officeDocument/2006/relationships/oleObject" Target="https://d.docs.live.net/839d125cae53b6db/FMI/EFP/Riesgos%20Fiscales/2023/GL/Evaluaci&#243;n%20a%20Municipalidades.xlsx" TargetMode="External"/><Relationship Id="rId2" Type="http://schemas.microsoft.com/office/2011/relationships/chartColorStyle" Target="colors80.xml"/><Relationship Id="rId1" Type="http://schemas.microsoft.com/office/2011/relationships/chartStyle" Target="style80.xm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seargueta\Desktop\Informes%202023\Riesgos%20Fiscales%20FRAT\Riesgos%20Versi&#243;n%20Final\Errores%20de%20pron&#243;sticos%20Macroecon&#243;micos\Errores%20de%20pron&#243;sticos%20fiscales.xlsx" TargetMode="External"/><Relationship Id="rId4" Type="http://schemas.openxmlformats.org/officeDocument/2006/relationships/themeOverride" Target="../theme/themeOverride4.xml"/></Relationships>
</file>

<file path=word/charts/_rels/chartEx2.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seargueta\Desktop\Informes%202023\Riesgos%20Fiscales%20FRAT\Riesgos%20Versi&#243;n%20Final\Errores%20de%20pron&#243;sticos%20Macroecon&#243;micos\Errores%20de%20pron&#243;sticos%20fiscales.xlsx" TargetMode="External"/><Relationship Id="rId4" Type="http://schemas.openxmlformats.org/officeDocument/2006/relationships/themeOverride" Target="../theme/themeOverride8.xml"/></Relationships>
</file>

<file path=word/charts/_rels/chartEx3.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seargueta\Desktop\Informes%202023\Riesgos%20Fiscales%20FRAT\Riesgos%20Versi&#243;n%20Final\Errores%20de%20pron&#243;sticos%20Macroecon&#243;micos\Errores%20de%20pron&#243;sticos%20fiscales.xlsx" TargetMode="External"/><Relationship Id="rId4" Type="http://schemas.openxmlformats.org/officeDocument/2006/relationships/themeOverride" Target="../theme/themeOverride12.xml"/></Relationships>
</file>

<file path=word/charts/_rels/chartEx4.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C:\Users\seargueta\Desktop\Informes%202023\Riesgos%20Fiscales%20FRAT\Riesgos%20Versi&#243;n%20Final\Errores%20de%20pron&#243;sticos%20Macroecon&#243;micos\Errores%20de%20pron&#243;sticos%20fiscales.xlsx" TargetMode="External"/><Relationship Id="rId4" Type="http://schemas.openxmlformats.org/officeDocument/2006/relationships/themeOverride" Target="../theme/themeOverride1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246729400963966E-2"/>
          <c:y val="0.12230133669839494"/>
          <c:w val="0.9495065411980721"/>
          <c:h val="0.71952858684542609"/>
        </c:manualLayout>
      </c:layout>
      <c:barChart>
        <c:barDir val="col"/>
        <c:grouping val="clustered"/>
        <c:varyColors val="0"/>
        <c:ser>
          <c:idx val="0"/>
          <c:order val="0"/>
          <c:tx>
            <c:strRef>
              <c:f>inflacion!$G$1</c:f>
              <c:strCache>
                <c:ptCount val="1"/>
                <c:pt idx="0">
                  <c:v>Weo Enero 2023</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2">
                        <a:lumMod val="40000"/>
                        <a:lumOff val="6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inflacion!$B$12:$B$22</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inflacion!$I$12:$I$21</c:f>
              <c:numCache>
                <c:formatCode>0.0</c:formatCode>
                <c:ptCount val="10"/>
                <c:pt idx="0">
                  <c:v>3.5630000000000002</c:v>
                </c:pt>
                <c:pt idx="1">
                  <c:v>3.8490000000000002</c:v>
                </c:pt>
                <c:pt idx="2">
                  <c:v>2.806</c:v>
                </c:pt>
                <c:pt idx="3">
                  <c:v>6.391</c:v>
                </c:pt>
                <c:pt idx="4">
                  <c:v>9.06</c:v>
                </c:pt>
                <c:pt idx="5">
                  <c:v>5.0679999999999996</c:v>
                </c:pt>
                <c:pt idx="6">
                  <c:v>3.7519999999999998</c:v>
                </c:pt>
                <c:pt idx="7">
                  <c:v>3.44</c:v>
                </c:pt>
                <c:pt idx="8">
                  <c:v>3.3380000000000001</c:v>
                </c:pt>
                <c:pt idx="9">
                  <c:v>3.2810000000000001</c:v>
                </c:pt>
              </c:numCache>
            </c:numRef>
          </c:val>
          <c:extLst>
            <c:ext xmlns:c16="http://schemas.microsoft.com/office/drawing/2014/chart" uri="{C3380CC4-5D6E-409C-BE32-E72D297353CC}">
              <c16:uniqueId val="{00000000-A171-4E0F-8C83-6119CDB67AF3}"/>
            </c:ext>
          </c:extLst>
        </c:ser>
        <c:ser>
          <c:idx val="1"/>
          <c:order val="1"/>
          <c:tx>
            <c:strRef>
              <c:f>inflacion!$B$1</c:f>
              <c:strCache>
                <c:ptCount val="1"/>
                <c:pt idx="0">
                  <c:v>Weo Abril 2023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inflacion!$B$12:$B$22</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inflacion!$D$12:$D$22</c:f>
              <c:numCache>
                <c:formatCode>0.0</c:formatCode>
                <c:ptCount val="11"/>
                <c:pt idx="0">
                  <c:v>3.56</c:v>
                </c:pt>
                <c:pt idx="1">
                  <c:v>3.851</c:v>
                </c:pt>
                <c:pt idx="2">
                  <c:v>2.899</c:v>
                </c:pt>
                <c:pt idx="3">
                  <c:v>6.327</c:v>
                </c:pt>
                <c:pt idx="4">
                  <c:v>8.9060000000000006</c:v>
                </c:pt>
                <c:pt idx="5">
                  <c:v>6.1310000000000002</c:v>
                </c:pt>
                <c:pt idx="6">
                  <c:v>4.1159999999999997</c:v>
                </c:pt>
                <c:pt idx="7">
                  <c:v>3.569</c:v>
                </c:pt>
                <c:pt idx="8">
                  <c:v>3.5609999999999999</c:v>
                </c:pt>
                <c:pt idx="9">
                  <c:v>3.5150000000000001</c:v>
                </c:pt>
                <c:pt idx="10">
                  <c:v>3.31</c:v>
                </c:pt>
              </c:numCache>
            </c:numRef>
          </c:val>
          <c:extLst>
            <c:ext xmlns:c16="http://schemas.microsoft.com/office/drawing/2014/chart" uri="{C3380CC4-5D6E-409C-BE32-E72D297353CC}">
              <c16:uniqueId val="{00000001-A171-4E0F-8C83-6119CDB67AF3}"/>
            </c:ext>
          </c:extLst>
        </c:ser>
        <c:dLbls>
          <c:showLegendKey val="0"/>
          <c:showVal val="0"/>
          <c:showCatName val="0"/>
          <c:showSerName val="0"/>
          <c:showPercent val="0"/>
          <c:showBubbleSize val="0"/>
        </c:dLbls>
        <c:gapWidth val="30"/>
        <c:axId val="283207056"/>
        <c:axId val="283209552"/>
      </c:barChart>
      <c:catAx>
        <c:axId val="28320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3209552"/>
        <c:crosses val="autoZero"/>
        <c:auto val="1"/>
        <c:lblAlgn val="ctr"/>
        <c:lblOffset val="100"/>
        <c:noMultiLvlLbl val="0"/>
      </c:catAx>
      <c:valAx>
        <c:axId val="283209552"/>
        <c:scaling>
          <c:orientation val="minMax"/>
        </c:scaling>
        <c:delete val="1"/>
        <c:axPos val="l"/>
        <c:numFmt formatCode="0.0" sourceLinked="1"/>
        <c:majorTickMark val="none"/>
        <c:minorTickMark val="none"/>
        <c:tickLblPos val="nextTo"/>
        <c:crossAx val="283207056"/>
        <c:crosses val="autoZero"/>
        <c:crossBetween val="between"/>
      </c:valAx>
      <c:spPr>
        <a:noFill/>
        <a:ln>
          <a:noFill/>
        </a:ln>
        <a:effectLst/>
      </c:spPr>
    </c:plotArea>
    <c:legend>
      <c:legendPos val="t"/>
      <c:layout>
        <c:manualLayout>
          <c:xMode val="edge"/>
          <c:yMode val="edge"/>
          <c:x val="0.31078416666817266"/>
          <c:y val="0"/>
          <c:w val="0.37843166666365463"/>
          <c:h val="0.115049705081281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Imp!$B$42:$B$44</c:f>
              <c:strCache>
                <c:ptCount val="3"/>
                <c:pt idx="0">
                  <c:v>Año presupuestario</c:v>
                </c:pt>
                <c:pt idx="1">
                  <c:v>Año presupuestario+1</c:v>
                </c:pt>
                <c:pt idx="2">
                  <c:v>Año presupuestario+2</c:v>
                </c:pt>
              </c:strCache>
            </c:strRef>
          </c:cat>
          <c:val>
            <c:numRef>
              <c:f>Imp!$D$42:$D$44</c:f>
              <c:numCache>
                <c:formatCode>_(* #,##0.00_);_(* \(#,##0.00\);_(* "-"??_);_(@_)</c:formatCode>
                <c:ptCount val="3"/>
                <c:pt idx="0">
                  <c:v>9.4856762094663303</c:v>
                </c:pt>
                <c:pt idx="1">
                  <c:v>10.167494391284512</c:v>
                </c:pt>
                <c:pt idx="2">
                  <c:v>10.162892587911285</c:v>
                </c:pt>
              </c:numCache>
            </c:numRef>
          </c:val>
          <c:extLst>
            <c:ext xmlns:c16="http://schemas.microsoft.com/office/drawing/2014/chart" uri="{C3380CC4-5D6E-409C-BE32-E72D297353CC}">
              <c16:uniqueId val="{00000000-D6A2-4E8D-893A-9840AF13CB15}"/>
            </c:ext>
          </c:extLst>
        </c:ser>
        <c:dLbls>
          <c:showLegendKey val="0"/>
          <c:showVal val="0"/>
          <c:showCatName val="0"/>
          <c:showSerName val="0"/>
          <c:showPercent val="0"/>
          <c:showBubbleSize val="0"/>
        </c:dLbls>
        <c:gapWidth val="219"/>
        <c:overlap val="-27"/>
        <c:axId val="1217834752"/>
        <c:axId val="1217835168"/>
      </c:barChart>
      <c:catAx>
        <c:axId val="121783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17835168"/>
        <c:crosses val="autoZero"/>
        <c:auto val="1"/>
        <c:lblAlgn val="ctr"/>
        <c:lblOffset val="100"/>
        <c:noMultiLvlLbl val="0"/>
      </c:catAx>
      <c:valAx>
        <c:axId val="1217835168"/>
        <c:scaling>
          <c:orientation val="minMax"/>
          <c:min val="1.2"/>
        </c:scaling>
        <c:delete val="1"/>
        <c:axPos val="l"/>
        <c:numFmt formatCode="_(* #,##0.00_);_(* \(#,##0.00\);_(* &quot;-&quot;??_);_(@_)" sourceLinked="1"/>
        <c:majorTickMark val="out"/>
        <c:minorTickMark val="none"/>
        <c:tickLblPos val="nextTo"/>
        <c:crossAx val="1217834752"/>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54143660613851841"/>
        </c:manualLayout>
      </c:layout>
      <c:barChart>
        <c:barDir val="col"/>
        <c:grouping val="clustered"/>
        <c:varyColors val="0"/>
        <c:ser>
          <c:idx val="0"/>
          <c:order val="0"/>
          <c:tx>
            <c:strRef>
              <c:f>'[Evaluación a Municipalidades.xlsx]Indiviudual - Liquidez'!$U$4</c:f>
              <c:strCache>
                <c:ptCount val="1"/>
              </c:strCache>
            </c:strRef>
          </c:tx>
          <c:spPr>
            <a:solidFill>
              <a:srgbClr val="70AD47"/>
            </a:solidFill>
            <a:ln w="15875">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1.3537906137184115E-2"/>
                  <c:y val="2.6704494086954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8E-496B-8AFB-B8E02E7D90CE}"/>
                </c:ext>
              </c:extLst>
            </c:dLbl>
            <c:numFmt formatCode="#,##0.0" sourceLinked="0"/>
            <c:spPr>
              <a:noFill/>
              <a:ln>
                <a:noFill/>
              </a:ln>
              <a:effectLst/>
            </c:spPr>
            <c:txPr>
              <a:bodyPr rot="0" spcFirstLastPara="1" vertOverflow="ellipsis" vert="horz" wrap="square" anchor="ctr" anchorCtr="1"/>
              <a:lstStyle/>
              <a:p>
                <a:pPr>
                  <a:defRPr sz="5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Municipalidades.xlsx]Indiviudual - Liquidez'!$C$5:$C$14</c:f>
              <c:strCache>
                <c:ptCount val="10"/>
                <c:pt idx="0">
                  <c:v>CONCEPCIÓN TUTUAPA</c:v>
                </c:pt>
                <c:pt idx="1">
                  <c:v>SAN MATEO</c:v>
                </c:pt>
                <c:pt idx="2">
                  <c:v>SAN JUAN ERMITA</c:v>
                </c:pt>
                <c:pt idx="3">
                  <c:v>LA BLANCA</c:v>
                </c:pt>
                <c:pt idx="4">
                  <c:v>NUEVO PROGRESO</c:v>
                </c:pt>
                <c:pt idx="5">
                  <c:v>TACANA</c:v>
                </c:pt>
                <c:pt idx="6">
                  <c:v>PAJAPITA</c:v>
                </c:pt>
                <c:pt idx="7">
                  <c:v>SANTA BARBARA (HUEHUETENANGO)</c:v>
                </c:pt>
                <c:pt idx="8">
                  <c:v>SALCAJA</c:v>
                </c:pt>
                <c:pt idx="9">
                  <c:v>SAN LUCAS TOLIMAN</c:v>
                </c:pt>
              </c:strCache>
            </c:strRef>
          </c:cat>
          <c:val>
            <c:numRef>
              <c:f>'[Evaluación a Municipalidades.xlsx]Indiviudual - Liquidez'!$F$5:$F$14</c:f>
              <c:numCache>
                <c:formatCode>#,##0.00</c:formatCode>
                <c:ptCount val="10"/>
                <c:pt idx="0">
                  <c:v>16505.628679849393</c:v>
                </c:pt>
                <c:pt idx="1">
                  <c:v>7374.6468890500364</c:v>
                </c:pt>
                <c:pt idx="2">
                  <c:v>4516.4442600000002</c:v>
                </c:pt>
                <c:pt idx="3">
                  <c:v>4503.2384164049608</c:v>
                </c:pt>
                <c:pt idx="4">
                  <c:v>3558.6540074818736</c:v>
                </c:pt>
                <c:pt idx="5">
                  <c:v>2886.4514599253998</c:v>
                </c:pt>
                <c:pt idx="6">
                  <c:v>2440.7014671102029</c:v>
                </c:pt>
                <c:pt idx="7">
                  <c:v>1476.4785680962189</c:v>
                </c:pt>
                <c:pt idx="8">
                  <c:v>1316.5272561956212</c:v>
                </c:pt>
                <c:pt idx="9">
                  <c:v>1117.2248505204693</c:v>
                </c:pt>
              </c:numCache>
            </c:numRef>
          </c:val>
          <c:extLst>
            <c:ext xmlns:c16="http://schemas.microsoft.com/office/drawing/2014/chart" uri="{C3380CC4-5D6E-409C-BE32-E72D297353CC}">
              <c16:uniqueId val="{00000001-618E-496B-8AFB-B8E02E7D90CE}"/>
            </c:ext>
          </c:extLst>
        </c:ser>
        <c:dLbls>
          <c:showLegendKey val="0"/>
          <c:showVal val="0"/>
          <c:showCatName val="0"/>
          <c:showSerName val="0"/>
          <c:showPercent val="0"/>
          <c:showBubbleSize val="0"/>
        </c:dLbls>
        <c:gapWidth val="87"/>
        <c:overlap val="-27"/>
        <c:axId val="2051721359"/>
        <c:axId val="2051720527"/>
      </c:bar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1.9919182764025E-2"/>
          <c:w val="1"/>
          <c:h val="0.53002747408372519"/>
        </c:manualLayout>
      </c:layout>
      <c:barChart>
        <c:barDir val="col"/>
        <c:grouping val="clustered"/>
        <c:varyColors val="0"/>
        <c:ser>
          <c:idx val="0"/>
          <c:order val="0"/>
          <c:tx>
            <c:strRef>
              <c:f>'[Evaluación a Municipalidades.xlsx]Indiviudual - Liquidez'!$U$4</c:f>
              <c:strCache>
                <c:ptCount val="1"/>
              </c:strCache>
            </c:strRef>
          </c:tx>
          <c:spPr>
            <a:solidFill>
              <a:srgbClr val="FF0000"/>
            </a:solidFill>
            <a:ln w="12700">
              <a:solidFill>
                <a:sysClr val="windowText" lastClr="000000"/>
              </a:solid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Municipalidades.xlsx]Indiviudual - Liquidez'!$C$324:$C$333</c:f>
              <c:strCache>
                <c:ptCount val="10"/>
                <c:pt idx="0">
                  <c:v>SAN CARLOS ALZATATE</c:v>
                </c:pt>
                <c:pt idx="1">
                  <c:v>SAN FRANCISCO</c:v>
                </c:pt>
                <c:pt idx="2">
                  <c:v>ORATORIO</c:v>
                </c:pt>
                <c:pt idx="3">
                  <c:v>EL ASINTAL</c:v>
                </c:pt>
                <c:pt idx="4">
                  <c:v>SAN ANDRÉS</c:v>
                </c:pt>
                <c:pt idx="5">
                  <c:v>PANZÓS</c:v>
                </c:pt>
                <c:pt idx="6">
                  <c:v>SAN JOSÉ CHACAYA</c:v>
                </c:pt>
                <c:pt idx="7">
                  <c:v>AGUA BLANCA</c:v>
                </c:pt>
                <c:pt idx="8">
                  <c:v>SAN JOSÉ (PETÉN)</c:v>
                </c:pt>
                <c:pt idx="9">
                  <c:v>SAN PABLO LA LAGUNA</c:v>
                </c:pt>
              </c:strCache>
            </c:strRef>
          </c:cat>
          <c:val>
            <c:numRef>
              <c:f>'[Evaluación a Municipalidades.xlsx]Indiviudual - Liquidez'!$F$324:$F$333</c:f>
              <c:numCache>
                <c:formatCode>#,##0.00</c:formatCode>
                <c:ptCount val="10"/>
                <c:pt idx="0">
                  <c:v>1.5231227285456626</c:v>
                </c:pt>
                <c:pt idx="1">
                  <c:v>1.4980825676271829</c:v>
                </c:pt>
                <c:pt idx="2">
                  <c:v>1.2460300416439514</c:v>
                </c:pt>
                <c:pt idx="3">
                  <c:v>1.1089993166438308</c:v>
                </c:pt>
                <c:pt idx="4">
                  <c:v>1.09771426889405</c:v>
                </c:pt>
                <c:pt idx="5">
                  <c:v>1.0419973691003774</c:v>
                </c:pt>
                <c:pt idx="6">
                  <c:v>1.0041269139463433</c:v>
                </c:pt>
                <c:pt idx="7">
                  <c:v>0.93199566547651325</c:v>
                </c:pt>
                <c:pt idx="8">
                  <c:v>0.90764646720705122</c:v>
                </c:pt>
                <c:pt idx="9">
                  <c:v>0.5637718190772476</c:v>
                </c:pt>
              </c:numCache>
            </c:numRef>
          </c:val>
          <c:extLst>
            <c:ext xmlns:c16="http://schemas.microsoft.com/office/drawing/2014/chart" uri="{C3380CC4-5D6E-409C-BE32-E72D297353CC}">
              <c16:uniqueId val="{00000000-1FA9-43B1-8C79-438BDBB5E41F}"/>
            </c:ext>
          </c:extLst>
        </c:ser>
        <c:dLbls>
          <c:showLegendKey val="0"/>
          <c:showVal val="0"/>
          <c:showCatName val="0"/>
          <c:showSerName val="0"/>
          <c:showPercent val="0"/>
          <c:showBubbleSize val="0"/>
        </c:dLbls>
        <c:gapWidth val="87"/>
        <c:overlap val="-27"/>
        <c:axId val="2051721359"/>
        <c:axId val="2051720527"/>
      </c:bar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135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7.2418292111826252E-2"/>
          <c:w val="1"/>
          <c:h val="0.76246112753165984"/>
        </c:manualLayout>
      </c:layout>
      <c:barChart>
        <c:barDir val="col"/>
        <c:grouping val="stacked"/>
        <c:varyColors val="0"/>
        <c:ser>
          <c:idx val="0"/>
          <c:order val="0"/>
          <c:tx>
            <c:strRef>
              <c:f>'[Evaluación a Municipalidades.xlsx]Sector - Obligaciones Financier'!$E$3</c:f>
              <c:strCache>
                <c:ptCount val="1"/>
                <c:pt idx="0">
                  <c:v>Endeudamiento</c:v>
                </c:pt>
              </c:strCache>
            </c:strRef>
          </c:tx>
          <c:spPr>
            <a:solidFill>
              <a:srgbClr val="FF0000"/>
            </a:solidFill>
            <a:ln w="15875">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Financier'!$A$4:$A$9</c:f>
              <c:numCache>
                <c:formatCode>General</c:formatCode>
                <c:ptCount val="6"/>
                <c:pt idx="0">
                  <c:v>2017</c:v>
                </c:pt>
                <c:pt idx="1">
                  <c:v>2018</c:v>
                </c:pt>
                <c:pt idx="2">
                  <c:v>2019</c:v>
                </c:pt>
                <c:pt idx="3">
                  <c:v>2020</c:v>
                </c:pt>
                <c:pt idx="4">
                  <c:v>2021</c:v>
                </c:pt>
                <c:pt idx="5">
                  <c:v>2022</c:v>
                </c:pt>
              </c:numCache>
            </c:numRef>
          </c:cat>
          <c:val>
            <c:numRef>
              <c:f>'[Evaluación a Municipalidades.xlsx]Sector - Obligaciones Financier'!$E$4:$E$9</c:f>
              <c:numCache>
                <c:formatCode>0.0%</c:formatCode>
                <c:ptCount val="6"/>
                <c:pt idx="0">
                  <c:v>0.11275291123024353</c:v>
                </c:pt>
                <c:pt idx="1">
                  <c:v>9.9308861048951313E-2</c:v>
                </c:pt>
                <c:pt idx="2">
                  <c:v>5.9925928797315738E-2</c:v>
                </c:pt>
                <c:pt idx="3">
                  <c:v>8.1690466469575479E-2</c:v>
                </c:pt>
                <c:pt idx="4">
                  <c:v>7.9658294201490648E-2</c:v>
                </c:pt>
                <c:pt idx="5">
                  <c:v>6.0384962959274771E-2</c:v>
                </c:pt>
              </c:numCache>
            </c:numRef>
          </c:val>
          <c:extLst>
            <c:ext xmlns:c16="http://schemas.microsoft.com/office/drawing/2014/chart" uri="{C3380CC4-5D6E-409C-BE32-E72D297353CC}">
              <c16:uniqueId val="{00000000-F722-4DAF-AE6C-838F0570C450}"/>
            </c:ext>
          </c:extLst>
        </c:ser>
        <c:ser>
          <c:idx val="1"/>
          <c:order val="1"/>
          <c:tx>
            <c:strRef>
              <c:f>'[Evaluación a Municipalidades.xlsx]Sector - Obligaciones Financier'!$F$3</c:f>
              <c:strCache>
                <c:ptCount val="1"/>
                <c:pt idx="0">
                  <c:v>Otras obligaciones</c:v>
                </c:pt>
              </c:strCache>
            </c:strRef>
          </c:tx>
          <c:spPr>
            <a:solidFill>
              <a:schemeClr val="accent1"/>
            </a:solidFill>
            <a:ln w="15875">
              <a:solidFill>
                <a:sysClr val="windowText" lastClr="000000"/>
              </a:solidFill>
            </a:ln>
            <a:effectLst>
              <a:outerShdw blurRad="50800" dist="38100" dir="18900000" algn="bl" rotWithShape="0">
                <a:prstClr val="black">
                  <a:alpha val="40000"/>
                </a:prstClr>
              </a:outerShdw>
            </a:effectLst>
          </c:spPr>
          <c:invertIfNegative val="0"/>
          <c:dLbls>
            <c:spPr>
              <a:noFill/>
              <a:ln w="12700" cap="flat" cmpd="sng" algn="ctr">
                <a:no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Financier'!$A$4:$A$9</c:f>
              <c:numCache>
                <c:formatCode>General</c:formatCode>
                <c:ptCount val="6"/>
                <c:pt idx="0">
                  <c:v>2017</c:v>
                </c:pt>
                <c:pt idx="1">
                  <c:v>2018</c:v>
                </c:pt>
                <c:pt idx="2">
                  <c:v>2019</c:v>
                </c:pt>
                <c:pt idx="3">
                  <c:v>2020</c:v>
                </c:pt>
                <c:pt idx="4">
                  <c:v>2021</c:v>
                </c:pt>
                <c:pt idx="5">
                  <c:v>2022</c:v>
                </c:pt>
              </c:numCache>
            </c:numRef>
          </c:cat>
          <c:val>
            <c:numRef>
              <c:f>'[Evaluación a Municipalidades.xlsx]Sector - Obligaciones Financier'!$F$4:$F$9</c:f>
              <c:numCache>
                <c:formatCode>0.0%</c:formatCode>
                <c:ptCount val="6"/>
                <c:pt idx="0">
                  <c:v>7.0655533882711022E-2</c:v>
                </c:pt>
                <c:pt idx="1">
                  <c:v>6.7477739866004222E-2</c:v>
                </c:pt>
                <c:pt idx="2">
                  <c:v>6.1948373864735673E-2</c:v>
                </c:pt>
                <c:pt idx="3">
                  <c:v>6.7343755383705239E-2</c:v>
                </c:pt>
                <c:pt idx="4">
                  <c:v>5.7661927567090904E-2</c:v>
                </c:pt>
                <c:pt idx="5">
                  <c:v>5.9160488544402055E-2</c:v>
                </c:pt>
              </c:numCache>
            </c:numRef>
          </c:val>
          <c:extLst>
            <c:ext xmlns:c16="http://schemas.microsoft.com/office/drawing/2014/chart" uri="{C3380CC4-5D6E-409C-BE32-E72D297353CC}">
              <c16:uniqueId val="{00000001-F722-4DAF-AE6C-838F0570C450}"/>
            </c:ext>
          </c:extLst>
        </c:ser>
        <c:dLbls>
          <c:showLegendKey val="0"/>
          <c:showVal val="0"/>
          <c:showCatName val="0"/>
          <c:showSerName val="0"/>
          <c:showPercent val="0"/>
          <c:showBubbleSize val="0"/>
        </c:dLbls>
        <c:gapWidth val="150"/>
        <c:overlap val="100"/>
        <c:axId val="2051721359"/>
        <c:axId val="2051720527"/>
      </c:barChart>
      <c:lineChart>
        <c:grouping val="standard"/>
        <c:varyColors val="0"/>
        <c:ser>
          <c:idx val="2"/>
          <c:order val="2"/>
          <c:tx>
            <c:strRef>
              <c:f>'[Evaluación a Municipalidades.xlsx]Sector - Obligaciones Financier'!$G$3</c:f>
              <c:strCache>
                <c:ptCount val="1"/>
                <c:pt idx="0">
                  <c:v>Total Obligaciones Financieras</c:v>
                </c:pt>
              </c:strCache>
            </c:strRef>
          </c:tx>
          <c:spPr>
            <a:ln w="34925" cap="rnd">
              <a:noFill/>
              <a:round/>
            </a:ln>
            <a:effectLst>
              <a:outerShdw blurRad="57150" dist="19050" dir="5400000" algn="ctr" rotWithShape="0">
                <a:srgbClr val="000000">
                  <a:alpha val="63000"/>
                </a:srgbClr>
              </a:outerShdw>
            </a:effectLst>
          </c:spPr>
          <c:marker>
            <c:symbol val="dash"/>
            <c:size val="3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5875">
                <a:solidFill>
                  <a:schemeClr val="tx1"/>
                </a:solidFill>
                <a:round/>
              </a:ln>
              <a:effectLst>
                <a:outerShdw blurRad="57150" dist="19050" dir="5400000" algn="ctr" rotWithShape="0">
                  <a:srgbClr val="000000">
                    <a:alpha val="63000"/>
                  </a:srgbClr>
                </a:outerShdw>
              </a:effectLst>
            </c:spPr>
          </c:marker>
          <c:dLbls>
            <c:dLbl>
              <c:idx val="0"/>
              <c:layout>
                <c:manualLayout>
                  <c:x val="-8.9108748004437605E-2"/>
                  <c:y val="-8.66566147316691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22-4DAF-AE6C-838F0570C450}"/>
                </c:ext>
              </c:extLst>
            </c:dLbl>
            <c:dLbl>
              <c:idx val="1"/>
              <c:layout>
                <c:manualLayout>
                  <c:x val="-8.0889899071894367E-2"/>
                  <c:y val="-9.1748478248729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22-4DAF-AE6C-838F0570C450}"/>
                </c:ext>
              </c:extLst>
            </c:dLbl>
            <c:dLbl>
              <c:idx val="2"/>
              <c:layout>
                <c:manualLayout>
                  <c:x val="-8.0889899071894408E-2"/>
                  <c:y val="-8.2784944435137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22-4DAF-AE6C-838F0570C450}"/>
                </c:ext>
              </c:extLst>
            </c:dLbl>
            <c:dLbl>
              <c:idx val="3"/>
              <c:layout>
                <c:manualLayout>
                  <c:x val="-8.3610466217496016E-2"/>
                  <c:y val="-7.7997431172167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22-4DAF-AE6C-838F0570C450}"/>
                </c:ext>
              </c:extLst>
            </c:dLbl>
            <c:dLbl>
              <c:idx val="4"/>
              <c:layout>
                <c:manualLayout>
                  <c:x val="-8.0832535108369186E-2"/>
                  <c:y val="-8.0951024738928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22-4DAF-AE6C-838F0570C450}"/>
                </c:ext>
              </c:extLst>
            </c:dLbl>
            <c:dLbl>
              <c:idx val="5"/>
              <c:layout>
                <c:manualLayout>
                  <c:x val="-4.3680818248234533E-2"/>
                  <c:y val="-8.6128888144301113E-2"/>
                </c:manualLayout>
              </c:layout>
              <c:tx>
                <c:rich>
                  <a:bodyPr/>
                  <a:lstStyle/>
                  <a:p>
                    <a:r>
                      <a:rPr lang="en-US"/>
                      <a:t>11.9%</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722-4DAF-AE6C-838F0570C450}"/>
                </c:ext>
              </c:extLst>
            </c:dLbl>
            <c:spPr>
              <a:noFill/>
              <a:ln w="6350">
                <a:solidFill>
                  <a:sysClr val="windowText" lastClr="000000"/>
                </a:solidFill>
              </a:ln>
              <a:effectLst>
                <a:outerShdw blurRad="50800" dist="38100" dir="18900000" algn="bl" rotWithShape="0">
                  <a:prstClr val="black">
                    <a:alpha val="40000"/>
                  </a:prstClr>
                </a:outerShdw>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Financier'!$A$4:$A$9</c:f>
              <c:numCache>
                <c:formatCode>General</c:formatCode>
                <c:ptCount val="6"/>
                <c:pt idx="0">
                  <c:v>2017</c:v>
                </c:pt>
                <c:pt idx="1">
                  <c:v>2018</c:v>
                </c:pt>
                <c:pt idx="2">
                  <c:v>2019</c:v>
                </c:pt>
                <c:pt idx="3">
                  <c:v>2020</c:v>
                </c:pt>
                <c:pt idx="4">
                  <c:v>2021</c:v>
                </c:pt>
                <c:pt idx="5">
                  <c:v>2022</c:v>
                </c:pt>
              </c:numCache>
            </c:numRef>
          </c:cat>
          <c:val>
            <c:numRef>
              <c:f>'[Evaluación a Municipalidades.xlsx]Sector - Obligaciones Financier'!$G$4:$G$9</c:f>
              <c:numCache>
                <c:formatCode>0.0%</c:formatCode>
                <c:ptCount val="6"/>
                <c:pt idx="0">
                  <c:v>0.18340844511295457</c:v>
                </c:pt>
                <c:pt idx="1">
                  <c:v>0.16678660091495554</c:v>
                </c:pt>
                <c:pt idx="2">
                  <c:v>0.12187430266205142</c:v>
                </c:pt>
                <c:pt idx="3">
                  <c:v>0.14903422185328072</c:v>
                </c:pt>
                <c:pt idx="4">
                  <c:v>0.13732022176858155</c:v>
                </c:pt>
                <c:pt idx="5">
                  <c:v>0.11954545150367683</c:v>
                </c:pt>
              </c:numCache>
            </c:numRef>
          </c:val>
          <c:smooth val="0"/>
          <c:extLst>
            <c:ext xmlns:c16="http://schemas.microsoft.com/office/drawing/2014/chart" uri="{C3380CC4-5D6E-409C-BE32-E72D297353CC}">
              <c16:uniqueId val="{00000008-F722-4DAF-AE6C-838F0570C450}"/>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none"/>
        <c:minorTickMark val="none"/>
        <c:tickLblPos val="nextTo"/>
        <c:crossAx val="2051721359"/>
        <c:crosses val="autoZero"/>
        <c:crossBetween val="between"/>
      </c:valAx>
      <c:spPr>
        <a:noFill/>
        <a:ln>
          <a:noFill/>
        </a:ln>
        <a:effectLst/>
      </c:spPr>
    </c:plotArea>
    <c:legend>
      <c:legendPos val="b"/>
      <c:layout>
        <c:manualLayout>
          <c:xMode val="edge"/>
          <c:yMode val="edge"/>
          <c:x val="6.1539627134237086E-2"/>
          <c:y val="0.91334896967666279"/>
          <c:w val="0.87692060367454072"/>
          <c:h val="8.0716696127269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59293541406611"/>
          <c:y val="3.4878120288155444E-3"/>
          <c:w val="0.56451509186351712"/>
          <c:h val="0.79836237225665951"/>
        </c:manualLayout>
      </c:layout>
      <c:barChart>
        <c:barDir val="bar"/>
        <c:grouping val="clustered"/>
        <c:varyColors val="0"/>
        <c:ser>
          <c:idx val="0"/>
          <c:order val="0"/>
          <c:tx>
            <c:strRef>
              <c:f>'[Evaluación a Municipalidades.xlsx]Individual - Obligaciones Finan'!$W$4</c:f>
              <c:strCache>
                <c:ptCount val="1"/>
                <c:pt idx="0">
                  <c:v>Total Obligaciones Financieras</c:v>
                </c:pt>
              </c:strCache>
            </c:strRef>
          </c:tx>
          <c:spPr>
            <a:solidFill>
              <a:srgbClr val="FF0000"/>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B77-4A79-9368-35290132432E}"/>
              </c:ext>
            </c:extLst>
          </c:dPt>
          <c:dPt>
            <c:idx val="1"/>
            <c:invertIfNegative val="0"/>
            <c:bubble3D val="0"/>
            <c:spPr>
              <a:solidFill>
                <a:schemeClr val="accent6"/>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B77-4A79-9368-35290132432E}"/>
              </c:ext>
            </c:extLst>
          </c:dPt>
          <c:dPt>
            <c:idx val="2"/>
            <c:invertIfNegative val="0"/>
            <c:bubble3D val="0"/>
            <c:spPr>
              <a:solidFill>
                <a:schemeClr val="accent4"/>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B77-4A79-9368-35290132432E}"/>
              </c:ext>
            </c:extLst>
          </c:dPt>
          <c:dPt>
            <c:idx val="3"/>
            <c:invertIfNegative val="0"/>
            <c:bubble3D val="0"/>
            <c:spPr>
              <a:solidFill>
                <a:schemeClr val="accent4"/>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B77-4A79-9368-3529013243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Municipalidades.xlsx]Individual - Obligaciones Finan'!$T$5:$T$10</c:f>
              <c:strCache>
                <c:ptCount val="6"/>
                <c:pt idx="0">
                  <c:v>Entidades con 0%</c:v>
                </c:pt>
                <c:pt idx="1">
                  <c:v>Entidades entre 0.01 y 5%</c:v>
                </c:pt>
                <c:pt idx="2">
                  <c:v>Entidades entre 5.01 y 10%</c:v>
                </c:pt>
                <c:pt idx="3">
                  <c:v>Entidades entre 10.01 y 20%</c:v>
                </c:pt>
                <c:pt idx="4">
                  <c:v>Entidades entre 20.01 y 50%</c:v>
                </c:pt>
                <c:pt idx="5">
                  <c:v>Mas de 50%</c:v>
                </c:pt>
              </c:strCache>
            </c:strRef>
          </c:cat>
          <c:val>
            <c:numRef>
              <c:f>'[Evaluación a Municipalidades.xlsx]Individual - Obligaciones Finan'!$W$5:$W$10</c:f>
              <c:numCache>
                <c:formatCode>General</c:formatCode>
                <c:ptCount val="6"/>
                <c:pt idx="0">
                  <c:v>8</c:v>
                </c:pt>
                <c:pt idx="1">
                  <c:v>214</c:v>
                </c:pt>
                <c:pt idx="2">
                  <c:v>49</c:v>
                </c:pt>
                <c:pt idx="3">
                  <c:v>46</c:v>
                </c:pt>
                <c:pt idx="4">
                  <c:v>19</c:v>
                </c:pt>
                <c:pt idx="5">
                  <c:v>4</c:v>
                </c:pt>
              </c:numCache>
            </c:numRef>
          </c:val>
          <c:extLst>
            <c:ext xmlns:c16="http://schemas.microsoft.com/office/drawing/2014/chart" uri="{C3380CC4-5D6E-409C-BE32-E72D297353CC}">
              <c16:uniqueId val="{00000008-AB77-4A79-9368-35290132432E}"/>
            </c:ext>
          </c:extLst>
        </c:ser>
        <c:dLbls>
          <c:showLegendKey val="0"/>
          <c:showVal val="0"/>
          <c:showCatName val="0"/>
          <c:showSerName val="0"/>
          <c:showPercent val="0"/>
          <c:showBubbleSize val="0"/>
        </c:dLbls>
        <c:gapWidth val="115"/>
        <c:overlap val="-20"/>
        <c:axId val="2104965104"/>
        <c:axId val="2104967600"/>
      </c:barChart>
      <c:catAx>
        <c:axId val="210496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Valor de sus</a:t>
                </a:r>
                <a:r>
                  <a:rPr lang="es-GT" baseline="0"/>
                  <a:t>  Obligaciones</a:t>
                </a:r>
                <a:endParaRPr lang="es-GT"/>
              </a:p>
              <a:p>
                <a:pPr>
                  <a:defRPr/>
                </a:pPr>
                <a:r>
                  <a:rPr lang="es-GT"/>
                  <a:t>respecto a sus ingresos</a:t>
                </a:r>
              </a:p>
            </c:rich>
          </c:tx>
          <c:layout>
            <c:manualLayout>
              <c:xMode val="edge"/>
              <c:yMode val="edge"/>
              <c:x val="5.5556515391692327E-3"/>
              <c:y val="0.137463875858602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4967600"/>
        <c:crosses val="autoZero"/>
        <c:auto val="1"/>
        <c:lblAlgn val="ctr"/>
        <c:lblOffset val="100"/>
        <c:noMultiLvlLbl val="0"/>
      </c:catAx>
      <c:valAx>
        <c:axId val="2104967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Cantidad de Municipalidades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496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900" b="0" i="1">
                <a:solidFill>
                  <a:sysClr val="windowText" lastClr="000000"/>
                </a:solidFill>
              </a:rPr>
              <a:t>Con mayores obligaciones financieras </a:t>
            </a:r>
          </a:p>
        </c:rich>
      </c:tx>
      <c:layout>
        <c:manualLayout>
          <c:xMode val="edge"/>
          <c:yMode val="edge"/>
          <c:x val="0.3623122929305968"/>
          <c:y val="0"/>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20630175178441296"/>
          <c:y val="0"/>
          <c:w val="0.7936982482155871"/>
          <c:h val="0.52640842495307283"/>
        </c:manualLayout>
      </c:layout>
      <c:barChart>
        <c:barDir val="col"/>
        <c:grouping val="stacked"/>
        <c:varyColors val="0"/>
        <c:ser>
          <c:idx val="0"/>
          <c:order val="0"/>
          <c:tx>
            <c:strRef>
              <c:f>'[Evaluación a Municipalidades.xlsx]Individual - Obligaciones Finan'!$U$4</c:f>
              <c:strCache>
                <c:ptCount val="1"/>
                <c:pt idx="0">
                  <c:v>Endeudamiento</c:v>
                </c:pt>
              </c:strCache>
            </c:strRef>
          </c:tx>
          <c:spPr>
            <a:solidFill>
              <a:srgbClr val="FF0000"/>
            </a:solidFill>
            <a:ln w="15875">
              <a:solidFill>
                <a:sysClr val="windowText" lastClr="000000"/>
              </a:solidFill>
            </a:ln>
            <a:effectLst>
              <a:outerShdw blurRad="57150" dist="19050" dir="5400000" algn="ctr" rotWithShape="0">
                <a:srgbClr val="000000">
                  <a:alpha val="63000"/>
                </a:srgbClr>
              </a:outerShdw>
            </a:effectLst>
          </c:spPr>
          <c:invertIfNegative val="0"/>
          <c:cat>
            <c:strRef>
              <c:f>'[Evaluación a Municipalidades.xlsx]Individual - Obligaciones Finan'!$C$5:$C$14</c:f>
              <c:strCache>
                <c:ptCount val="10"/>
                <c:pt idx="0">
                  <c:v>MALACATAN</c:v>
                </c:pt>
                <c:pt idx="1">
                  <c:v>GUATEMALA</c:v>
                </c:pt>
                <c:pt idx="2">
                  <c:v>CATARINA</c:v>
                </c:pt>
                <c:pt idx="3">
                  <c:v>SAN LORENZO (SUCHITEPÉQUEZ)</c:v>
                </c:pt>
                <c:pt idx="4">
                  <c:v>ESCUINTLA</c:v>
                </c:pt>
                <c:pt idx="5">
                  <c:v>SAN ANTONIO ILOTENANGO</c:v>
                </c:pt>
                <c:pt idx="6">
                  <c:v>SANTO DOMINGO SUCHITEPÉQUEZ</c:v>
                </c:pt>
                <c:pt idx="7">
                  <c:v>SAN MIGUEL POCHUTA</c:v>
                </c:pt>
                <c:pt idx="8">
                  <c:v>MIXCO</c:v>
                </c:pt>
                <c:pt idx="9">
                  <c:v>CONCEPCIÓN LAS MINAS</c:v>
                </c:pt>
              </c:strCache>
            </c:strRef>
          </c:cat>
          <c:val>
            <c:numRef>
              <c:f>'[Evaluación a Municipalidades.xlsx]Individual - Obligaciones Finan'!$D$5:$D$14</c:f>
              <c:numCache>
                <c:formatCode>0.0%</c:formatCode>
                <c:ptCount val="10"/>
                <c:pt idx="0">
                  <c:v>7.0286433694655023E-2</c:v>
                </c:pt>
                <c:pt idx="1">
                  <c:v>0.29925297773257109</c:v>
                </c:pt>
                <c:pt idx="2">
                  <c:v>0.52674907835742413</c:v>
                </c:pt>
                <c:pt idx="3">
                  <c:v>0.40689865147188103</c:v>
                </c:pt>
                <c:pt idx="4">
                  <c:v>5.3081782547783632E-2</c:v>
                </c:pt>
                <c:pt idx="5">
                  <c:v>0.3351409428901117</c:v>
                </c:pt>
                <c:pt idx="6">
                  <c:v>0.249165850161987</c:v>
                </c:pt>
                <c:pt idx="7">
                  <c:v>0.30660024399802527</c:v>
                </c:pt>
                <c:pt idx="8">
                  <c:v>0.17548137586989432</c:v>
                </c:pt>
                <c:pt idx="9">
                  <c:v>0.1032250092509996</c:v>
                </c:pt>
              </c:numCache>
            </c:numRef>
          </c:val>
          <c:extLst>
            <c:ext xmlns:c16="http://schemas.microsoft.com/office/drawing/2014/chart" uri="{C3380CC4-5D6E-409C-BE32-E72D297353CC}">
              <c16:uniqueId val="{00000000-2CFC-434A-96EA-94EA08102A4B}"/>
            </c:ext>
          </c:extLst>
        </c:ser>
        <c:ser>
          <c:idx val="1"/>
          <c:order val="1"/>
          <c:tx>
            <c:strRef>
              <c:f>'[Evaluación a Municipalidades.xlsx]Individual - Obligaciones Finan'!$V$4</c:f>
              <c:strCache>
                <c:ptCount val="1"/>
                <c:pt idx="0">
                  <c:v>Otras Obligaciones</c:v>
                </c:pt>
              </c:strCache>
            </c:strRef>
          </c:tx>
          <c:spPr>
            <a:solidFill>
              <a:srgbClr val="FFB3B3"/>
            </a:solidFill>
            <a:ln w="15875">
              <a:solidFill>
                <a:sysClr val="windowText" lastClr="000000"/>
              </a:solidFill>
            </a:ln>
            <a:effectLst>
              <a:outerShdw blurRad="57150" dist="19050" dir="5400000" algn="ctr" rotWithShape="0">
                <a:srgbClr val="000000">
                  <a:alpha val="63000"/>
                </a:srgbClr>
              </a:outerShdw>
            </a:effectLst>
          </c:spPr>
          <c:invertIfNegative val="0"/>
          <c:cat>
            <c:strRef>
              <c:f>'[Evaluación a Municipalidades.xlsx]Individual - Obligaciones Finan'!$C$5:$C$14</c:f>
              <c:strCache>
                <c:ptCount val="10"/>
                <c:pt idx="0">
                  <c:v>MALACATAN</c:v>
                </c:pt>
                <c:pt idx="1">
                  <c:v>GUATEMALA</c:v>
                </c:pt>
                <c:pt idx="2">
                  <c:v>CATARINA</c:v>
                </c:pt>
                <c:pt idx="3">
                  <c:v>SAN LORENZO (SUCHITEPÉQUEZ)</c:v>
                </c:pt>
                <c:pt idx="4">
                  <c:v>ESCUINTLA</c:v>
                </c:pt>
                <c:pt idx="5">
                  <c:v>SAN ANTONIO ILOTENANGO</c:v>
                </c:pt>
                <c:pt idx="6">
                  <c:v>SANTO DOMINGO SUCHITEPÉQUEZ</c:v>
                </c:pt>
                <c:pt idx="7">
                  <c:v>SAN MIGUEL POCHUTA</c:v>
                </c:pt>
                <c:pt idx="8">
                  <c:v>MIXCO</c:v>
                </c:pt>
                <c:pt idx="9">
                  <c:v>CONCEPCIÓN LAS MINAS</c:v>
                </c:pt>
              </c:strCache>
            </c:strRef>
          </c:cat>
          <c:val>
            <c:numRef>
              <c:f>'[Evaluación a Municipalidades.xlsx]Individual - Obligaciones Finan'!$E$5:$E$14</c:f>
              <c:numCache>
                <c:formatCode>0.0%</c:formatCode>
                <c:ptCount val="10"/>
                <c:pt idx="0">
                  <c:v>0.83797107925837355</c:v>
                </c:pt>
                <c:pt idx="1">
                  <c:v>0.34773155009688766</c:v>
                </c:pt>
                <c:pt idx="2">
                  <c:v>5.0205921970311075E-3</c:v>
                </c:pt>
                <c:pt idx="3">
                  <c:v>0.10782144160413956</c:v>
                </c:pt>
                <c:pt idx="4">
                  <c:v>0.34082392295825314</c:v>
                </c:pt>
                <c:pt idx="5">
                  <c:v>5.2074588855091378E-2</c:v>
                </c:pt>
                <c:pt idx="6">
                  <c:v>0.10347119922323435</c:v>
                </c:pt>
                <c:pt idx="7">
                  <c:v>1.6656071336803132E-2</c:v>
                </c:pt>
                <c:pt idx="8">
                  <c:v>0.12397447790371126</c:v>
                </c:pt>
                <c:pt idx="9">
                  <c:v>0.19370298464952207</c:v>
                </c:pt>
              </c:numCache>
            </c:numRef>
          </c:val>
          <c:extLst>
            <c:ext xmlns:c16="http://schemas.microsoft.com/office/drawing/2014/chart" uri="{C3380CC4-5D6E-409C-BE32-E72D297353CC}">
              <c16:uniqueId val="{00000001-2CFC-434A-96EA-94EA08102A4B}"/>
            </c:ext>
          </c:extLst>
        </c:ser>
        <c:dLbls>
          <c:showLegendKey val="0"/>
          <c:showVal val="0"/>
          <c:showCatName val="0"/>
          <c:showSerName val="0"/>
          <c:showPercent val="0"/>
          <c:showBubbleSize val="0"/>
        </c:dLbls>
        <c:gapWidth val="87"/>
        <c:overlap val="100"/>
        <c:axId val="2051721359"/>
        <c:axId val="2051720527"/>
      </c:barChart>
      <c:lineChart>
        <c:grouping val="stacked"/>
        <c:varyColors val="0"/>
        <c:ser>
          <c:idx val="2"/>
          <c:order val="2"/>
          <c:tx>
            <c:strRef>
              <c:f>'[Evaluación a Municipalidades.xlsx]Individual - Obligaciones Finan'!$W$4</c:f>
              <c:strCache>
                <c:ptCount val="1"/>
                <c:pt idx="0">
                  <c:v>Total Obligaciones Financieras</c:v>
                </c:pt>
              </c:strCache>
            </c:strRef>
          </c:tx>
          <c:spPr>
            <a:ln w="34925" cap="rnd">
              <a:noFill/>
              <a:round/>
            </a:ln>
            <a:effectLst>
              <a:outerShdw blurRad="57150" dist="19050" dir="5400000" algn="ctr" rotWithShape="0">
                <a:srgbClr val="000000">
                  <a:alpha val="63000"/>
                </a:srgbClr>
              </a:outerShdw>
            </a:effectLst>
          </c:spPr>
          <c:marker>
            <c:symbol val="dash"/>
            <c:size val="2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5875">
                <a:solidFill>
                  <a:sysClr val="windowText" lastClr="000000"/>
                </a:solidFill>
                <a:round/>
              </a:ln>
              <a:effectLst>
                <a:outerShdw blurRad="57150" dist="19050" dir="5400000" algn="ctr" rotWithShape="0">
                  <a:srgbClr val="000000">
                    <a:alpha val="63000"/>
                  </a:srgbClr>
                </a:outerShdw>
              </a:effectLst>
            </c:spPr>
          </c:marker>
          <c:cat>
            <c:strRef>
              <c:f>'[Evaluación a Municipalidades.xlsx]Individual - Obligaciones Finan'!$C$5:$C$14</c:f>
              <c:strCache>
                <c:ptCount val="10"/>
                <c:pt idx="0">
                  <c:v>MALACATAN</c:v>
                </c:pt>
                <c:pt idx="1">
                  <c:v>GUATEMALA</c:v>
                </c:pt>
                <c:pt idx="2">
                  <c:v>CATARINA</c:v>
                </c:pt>
                <c:pt idx="3">
                  <c:v>SAN LORENZO (SUCHITEPÉQUEZ)</c:v>
                </c:pt>
                <c:pt idx="4">
                  <c:v>ESCUINTLA</c:v>
                </c:pt>
                <c:pt idx="5">
                  <c:v>SAN ANTONIO ILOTENANGO</c:v>
                </c:pt>
                <c:pt idx="6">
                  <c:v>SANTO DOMINGO SUCHITEPÉQUEZ</c:v>
                </c:pt>
                <c:pt idx="7">
                  <c:v>SAN MIGUEL POCHUTA</c:v>
                </c:pt>
                <c:pt idx="8">
                  <c:v>MIXCO</c:v>
                </c:pt>
                <c:pt idx="9">
                  <c:v>CONCEPCIÓN LAS MINAS</c:v>
                </c:pt>
              </c:strCache>
            </c:strRef>
          </c:cat>
          <c:val>
            <c:numRef>
              <c:f>'[Evaluación a Municipalidades.xlsx]Individual - Obligaciones Finan'!$F$5:$F$14</c:f>
              <c:numCache>
                <c:formatCode>0.0%</c:formatCode>
                <c:ptCount val="10"/>
                <c:pt idx="0">
                  <c:v>0.90825751295302859</c:v>
                </c:pt>
                <c:pt idx="1">
                  <c:v>0.6469845278294587</c:v>
                </c:pt>
                <c:pt idx="2">
                  <c:v>0.53176967055445523</c:v>
                </c:pt>
                <c:pt idx="3">
                  <c:v>0.51472009307602062</c:v>
                </c:pt>
                <c:pt idx="4">
                  <c:v>0.39390570550603682</c:v>
                </c:pt>
                <c:pt idx="5">
                  <c:v>0.38721553174520312</c:v>
                </c:pt>
                <c:pt idx="6">
                  <c:v>0.35263704938522134</c:v>
                </c:pt>
                <c:pt idx="7">
                  <c:v>0.3232563153348284</c:v>
                </c:pt>
                <c:pt idx="8">
                  <c:v>0.29945585377360556</c:v>
                </c:pt>
                <c:pt idx="9">
                  <c:v>0.29692799390052166</c:v>
                </c:pt>
              </c:numCache>
            </c:numRef>
          </c:val>
          <c:smooth val="0"/>
          <c:extLst>
            <c:ext xmlns:c16="http://schemas.microsoft.com/office/drawing/2014/chart" uri="{C3380CC4-5D6E-409C-BE32-E72D297353CC}">
              <c16:uniqueId val="{00000002-2CFC-434A-96EA-94EA08102A4B}"/>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Table>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900" b="0" i="1">
                <a:solidFill>
                  <a:sysClr val="windowText" lastClr="000000"/>
                </a:solidFill>
              </a:rPr>
              <a:t>Con menores obligaciones financieras</a:t>
            </a:r>
          </a:p>
        </c:rich>
      </c:tx>
      <c:layout>
        <c:manualLayout>
          <c:xMode val="edge"/>
          <c:yMode val="edge"/>
          <c:x val="0.3623122929305968"/>
          <c:y val="0"/>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20630175178441296"/>
          <c:y val="0"/>
          <c:w val="0.7936982482155871"/>
          <c:h val="0.62209873783743252"/>
        </c:manualLayout>
      </c:layout>
      <c:barChart>
        <c:barDir val="col"/>
        <c:grouping val="stacked"/>
        <c:varyColors val="0"/>
        <c:ser>
          <c:idx val="0"/>
          <c:order val="0"/>
          <c:tx>
            <c:strRef>
              <c:f>'[Evaluación a Municipalidades.xlsx]Individual - Obligaciones Finan'!$U$4</c:f>
              <c:strCache>
                <c:ptCount val="1"/>
                <c:pt idx="0">
                  <c:v>Endeudamiento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5875">
              <a:solidFill>
                <a:sysClr val="windowText" lastClr="000000"/>
              </a:solidFill>
            </a:ln>
            <a:effectLst>
              <a:outerShdw blurRad="57150" dist="19050" dir="5400000" algn="ctr" rotWithShape="0">
                <a:srgbClr val="000000">
                  <a:alpha val="63000"/>
                </a:srgbClr>
              </a:outerShdw>
            </a:effectLst>
          </c:spPr>
          <c:invertIfNegative val="0"/>
          <c:cat>
            <c:strRef>
              <c:f>'[Evaluación a Municipalidades.xlsx]Individual - Obligaciones Finan'!$C$327:$C$336</c:f>
              <c:strCache>
                <c:ptCount val="10"/>
                <c:pt idx="0">
                  <c:v>SAN MIGUEL CHICAJ</c:v>
                </c:pt>
                <c:pt idx="1">
                  <c:v>BARBERENA</c:v>
                </c:pt>
                <c:pt idx="2">
                  <c:v>OCÓS</c:v>
                </c:pt>
                <c:pt idx="3">
                  <c:v>SAN PEDRO PINULA</c:v>
                </c:pt>
                <c:pt idx="4">
                  <c:v>TACANA</c:v>
                </c:pt>
                <c:pt idx="5">
                  <c:v>RIO BLANCO</c:v>
                </c:pt>
                <c:pt idx="6">
                  <c:v>SAN MATEO</c:v>
                </c:pt>
                <c:pt idx="7">
                  <c:v>LA BLANCA</c:v>
                </c:pt>
                <c:pt idx="8">
                  <c:v>SAN JUAN ERMITA</c:v>
                </c:pt>
                <c:pt idx="9">
                  <c:v>CONCEPCIÓN TUTUAPA</c:v>
                </c:pt>
              </c:strCache>
            </c:strRef>
          </c:cat>
          <c:val>
            <c:numRef>
              <c:f>'[Evaluación a Municipalidades.xlsx]Individual - Obligaciones Finan'!$D$327:$D$336</c:f>
              <c:numCache>
                <c:formatCode>0.00%</c:formatCode>
                <c:ptCount val="10"/>
                <c:pt idx="0">
                  <c:v>0</c:v>
                </c:pt>
                <c:pt idx="1">
                  <c:v>0</c:v>
                </c:pt>
                <c:pt idx="2">
                  <c:v>0</c:v>
                </c:pt>
                <c:pt idx="3">
                  <c:v>0</c:v>
                </c:pt>
                <c:pt idx="4">
                  <c:v>0</c:v>
                </c:pt>
                <c:pt idx="5">
                  <c:v>0</c:v>
                </c:pt>
                <c:pt idx="6">
                  <c:v>0</c:v>
                </c:pt>
                <c:pt idx="7">
                  <c:v>0</c:v>
                </c:pt>
                <c:pt idx="8">
                  <c:v>0</c:v>
                </c:pt>
                <c:pt idx="9" formatCode="0.0%">
                  <c:v>0</c:v>
                </c:pt>
              </c:numCache>
            </c:numRef>
          </c:val>
          <c:extLst>
            <c:ext xmlns:c16="http://schemas.microsoft.com/office/drawing/2014/chart" uri="{C3380CC4-5D6E-409C-BE32-E72D297353CC}">
              <c16:uniqueId val="{00000000-D477-4A4B-AC0A-59ECA799F061}"/>
            </c:ext>
          </c:extLst>
        </c:ser>
        <c:ser>
          <c:idx val="1"/>
          <c:order val="1"/>
          <c:tx>
            <c:strRef>
              <c:f>'[Evaluación a Municipalidades.xlsx]Individual - Obligaciones Finan'!$V$4</c:f>
              <c:strCache>
                <c:ptCount val="1"/>
                <c:pt idx="0">
                  <c:v>Otras Obligaciones</c:v>
                </c:pt>
              </c:strCache>
            </c:strRef>
          </c:tx>
          <c:spPr>
            <a:solidFill>
              <a:srgbClr val="70AD47"/>
            </a:solidFill>
            <a:ln w="15875">
              <a:solidFill>
                <a:sysClr val="windowText" lastClr="000000"/>
              </a:solidFill>
            </a:ln>
            <a:effectLst>
              <a:outerShdw blurRad="57150" dist="19050" dir="5400000" algn="ctr" rotWithShape="0">
                <a:srgbClr val="000000">
                  <a:alpha val="63000"/>
                </a:srgbClr>
              </a:outerShdw>
            </a:effectLst>
          </c:spPr>
          <c:invertIfNegative val="0"/>
          <c:cat>
            <c:strRef>
              <c:f>'[Evaluación a Municipalidades.xlsx]Individual - Obligaciones Finan'!$C$327:$C$336</c:f>
              <c:strCache>
                <c:ptCount val="10"/>
                <c:pt idx="0">
                  <c:v>SAN MIGUEL CHICAJ</c:v>
                </c:pt>
                <c:pt idx="1">
                  <c:v>BARBERENA</c:v>
                </c:pt>
                <c:pt idx="2">
                  <c:v>OCÓS</c:v>
                </c:pt>
                <c:pt idx="3">
                  <c:v>SAN PEDRO PINULA</c:v>
                </c:pt>
                <c:pt idx="4">
                  <c:v>TACANA</c:v>
                </c:pt>
                <c:pt idx="5">
                  <c:v>RIO BLANCO</c:v>
                </c:pt>
                <c:pt idx="6">
                  <c:v>SAN MATEO</c:v>
                </c:pt>
                <c:pt idx="7">
                  <c:v>LA BLANCA</c:v>
                </c:pt>
                <c:pt idx="8">
                  <c:v>SAN JUAN ERMITA</c:v>
                </c:pt>
                <c:pt idx="9">
                  <c:v>CONCEPCIÓN TUTUAPA</c:v>
                </c:pt>
              </c:strCache>
            </c:strRef>
          </c:cat>
          <c:val>
            <c:numRef>
              <c:f>'[Evaluación a Municipalidades.xlsx]Individual - Obligaciones Finan'!$E$327:$E$336</c:f>
              <c:numCache>
                <c:formatCode>0.00%</c:formatCode>
                <c:ptCount val="10"/>
                <c:pt idx="0">
                  <c:v>4.135745233036851E-4</c:v>
                </c:pt>
                <c:pt idx="1">
                  <c:v>3.5614018816900221E-4</c:v>
                </c:pt>
                <c:pt idx="2">
                  <c:v>3.4936718467166636E-4</c:v>
                </c:pt>
                <c:pt idx="3">
                  <c:v>2.5190457862316978E-4</c:v>
                </c:pt>
                <c:pt idx="4">
                  <c:v>2.2770545895112797E-4</c:v>
                </c:pt>
                <c:pt idx="5">
                  <c:v>1.4740346591489222E-4</c:v>
                </c:pt>
                <c:pt idx="6">
                  <c:v>1.1194354122384204E-4</c:v>
                </c:pt>
                <c:pt idx="7">
                  <c:v>6.8991488877301994E-5</c:v>
                </c:pt>
                <c:pt idx="8">
                  <c:v>3.911297466738953E-5</c:v>
                </c:pt>
                <c:pt idx="9" formatCode="0.0%">
                  <c:v>7.8043148676786053E-6</c:v>
                </c:pt>
              </c:numCache>
            </c:numRef>
          </c:val>
          <c:extLst>
            <c:ext xmlns:c16="http://schemas.microsoft.com/office/drawing/2014/chart" uri="{C3380CC4-5D6E-409C-BE32-E72D297353CC}">
              <c16:uniqueId val="{00000001-D477-4A4B-AC0A-59ECA799F061}"/>
            </c:ext>
          </c:extLst>
        </c:ser>
        <c:dLbls>
          <c:showLegendKey val="0"/>
          <c:showVal val="0"/>
          <c:showCatName val="0"/>
          <c:showSerName val="0"/>
          <c:showPercent val="0"/>
          <c:showBubbleSize val="0"/>
        </c:dLbls>
        <c:gapWidth val="87"/>
        <c:overlap val="100"/>
        <c:axId val="2051721359"/>
        <c:axId val="2051720527"/>
      </c:barChart>
      <c:lineChart>
        <c:grouping val="stacked"/>
        <c:varyColors val="0"/>
        <c:ser>
          <c:idx val="2"/>
          <c:order val="2"/>
          <c:tx>
            <c:strRef>
              <c:f>'[Evaluación a Municipalidades.xlsx]Individual - Obligaciones Finan'!$W$4</c:f>
              <c:strCache>
                <c:ptCount val="1"/>
                <c:pt idx="0">
                  <c:v>Total Obligaciones Financieras</c:v>
                </c:pt>
              </c:strCache>
            </c:strRef>
          </c:tx>
          <c:spPr>
            <a:ln w="25400" cap="rnd">
              <a:noFill/>
              <a:round/>
            </a:ln>
            <a:effectLst>
              <a:outerShdw blurRad="57150" dist="19050" dir="5400000" algn="ctr" rotWithShape="0">
                <a:srgbClr val="000000">
                  <a:alpha val="63000"/>
                </a:srgbClr>
              </a:outerShdw>
            </a:effectLst>
          </c:spPr>
          <c:marker>
            <c:symbol val="dash"/>
            <c:size val="2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5875">
                <a:solidFill>
                  <a:sysClr val="windowText" lastClr="000000"/>
                </a:solidFill>
                <a:round/>
              </a:ln>
              <a:effectLst>
                <a:outerShdw blurRad="57150" dist="19050" dir="5400000" algn="ctr" rotWithShape="0">
                  <a:srgbClr val="000000">
                    <a:alpha val="63000"/>
                  </a:srgbClr>
                </a:outerShdw>
              </a:effectLst>
            </c:spPr>
          </c:marker>
          <c:cat>
            <c:strRef>
              <c:f>'[Evaluación a Municipalidades.xlsx]Individual - Obligaciones Finan'!$C$327:$C$336</c:f>
              <c:strCache>
                <c:ptCount val="10"/>
                <c:pt idx="0">
                  <c:v>SAN MIGUEL CHICAJ</c:v>
                </c:pt>
                <c:pt idx="1">
                  <c:v>BARBERENA</c:v>
                </c:pt>
                <c:pt idx="2">
                  <c:v>OCÓS</c:v>
                </c:pt>
                <c:pt idx="3">
                  <c:v>SAN PEDRO PINULA</c:v>
                </c:pt>
                <c:pt idx="4">
                  <c:v>TACANA</c:v>
                </c:pt>
                <c:pt idx="5">
                  <c:v>RIO BLANCO</c:v>
                </c:pt>
                <c:pt idx="6">
                  <c:v>SAN MATEO</c:v>
                </c:pt>
                <c:pt idx="7">
                  <c:v>LA BLANCA</c:v>
                </c:pt>
                <c:pt idx="8">
                  <c:v>SAN JUAN ERMITA</c:v>
                </c:pt>
                <c:pt idx="9">
                  <c:v>CONCEPCIÓN TUTUAPA</c:v>
                </c:pt>
              </c:strCache>
            </c:strRef>
          </c:cat>
          <c:val>
            <c:numRef>
              <c:f>'[Evaluación a Municipalidades.xlsx]Individual - Obligaciones Finan'!$F$327:$F$336</c:f>
              <c:numCache>
                <c:formatCode>0.00%</c:formatCode>
                <c:ptCount val="10"/>
                <c:pt idx="0">
                  <c:v>4.135745233036851E-4</c:v>
                </c:pt>
                <c:pt idx="1">
                  <c:v>3.5614018816900221E-4</c:v>
                </c:pt>
                <c:pt idx="2">
                  <c:v>3.4936718467166636E-4</c:v>
                </c:pt>
                <c:pt idx="3">
                  <c:v>2.5190457862316978E-4</c:v>
                </c:pt>
                <c:pt idx="4">
                  <c:v>2.2770545895112797E-4</c:v>
                </c:pt>
                <c:pt idx="5">
                  <c:v>1.4740346591489222E-4</c:v>
                </c:pt>
                <c:pt idx="6">
                  <c:v>1.1194354122384204E-4</c:v>
                </c:pt>
                <c:pt idx="7">
                  <c:v>6.8991488877301994E-5</c:v>
                </c:pt>
                <c:pt idx="8">
                  <c:v>3.911297466738953E-5</c:v>
                </c:pt>
                <c:pt idx="9" formatCode="0.0%">
                  <c:v>7.8043148676786053E-6</c:v>
                </c:pt>
              </c:numCache>
            </c:numRef>
          </c:val>
          <c:smooth val="0"/>
          <c:extLst>
            <c:ext xmlns:c16="http://schemas.microsoft.com/office/drawing/2014/chart" uri="{C3380CC4-5D6E-409C-BE32-E72D297353CC}">
              <c16:uniqueId val="{00000002-D477-4A4B-AC0A-59ECA799F061}"/>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Table>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9181783692967583"/>
          <c:w val="1"/>
          <c:h val="0.68313936005524067"/>
        </c:manualLayout>
      </c:layout>
      <c:areaChart>
        <c:grouping val="stacked"/>
        <c:varyColors val="0"/>
        <c:ser>
          <c:idx val="0"/>
          <c:order val="0"/>
          <c:tx>
            <c:strRef>
              <c:f>'[Evaluación a Municipalidades.xlsx]Sector - Obligaciones Financier'!$E$3</c:f>
              <c:strCache>
                <c:ptCount val="1"/>
                <c:pt idx="0">
                  <c:v>Endeudamiento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dLbls>
            <c:dLbl>
              <c:idx val="0"/>
              <c:layout>
                <c:manualLayout>
                  <c:x val="3.8888888888888876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D8-406A-B6D5-675426CFE0F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Financier'!$I$4:$I$9</c:f>
              <c:numCache>
                <c:formatCode>General</c:formatCode>
                <c:ptCount val="6"/>
                <c:pt idx="0">
                  <c:v>2017</c:v>
                </c:pt>
                <c:pt idx="1">
                  <c:v>2018</c:v>
                </c:pt>
                <c:pt idx="2">
                  <c:v>2019</c:v>
                </c:pt>
                <c:pt idx="3">
                  <c:v>2020</c:v>
                </c:pt>
                <c:pt idx="4">
                  <c:v>2021</c:v>
                </c:pt>
                <c:pt idx="5">
                  <c:v>2022</c:v>
                </c:pt>
              </c:numCache>
            </c:numRef>
          </c:cat>
          <c:val>
            <c:numRef>
              <c:f>'[Evaluación a Municipalidades.xlsx]Sector - Obligaciones Financier'!$K$4:$K$9</c:f>
              <c:numCache>
                <c:formatCode>0.00%</c:formatCode>
                <c:ptCount val="6"/>
                <c:pt idx="0">
                  <c:v>2.5809536912111768E-3</c:v>
                </c:pt>
                <c:pt idx="1">
                  <c:v>2.2419718582377189E-3</c:v>
                </c:pt>
                <c:pt idx="2">
                  <c:v>1.4260117509916287E-3</c:v>
                </c:pt>
                <c:pt idx="3">
                  <c:v>1.8269699335465687E-3</c:v>
                </c:pt>
                <c:pt idx="4">
                  <c:v>1.8734770396228544E-3</c:v>
                </c:pt>
                <c:pt idx="5">
                  <c:v>1.4007361580282269E-3</c:v>
                </c:pt>
              </c:numCache>
            </c:numRef>
          </c:val>
          <c:extLst>
            <c:ext xmlns:c16="http://schemas.microsoft.com/office/drawing/2014/chart" uri="{C3380CC4-5D6E-409C-BE32-E72D297353CC}">
              <c16:uniqueId val="{00000001-8AD8-406A-B6D5-675426CFE0F5}"/>
            </c:ext>
          </c:extLst>
        </c:ser>
        <c:ser>
          <c:idx val="1"/>
          <c:order val="1"/>
          <c:tx>
            <c:strRef>
              <c:f>'[Evaluación a Municipalidades.xlsx]Sector - Obligaciones Financier'!$F$3</c:f>
              <c:strCache>
                <c:ptCount val="1"/>
                <c:pt idx="0">
                  <c:v>Otras obligaciones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dLbls>
            <c:dLbl>
              <c:idx val="0"/>
              <c:layout>
                <c:manualLayout>
                  <c:x val="4.7222222222222221E-2"/>
                  <c:y val="4.415011037527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D8-406A-B6D5-675426CFE0F5}"/>
                </c:ext>
              </c:extLst>
            </c:dLbl>
            <c:dLbl>
              <c:idx val="5"/>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D8-406A-B6D5-675426CFE0F5}"/>
                </c:ext>
              </c:extLst>
            </c:dLbl>
            <c:numFmt formatCode="0.00%" sourceLinked="0"/>
            <c:spPr>
              <a:noFill/>
              <a:ln w="12700" cap="flat" cmpd="sng" algn="ctr">
                <a:no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Financier'!$I$4:$I$9</c:f>
              <c:numCache>
                <c:formatCode>General</c:formatCode>
                <c:ptCount val="6"/>
                <c:pt idx="0">
                  <c:v>2017</c:v>
                </c:pt>
                <c:pt idx="1">
                  <c:v>2018</c:v>
                </c:pt>
                <c:pt idx="2">
                  <c:v>2019</c:v>
                </c:pt>
                <c:pt idx="3">
                  <c:v>2020</c:v>
                </c:pt>
                <c:pt idx="4">
                  <c:v>2021</c:v>
                </c:pt>
                <c:pt idx="5">
                  <c:v>2022</c:v>
                </c:pt>
              </c:numCache>
            </c:numRef>
          </c:cat>
          <c:val>
            <c:numRef>
              <c:f>'[Evaluación a Municipalidades.xlsx]Sector - Obligaciones Financier'!$L$4:$L$9</c:f>
              <c:numCache>
                <c:formatCode>0.00%</c:formatCode>
                <c:ptCount val="6"/>
                <c:pt idx="0">
                  <c:v>1.6173299561791322E-3</c:v>
                </c:pt>
                <c:pt idx="1">
                  <c:v>1.5233604759850826E-3</c:v>
                </c:pt>
                <c:pt idx="2">
                  <c:v>1.4741383380926878E-3</c:v>
                </c:pt>
                <c:pt idx="3">
                  <c:v>1.5061122994562293E-3</c:v>
                </c:pt>
                <c:pt idx="4">
                  <c:v>1.3561462549535662E-3</c:v>
                </c:pt>
                <c:pt idx="5">
                  <c:v>1.3723323054225804E-3</c:v>
                </c:pt>
              </c:numCache>
            </c:numRef>
          </c:val>
          <c:extLst>
            <c:ext xmlns:c16="http://schemas.microsoft.com/office/drawing/2014/chart" uri="{C3380CC4-5D6E-409C-BE32-E72D297353CC}">
              <c16:uniqueId val="{00000004-8AD8-406A-B6D5-675426CFE0F5}"/>
            </c:ext>
          </c:extLst>
        </c:ser>
        <c:dLbls>
          <c:showLegendKey val="0"/>
          <c:showVal val="0"/>
          <c:showCatName val="0"/>
          <c:showSerName val="0"/>
          <c:showPercent val="0"/>
          <c:showBubbleSize val="0"/>
        </c:dLbls>
        <c:axId val="2051721359"/>
        <c:axId val="2051720527"/>
      </c:areaChart>
      <c:lineChart>
        <c:grouping val="stacked"/>
        <c:varyColors val="0"/>
        <c:ser>
          <c:idx val="2"/>
          <c:order val="2"/>
          <c:tx>
            <c:strRef>
              <c:f>'[Evaluación a Municipalidades.xlsx]Sector - Obligaciones Financier'!$G$3</c:f>
              <c:strCache>
                <c:ptCount val="1"/>
                <c:pt idx="0">
                  <c:v>Total Obligaciones Financieras</c:v>
                </c:pt>
              </c:strCache>
            </c:strRef>
          </c:tx>
          <c:spPr>
            <a:ln w="34925" cap="rnd">
              <a:solidFill>
                <a:schemeClr val="accent4"/>
              </a:solidFill>
              <a:round/>
            </a:ln>
            <a:effectLst>
              <a:outerShdw blurRad="57150" dist="19050" dir="5400000" algn="ctr" rotWithShape="0">
                <a:srgbClr val="000000">
                  <a:alpha val="63000"/>
                </a:srgbClr>
              </a:outerShdw>
            </a:effectLst>
          </c:spPr>
          <c:marker>
            <c:symbol val="dash"/>
            <c:size val="3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a:solidFill>
                  <a:schemeClr val="accent4"/>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dLbl>
              <c:idx val="0"/>
              <c:layout>
                <c:manualLayout>
                  <c:x val="-6.7201443569553806E-2"/>
                  <c:y val="-9.82989958113642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D8-406A-B6D5-675426CFE0F5}"/>
                </c:ext>
              </c:extLst>
            </c:dLbl>
            <c:dLbl>
              <c:idx val="1"/>
              <c:layout>
                <c:manualLayout>
                  <c:x val="-6.4423665791776025E-2"/>
                  <c:y val="-9.0432722458365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D8-406A-B6D5-675426CFE0F5}"/>
                </c:ext>
              </c:extLst>
            </c:dLbl>
            <c:dLbl>
              <c:idx val="2"/>
              <c:layout>
                <c:manualLayout>
                  <c:x val="-6.4423665791776025E-2"/>
                  <c:y val="-9.82989958113642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D8-406A-B6D5-675426CFE0F5}"/>
                </c:ext>
              </c:extLst>
            </c:dLbl>
            <c:dLbl>
              <c:idx val="3"/>
              <c:layout>
                <c:manualLayout>
                  <c:x val="-5.6090332458442693E-2"/>
                  <c:y val="-0.10319584224157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D8-406A-B6D5-675426CFE0F5}"/>
                </c:ext>
              </c:extLst>
            </c:dLbl>
            <c:dLbl>
              <c:idx val="4"/>
              <c:layout>
                <c:manualLayout>
                  <c:x val="-5.6090332458442693E-2"/>
                  <c:y val="-0.10223213248786386"/>
                </c:manualLayout>
              </c:layout>
              <c:tx>
                <c:rich>
                  <a:bodyPr/>
                  <a:lstStyle/>
                  <a:p>
                    <a:r>
                      <a:rPr lang="en-US"/>
                      <a:t>0.33%</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AD8-406A-B6D5-675426CFE0F5}"/>
                </c:ext>
              </c:extLst>
            </c:dLbl>
            <c:dLbl>
              <c:idx val="5"/>
              <c:layout>
                <c:manualLayout>
                  <c:x val="-2.168766404199475E-2"/>
                  <c:y val="-0.114031542517362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D8-406A-B6D5-675426CFE0F5}"/>
                </c:ext>
              </c:extLst>
            </c:dLbl>
            <c:numFmt formatCode="0.00%" sourceLinked="0"/>
            <c:spPr>
              <a:noFill/>
              <a:ln w="6350">
                <a:solidFill>
                  <a:sysClr val="windowText" lastClr="000000"/>
                </a:solidFill>
              </a:ln>
              <a:effectLst>
                <a:outerShdw blurRad="50800" dist="38100" dir="18900000" algn="b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Financier'!$I$4:$I$9</c:f>
              <c:numCache>
                <c:formatCode>General</c:formatCode>
                <c:ptCount val="6"/>
                <c:pt idx="0">
                  <c:v>2017</c:v>
                </c:pt>
                <c:pt idx="1">
                  <c:v>2018</c:v>
                </c:pt>
                <c:pt idx="2">
                  <c:v>2019</c:v>
                </c:pt>
                <c:pt idx="3">
                  <c:v>2020</c:v>
                </c:pt>
                <c:pt idx="4">
                  <c:v>2021</c:v>
                </c:pt>
                <c:pt idx="5">
                  <c:v>2022</c:v>
                </c:pt>
              </c:numCache>
            </c:numRef>
          </c:cat>
          <c:val>
            <c:numRef>
              <c:f>'[Evaluación a Municipalidades.xlsx]Sector - Obligaciones Financier'!$M$4:$M$9</c:f>
              <c:numCache>
                <c:formatCode>0.00%</c:formatCode>
                <c:ptCount val="6"/>
                <c:pt idx="0">
                  <c:v>4.1982836473903095E-3</c:v>
                </c:pt>
                <c:pt idx="1">
                  <c:v>3.7653323342228011E-3</c:v>
                </c:pt>
                <c:pt idx="2">
                  <c:v>2.9001500890843165E-3</c:v>
                </c:pt>
                <c:pt idx="3">
                  <c:v>3.3330822330027978E-3</c:v>
                </c:pt>
                <c:pt idx="4">
                  <c:v>3.2296232945764206E-3</c:v>
                </c:pt>
                <c:pt idx="5">
                  <c:v>2.7730684634508073E-3</c:v>
                </c:pt>
              </c:numCache>
            </c:numRef>
          </c:val>
          <c:smooth val="0"/>
          <c:extLst>
            <c:ext xmlns:c16="http://schemas.microsoft.com/office/drawing/2014/chart" uri="{C3380CC4-5D6E-409C-BE32-E72D297353CC}">
              <c16:uniqueId val="{0000000B-8AD8-406A-B6D5-675426CFE0F5}"/>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none"/>
        <c:minorTickMark val="none"/>
        <c:tickLblPos val="nextTo"/>
        <c:crossAx val="2051721359"/>
        <c:crosses val="autoZero"/>
        <c:crossBetween val="between"/>
      </c:valAx>
      <c:spPr>
        <a:noFill/>
        <a:ln>
          <a:noFill/>
        </a:ln>
        <a:effectLst/>
      </c:spPr>
    </c:plotArea>
    <c:legend>
      <c:legendPos val="b"/>
      <c:layout>
        <c:manualLayout>
          <c:xMode val="edge"/>
          <c:yMode val="edge"/>
          <c:x val="0"/>
          <c:y val="6.1951548091886792E-3"/>
          <c:w val="1"/>
          <c:h val="8.45279936034485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Nacionales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8070421861329834"/>
          <c:h val="0.74117204083068178"/>
        </c:manualLayout>
      </c:layout>
      <c:barChart>
        <c:barDir val="col"/>
        <c:grouping val="clustered"/>
        <c:varyColors val="0"/>
        <c:ser>
          <c:idx val="0"/>
          <c:order val="0"/>
          <c:tx>
            <c:strRef>
              <c:f>Hoja1!$B$1</c:f>
              <c:strCache>
                <c:ptCount val="1"/>
                <c:pt idx="0">
                  <c:v>Resultado Presupuestario</c:v>
                </c:pt>
              </c:strCache>
            </c:strRef>
          </c:tx>
          <c:spPr>
            <a:solidFill>
              <a:schemeClr val="accent5"/>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#,##0.00</c:formatCode>
                <c:ptCount val="6"/>
                <c:pt idx="0">
                  <c:v>1047.8</c:v>
                </c:pt>
                <c:pt idx="1">
                  <c:v>945.4</c:v>
                </c:pt>
                <c:pt idx="2" formatCode="General">
                  <c:v>89.1</c:v>
                </c:pt>
                <c:pt idx="3" formatCode="General">
                  <c:v>638</c:v>
                </c:pt>
                <c:pt idx="4">
                  <c:v>1158.2</c:v>
                </c:pt>
                <c:pt idx="5">
                  <c:v>767.4</c:v>
                </c:pt>
              </c:numCache>
            </c:numRef>
          </c:val>
          <c:extLst>
            <c:ext xmlns:c16="http://schemas.microsoft.com/office/drawing/2014/chart" uri="{C3380CC4-5D6E-409C-BE32-E72D297353CC}">
              <c16:uniqueId val="{00000000-7340-4FD2-BCAB-A82352697E8C}"/>
            </c:ext>
          </c:extLst>
        </c:ser>
        <c:ser>
          <c:idx val="1"/>
          <c:order val="1"/>
          <c:tx>
            <c:strRef>
              <c:f>Hoja1!$C$1</c:f>
              <c:strCache>
                <c:ptCount val="1"/>
                <c:pt idx="0">
                  <c:v>Resultado Presupuestario (sin considerar transferencias)</c:v>
                </c:pt>
              </c:strCache>
            </c:strRef>
          </c:tx>
          <c:spPr>
            <a:solidFill>
              <a:schemeClr val="accent6"/>
            </a:solidFill>
            <a:ln w="158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General</c:formatCode>
                <c:ptCount val="6"/>
                <c:pt idx="0">
                  <c:v>665.85</c:v>
                </c:pt>
                <c:pt idx="1">
                  <c:v>618.91999999999996</c:v>
                </c:pt>
                <c:pt idx="2">
                  <c:v>49.18</c:v>
                </c:pt>
                <c:pt idx="3">
                  <c:v>-29.85</c:v>
                </c:pt>
                <c:pt idx="4">
                  <c:v>775.36</c:v>
                </c:pt>
                <c:pt idx="5">
                  <c:v>156.52000000000001</c:v>
                </c:pt>
              </c:numCache>
            </c:numRef>
          </c:val>
          <c:extLst>
            <c:ext xmlns:c16="http://schemas.microsoft.com/office/drawing/2014/chart" uri="{C3380CC4-5D6E-409C-BE32-E72D297353CC}">
              <c16:uniqueId val="{00000001-7340-4FD2-BCAB-A82352697E8C}"/>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25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3">
            <a:lumMod val="20000"/>
            <a:lumOff val="80000"/>
          </a:schemeClr>
        </a:solidFill>
        <a:ln>
          <a:noFill/>
        </a:ln>
        <a:effectLst/>
      </c:spPr>
    </c:plotArea>
    <c:legend>
      <c:legendPos val="b"/>
      <c:layout>
        <c:manualLayout>
          <c:xMode val="edge"/>
          <c:yMode val="edge"/>
          <c:x val="0"/>
          <c:y val="0.88388826593733039"/>
          <c:w val="0.80902777777777779"/>
          <c:h val="0.1161117340626693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Municipales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88346494349612326"/>
          <c:h val="0.74117204083068178"/>
        </c:manualLayout>
      </c:layout>
      <c:barChart>
        <c:barDir val="col"/>
        <c:grouping val="clustered"/>
        <c:varyColors val="0"/>
        <c:ser>
          <c:idx val="0"/>
          <c:order val="0"/>
          <c:tx>
            <c:strRef>
              <c:f>Hoja1!$B$1</c:f>
              <c:strCache>
                <c:ptCount val="1"/>
                <c:pt idx="0">
                  <c:v>Resultado Presupuestario</c:v>
                </c:pt>
              </c:strCache>
            </c:strRef>
          </c:tx>
          <c:spPr>
            <a:solidFill>
              <a:schemeClr val="accent4"/>
            </a:solidFill>
            <a:ln w="6350">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_(* #,##0.00_);_(* \(#,##0.00\);_(* "-"??_);_(@_)</c:formatCode>
                <c:ptCount val="6"/>
                <c:pt idx="0">
                  <c:v>65.094069569999803</c:v>
                </c:pt>
                <c:pt idx="1">
                  <c:v>-10.286558920000321</c:v>
                </c:pt>
                <c:pt idx="2">
                  <c:v>-25.938513390000335</c:v>
                </c:pt>
                <c:pt idx="3">
                  <c:v>63.945334522999907</c:v>
                </c:pt>
                <c:pt idx="4">
                  <c:v>21.741919880999941</c:v>
                </c:pt>
                <c:pt idx="5">
                  <c:v>-23.805856349000237</c:v>
                </c:pt>
              </c:numCache>
            </c:numRef>
          </c:val>
          <c:extLst>
            <c:ext xmlns:c16="http://schemas.microsoft.com/office/drawing/2014/chart" uri="{C3380CC4-5D6E-409C-BE32-E72D297353CC}">
              <c16:uniqueId val="{00000000-AB69-4B48-900D-22FF0956A383}"/>
            </c:ext>
          </c:extLst>
        </c:ser>
        <c:ser>
          <c:idx val="1"/>
          <c:order val="1"/>
          <c:tx>
            <c:strRef>
              <c:f>Hoja1!$C$1</c:f>
              <c:strCache>
                <c:ptCount val="1"/>
                <c:pt idx="0">
                  <c:v>Resultado Presupuestario (sin considerar transferencias)</c:v>
                </c:pt>
              </c:strCache>
            </c:strRef>
          </c:tx>
          <c:spPr>
            <a:solidFill>
              <a:schemeClr val="tx2">
                <a:lumMod val="75000"/>
              </a:schemeClr>
            </a:solidFill>
            <a:ln w="158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_(* #,##0.00_);_(* \(#,##0.00\);_(* "-"??_);_(@_)</c:formatCode>
                <c:ptCount val="6"/>
                <c:pt idx="0">
                  <c:v>-16.374700090000218</c:v>
                </c:pt>
                <c:pt idx="1">
                  <c:v>-99.964835210000317</c:v>
                </c:pt>
                <c:pt idx="2">
                  <c:v>-37.780884300000338</c:v>
                </c:pt>
                <c:pt idx="3">
                  <c:v>-26.967578947000128</c:v>
                </c:pt>
                <c:pt idx="4">
                  <c:v>-12.311410979000065</c:v>
                </c:pt>
                <c:pt idx="5">
                  <c:v>-57.594378699000231</c:v>
                </c:pt>
              </c:numCache>
            </c:numRef>
          </c:val>
          <c:extLst>
            <c:ext xmlns:c16="http://schemas.microsoft.com/office/drawing/2014/chart" uri="{C3380CC4-5D6E-409C-BE32-E72D297353CC}">
              <c16:uniqueId val="{00000001-AB69-4B48-900D-22FF0956A383}"/>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130"/>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6">
            <a:lumMod val="20000"/>
            <a:lumOff val="80000"/>
          </a:schemeClr>
        </a:solidFill>
        <a:ln>
          <a:noFill/>
        </a:ln>
        <a:effectLst/>
      </c:spPr>
    </c:plotArea>
    <c:legend>
      <c:legendPos val="b"/>
      <c:layout>
        <c:manualLayout>
          <c:xMode val="edge"/>
          <c:yMode val="edge"/>
          <c:x val="0"/>
          <c:y val="0.88388826593733039"/>
          <c:w val="0.80902777777777779"/>
          <c:h val="0.1161117340626693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193687327545592E-2"/>
          <c:y val="2.4219115021615428E-2"/>
          <c:w val="0.95434346727813524"/>
          <c:h val="0.82817038563496237"/>
        </c:manualLayout>
      </c:layout>
      <c:barChart>
        <c:barDir val="col"/>
        <c:grouping val="clustered"/>
        <c:varyColors val="0"/>
        <c:ser>
          <c:idx val="0"/>
          <c:order val="0"/>
          <c:tx>
            <c:strRef>
              <c:f>Hoja1!$B$1</c:f>
              <c:strCache>
                <c:ptCount val="1"/>
                <c:pt idx="0">
                  <c:v>Resultado Presupuestario</c:v>
                </c:pt>
              </c:strCache>
            </c:strRef>
          </c:tx>
          <c:spPr>
            <a:solidFill>
              <a:schemeClr val="accent5"/>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446223104016404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78-4CC2-B90E-5A7F91C3A642}"/>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INDE</c:v>
                </c:pt>
                <c:pt idx="1">
                  <c:v>EPQ</c:v>
                </c:pt>
                <c:pt idx="2">
                  <c:v>ZOLIC</c:v>
                </c:pt>
                <c:pt idx="3">
                  <c:v>INDECA</c:v>
                </c:pt>
                <c:pt idx="4">
                  <c:v>FEGUA</c:v>
                </c:pt>
                <c:pt idx="5">
                  <c:v>EPNCH</c:v>
                </c:pt>
                <c:pt idx="6">
                  <c:v>GUATEL</c:v>
                </c:pt>
                <c:pt idx="7">
                  <c:v>EMPORNAC</c:v>
                </c:pt>
              </c:strCache>
            </c:strRef>
          </c:cat>
          <c:val>
            <c:numRef>
              <c:f>Hoja1!$B$2:$B$9</c:f>
              <c:numCache>
                <c:formatCode>_-* #,##0.0_-;\-* #,##0.0_-;_-* "-"??_-;_-@_-</c:formatCode>
                <c:ptCount val="8"/>
                <c:pt idx="0">
                  <c:v>645.65401271000246</c:v>
                </c:pt>
                <c:pt idx="1">
                  <c:v>147.64904738999996</c:v>
                </c:pt>
                <c:pt idx="2">
                  <c:v>3.7497708600000124</c:v>
                </c:pt>
                <c:pt idx="3">
                  <c:v>0.93060742000000296</c:v>
                </c:pt>
                <c:pt idx="4">
                  <c:v>0.60524620999999978</c:v>
                </c:pt>
                <c:pt idx="5">
                  <c:v>-0.61910726999999532</c:v>
                </c:pt>
                <c:pt idx="6">
                  <c:v>-7.952511740000002</c:v>
                </c:pt>
                <c:pt idx="7">
                  <c:v>-22.570468340000389</c:v>
                </c:pt>
              </c:numCache>
            </c:numRef>
          </c:val>
          <c:extLst>
            <c:ext xmlns:c16="http://schemas.microsoft.com/office/drawing/2014/chart" uri="{C3380CC4-5D6E-409C-BE32-E72D297353CC}">
              <c16:uniqueId val="{00000001-F078-4CC2-B90E-5A7F91C3A642}"/>
            </c:ext>
          </c:extLst>
        </c:ser>
        <c:ser>
          <c:idx val="1"/>
          <c:order val="1"/>
          <c:tx>
            <c:strRef>
              <c:f>Hoja1!$C$1</c:f>
              <c:strCache>
                <c:ptCount val="1"/>
                <c:pt idx="0">
                  <c:v>Resultado Presupuestario (sin considerar transferencias)</c:v>
                </c:pt>
              </c:strCache>
            </c:strRef>
          </c:tx>
          <c:spPr>
            <a:solidFill>
              <a:schemeClr val="accent6"/>
            </a:solidFill>
            <a:ln w="158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INDE</c:v>
                </c:pt>
                <c:pt idx="1">
                  <c:v>EPQ</c:v>
                </c:pt>
                <c:pt idx="2">
                  <c:v>ZOLIC</c:v>
                </c:pt>
                <c:pt idx="3">
                  <c:v>INDECA</c:v>
                </c:pt>
                <c:pt idx="4">
                  <c:v>FEGUA</c:v>
                </c:pt>
                <c:pt idx="5">
                  <c:v>EPNCH</c:v>
                </c:pt>
                <c:pt idx="6">
                  <c:v>GUATEL</c:v>
                </c:pt>
                <c:pt idx="7">
                  <c:v>EMPORNAC</c:v>
                </c:pt>
              </c:strCache>
            </c:strRef>
          </c:cat>
          <c:val>
            <c:numRef>
              <c:f>Hoja1!$C$2:$C$9</c:f>
              <c:numCache>
                <c:formatCode>_-* #,##0.0_-;\-* #,##0.0_-;_-* "-"??_-;_-@_-</c:formatCode>
                <c:ptCount val="8"/>
                <c:pt idx="0">
                  <c:v>58.154012710002462</c:v>
                </c:pt>
                <c:pt idx="1">
                  <c:v>147.64904738999996</c:v>
                </c:pt>
                <c:pt idx="2">
                  <c:v>3.7497708600000124</c:v>
                </c:pt>
                <c:pt idx="3">
                  <c:v>-14.069392579999997</c:v>
                </c:pt>
                <c:pt idx="4">
                  <c:v>-0.14475379000000022</c:v>
                </c:pt>
                <c:pt idx="5">
                  <c:v>-5.7936272699999956</c:v>
                </c:pt>
                <c:pt idx="6">
                  <c:v>-10.452511740000002</c:v>
                </c:pt>
                <c:pt idx="7">
                  <c:v>-22.570468340000389</c:v>
                </c:pt>
              </c:numCache>
            </c:numRef>
          </c:val>
          <c:extLst>
            <c:ext xmlns:c16="http://schemas.microsoft.com/office/drawing/2014/chart" uri="{C3380CC4-5D6E-409C-BE32-E72D297353CC}">
              <c16:uniqueId val="{00000002-F078-4CC2-B90E-5A7F91C3A642}"/>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11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noFill/>
        <a:ln w="25400">
          <a:noFill/>
        </a:ln>
        <a:effectLst/>
      </c:spPr>
    </c:plotArea>
    <c:legend>
      <c:legendPos val="b"/>
      <c:layout>
        <c:manualLayout>
          <c:xMode val="edge"/>
          <c:yMode val="edge"/>
          <c:x val="0"/>
          <c:y val="0.91757048839905764"/>
          <c:w val="0.41424501424501425"/>
          <c:h val="8.24295116009421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896190476190475"/>
          <c:y val="3.4208031009798232E-2"/>
          <c:w val="0.84079999999999999"/>
          <c:h val="0.78730084853200144"/>
        </c:manualLayout>
      </c:layout>
      <c:barChart>
        <c:barDir val="col"/>
        <c:grouping val="clustered"/>
        <c:varyColors val="0"/>
        <c:ser>
          <c:idx val="0"/>
          <c:order val="0"/>
          <c:tx>
            <c:strRef>
              <c:f>Exp!$B$30</c:f>
              <c:strCache>
                <c:ptCount val="1"/>
                <c:pt idx="0">
                  <c:v>Año presupuestario</c:v>
                </c:pt>
              </c:strCache>
            </c:strRef>
          </c:tx>
          <c:spPr>
            <a:solidFill>
              <a:schemeClr val="accent1">
                <a:shade val="65000"/>
              </a:schemeClr>
            </a:solidFill>
            <a:ln>
              <a:noFill/>
            </a:ln>
            <a:effectLst/>
          </c:spPr>
          <c:invertIfNegative val="0"/>
          <c:cat>
            <c:numRef>
              <c:f>Exp!$E$29:$N$29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Exp!$E$30:$N$30</c:f>
              <c:numCache>
                <c:formatCode>_(* #,##0.00_);_(* \(#,##0.00\);_(* "-"??_);_(@_)</c:formatCode>
                <c:ptCount val="10"/>
                <c:pt idx="0">
                  <c:v>-6.4271449130350877</c:v>
                </c:pt>
                <c:pt idx="1">
                  <c:v>3.0213346497232605</c:v>
                </c:pt>
                <c:pt idx="2">
                  <c:v>-8.297992374145803</c:v>
                </c:pt>
                <c:pt idx="3">
                  <c:v>-6.7365684787066016</c:v>
                </c:pt>
                <c:pt idx="4">
                  <c:v>-4.3592887449014128E-2</c:v>
                </c:pt>
                <c:pt idx="5">
                  <c:v>-6.0669630640492471</c:v>
                </c:pt>
                <c:pt idx="6">
                  <c:v>-4.1542988038707875</c:v>
                </c:pt>
                <c:pt idx="7">
                  <c:v>-3.9017993979630461</c:v>
                </c:pt>
                <c:pt idx="8">
                  <c:v>13.568803645706552</c:v>
                </c:pt>
                <c:pt idx="9">
                  <c:v>9.5338058215498904</c:v>
                </c:pt>
              </c:numCache>
            </c:numRef>
          </c:val>
          <c:extLst>
            <c:ext xmlns:c16="http://schemas.microsoft.com/office/drawing/2014/chart" uri="{C3380CC4-5D6E-409C-BE32-E72D297353CC}">
              <c16:uniqueId val="{00000000-426C-49C0-93D2-6438F2EA401B}"/>
            </c:ext>
          </c:extLst>
        </c:ser>
        <c:ser>
          <c:idx val="1"/>
          <c:order val="1"/>
          <c:tx>
            <c:strRef>
              <c:f>Exp!$B$31</c:f>
              <c:strCache>
                <c:ptCount val="1"/>
                <c:pt idx="0">
                  <c:v>Año presupuestario+1</c:v>
                </c:pt>
              </c:strCache>
            </c:strRef>
          </c:tx>
          <c:spPr>
            <a:solidFill>
              <a:schemeClr val="accent1"/>
            </a:solidFill>
            <a:ln>
              <a:noFill/>
            </a:ln>
            <a:effectLst/>
          </c:spPr>
          <c:invertIfNegative val="0"/>
          <c:cat>
            <c:numRef>
              <c:f>Exp!$E$29:$N$29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Exp!$E$31:$N$31</c:f>
              <c:numCache>
                <c:formatCode>_(* #,##0.00_);_(* \(#,##0.00\);_(* "-"??_);_(@_)</c:formatCode>
                <c:ptCount val="10"/>
                <c:pt idx="0">
                  <c:v>-6.2271449130350875</c:v>
                </c:pt>
                <c:pt idx="1">
                  <c:v>0.22133464972326067</c:v>
                </c:pt>
                <c:pt idx="2">
                  <c:v>-8.0979923741458038</c:v>
                </c:pt>
                <c:pt idx="3">
                  <c:v>-6.7365684787066016</c:v>
                </c:pt>
                <c:pt idx="4">
                  <c:v>0.85640711255098534</c:v>
                </c:pt>
                <c:pt idx="5">
                  <c:v>-7.5669630640492471</c:v>
                </c:pt>
                <c:pt idx="6">
                  <c:v>-3.6542988038707875</c:v>
                </c:pt>
                <c:pt idx="7">
                  <c:v>-5.4017993979630461</c:v>
                </c:pt>
                <c:pt idx="8">
                  <c:v>15.568803645706552</c:v>
                </c:pt>
                <c:pt idx="9">
                  <c:v>13.53380582154989</c:v>
                </c:pt>
              </c:numCache>
            </c:numRef>
          </c:val>
          <c:extLst>
            <c:ext xmlns:c16="http://schemas.microsoft.com/office/drawing/2014/chart" uri="{C3380CC4-5D6E-409C-BE32-E72D297353CC}">
              <c16:uniqueId val="{00000001-426C-49C0-93D2-6438F2EA401B}"/>
            </c:ext>
          </c:extLst>
        </c:ser>
        <c:ser>
          <c:idx val="2"/>
          <c:order val="2"/>
          <c:tx>
            <c:strRef>
              <c:f>Exp!$B$32</c:f>
              <c:strCache>
                <c:ptCount val="1"/>
                <c:pt idx="0">
                  <c:v>Año presupuestario+2</c:v>
                </c:pt>
              </c:strCache>
            </c:strRef>
          </c:tx>
          <c:spPr>
            <a:solidFill>
              <a:schemeClr val="accent1">
                <a:tint val="65000"/>
              </a:schemeClr>
            </a:solidFill>
            <a:ln>
              <a:noFill/>
            </a:ln>
            <a:effectLst/>
          </c:spPr>
          <c:invertIfNegative val="0"/>
          <c:trendline>
            <c:spPr>
              <a:ln w="19050" cap="rnd">
                <a:noFill/>
                <a:prstDash val="sysDot"/>
              </a:ln>
              <a:effectLst/>
            </c:spPr>
            <c:trendlineType val="linear"/>
            <c:dispRSqr val="0"/>
            <c:dispEq val="0"/>
          </c:trendline>
          <c:cat>
            <c:numRef>
              <c:f>Exp!$E$29:$N$29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Exp!$E$32:$N$32</c:f>
              <c:numCache>
                <c:formatCode>_(* #,##0.00_);_(* \(#,##0.00\);_(* "-"??_);_(@_)</c:formatCode>
                <c:ptCount val="10"/>
                <c:pt idx="0">
                  <c:v>-6.4271449130350877</c:v>
                </c:pt>
                <c:pt idx="1">
                  <c:v>2.1334649723261379E-2</c:v>
                </c:pt>
                <c:pt idx="2">
                  <c:v>-10.597992374145804</c:v>
                </c:pt>
                <c:pt idx="3">
                  <c:v>-6.0365684787066014</c:v>
                </c:pt>
                <c:pt idx="4">
                  <c:v>1.9564071125509859</c:v>
                </c:pt>
                <c:pt idx="5">
                  <c:v>-6.4669630640492475</c:v>
                </c:pt>
                <c:pt idx="6">
                  <c:v>-4.6542988038707875</c:v>
                </c:pt>
                <c:pt idx="7">
                  <c:v>-4.4017993979630461</c:v>
                </c:pt>
                <c:pt idx="8">
                  <c:v>14.068803645706552</c:v>
                </c:pt>
                <c:pt idx="9">
                  <c:v>8.5338058215498904</c:v>
                </c:pt>
              </c:numCache>
            </c:numRef>
          </c:val>
          <c:extLst>
            <c:ext xmlns:c16="http://schemas.microsoft.com/office/drawing/2014/chart" uri="{C3380CC4-5D6E-409C-BE32-E72D297353CC}">
              <c16:uniqueId val="{00000003-426C-49C0-93D2-6438F2EA401B}"/>
            </c:ext>
          </c:extLst>
        </c:ser>
        <c:dLbls>
          <c:showLegendKey val="0"/>
          <c:showVal val="0"/>
          <c:showCatName val="0"/>
          <c:showSerName val="0"/>
          <c:showPercent val="0"/>
          <c:showBubbleSize val="0"/>
        </c:dLbls>
        <c:gapWidth val="80"/>
        <c:overlap val="-30"/>
        <c:axId val="1149594064"/>
        <c:axId val="1149579504"/>
      </c:barChart>
      <c:catAx>
        <c:axId val="1149594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79504"/>
        <c:crosses val="autoZero"/>
        <c:auto val="1"/>
        <c:lblAlgn val="ctr"/>
        <c:lblOffset val="100"/>
        <c:noMultiLvlLbl val="0"/>
      </c:catAx>
      <c:valAx>
        <c:axId val="1149579504"/>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94064"/>
        <c:crosses val="autoZero"/>
        <c:crossBetween val="between"/>
      </c:valAx>
    </c:plotArea>
    <c:legend>
      <c:legendPos val="b"/>
      <c:legendEntry>
        <c:idx val="3"/>
        <c:delete val="1"/>
      </c:legendEntry>
      <c:layout>
        <c:manualLayout>
          <c:xMode val="edge"/>
          <c:yMode val="edge"/>
          <c:x val="5.6712757175514349E-2"/>
          <c:y val="0.89374559322563729"/>
          <c:w val="0.88657448564897134"/>
          <c:h val="0.1062544067743627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45184144158017E-2"/>
          <c:y val="1.4997023070820461E-2"/>
          <c:w val="0.96222014107131626"/>
          <c:h val="0.54427310393974881"/>
        </c:manualLayout>
      </c:layout>
      <c:barChart>
        <c:barDir val="col"/>
        <c:grouping val="clustered"/>
        <c:varyColors val="0"/>
        <c:ser>
          <c:idx val="0"/>
          <c:order val="0"/>
          <c:tx>
            <c:strRef>
              <c:f>Hoja1!$B$1</c:f>
              <c:strCache>
                <c:ptCount val="1"/>
                <c:pt idx="0">
                  <c:v>Resultado Presupuestario</c:v>
                </c:pt>
              </c:strCache>
            </c:strRef>
          </c:tx>
          <c:spPr>
            <a:solidFill>
              <a:srgbClr val="FFC000"/>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0"/>
              <c:layout>
                <c:manualLayout>
                  <c:x val="-2.44498777506112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20-4518-8963-CD327B196517}"/>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EMPAGUA</c:v>
                </c:pt>
                <c:pt idx="1">
                  <c:v>ELEC. DE GUALAN</c:v>
                </c:pt>
                <c:pt idx="2">
                  <c:v>EMP. DE TRANSPORTE DE GUATEMALA</c:v>
                </c:pt>
                <c:pt idx="3">
                  <c:v>ELEC. DE GUASTATOYA</c:v>
                </c:pt>
                <c:pt idx="4">
                  <c:v>EMAPET</c:v>
                </c:pt>
                <c:pt idx="5">
                  <c:v>EMRE</c:v>
                </c:pt>
                <c:pt idx="6">
                  <c:v>AGUA DE JALAPAGUA</c:v>
                </c:pt>
                <c:pt idx="7">
                  <c:v>ELEC. SAN PEDRO PINULA</c:v>
                </c:pt>
                <c:pt idx="8">
                  <c:v>ELEC. DE YULXAK</c:v>
                </c:pt>
                <c:pt idx="9">
                  <c:v>ELEC. DE JOYABAJ</c:v>
                </c:pt>
                <c:pt idx="10">
                  <c:v>ELEC. DE ZACAPA</c:v>
                </c:pt>
                <c:pt idx="11">
                  <c:v>VIVIENDA DE SANTA CATARINA PINULA</c:v>
                </c:pt>
                <c:pt idx="12">
                  <c:v>ELEC. DE JALAPA</c:v>
                </c:pt>
                <c:pt idx="13">
                  <c:v>ELEC. DE HUEHUETENANGO</c:v>
                </c:pt>
                <c:pt idx="14">
                  <c:v>ELEC. DE PUERTO BARRIOS</c:v>
                </c:pt>
              </c:strCache>
            </c:strRef>
          </c:cat>
          <c:val>
            <c:numRef>
              <c:f>Hoja1!$B$2:$B$16</c:f>
              <c:numCache>
                <c:formatCode>_(* #,##0.00_);_(* \(#,##0.00\);_(* "-"??_);_(@_)</c:formatCode>
                <c:ptCount val="15"/>
                <c:pt idx="0">
                  <c:v>10.29482516999974</c:v>
                </c:pt>
                <c:pt idx="1">
                  <c:v>4.9595763299999973</c:v>
                </c:pt>
                <c:pt idx="2">
                  <c:v>2.9555264299999919</c:v>
                </c:pt>
                <c:pt idx="3">
                  <c:v>1.7292006700000044</c:v>
                </c:pt>
                <c:pt idx="4">
                  <c:v>1.0808726899999961</c:v>
                </c:pt>
                <c:pt idx="5">
                  <c:v>0.5123238499999978</c:v>
                </c:pt>
                <c:pt idx="6">
                  <c:v>0.21165496999999966</c:v>
                </c:pt>
                <c:pt idx="7">
                  <c:v>9.3704680000000984E-2</c:v>
                </c:pt>
                <c:pt idx="8">
                  <c:v>-0.26706866999999779</c:v>
                </c:pt>
                <c:pt idx="9">
                  <c:v>-0.46592097000000621</c:v>
                </c:pt>
                <c:pt idx="10">
                  <c:v>-0.9781688999999858</c:v>
                </c:pt>
                <c:pt idx="11">
                  <c:v>-1.4867124500000006</c:v>
                </c:pt>
                <c:pt idx="12">
                  <c:v>-3.4005317290000079</c:v>
                </c:pt>
                <c:pt idx="13">
                  <c:v>-12.72302105</c:v>
                </c:pt>
                <c:pt idx="14">
                  <c:v>-26.322117369999972</c:v>
                </c:pt>
              </c:numCache>
            </c:numRef>
          </c:val>
          <c:extLst>
            <c:ext xmlns:c16="http://schemas.microsoft.com/office/drawing/2014/chart" uri="{C3380CC4-5D6E-409C-BE32-E72D297353CC}">
              <c16:uniqueId val="{00000001-6720-4518-8963-CD327B196517}"/>
            </c:ext>
          </c:extLst>
        </c:ser>
        <c:ser>
          <c:idx val="1"/>
          <c:order val="1"/>
          <c:tx>
            <c:strRef>
              <c:f>Hoja1!$C$1</c:f>
              <c:strCache>
                <c:ptCount val="1"/>
                <c:pt idx="0">
                  <c:v>Resultado Presupuestario (sin considerar transferencias)</c:v>
                </c:pt>
              </c:strCache>
            </c:strRef>
          </c:tx>
          <c:spPr>
            <a:solidFill>
              <a:schemeClr val="tx2">
                <a:lumMod val="75000"/>
              </a:schemeClr>
            </a:solidFill>
            <a:ln w="158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EMPAGUA</c:v>
                </c:pt>
                <c:pt idx="1">
                  <c:v>ELEC. DE GUALAN</c:v>
                </c:pt>
                <c:pt idx="2">
                  <c:v>EMP. DE TRANSPORTE DE GUATEMALA</c:v>
                </c:pt>
                <c:pt idx="3">
                  <c:v>ELEC. DE GUASTATOYA</c:v>
                </c:pt>
                <c:pt idx="4">
                  <c:v>EMAPET</c:v>
                </c:pt>
                <c:pt idx="5">
                  <c:v>EMRE</c:v>
                </c:pt>
                <c:pt idx="6">
                  <c:v>AGUA DE JALAPAGUA</c:v>
                </c:pt>
                <c:pt idx="7">
                  <c:v>ELEC. SAN PEDRO PINULA</c:v>
                </c:pt>
                <c:pt idx="8">
                  <c:v>ELEC. DE YULXAK</c:v>
                </c:pt>
                <c:pt idx="9">
                  <c:v>ELEC. DE JOYABAJ</c:v>
                </c:pt>
                <c:pt idx="10">
                  <c:v>ELEC. DE ZACAPA</c:v>
                </c:pt>
                <c:pt idx="11">
                  <c:v>VIVIENDA DE SANTA CATARINA PINULA</c:v>
                </c:pt>
                <c:pt idx="12">
                  <c:v>ELEC. DE JALAPA</c:v>
                </c:pt>
                <c:pt idx="13">
                  <c:v>ELEC. DE HUEHUETENANGO</c:v>
                </c:pt>
                <c:pt idx="14">
                  <c:v>ELEC. DE PUERTO BARRIOS</c:v>
                </c:pt>
              </c:strCache>
            </c:strRef>
          </c:cat>
          <c:val>
            <c:numRef>
              <c:f>Hoja1!$C$2:$C$16</c:f>
              <c:numCache>
                <c:formatCode>_(* #,##0.00_);_(* \(#,##0.00\);_(* "-"??_);_(@_)</c:formatCode>
                <c:ptCount val="15"/>
                <c:pt idx="0">
                  <c:v>5.29482516999974</c:v>
                </c:pt>
                <c:pt idx="1">
                  <c:v>4.9595763299999973</c:v>
                </c:pt>
                <c:pt idx="2">
                  <c:v>-21.486928570000003</c:v>
                </c:pt>
                <c:pt idx="3">
                  <c:v>1.7292006700000044</c:v>
                </c:pt>
                <c:pt idx="4">
                  <c:v>1.0808726899999961</c:v>
                </c:pt>
                <c:pt idx="5">
                  <c:v>0.5123238499999978</c:v>
                </c:pt>
                <c:pt idx="6">
                  <c:v>-0.73175977000000003</c:v>
                </c:pt>
                <c:pt idx="7">
                  <c:v>9.3704680000000984E-2</c:v>
                </c:pt>
                <c:pt idx="8">
                  <c:v>-0.26706866999999779</c:v>
                </c:pt>
                <c:pt idx="9">
                  <c:v>-0.46592097000000621</c:v>
                </c:pt>
                <c:pt idx="10">
                  <c:v>-0.9781688999999858</c:v>
                </c:pt>
                <c:pt idx="11">
                  <c:v>-3.8259033000000007</c:v>
                </c:pt>
                <c:pt idx="12">
                  <c:v>-3.4005317290000079</c:v>
                </c:pt>
                <c:pt idx="13">
                  <c:v>-13.786482809999995</c:v>
                </c:pt>
                <c:pt idx="14">
                  <c:v>-26.322117369999972</c:v>
                </c:pt>
              </c:numCache>
            </c:numRef>
          </c:val>
          <c:extLst>
            <c:ext xmlns:c16="http://schemas.microsoft.com/office/drawing/2014/chart" uri="{C3380CC4-5D6E-409C-BE32-E72D297353CC}">
              <c16:uniqueId val="{00000002-6720-4518-8963-CD327B196517}"/>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35"/>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noFill/>
        <a:ln w="25400">
          <a:noFill/>
        </a:ln>
        <a:effectLst/>
      </c:spPr>
    </c:plotArea>
    <c:legend>
      <c:legendPos val="b"/>
      <c:layout>
        <c:manualLayout>
          <c:xMode val="edge"/>
          <c:yMode val="edge"/>
          <c:x val="0.26224818214328288"/>
          <c:y val="0.9462692893864626"/>
          <c:w val="0.45696571241553241"/>
          <c:h val="5.081982071171509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rot="-5400000" vert="horz"/>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Nacionales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9.0798161780014056E-2"/>
          <c:w val="0.90686857502187224"/>
          <c:h val="0.74336145538097143"/>
        </c:manualLayout>
      </c:layout>
      <c:barChart>
        <c:barDir val="col"/>
        <c:grouping val="stacked"/>
        <c:varyColors val="0"/>
        <c:ser>
          <c:idx val="0"/>
          <c:order val="0"/>
          <c:tx>
            <c:strRef>
              <c:f>Hoja1!$B$1</c:f>
              <c:strCache>
                <c:ptCount val="1"/>
                <c:pt idx="0">
                  <c:v>Endeudamiento</c:v>
                </c:pt>
              </c:strCache>
            </c:strRef>
          </c:tx>
          <c:spPr>
            <a:solidFill>
              <a:schemeClr val="accent5"/>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0.24175784451285104</c:v>
                </c:pt>
                <c:pt idx="1">
                  <c:v>0.23494764126427187</c:v>
                </c:pt>
                <c:pt idx="2">
                  <c:v>0.24626398001470101</c:v>
                </c:pt>
                <c:pt idx="3">
                  <c:v>0.21443130882109618</c:v>
                </c:pt>
                <c:pt idx="4">
                  <c:v>0.19091404987033062</c:v>
                </c:pt>
                <c:pt idx="5">
                  <c:v>0.16688105750844098</c:v>
                </c:pt>
              </c:numCache>
            </c:numRef>
          </c:val>
          <c:extLst>
            <c:ext xmlns:c16="http://schemas.microsoft.com/office/drawing/2014/chart" uri="{C3380CC4-5D6E-409C-BE32-E72D297353CC}">
              <c16:uniqueId val="{00000000-9F66-4A8A-8138-CAADA3C9D7B9}"/>
            </c:ext>
          </c:extLst>
        </c:ser>
        <c:ser>
          <c:idx val="1"/>
          <c:order val="1"/>
          <c:tx>
            <c:strRef>
              <c:f>Hoja1!$C$1</c:f>
              <c:strCache>
                <c:ptCount val="1"/>
                <c:pt idx="0">
                  <c:v>Otras obligaciones</c:v>
                </c:pt>
              </c:strCache>
            </c:strRef>
          </c:tx>
          <c:spPr>
            <a:solidFill>
              <a:schemeClr val="accent6"/>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3.8881197663421387E-2</c:v>
                </c:pt>
                <c:pt idx="1">
                  <c:v>4.1288657747848651E-2</c:v>
                </c:pt>
                <c:pt idx="2">
                  <c:v>4.2951991451961553E-2</c:v>
                </c:pt>
                <c:pt idx="3">
                  <c:v>4.636250310215792E-2</c:v>
                </c:pt>
                <c:pt idx="4">
                  <c:v>5.1866229204422659E-2</c:v>
                </c:pt>
                <c:pt idx="5">
                  <c:v>5.1468376520783045E-2</c:v>
                </c:pt>
              </c:numCache>
            </c:numRef>
          </c:val>
          <c:extLst>
            <c:ext xmlns:c16="http://schemas.microsoft.com/office/drawing/2014/chart" uri="{C3380CC4-5D6E-409C-BE32-E72D297353CC}">
              <c16:uniqueId val="{00000001-9F66-4A8A-8138-CAADA3C9D7B9}"/>
            </c:ext>
          </c:extLst>
        </c:ser>
        <c:dLbls>
          <c:showLegendKey val="0"/>
          <c:showVal val="0"/>
          <c:showCatName val="0"/>
          <c:showSerName val="0"/>
          <c:showPercent val="0"/>
          <c:showBubbleSize val="0"/>
        </c:dLbls>
        <c:gapWidth val="100"/>
        <c:overlap val="100"/>
        <c:axId val="2052477007"/>
        <c:axId val="2052474095"/>
      </c:barChart>
      <c:lineChart>
        <c:grouping val="stacked"/>
        <c:varyColors val="0"/>
        <c:ser>
          <c:idx val="2"/>
          <c:order val="2"/>
          <c:tx>
            <c:strRef>
              <c:f>Hoja1!$D$1</c:f>
              <c:strCache>
                <c:ptCount val="1"/>
                <c:pt idx="0">
                  <c:v>Total Obligaciones Financieras</c:v>
                </c:pt>
              </c:strCache>
            </c:strRef>
          </c:tx>
          <c:spPr>
            <a:ln w="34925" cap="rnd">
              <a:noFill/>
              <a:round/>
            </a:ln>
            <a:effectLst>
              <a:outerShdw blurRad="50800" dist="38100" dir="18900000" algn="bl" rotWithShape="0">
                <a:prstClr val="black">
                  <a:alpha val="40000"/>
                </a:prstClr>
              </a:outerShdw>
            </a:effectLst>
          </c:spPr>
          <c:marker>
            <c:symbol val="dash"/>
            <c:size val="2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5875">
                <a:solidFill>
                  <a:schemeClr val="tx1"/>
                </a:solidFill>
                <a:round/>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marker>
          <c:dLbls>
            <c:numFmt formatCode="0.0%" sourceLinked="0"/>
            <c:spPr>
              <a:solidFill>
                <a:schemeClr val="lt1"/>
              </a:solidFill>
              <a:ln w="12700" cap="flat" cmpd="sng" algn="ctr">
                <a:solidFill>
                  <a:schemeClr val="dk1"/>
                </a:solidFill>
                <a:prstDash val="solid"/>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Hoja1!$D$2:$D$7</c:f>
              <c:numCache>
                <c:formatCode>0.0%</c:formatCode>
                <c:ptCount val="6"/>
                <c:pt idx="0">
                  <c:v>0.28063904217627245</c:v>
                </c:pt>
                <c:pt idx="1">
                  <c:v>0.27623629901212055</c:v>
                </c:pt>
                <c:pt idx="2">
                  <c:v>0.28921597146666256</c:v>
                </c:pt>
                <c:pt idx="3">
                  <c:v>0.26079381192325407</c:v>
                </c:pt>
                <c:pt idx="4">
                  <c:v>0.2427802790747533</c:v>
                </c:pt>
                <c:pt idx="5">
                  <c:v>0.21834943402922402</c:v>
                </c:pt>
              </c:numCache>
            </c:numRef>
          </c:val>
          <c:smooth val="0"/>
          <c:extLst>
            <c:ext xmlns:c16="http://schemas.microsoft.com/office/drawing/2014/chart" uri="{C3380CC4-5D6E-409C-BE32-E72D297353CC}">
              <c16:uniqueId val="{00000002-9F66-4A8A-8138-CAADA3C9D7B9}"/>
            </c:ext>
          </c:extLst>
        </c:ser>
        <c:dLbls>
          <c:showLegendKey val="0"/>
          <c:showVal val="0"/>
          <c:showCatName val="0"/>
          <c:showSerName val="0"/>
          <c:showPercent val="0"/>
          <c:showBubbleSize val="0"/>
        </c:dLbls>
        <c:marker val="1"/>
        <c:smooth val="0"/>
        <c:axId val="2052477007"/>
        <c:axId val="2052474095"/>
      </c:line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3">
            <a:lumMod val="20000"/>
            <a:lumOff val="80000"/>
          </a:schemeClr>
        </a:solidFill>
        <a:ln>
          <a:noFill/>
        </a:ln>
        <a:effectLst/>
      </c:spPr>
    </c:plotArea>
    <c:legend>
      <c:legendPos val="b"/>
      <c:layout>
        <c:manualLayout>
          <c:xMode val="edge"/>
          <c:yMode val="edge"/>
          <c:x val="0"/>
          <c:y val="0.92066273162867551"/>
          <c:w val="0.97981582064701156"/>
          <c:h val="7.188260128546673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Municipales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9.0993432435295368E-2"/>
          <c:w val="0.90686857502187224"/>
          <c:h val="0.76359371138024801"/>
        </c:manualLayout>
      </c:layout>
      <c:barChart>
        <c:barDir val="col"/>
        <c:grouping val="stacked"/>
        <c:varyColors val="0"/>
        <c:ser>
          <c:idx val="0"/>
          <c:order val="0"/>
          <c:tx>
            <c:strRef>
              <c:f>Hoja1!$B$1</c:f>
              <c:strCache>
                <c:ptCount val="1"/>
                <c:pt idx="0">
                  <c:v>Endeudamiento</c:v>
                </c:pt>
              </c:strCache>
            </c:strRef>
          </c:tx>
          <c:spPr>
            <a:solidFill>
              <a:schemeClr val="tx2">
                <a:lumMod val="75000"/>
              </a:schemeClr>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c:formatCode>
                <c:ptCount val="6"/>
                <c:pt idx="0">
                  <c:v>0.16643179592370322</c:v>
                </c:pt>
                <c:pt idx="1">
                  <c:v>0.14647265976967874</c:v>
                </c:pt>
                <c:pt idx="2">
                  <c:v>0.12553897364034611</c:v>
                </c:pt>
                <c:pt idx="3">
                  <c:v>0.10499985505362347</c:v>
                </c:pt>
                <c:pt idx="4">
                  <c:v>0.11766839272107749</c:v>
                </c:pt>
                <c:pt idx="5">
                  <c:v>9.3935174337168859E-2</c:v>
                </c:pt>
              </c:numCache>
            </c:numRef>
          </c:val>
          <c:extLst>
            <c:ext xmlns:c16="http://schemas.microsoft.com/office/drawing/2014/chart" uri="{C3380CC4-5D6E-409C-BE32-E72D297353CC}">
              <c16:uniqueId val="{00000000-0773-42AA-A367-78E10267B6E4}"/>
            </c:ext>
          </c:extLst>
        </c:ser>
        <c:ser>
          <c:idx val="1"/>
          <c:order val="1"/>
          <c:tx>
            <c:strRef>
              <c:f>Hoja1!$C$1</c:f>
              <c:strCache>
                <c:ptCount val="1"/>
                <c:pt idx="0">
                  <c:v>Otras obligaciones</c:v>
                </c:pt>
              </c:strCache>
            </c:strRef>
          </c:tx>
          <c:spPr>
            <a:solidFill>
              <a:schemeClr val="accent4"/>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c:formatCode>
                <c:ptCount val="6"/>
                <c:pt idx="0">
                  <c:v>0.90943561843232279</c:v>
                </c:pt>
                <c:pt idx="1">
                  <c:v>1.0181935152421302</c:v>
                </c:pt>
                <c:pt idx="2">
                  <c:v>0.98906890844646345</c:v>
                </c:pt>
                <c:pt idx="3">
                  <c:v>0.97352623679035333</c:v>
                </c:pt>
                <c:pt idx="4">
                  <c:v>1.0919281158131369</c:v>
                </c:pt>
                <c:pt idx="5">
                  <c:v>1.0830128506574486</c:v>
                </c:pt>
              </c:numCache>
            </c:numRef>
          </c:val>
          <c:extLst>
            <c:ext xmlns:c16="http://schemas.microsoft.com/office/drawing/2014/chart" uri="{C3380CC4-5D6E-409C-BE32-E72D297353CC}">
              <c16:uniqueId val="{00000001-0773-42AA-A367-78E10267B6E4}"/>
            </c:ext>
          </c:extLst>
        </c:ser>
        <c:dLbls>
          <c:showLegendKey val="0"/>
          <c:showVal val="0"/>
          <c:showCatName val="0"/>
          <c:showSerName val="0"/>
          <c:showPercent val="0"/>
          <c:showBubbleSize val="0"/>
        </c:dLbls>
        <c:gapWidth val="100"/>
        <c:overlap val="100"/>
        <c:axId val="2052477007"/>
        <c:axId val="2052474095"/>
      </c:barChart>
      <c:lineChart>
        <c:grouping val="stacked"/>
        <c:varyColors val="0"/>
        <c:ser>
          <c:idx val="2"/>
          <c:order val="2"/>
          <c:tx>
            <c:strRef>
              <c:f>Hoja1!$D$1</c:f>
              <c:strCache>
                <c:ptCount val="1"/>
                <c:pt idx="0">
                  <c:v>Total Obligaciones Financieras</c:v>
                </c:pt>
              </c:strCache>
            </c:strRef>
          </c:tx>
          <c:spPr>
            <a:ln w="34925" cap="rnd">
              <a:noFill/>
              <a:round/>
            </a:ln>
            <a:effectLst>
              <a:outerShdw blurRad="50800" dist="38100" dir="18900000" algn="bl" rotWithShape="0">
                <a:prstClr val="black">
                  <a:alpha val="40000"/>
                </a:prstClr>
              </a:outerShdw>
            </a:effectLst>
          </c:spPr>
          <c:marker>
            <c:symbol val="dash"/>
            <c:size val="2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5875">
                <a:solidFill>
                  <a:schemeClr val="tx1"/>
                </a:solidFill>
                <a:round/>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marker>
          <c:dLbls>
            <c:dLbl>
              <c:idx val="1"/>
              <c:layout>
                <c:manualLayout>
                  <c:x val="-0.11847505109491817"/>
                  <c:y val="-7.2155379400444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73-42AA-A367-78E10267B6E4}"/>
                </c:ext>
              </c:extLst>
            </c:dLbl>
            <c:dLbl>
              <c:idx val="2"/>
              <c:layout>
                <c:manualLayout>
                  <c:x val="-0.10940780839895013"/>
                  <c:y val="-7.8153019889854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73-42AA-A367-78E10267B6E4}"/>
                </c:ext>
              </c:extLst>
            </c:dLbl>
            <c:dLbl>
              <c:idx val="5"/>
              <c:layout>
                <c:manualLayout>
                  <c:x val="-2.8256233595800685E-2"/>
                  <c:y val="-7.2898159143664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73-42AA-A367-78E10267B6E4}"/>
                </c:ext>
              </c:extLst>
            </c:dLbl>
            <c:numFmt formatCode="0.0%" sourceLinked="0"/>
            <c:spPr>
              <a:solidFill>
                <a:schemeClr val="lt1"/>
              </a:solidFill>
              <a:ln w="12700" cap="flat" cmpd="sng" algn="ctr">
                <a:solidFill>
                  <a:schemeClr val="dk1"/>
                </a:solidFill>
                <a:prstDash val="solid"/>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Hoja1!$D$2:$D$7</c:f>
              <c:numCache>
                <c:formatCode>0%</c:formatCode>
                <c:ptCount val="6"/>
                <c:pt idx="0">
                  <c:v>1.0758674143560261</c:v>
                </c:pt>
                <c:pt idx="1">
                  <c:v>1.1646661750118088</c:v>
                </c:pt>
                <c:pt idx="2">
                  <c:v>1.1146078820868095</c:v>
                </c:pt>
                <c:pt idx="3">
                  <c:v>1.078526091843977</c:v>
                </c:pt>
                <c:pt idx="4">
                  <c:v>1.2095965085342146</c:v>
                </c:pt>
                <c:pt idx="5">
                  <c:v>1.1769480249946174</c:v>
                </c:pt>
              </c:numCache>
            </c:numRef>
          </c:val>
          <c:smooth val="0"/>
          <c:extLst>
            <c:ext xmlns:c16="http://schemas.microsoft.com/office/drawing/2014/chart" uri="{C3380CC4-5D6E-409C-BE32-E72D297353CC}">
              <c16:uniqueId val="{00000005-0773-42AA-A367-78E10267B6E4}"/>
            </c:ext>
          </c:extLst>
        </c:ser>
        <c:dLbls>
          <c:showLegendKey val="0"/>
          <c:showVal val="0"/>
          <c:showCatName val="0"/>
          <c:showSerName val="0"/>
          <c:showPercent val="0"/>
          <c:showBubbleSize val="0"/>
        </c:dLbls>
        <c:marker val="1"/>
        <c:smooth val="0"/>
        <c:axId val="2052477007"/>
        <c:axId val="2052474095"/>
      </c:line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6">
            <a:lumMod val="20000"/>
            <a:lumOff val="80000"/>
          </a:schemeClr>
        </a:solidFill>
        <a:ln>
          <a:noFill/>
        </a:ln>
        <a:effectLst/>
      </c:spPr>
    </c:plotArea>
    <c:legend>
      <c:legendPos val="b"/>
      <c:layout>
        <c:manualLayout>
          <c:xMode val="edge"/>
          <c:yMode val="edge"/>
          <c:x val="0"/>
          <c:y val="0.9346871579393381"/>
          <c:w val="0.99782815817736514"/>
          <c:h val="5.785812647858479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Nacionales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7.873105457193573E-2"/>
          <c:w val="0.90686857502187224"/>
          <c:h val="0.90932758470876895"/>
        </c:manualLayout>
      </c:layout>
      <c:barChart>
        <c:barDir val="bar"/>
        <c:grouping val="stacked"/>
        <c:varyColors val="0"/>
        <c:ser>
          <c:idx val="0"/>
          <c:order val="0"/>
          <c:tx>
            <c:strRef>
              <c:f>Hoja1!$B$1</c:f>
              <c:strCache>
                <c:ptCount val="1"/>
                <c:pt idx="0">
                  <c:v>Otras obligaciones</c:v>
                </c:pt>
              </c:strCache>
            </c:strRef>
          </c:tx>
          <c:spPr>
            <a:solidFill>
              <a:schemeClr val="accent6"/>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5"/>
              <c:layout>
                <c:manualLayout>
                  <c:x val="7.109750929571304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F8-4A10-8E75-0839C8400C5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FEGUA</c:v>
                </c:pt>
                <c:pt idx="1">
                  <c:v>GUATEL</c:v>
                </c:pt>
                <c:pt idx="2">
                  <c:v>INDECA</c:v>
                </c:pt>
                <c:pt idx="3">
                  <c:v>ZOLIC</c:v>
                </c:pt>
                <c:pt idx="4">
                  <c:v>INDE</c:v>
                </c:pt>
                <c:pt idx="5">
                  <c:v>EPQ</c:v>
                </c:pt>
                <c:pt idx="6">
                  <c:v>EMPORNAC</c:v>
                </c:pt>
                <c:pt idx="7">
                  <c:v>EPNCH</c:v>
                </c:pt>
              </c:strCache>
            </c:strRef>
          </c:cat>
          <c:val>
            <c:numRef>
              <c:f>Hoja1!$B$2:$B$9</c:f>
              <c:numCache>
                <c:formatCode>0.0%</c:formatCode>
                <c:ptCount val="8"/>
                <c:pt idx="0">
                  <c:v>1.9553260964935892</c:v>
                </c:pt>
                <c:pt idx="1">
                  <c:v>1.2853551242892405</c:v>
                </c:pt>
                <c:pt idx="2">
                  <c:v>0.35348264590272072</c:v>
                </c:pt>
                <c:pt idx="3">
                  <c:v>0.28341503432523341</c:v>
                </c:pt>
                <c:pt idx="4">
                  <c:v>0.27021110630098377</c:v>
                </c:pt>
                <c:pt idx="5">
                  <c:v>0.11677130648179643</c:v>
                </c:pt>
                <c:pt idx="6">
                  <c:v>5.1982528840996564E-2</c:v>
                </c:pt>
                <c:pt idx="7">
                  <c:v>7.3382023442338084E-3</c:v>
                </c:pt>
              </c:numCache>
            </c:numRef>
          </c:val>
          <c:extLst>
            <c:ext xmlns:c16="http://schemas.microsoft.com/office/drawing/2014/chart" uri="{C3380CC4-5D6E-409C-BE32-E72D297353CC}">
              <c16:uniqueId val="{00000001-8DF8-4A10-8E75-0839C8400C59}"/>
            </c:ext>
          </c:extLst>
        </c:ser>
        <c:dLbls>
          <c:showLegendKey val="0"/>
          <c:showVal val="0"/>
          <c:showCatName val="0"/>
          <c:showSerName val="0"/>
          <c:showPercent val="0"/>
          <c:showBubbleSize val="0"/>
        </c:dLbls>
        <c:gapWidth val="100"/>
        <c:overlap val="100"/>
        <c:axId val="2052477007"/>
        <c:axId val="2052474095"/>
      </c:barChart>
      <c:catAx>
        <c:axId val="2052477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0.1"/>
        </c:scaling>
        <c:delete val="1"/>
        <c:axPos val="b"/>
        <c:numFmt formatCode="0.0%" sourceLinked="1"/>
        <c:majorTickMark val="none"/>
        <c:minorTickMark val="none"/>
        <c:tickLblPos val="nextTo"/>
        <c:crossAx val="2052477007"/>
        <c:crosses val="autoZero"/>
        <c:crossBetween val="between"/>
      </c:valAx>
      <c:spPr>
        <a:solidFill>
          <a:schemeClr val="accent3">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Municipales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46201368383639546"/>
          <c:y val="0.10285996830532809"/>
          <c:w val="0.79836163057742782"/>
          <c:h val="0.88766680045183532"/>
        </c:manualLayout>
      </c:layout>
      <c:barChart>
        <c:barDir val="bar"/>
        <c:grouping val="stacked"/>
        <c:varyColors val="0"/>
        <c:ser>
          <c:idx val="0"/>
          <c:order val="0"/>
          <c:tx>
            <c:strRef>
              <c:f>Hoja1!$B$1</c:f>
              <c:strCache>
                <c:ptCount val="1"/>
                <c:pt idx="0">
                  <c:v>Otras obligaciones</c:v>
                </c:pt>
              </c:strCache>
            </c:strRef>
          </c:tx>
          <c:spPr>
            <a:solidFill>
              <a:srgbClr val="FFC000"/>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0"/>
              <c:layout>
                <c:manualLayout>
                  <c:x val="0.26475694444444431"/>
                  <c:y val="-1.2012012012012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BE-40AB-9286-F10B7949D617}"/>
                </c:ext>
              </c:extLst>
            </c:dLbl>
            <c:dLbl>
              <c:idx val="1"/>
              <c:layout>
                <c:manualLayout>
                  <c:x val="0.21701388888888873"/>
                  <c:y val="-2.202176762468323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BE-40AB-9286-F10B7949D617}"/>
                </c:ext>
              </c:extLst>
            </c:dLbl>
            <c:dLbl>
              <c:idx val="2"/>
              <c:layout>
                <c:manualLayout>
                  <c:x val="0.17795138888888898"/>
                  <c:y val="-1.1010883812341616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BE-40AB-9286-F10B7949D617}"/>
                </c:ext>
              </c:extLst>
            </c:dLbl>
            <c:dLbl>
              <c:idx val="3"/>
              <c:layout>
                <c:manualLayout>
                  <c:x val="0.14322916666666666"/>
                  <c:y val="-1.2012012012012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BE-40AB-9286-F10B7949D617}"/>
                </c:ext>
              </c:extLst>
            </c:dLbl>
            <c:dLbl>
              <c:idx val="4"/>
              <c:layout>
                <c:manualLayout>
                  <c:x val="5.2083333333333336E-2"/>
                  <c:y val="-9.63380007753483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29-4BE5-9026-2602993F92DD}"/>
                </c:ext>
              </c:extLst>
            </c:dLbl>
            <c:dLbl>
              <c:idx val="5"/>
              <c:layout>
                <c:manualLayout>
                  <c:x val="4.77430555555555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29-4BE5-9026-2602993F92DD}"/>
                </c:ext>
              </c:extLst>
            </c:dLbl>
            <c:dLbl>
              <c:idx val="6"/>
              <c:layout>
                <c:manualLayout>
                  <c:x val="4.77430555555554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29-4BE5-9026-2602993F92DD}"/>
                </c:ext>
              </c:extLst>
            </c:dLbl>
            <c:dLbl>
              <c:idx val="7"/>
              <c:layout>
                <c:manualLayout>
                  <c:x val="5.2083333333333336E-2"/>
                  <c:y val="-9.63380007753483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29-4BE5-9026-2602993F92DD}"/>
                </c:ext>
              </c:extLst>
            </c:dLbl>
            <c:dLbl>
              <c:idx val="8"/>
              <c:layout>
                <c:manualLayout>
                  <c:x val="4.7743055555555552E-2"/>
                  <c:y val="-5.25486074619027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29-4BE5-9026-2602993F92DD}"/>
                </c:ext>
              </c:extLst>
            </c:dLbl>
            <c:dLbl>
              <c:idx val="9"/>
              <c:layout>
                <c:manualLayout>
                  <c:x val="4.340277777777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29-4BE5-9026-2602993F92DD}"/>
                </c:ext>
              </c:extLst>
            </c:dLbl>
            <c:dLbl>
              <c:idx val="10"/>
              <c:layout>
                <c:manualLayout>
                  <c:x val="4.340277777777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29-4BE5-9026-2602993F92DD}"/>
                </c:ext>
              </c:extLst>
            </c:dLbl>
            <c:dLbl>
              <c:idx val="11"/>
              <c:layout>
                <c:manualLayout>
                  <c:x val="3.9062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29-4BE5-9026-2602993F92DD}"/>
                </c:ext>
              </c:extLst>
            </c:dLbl>
            <c:dLbl>
              <c:idx val="12"/>
              <c:layout>
                <c:manualLayout>
                  <c:x val="3.90625E-2"/>
                  <c:y val="-2.408450019383708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29-4BE5-9026-2602993F92DD}"/>
                </c:ext>
              </c:extLst>
            </c:dLbl>
            <c:dLbl>
              <c:idx val="13"/>
              <c:layout>
                <c:manualLayout>
                  <c:x val="3.4722222222222224E-2"/>
                  <c:y val="-1.20422500969185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29-4BE5-9026-2602993F92D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ELECT. DE JALAPA</c:v>
                </c:pt>
                <c:pt idx="1">
                  <c:v>ELECT. DE PUERTO BARRIOS</c:v>
                </c:pt>
                <c:pt idx="2">
                  <c:v>ELECT. DE GUASTATOYA</c:v>
                </c:pt>
                <c:pt idx="3">
                  <c:v>EMPAGUA</c:v>
                </c:pt>
                <c:pt idx="4">
                  <c:v>EMAPET</c:v>
                </c:pt>
                <c:pt idx="5">
                  <c:v>ELECT. DE HUEHUETENANGO</c:v>
                </c:pt>
                <c:pt idx="6">
                  <c:v>ELECT. DE ZACAPA</c:v>
                </c:pt>
                <c:pt idx="7">
                  <c:v>AGUA DE JALAPAGUA</c:v>
                </c:pt>
                <c:pt idx="8">
                  <c:v>EMP. DE TRANSPORTE DE GUA</c:v>
                </c:pt>
                <c:pt idx="9">
                  <c:v>ELECT. DE GUALAN</c:v>
                </c:pt>
                <c:pt idx="10">
                  <c:v>ELECT. DE JOYABAJ</c:v>
                </c:pt>
                <c:pt idx="11">
                  <c:v>EMRE</c:v>
                </c:pt>
                <c:pt idx="12">
                  <c:v>ELECT.DE YULXAK</c:v>
                </c:pt>
                <c:pt idx="13">
                  <c:v>VIVIENDA DE SANTA CATARINA PINULA</c:v>
                </c:pt>
                <c:pt idx="14">
                  <c:v>ELECT. SAN PEDRO PINULA</c:v>
                </c:pt>
              </c:strCache>
            </c:strRef>
          </c:cat>
          <c:val>
            <c:numRef>
              <c:f>Hoja1!$B$2:$B$16</c:f>
              <c:numCache>
                <c:formatCode>0.0%</c:formatCode>
                <c:ptCount val="15"/>
                <c:pt idx="0">
                  <c:v>3.7563717345167169</c:v>
                </c:pt>
                <c:pt idx="1">
                  <c:v>2.7470838503008674</c:v>
                </c:pt>
                <c:pt idx="2">
                  <c:v>2.1826120604555466</c:v>
                </c:pt>
                <c:pt idx="3">
                  <c:v>1.3263192107152826</c:v>
                </c:pt>
                <c:pt idx="4">
                  <c:v>0.11803587121401476</c:v>
                </c:pt>
                <c:pt idx="5">
                  <c:v>0.1089162188703186</c:v>
                </c:pt>
                <c:pt idx="6">
                  <c:v>7.9077488710791718E-2</c:v>
                </c:pt>
                <c:pt idx="7">
                  <c:v>5.2443715877957355E-2</c:v>
                </c:pt>
                <c:pt idx="8">
                  <c:v>3.8502595429172379E-2</c:v>
                </c:pt>
                <c:pt idx="9">
                  <c:v>2.8319197288794581E-3</c:v>
                </c:pt>
                <c:pt idx="10">
                  <c:v>1.4202067610440377E-3</c:v>
                </c:pt>
                <c:pt idx="11">
                  <c:v>0</c:v>
                </c:pt>
                <c:pt idx="12">
                  <c:v>0</c:v>
                </c:pt>
                <c:pt idx="13">
                  <c:v>0</c:v>
                </c:pt>
                <c:pt idx="14">
                  <c:v>0</c:v>
                </c:pt>
              </c:numCache>
            </c:numRef>
          </c:val>
          <c:extLst>
            <c:ext xmlns:c16="http://schemas.microsoft.com/office/drawing/2014/chart" uri="{C3380CC4-5D6E-409C-BE32-E72D297353CC}">
              <c16:uniqueId val="{0000000A-0929-4BE5-9026-2602993F92DD}"/>
            </c:ext>
          </c:extLst>
        </c:ser>
        <c:dLbls>
          <c:showLegendKey val="0"/>
          <c:showVal val="0"/>
          <c:showCatName val="0"/>
          <c:showSerName val="0"/>
          <c:showPercent val="0"/>
          <c:showBubbleSize val="0"/>
        </c:dLbls>
        <c:gapWidth val="100"/>
        <c:overlap val="100"/>
        <c:axId val="2052477007"/>
        <c:axId val="2052474095"/>
      </c:barChart>
      <c:catAx>
        <c:axId val="2052477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0.2"/>
        </c:scaling>
        <c:delete val="1"/>
        <c:axPos val="b"/>
        <c:numFmt formatCode="0.0%" sourceLinked="1"/>
        <c:majorTickMark val="out"/>
        <c:minorTickMark val="none"/>
        <c:tickLblPos val="nextTo"/>
        <c:crossAx val="2052477007"/>
        <c:crosses val="autoZero"/>
        <c:crossBetween val="between"/>
      </c:valAx>
      <c:spPr>
        <a:solidFill>
          <a:schemeClr val="accent6">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5.1334038295157612E-2"/>
          <c:w val="1"/>
          <c:h val="0.82427340866520427"/>
        </c:manualLayout>
      </c:layout>
      <c:barChart>
        <c:barDir val="col"/>
        <c:grouping val="clustered"/>
        <c:varyColors val="0"/>
        <c:ser>
          <c:idx val="0"/>
          <c:order val="0"/>
          <c:tx>
            <c:strRef>
              <c:f>Hoja1!$B$1</c:f>
              <c:strCache>
                <c:ptCount val="1"/>
                <c:pt idx="0">
                  <c:v>Serie 1</c:v>
                </c:pt>
              </c:strCache>
            </c:strRef>
          </c:tx>
          <c:spPr>
            <a:solidFill>
              <a:schemeClr val="accent1"/>
            </a:solidFill>
            <a:ln w="19050">
              <a:solidFill>
                <a:schemeClr val="tx1"/>
              </a:solidFill>
            </a:ln>
            <a:effectLst>
              <a:outerShdw blurRad="50800" dist="38100" algn="l" rotWithShape="0">
                <a:prstClr val="black">
                  <a:alpha val="40000"/>
                </a:prstClr>
              </a:outerShdw>
            </a:effectLst>
          </c:spPr>
          <c:invertIfNegative val="0"/>
          <c:dLbls>
            <c:dLbl>
              <c:idx val="4"/>
              <c:layout>
                <c:manualLayout>
                  <c:x val="0"/>
                  <c:y val="-2.4205748865355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2B-4A54-A976-08C9633DD582}"/>
                </c:ext>
              </c:extLst>
            </c:dLbl>
            <c:dLbl>
              <c:idx val="5"/>
              <c:layout>
                <c:manualLayout>
                  <c:x val="2.2233776257886075E-3"/>
                  <c:y val="-1.8985788652363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2B-4A54-A976-08C9633DD582}"/>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16.197353723073356</c:v>
                </c:pt>
                <c:pt idx="1">
                  <c:v>18.865960216859328</c:v>
                </c:pt>
                <c:pt idx="2">
                  <c:v>13.085417090099236</c:v>
                </c:pt>
                <c:pt idx="3">
                  <c:v>14.46536863364649</c:v>
                </c:pt>
                <c:pt idx="4">
                  <c:v>14.275561786668918</c:v>
                </c:pt>
                <c:pt idx="5">
                  <c:v>14.292412691751286</c:v>
                </c:pt>
              </c:numCache>
            </c:numRef>
          </c:val>
          <c:extLst>
            <c:ext xmlns:c16="http://schemas.microsoft.com/office/drawing/2014/chart" uri="{C3380CC4-5D6E-409C-BE32-E72D297353CC}">
              <c16:uniqueId val="{00000002-F82B-4A54-A976-08C9633DD582}"/>
            </c:ext>
          </c:extLst>
        </c:ser>
        <c:dLbls>
          <c:showLegendKey val="0"/>
          <c:showVal val="0"/>
          <c:showCatName val="0"/>
          <c:showSerName val="0"/>
          <c:showPercent val="0"/>
          <c:showBubbleSize val="0"/>
        </c:dLbls>
        <c:gapWidth val="141"/>
        <c:overlap val="-27"/>
        <c:axId val="1939932463"/>
        <c:axId val="1939926223"/>
      </c:barChart>
      <c:lineChart>
        <c:grouping val="standard"/>
        <c:varyColors val="0"/>
        <c:ser>
          <c:idx val="1"/>
          <c:order val="1"/>
          <c:tx>
            <c:strRef>
              <c:f>Hoja1!$C$1</c:f>
              <c:strCache>
                <c:ptCount val="1"/>
                <c:pt idx="0">
                  <c:v>Promedio (2017 - 2022)</c:v>
                </c:pt>
              </c:strCache>
            </c:strRef>
          </c:tx>
          <c:spPr>
            <a:ln w="28575" cap="rnd">
              <a:solidFill>
                <a:srgbClr val="FF0000"/>
              </a:solidFill>
              <a:prstDash val="sysDot"/>
              <a:round/>
            </a:ln>
            <a:effectLst/>
          </c:spPr>
          <c:marker>
            <c:symbol val="none"/>
          </c:marker>
          <c:dLbls>
            <c:dLbl>
              <c:idx val="3"/>
              <c:layout>
                <c:manualLayout>
                  <c:x val="-0.30703408500077722"/>
                  <c:y val="-0.12885533250807182"/>
                </c:manualLayout>
              </c:layout>
              <c:tx>
                <c:rich>
                  <a:bodyPr rot="0" spcFirstLastPara="1" vertOverflow="ellipsis" vert="horz" wrap="square" anchor="ctr" anchorCtr="1"/>
                  <a:lstStyle/>
                  <a:p>
                    <a:pPr>
                      <a:defRPr sz="6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fld id="{B293795C-DC67-4211-ABC9-185ED3C11F67}" type="SERIESNAME">
                      <a:rPr lang="en-US" sz="700"/>
                      <a:pPr>
                        <a:defRPr sz="600" b="1">
                          <a:solidFill>
                            <a:srgbClr val="C00000"/>
                          </a:solidFill>
                        </a:defRPr>
                      </a:pPr>
                      <a:t>[NOMBRE DE LA SERIE]</a:t>
                    </a:fld>
                    <a:endParaRPr lang="en-US" sz="700" baseline="0"/>
                  </a:p>
                  <a:p>
                    <a:pPr>
                      <a:defRPr sz="600" b="1">
                        <a:solidFill>
                          <a:srgbClr val="C00000"/>
                        </a:solidFill>
                      </a:defRPr>
                    </a:pPr>
                    <a:fld id="{CE71E005-3CE9-4E35-B2A9-8BB1F8AF6E79}" type="VALUE">
                      <a:rPr lang="en-US" sz="700"/>
                      <a:pPr>
                        <a:defRPr sz="600" b="1">
                          <a:solidFill>
                            <a:srgbClr val="C00000"/>
                          </a:solidFill>
                        </a:defRPr>
                      </a:pPr>
                      <a:t>[VALOR]</a:t>
                    </a:fld>
                    <a:endParaRPr lang="es-GT"/>
                  </a:p>
                </c:rich>
              </c:tx>
              <c:spPr>
                <a:noFill/>
                <a:ln>
                  <a:noFill/>
                </a:ln>
                <a:effectLst/>
              </c:spPr>
              <c:txPr>
                <a:bodyPr rot="0" spcFirstLastPara="1" vertOverflow="ellipsis" vert="horz" wrap="square" anchor="ctr" anchorCtr="1"/>
                <a:lstStyle/>
                <a:p>
                  <a:pPr>
                    <a:defRPr sz="6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separator>
</c:separator>
              <c:extLst>
                <c:ext xmlns:c15="http://schemas.microsoft.com/office/drawing/2012/chart" uri="{CE6537A1-D6FC-4f65-9D91-7224C49458BB}">
                  <c15:layout>
                    <c:manualLayout>
                      <c:w val="0.21552076242341728"/>
                      <c:h val="0.23855460125831107"/>
                    </c:manualLayout>
                  </c15:layout>
                  <c15:dlblFieldTable/>
                  <c15:showDataLabelsRange val="0"/>
                </c:ext>
                <c:ext xmlns:c16="http://schemas.microsoft.com/office/drawing/2014/chart" uri="{C3380CC4-5D6E-409C-BE32-E72D297353CC}">
                  <c16:uniqueId val="{00000003-F82B-4A54-A976-08C9633DD582}"/>
                </c:ext>
              </c:extLst>
            </c:dLbl>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15.197012357016435</c:v>
                </c:pt>
                <c:pt idx="1">
                  <c:v>15.197012357016435</c:v>
                </c:pt>
                <c:pt idx="2">
                  <c:v>15.197012357016435</c:v>
                </c:pt>
                <c:pt idx="3">
                  <c:v>15.197012357016435</c:v>
                </c:pt>
                <c:pt idx="4">
                  <c:v>15.197012357016435</c:v>
                </c:pt>
                <c:pt idx="5">
                  <c:v>15.197012357016435</c:v>
                </c:pt>
              </c:numCache>
            </c:numRef>
          </c:val>
          <c:smooth val="0"/>
          <c:extLst>
            <c:ext xmlns:c16="http://schemas.microsoft.com/office/drawing/2014/chart" uri="{C3380CC4-5D6E-409C-BE32-E72D297353CC}">
              <c16:uniqueId val="{00000004-F82B-4A54-A976-08C9633DD582}"/>
            </c:ext>
          </c:extLst>
        </c:ser>
        <c:dLbls>
          <c:showLegendKey val="0"/>
          <c:showVal val="0"/>
          <c:showCatName val="0"/>
          <c:showSerName val="0"/>
          <c:showPercent val="0"/>
          <c:showBubbleSize val="0"/>
        </c:dLbls>
        <c:marker val="1"/>
        <c:smooth val="0"/>
        <c:axId val="1939932463"/>
        <c:axId val="1939926223"/>
      </c:lineChart>
      <c:catAx>
        <c:axId val="1939932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39926223"/>
        <c:crosses val="autoZero"/>
        <c:auto val="1"/>
        <c:lblAlgn val="ctr"/>
        <c:lblOffset val="100"/>
        <c:noMultiLvlLbl val="0"/>
      </c:catAx>
      <c:valAx>
        <c:axId val="1939926223"/>
        <c:scaling>
          <c:orientation val="minMax"/>
        </c:scaling>
        <c:delete val="1"/>
        <c:axPos val="l"/>
        <c:numFmt formatCode="0.0" sourceLinked="1"/>
        <c:majorTickMark val="none"/>
        <c:minorTickMark val="none"/>
        <c:tickLblPos val="nextTo"/>
        <c:crossAx val="1939932463"/>
        <c:crosses val="autoZero"/>
        <c:crossBetween val="between"/>
      </c:valAx>
      <c:spPr>
        <a:pattFill prst="lgGrid">
          <a:fgClr>
            <a:srgbClr val="000000">
              <a:alpha val="0"/>
            </a:srgbClr>
          </a:fgClr>
          <a:bgClr>
            <a:srgbClr val="FFFFFF"/>
          </a:bgClr>
        </a:pattFill>
        <a:ln w="25400">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6.5185185185185179E-2"/>
          <c:w val="1"/>
          <c:h val="0.83519020122484688"/>
        </c:manualLayout>
      </c:layout>
      <c:barChart>
        <c:barDir val="col"/>
        <c:grouping val="clustered"/>
        <c:varyColors val="0"/>
        <c:ser>
          <c:idx val="0"/>
          <c:order val="0"/>
          <c:tx>
            <c:strRef>
              <c:f>Hoja1!$B$1</c:f>
              <c:strCache>
                <c:ptCount val="1"/>
                <c:pt idx="0">
                  <c:v>Serie 1</c:v>
                </c:pt>
              </c:strCache>
            </c:strRef>
          </c:tx>
          <c:spPr>
            <a:solidFill>
              <a:srgbClr val="70AD47"/>
            </a:solidFill>
            <a:ln w="19050">
              <a:solidFill>
                <a:schemeClr val="tx1"/>
              </a:solidFill>
            </a:ln>
            <a:effectLst>
              <a:outerShdw blurRad="50800" dist="38100" algn="l" rotWithShape="0">
                <a:prstClr val="black">
                  <a:alpha val="40000"/>
                </a:prstClr>
              </a:outerShdw>
            </a:effectLst>
          </c:spPr>
          <c:invertIfNegative val="0"/>
          <c:dLbls>
            <c:dLbl>
              <c:idx val="5"/>
              <c:layout>
                <c:manualLayout>
                  <c:x val="-2.3148148148148147E-3"/>
                  <c:y val="-3.7140204271123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59-4754-92BF-FC856E13DF03}"/>
                </c:ext>
              </c:extLst>
            </c:dLbl>
            <c:spPr>
              <a:noFill/>
              <a:ln>
                <a:noFill/>
              </a:ln>
              <a:effectLst/>
            </c:spPr>
            <c:txPr>
              <a:bodyPr rot="0" spcFirstLastPara="1" vertOverflow="ellipsis" vert="horz" wrap="square" anchor="ctr" anchorCtr="1"/>
              <a:lstStyle/>
              <a:p>
                <a:pPr>
                  <a:defRPr sz="9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3.7267763864684418</c:v>
                </c:pt>
                <c:pt idx="1">
                  <c:v>4.1555612715691428</c:v>
                </c:pt>
                <c:pt idx="2">
                  <c:v>2.763912080813308</c:v>
                </c:pt>
                <c:pt idx="3">
                  <c:v>3.8692400045492108</c:v>
                </c:pt>
                <c:pt idx="4">
                  <c:v>3.8695356652391766</c:v>
                </c:pt>
                <c:pt idx="5">
                  <c:v>2.7113443671850286</c:v>
                </c:pt>
              </c:numCache>
            </c:numRef>
          </c:val>
          <c:extLst>
            <c:ext xmlns:c16="http://schemas.microsoft.com/office/drawing/2014/chart" uri="{C3380CC4-5D6E-409C-BE32-E72D297353CC}">
              <c16:uniqueId val="{00000001-2759-4754-92BF-FC856E13DF03}"/>
            </c:ext>
          </c:extLst>
        </c:ser>
        <c:dLbls>
          <c:showLegendKey val="0"/>
          <c:showVal val="0"/>
          <c:showCatName val="0"/>
          <c:showSerName val="0"/>
          <c:showPercent val="0"/>
          <c:showBubbleSize val="0"/>
        </c:dLbls>
        <c:gapWidth val="141"/>
        <c:overlap val="-27"/>
        <c:axId val="1939932463"/>
        <c:axId val="1939926223"/>
      </c:barChart>
      <c:lineChart>
        <c:grouping val="standard"/>
        <c:varyColors val="0"/>
        <c:ser>
          <c:idx val="1"/>
          <c:order val="1"/>
          <c:tx>
            <c:strRef>
              <c:f>Hoja1!$C$1</c:f>
              <c:strCache>
                <c:ptCount val="1"/>
                <c:pt idx="0">
                  <c:v>Promedio (2017 - 2022)</c:v>
                </c:pt>
              </c:strCache>
            </c:strRef>
          </c:tx>
          <c:spPr>
            <a:ln w="28575" cap="rnd">
              <a:solidFill>
                <a:srgbClr val="FF0000"/>
              </a:solidFill>
              <a:prstDash val="sysDot"/>
              <a:round/>
            </a:ln>
            <a:effectLst/>
          </c:spPr>
          <c:marker>
            <c:symbol val="none"/>
          </c:marker>
          <c:dLbls>
            <c:dLbl>
              <c:idx val="3"/>
              <c:layout>
                <c:manualLayout>
                  <c:x val="-0.30405236443743205"/>
                  <c:y val="-0.10778142001109801"/>
                </c:manualLayout>
              </c:layout>
              <c:spPr>
                <a:noFill/>
                <a:ln>
                  <a:noFill/>
                </a:ln>
                <a:effectLst/>
              </c:spPr>
              <c:txPr>
                <a:bodyPr rot="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separator>
</c:separator>
              <c:extLst>
                <c:ext xmlns:c15="http://schemas.microsoft.com/office/drawing/2012/chart" uri="{CE6537A1-D6FC-4f65-9D91-7224C49458BB}">
                  <c15:layout>
                    <c:manualLayout>
                      <c:w val="0.22213692451959574"/>
                      <c:h val="0.24729110353743092"/>
                    </c:manualLayout>
                  </c15:layout>
                </c:ext>
                <c:ext xmlns:c16="http://schemas.microsoft.com/office/drawing/2014/chart" uri="{C3380CC4-5D6E-409C-BE32-E72D297353CC}">
                  <c16:uniqueId val="{00000002-2759-4754-92BF-FC856E13DF03}"/>
                </c:ext>
              </c:extLst>
            </c:dLbl>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3.5160616293040512</c:v>
                </c:pt>
                <c:pt idx="1">
                  <c:v>3.5160616293040512</c:v>
                </c:pt>
                <c:pt idx="2">
                  <c:v>3.5160616293040512</c:v>
                </c:pt>
                <c:pt idx="3">
                  <c:v>3.5160616293040512</c:v>
                </c:pt>
                <c:pt idx="4">
                  <c:v>3.5160616293040512</c:v>
                </c:pt>
                <c:pt idx="5">
                  <c:v>3.5160616293040512</c:v>
                </c:pt>
              </c:numCache>
            </c:numRef>
          </c:val>
          <c:smooth val="0"/>
          <c:extLst>
            <c:ext xmlns:c16="http://schemas.microsoft.com/office/drawing/2014/chart" uri="{C3380CC4-5D6E-409C-BE32-E72D297353CC}">
              <c16:uniqueId val="{00000003-2759-4754-92BF-FC856E13DF03}"/>
            </c:ext>
          </c:extLst>
        </c:ser>
        <c:dLbls>
          <c:showLegendKey val="0"/>
          <c:showVal val="0"/>
          <c:showCatName val="0"/>
          <c:showSerName val="0"/>
          <c:showPercent val="0"/>
          <c:showBubbleSize val="0"/>
        </c:dLbls>
        <c:marker val="1"/>
        <c:smooth val="0"/>
        <c:axId val="1939932463"/>
        <c:axId val="1939926223"/>
      </c:lineChart>
      <c:catAx>
        <c:axId val="1939932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39926223"/>
        <c:crosses val="autoZero"/>
        <c:auto val="1"/>
        <c:lblAlgn val="ctr"/>
        <c:lblOffset val="100"/>
        <c:noMultiLvlLbl val="0"/>
      </c:catAx>
      <c:valAx>
        <c:axId val="1939926223"/>
        <c:scaling>
          <c:orientation val="minMax"/>
        </c:scaling>
        <c:delete val="1"/>
        <c:axPos val="l"/>
        <c:numFmt formatCode="0.0" sourceLinked="1"/>
        <c:majorTickMark val="none"/>
        <c:minorTickMark val="none"/>
        <c:tickLblPos val="nextTo"/>
        <c:crossAx val="1939932463"/>
        <c:crosses val="autoZero"/>
        <c:crossBetween val="between"/>
      </c:valAx>
      <c:spPr>
        <a:pattFill prst="lgGrid">
          <a:fgClr>
            <a:srgbClr val="000000">
              <a:alpha val="0"/>
            </a:srgbClr>
          </a:fgClr>
          <a:bgClr>
            <a:srgbClr val="FFFFFF"/>
          </a:bgClr>
        </a:pattFill>
        <a:ln w="25400">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193687327545592E-2"/>
          <c:y val="3.5990736452061141E-2"/>
          <c:w val="0.95434346727813524"/>
          <c:h val="0.8890231074056919"/>
        </c:manualLayout>
      </c:layout>
      <c:barChart>
        <c:barDir val="col"/>
        <c:grouping val="clustered"/>
        <c:varyColors val="0"/>
        <c:ser>
          <c:idx val="0"/>
          <c:order val="0"/>
          <c:tx>
            <c:strRef>
              <c:f>Hoja1!$B$1</c:f>
              <c:strCache>
                <c:ptCount val="1"/>
                <c:pt idx="0">
                  <c:v>Liquidez Financiera </c:v>
                </c:pt>
              </c:strCache>
            </c:strRef>
          </c:tx>
          <c:spPr>
            <a:solidFill>
              <a:srgbClr val="4472C4"/>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446223104016404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04-4446-A684-A3ABFEDCA1ED}"/>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EPNCH</c:v>
                </c:pt>
                <c:pt idx="1">
                  <c:v>INDECA</c:v>
                </c:pt>
                <c:pt idx="2">
                  <c:v>INDE</c:v>
                </c:pt>
                <c:pt idx="3">
                  <c:v>EPQ</c:v>
                </c:pt>
                <c:pt idx="4">
                  <c:v>EMPORNAC</c:v>
                </c:pt>
                <c:pt idx="5">
                  <c:v>GUATEL</c:v>
                </c:pt>
                <c:pt idx="6">
                  <c:v>ZOLIC</c:v>
                </c:pt>
                <c:pt idx="7">
                  <c:v>FEGUA</c:v>
                </c:pt>
              </c:strCache>
            </c:strRef>
          </c:cat>
          <c:val>
            <c:numRef>
              <c:f>Hoja1!$B$2:$B$9</c:f>
              <c:numCache>
                <c:formatCode>0.0</c:formatCode>
                <c:ptCount val="8"/>
                <c:pt idx="0">
                  <c:v>43.869762468338394</c:v>
                </c:pt>
                <c:pt idx="1">
                  <c:v>29.053805300865054</c:v>
                </c:pt>
                <c:pt idx="2">
                  <c:v>15.302454867053452</c:v>
                </c:pt>
                <c:pt idx="3">
                  <c:v>15.235431458034196</c:v>
                </c:pt>
                <c:pt idx="4">
                  <c:v>14.114028212804206</c:v>
                </c:pt>
                <c:pt idx="5">
                  <c:v>2.9971140078355831</c:v>
                </c:pt>
                <c:pt idx="6">
                  <c:v>2.5240946843001275</c:v>
                </c:pt>
                <c:pt idx="7">
                  <c:v>0.50682715202689799</c:v>
                </c:pt>
              </c:numCache>
            </c:numRef>
          </c:val>
          <c:extLst>
            <c:ext xmlns:c16="http://schemas.microsoft.com/office/drawing/2014/chart" uri="{C3380CC4-5D6E-409C-BE32-E72D297353CC}">
              <c16:uniqueId val="{00000001-5B04-4446-A684-A3ABFEDCA1ED}"/>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noFill/>
        <a:ln w="25400">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193687327545592E-2"/>
          <c:y val="8.6117903289646844E-2"/>
          <c:w val="0.95434346727813524"/>
          <c:h val="0.79699585905933745"/>
        </c:manualLayout>
      </c:layout>
      <c:barChart>
        <c:barDir val="col"/>
        <c:grouping val="clustered"/>
        <c:varyColors val="0"/>
        <c:ser>
          <c:idx val="0"/>
          <c:order val="0"/>
          <c:tx>
            <c:strRef>
              <c:f>Hoja1!$B$1</c:f>
              <c:strCache>
                <c:ptCount val="1"/>
                <c:pt idx="0">
                  <c:v>Liquidez</c:v>
                </c:pt>
              </c:strCache>
            </c:strRef>
          </c:tx>
          <c:spPr>
            <a:solidFill>
              <a:srgbClr val="70AD47"/>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446223104016404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4E-4BE4-BC72-ACB35A2563B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ELECT. DE GUALAN</c:v>
                </c:pt>
                <c:pt idx="1">
                  <c:v>ELECT. DE JOYABAJ</c:v>
                </c:pt>
                <c:pt idx="2">
                  <c:v>ELECT. DE ZACAPA</c:v>
                </c:pt>
                <c:pt idx="3">
                  <c:v>ELECT. DE PUERTO BARRIOS</c:v>
                </c:pt>
                <c:pt idx="4">
                  <c:v>ELECT. DE GUASTATOYA</c:v>
                </c:pt>
                <c:pt idx="5">
                  <c:v>ELECT. DE HUEHUETENANGO</c:v>
                </c:pt>
                <c:pt idx="6">
                  <c:v>EMPAGUA</c:v>
                </c:pt>
                <c:pt idx="7">
                  <c:v>EMAPET</c:v>
                </c:pt>
                <c:pt idx="8">
                  <c:v>AGUA DE JALAPAGUA</c:v>
                </c:pt>
                <c:pt idx="9">
                  <c:v>EMP. DE TRANSPORTE DE GUA</c:v>
                </c:pt>
                <c:pt idx="10">
                  <c:v>ELECT. DE JALAPA</c:v>
                </c:pt>
                <c:pt idx="11">
                  <c:v>EMRE</c:v>
                </c:pt>
                <c:pt idx="12">
                  <c:v>VIVIENDA DE SANTA CATARINA PINULA</c:v>
                </c:pt>
                <c:pt idx="13">
                  <c:v>ELECT. SAN PEDRO PINULA</c:v>
                </c:pt>
                <c:pt idx="14">
                  <c:v>ELECT.DE YULXAK</c:v>
                </c:pt>
              </c:strCache>
            </c:strRef>
          </c:cat>
          <c:val>
            <c:numRef>
              <c:f>Hoja1!$B$2:$B$16</c:f>
              <c:numCache>
                <c:formatCode>#,##0.0</c:formatCode>
                <c:ptCount val="15"/>
                <c:pt idx="0">
                  <c:v>270.21136015054509</c:v>
                </c:pt>
                <c:pt idx="1">
                  <c:v>34.662246348549154</c:v>
                </c:pt>
                <c:pt idx="2">
                  <c:v>22.125917866699915</c:v>
                </c:pt>
                <c:pt idx="3">
                  <c:v>12.808989554511706</c:v>
                </c:pt>
                <c:pt idx="4">
                  <c:v>10.743232236876095</c:v>
                </c:pt>
                <c:pt idx="5">
                  <c:v>4.9781455831941734</c:v>
                </c:pt>
                <c:pt idx="6">
                  <c:v>2.688313857067592</c:v>
                </c:pt>
                <c:pt idx="7">
                  <c:v>1.4072590627955903</c:v>
                </c:pt>
                <c:pt idx="8">
                  <c:v>1.0684975257802101</c:v>
                </c:pt>
                <c:pt idx="9">
                  <c:v>1.0077136928203456</c:v>
                </c:pt>
                <c:pt idx="10">
                  <c:v>0.15646745284371086</c:v>
                </c:pt>
                <c:pt idx="11">
                  <c:v>0</c:v>
                </c:pt>
                <c:pt idx="12">
                  <c:v>0</c:v>
                </c:pt>
                <c:pt idx="13">
                  <c:v>0</c:v>
                </c:pt>
                <c:pt idx="14">
                  <c:v>0</c:v>
                </c:pt>
              </c:numCache>
            </c:numRef>
          </c:val>
          <c:extLst>
            <c:ext xmlns:c16="http://schemas.microsoft.com/office/drawing/2014/chart" uri="{C3380CC4-5D6E-409C-BE32-E72D297353CC}">
              <c16:uniqueId val="{00000001-BB4E-4BE4-BC72-ACB35A2563BE}"/>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noFill/>
        <a:ln w="25400">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Nacionales</a:t>
            </a:r>
          </a:p>
        </c:rich>
      </c:tx>
      <c:layout>
        <c:manualLayout>
          <c:xMode val="edge"/>
          <c:yMode val="edge"/>
          <c:x val="0.39494340551181101"/>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90686857502187224"/>
          <c:h val="0.74117204083068178"/>
        </c:manualLayout>
      </c:layout>
      <c:areaChart>
        <c:grouping val="stacked"/>
        <c:varyColors val="0"/>
        <c:ser>
          <c:idx val="0"/>
          <c:order val="0"/>
          <c:tx>
            <c:strRef>
              <c:f>Hoja1!$B$1</c:f>
              <c:strCache>
                <c:ptCount val="1"/>
                <c:pt idx="0">
                  <c:v>Endeudamiento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dLbl>
              <c:idx val="0"/>
              <c:layout>
                <c:manualLayout>
                  <c:x val="3.906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02-4FB3-844A-18678899115A}"/>
                </c:ext>
              </c:extLst>
            </c:dLbl>
            <c:dLbl>
              <c:idx val="5"/>
              <c:layout>
                <c:manualLayout>
                  <c:x val="-1.3020833333333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02-4FB3-844A-18678899115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0.00%</c:formatCode>
                <c:ptCount val="6"/>
                <c:pt idx="0">
                  <c:v>1.9029413144810497E-3</c:v>
                </c:pt>
                <c:pt idx="1">
                  <c:v>1.7751123017635585E-3</c:v>
                </c:pt>
                <c:pt idx="2">
                  <c:v>1.5775523133245337E-3</c:v>
                </c:pt>
                <c:pt idx="3">
                  <c:v>1.5056322092508213E-3</c:v>
                </c:pt>
                <c:pt idx="4">
                  <c:v>1.2884460908796833E-3</c:v>
                </c:pt>
                <c:pt idx="5">
                  <c:v>1.1000000000000001E-3</c:v>
                </c:pt>
              </c:numCache>
            </c:numRef>
          </c:val>
          <c:extLst>
            <c:ext xmlns:c16="http://schemas.microsoft.com/office/drawing/2014/chart" uri="{C3380CC4-5D6E-409C-BE32-E72D297353CC}">
              <c16:uniqueId val="{00000002-8D02-4FB3-844A-18678899115A}"/>
            </c:ext>
          </c:extLst>
        </c:ser>
        <c:ser>
          <c:idx val="1"/>
          <c:order val="1"/>
          <c:tx>
            <c:strRef>
              <c:f>Hoja1!$C$1</c:f>
              <c:strCache>
                <c:ptCount val="1"/>
                <c:pt idx="0">
                  <c:v>Otras obligaciones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25400">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dLbl>
              <c:idx val="0"/>
              <c:layout>
                <c:manualLayout>
                  <c:x val="3.906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02-4FB3-844A-18678899115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0.00%</c:formatCode>
                <c:ptCount val="6"/>
                <c:pt idx="0">
                  <c:v>3.0604441208233733E-4</c:v>
                </c:pt>
                <c:pt idx="1">
                  <c:v>3.1195037284529155E-4</c:v>
                </c:pt>
                <c:pt idx="2">
                  <c:v>2.75147885910447E-4</c:v>
                </c:pt>
                <c:pt idx="3">
                  <c:v>3.2553491538094156E-4</c:v>
                </c:pt>
                <c:pt idx="4">
                  <c:v>3.5003626140924161E-4</c:v>
                </c:pt>
                <c:pt idx="5">
                  <c:v>2.9999999999999997E-4</c:v>
                </c:pt>
              </c:numCache>
            </c:numRef>
          </c:val>
          <c:extLst>
            <c:ext xmlns:c16="http://schemas.microsoft.com/office/drawing/2014/chart" uri="{C3380CC4-5D6E-409C-BE32-E72D297353CC}">
              <c16:uniqueId val="{00000004-8D02-4FB3-844A-18678899115A}"/>
            </c:ext>
          </c:extLst>
        </c:ser>
        <c:dLbls>
          <c:showLegendKey val="0"/>
          <c:showVal val="0"/>
          <c:showCatName val="0"/>
          <c:showSerName val="0"/>
          <c:showPercent val="0"/>
          <c:showBubbleSize val="0"/>
        </c:dLbls>
        <c:axId val="2052477007"/>
        <c:axId val="2052474095"/>
      </c:areaChart>
      <c:lineChart>
        <c:grouping val="stacked"/>
        <c:varyColors val="0"/>
        <c:ser>
          <c:idx val="2"/>
          <c:order val="2"/>
          <c:tx>
            <c:strRef>
              <c:f>Hoja1!$D$1</c:f>
              <c:strCache>
                <c:ptCount val="1"/>
                <c:pt idx="0">
                  <c:v>Total Obligaciones Financieras</c:v>
                </c:pt>
              </c:strCache>
            </c:strRef>
          </c:tx>
          <c:spPr>
            <a:ln w="34925" cap="rnd">
              <a:solidFill>
                <a:schemeClr val="accent3"/>
              </a:solidFill>
              <a:round/>
            </a:ln>
            <a:effectLst>
              <a:outerShdw blurRad="57150" dist="19050" dir="5400000" algn="ctr" rotWithShape="0">
                <a:srgbClr val="000000">
                  <a:alpha val="63000"/>
                </a:srgbClr>
              </a:outerShdw>
            </a:effectLst>
          </c:spPr>
          <c:marker>
            <c:symbol val="dash"/>
            <c:size val="2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5875">
                <a:solidFill>
                  <a:schemeClr val="tx1"/>
                </a:solidFill>
                <a:round/>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Hoja1!$D$2:$D$7</c:f>
              <c:numCache>
                <c:formatCode>0.00%</c:formatCode>
                <c:ptCount val="6"/>
                <c:pt idx="0">
                  <c:v>2.2089857265633873E-3</c:v>
                </c:pt>
                <c:pt idx="1">
                  <c:v>2.0870626746088503E-3</c:v>
                </c:pt>
                <c:pt idx="2">
                  <c:v>1.8527001992349804E-3</c:v>
                </c:pt>
                <c:pt idx="3">
                  <c:v>1.8311671246317629E-3</c:v>
                </c:pt>
                <c:pt idx="4">
                  <c:v>1.6384823522889252E-3</c:v>
                </c:pt>
                <c:pt idx="5">
                  <c:v>1.4E-3</c:v>
                </c:pt>
              </c:numCache>
            </c:numRef>
          </c:val>
          <c:smooth val="0"/>
          <c:extLst>
            <c:ext xmlns:c16="http://schemas.microsoft.com/office/drawing/2014/chart" uri="{C3380CC4-5D6E-409C-BE32-E72D297353CC}">
              <c16:uniqueId val="{00000005-8D02-4FB3-844A-18678899115A}"/>
            </c:ext>
          </c:extLst>
        </c:ser>
        <c:dLbls>
          <c:showLegendKey val="0"/>
          <c:showVal val="0"/>
          <c:showCatName val="0"/>
          <c:showSerName val="0"/>
          <c:showPercent val="0"/>
          <c:showBubbleSize val="0"/>
        </c:dLbls>
        <c:marker val="1"/>
        <c:smooth val="0"/>
        <c:axId val="2052477007"/>
        <c:axId val="2052474095"/>
      </c:line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3">
            <a:lumMod val="20000"/>
            <a:lumOff val="80000"/>
          </a:schemeClr>
        </a:solidFill>
        <a:ln>
          <a:noFill/>
        </a:ln>
        <a:effectLst/>
      </c:spPr>
    </c:plotArea>
    <c:legend>
      <c:legendPos val="b"/>
      <c:layout>
        <c:manualLayout>
          <c:xMode val="edge"/>
          <c:yMode val="edge"/>
          <c:x val="0"/>
          <c:y val="0.87863340519114019"/>
          <c:w val="0.57925688976377954"/>
          <c:h val="0.113912140383397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Exp!$B$42:$B$44</c:f>
              <c:strCache>
                <c:ptCount val="3"/>
                <c:pt idx="0">
                  <c:v>Año presupuestario</c:v>
                </c:pt>
                <c:pt idx="1">
                  <c:v>Año presupuestario+1</c:v>
                </c:pt>
                <c:pt idx="2">
                  <c:v>Año presupuestario+2</c:v>
                </c:pt>
              </c:strCache>
            </c:strRef>
          </c:cat>
          <c:val>
            <c:numRef>
              <c:f>Exp!$D$42:$D$44</c:f>
              <c:numCache>
                <c:formatCode>_(* #,##0.00_);_(* \(#,##0.00\);_(* "-"??_);_(@_)</c:formatCode>
                <c:ptCount val="3"/>
                <c:pt idx="0">
                  <c:v>7.3445701110202526</c:v>
                </c:pt>
                <c:pt idx="1">
                  <c:v>7.1730077678477047</c:v>
                </c:pt>
                <c:pt idx="2">
                  <c:v>6.3165118261301263</c:v>
                </c:pt>
              </c:numCache>
            </c:numRef>
          </c:val>
          <c:extLst>
            <c:ext xmlns:c16="http://schemas.microsoft.com/office/drawing/2014/chart" uri="{C3380CC4-5D6E-409C-BE32-E72D297353CC}">
              <c16:uniqueId val="{00000000-5F51-4FF8-BAD5-2B22FC7F3E2F}"/>
            </c:ext>
          </c:extLst>
        </c:ser>
        <c:dLbls>
          <c:showLegendKey val="0"/>
          <c:showVal val="0"/>
          <c:showCatName val="0"/>
          <c:showSerName val="0"/>
          <c:showPercent val="0"/>
          <c:showBubbleSize val="0"/>
        </c:dLbls>
        <c:gapWidth val="219"/>
        <c:overlap val="-27"/>
        <c:axId val="1217834752"/>
        <c:axId val="1217835168"/>
      </c:barChart>
      <c:catAx>
        <c:axId val="121783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17835168"/>
        <c:crosses val="autoZero"/>
        <c:auto val="1"/>
        <c:lblAlgn val="ctr"/>
        <c:lblOffset val="100"/>
        <c:noMultiLvlLbl val="0"/>
      </c:catAx>
      <c:valAx>
        <c:axId val="1217835168"/>
        <c:scaling>
          <c:orientation val="minMax"/>
          <c:min val="1.2"/>
        </c:scaling>
        <c:delete val="1"/>
        <c:axPos val="l"/>
        <c:numFmt formatCode="_(* #,##0.00_);_(* \(#,##0.00\);_(* &quot;-&quot;??_);_(@_)" sourceLinked="1"/>
        <c:majorTickMark val="out"/>
        <c:minorTickMark val="none"/>
        <c:tickLblPos val="nextTo"/>
        <c:crossAx val="1217834752"/>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Municipales</a:t>
            </a:r>
          </a:p>
        </c:rich>
      </c:tx>
      <c:layout>
        <c:manualLayout>
          <c:xMode val="edge"/>
          <c:yMode val="edge"/>
          <c:x val="0.39494340551181101"/>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90686857502187224"/>
          <c:h val="0.74117204083068178"/>
        </c:manualLayout>
      </c:layout>
      <c:areaChart>
        <c:grouping val="stacked"/>
        <c:varyColors val="0"/>
        <c:ser>
          <c:idx val="0"/>
          <c:order val="0"/>
          <c:tx>
            <c:strRef>
              <c:f>Hoja1!$B$1</c:f>
              <c:strCache>
                <c:ptCount val="1"/>
                <c:pt idx="0">
                  <c:v>Endeudamiento</c:v>
                </c:pt>
              </c:strCache>
            </c:strRef>
          </c:tx>
          <c:spPr>
            <a:solidFill>
              <a:schemeClr val="accent6">
                <a:lumMod val="75000"/>
              </a:schemeClr>
            </a:solidFill>
            <a:ln w="25400">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dLbl>
              <c:idx val="0"/>
              <c:layout>
                <c:manualLayout>
                  <c:x val="2.60416666666666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6A-4545-9874-FE5509B99A64}"/>
                </c:ext>
              </c:extLst>
            </c:dLbl>
            <c:dLbl>
              <c:idx val="5"/>
              <c:layout>
                <c:manualLayout>
                  <c:x val="-2.60416666666668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6A-4545-9874-FE5509B99A6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0.000%</c:formatCode>
                <c:ptCount val="6"/>
                <c:pt idx="0">
                  <c:v>3.0413552622432277E-4</c:v>
                </c:pt>
                <c:pt idx="1">
                  <c:v>2.6688328096964624E-4</c:v>
                </c:pt>
                <c:pt idx="2">
                  <c:v>2.2331390813034959E-4</c:v>
                </c:pt>
                <c:pt idx="3">
                  <c:v>1.8611740382349696E-4</c:v>
                </c:pt>
                <c:pt idx="4">
                  <c:v>2.0424519477276468E-4</c:v>
                </c:pt>
                <c:pt idx="5">
                  <c:v>1E-4</c:v>
                </c:pt>
              </c:numCache>
            </c:numRef>
          </c:val>
          <c:extLst>
            <c:ext xmlns:c16="http://schemas.microsoft.com/office/drawing/2014/chart" uri="{C3380CC4-5D6E-409C-BE32-E72D297353CC}">
              <c16:uniqueId val="{00000002-DD6A-4545-9874-FE5509B99A64}"/>
            </c:ext>
          </c:extLst>
        </c:ser>
        <c:ser>
          <c:idx val="1"/>
          <c:order val="1"/>
          <c:tx>
            <c:strRef>
              <c:f>Hoja1!$C$1</c:f>
              <c:strCache>
                <c:ptCount val="1"/>
                <c:pt idx="0">
                  <c:v>Otras obligaciones</c:v>
                </c:pt>
              </c:strCache>
            </c:strRef>
          </c:tx>
          <c:spPr>
            <a:solidFill>
              <a:schemeClr val="accent1">
                <a:lumMod val="60000"/>
                <a:lumOff val="40000"/>
              </a:schemeClr>
            </a:solidFill>
            <a:ln w="25400">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dLbl>
              <c:idx val="0"/>
              <c:layout>
                <c:manualLayout>
                  <c:x val="2.60416666666666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6A-4545-9874-FE5509B99A64}"/>
                </c:ext>
              </c:extLst>
            </c:dLbl>
            <c:dLbl>
              <c:idx val="5"/>
              <c:layout>
                <c:manualLayout>
                  <c:x val="-6.0763888888889048E-2"/>
                  <c:y val="-5.254860746190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6A-4545-9874-FE5509B99A6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0.000%</c:formatCode>
                <c:ptCount val="6"/>
                <c:pt idx="0">
                  <c:v>1.6618920612131946E-3</c:v>
                </c:pt>
                <c:pt idx="1">
                  <c:v>1.8552187584845769E-3</c:v>
                </c:pt>
                <c:pt idx="2">
                  <c:v>1.7593965997218723E-3</c:v>
                </c:pt>
                <c:pt idx="3">
                  <c:v>1.7256231035075772E-3</c:v>
                </c:pt>
                <c:pt idx="4">
                  <c:v>1.8953354043066077E-3</c:v>
                </c:pt>
                <c:pt idx="5">
                  <c:v>1.6999999999999999E-3</c:v>
                </c:pt>
              </c:numCache>
            </c:numRef>
          </c:val>
          <c:extLst>
            <c:ext xmlns:c16="http://schemas.microsoft.com/office/drawing/2014/chart" uri="{C3380CC4-5D6E-409C-BE32-E72D297353CC}">
              <c16:uniqueId val="{00000005-DD6A-4545-9874-FE5509B99A64}"/>
            </c:ext>
          </c:extLst>
        </c:ser>
        <c:dLbls>
          <c:showLegendKey val="0"/>
          <c:showVal val="0"/>
          <c:showCatName val="0"/>
          <c:showSerName val="0"/>
          <c:showPercent val="0"/>
          <c:showBubbleSize val="0"/>
        </c:dLbls>
        <c:axId val="2052477007"/>
        <c:axId val="2052474095"/>
      </c:areaChart>
      <c:lineChart>
        <c:grouping val="stacked"/>
        <c:varyColors val="0"/>
        <c:ser>
          <c:idx val="2"/>
          <c:order val="2"/>
          <c:tx>
            <c:strRef>
              <c:f>Hoja1!$D$1</c:f>
              <c:strCache>
                <c:ptCount val="1"/>
                <c:pt idx="0">
                  <c:v>Total Obligaciones Financieras</c:v>
                </c:pt>
              </c:strCache>
            </c:strRef>
          </c:tx>
          <c:spPr>
            <a:ln w="34925" cap="rnd">
              <a:solidFill>
                <a:schemeClr val="accent2"/>
              </a:solidFill>
              <a:round/>
            </a:ln>
            <a:effectLst>
              <a:outerShdw blurRad="57150" dist="19050" dir="5400000" algn="ctr" rotWithShape="0">
                <a:srgbClr val="000000">
                  <a:alpha val="63000"/>
                </a:srgbClr>
              </a:outerShdw>
            </a:effectLst>
          </c:spPr>
          <c:marker>
            <c:symbol val="dash"/>
            <c:size val="21"/>
            <c:spPr>
              <a:solidFill>
                <a:schemeClr val="accent2"/>
              </a:solidFill>
              <a:ln w="15875">
                <a:solidFill>
                  <a:schemeClr val="tx1"/>
                </a:solidFill>
                <a:round/>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marker>
          <c:dLbls>
            <c:dLbl>
              <c:idx val="4"/>
              <c:layout>
                <c:manualLayout>
                  <c:x val="-0.12095916411403221"/>
                  <c:y val="-7.9746009603987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6A-4545-9874-FE5509B99A6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Hoja1!$D$2:$D$7</c:f>
              <c:numCache>
                <c:formatCode>0.000%</c:formatCode>
                <c:ptCount val="6"/>
                <c:pt idx="0">
                  <c:v>1.9660275874375174E-3</c:v>
                </c:pt>
                <c:pt idx="1">
                  <c:v>2.1221020394542227E-3</c:v>
                </c:pt>
                <c:pt idx="2">
                  <c:v>1.982710507852222E-3</c:v>
                </c:pt>
                <c:pt idx="3">
                  <c:v>1.9117405073310744E-3</c:v>
                </c:pt>
                <c:pt idx="4">
                  <c:v>2.0995805990793727E-3</c:v>
                </c:pt>
                <c:pt idx="5">
                  <c:v>1.8E-3</c:v>
                </c:pt>
              </c:numCache>
            </c:numRef>
          </c:val>
          <c:smooth val="0"/>
          <c:extLst>
            <c:ext xmlns:c16="http://schemas.microsoft.com/office/drawing/2014/chart" uri="{C3380CC4-5D6E-409C-BE32-E72D297353CC}">
              <c16:uniqueId val="{00000007-DD6A-4545-9874-FE5509B99A64}"/>
            </c:ext>
          </c:extLst>
        </c:ser>
        <c:dLbls>
          <c:showLegendKey val="0"/>
          <c:showVal val="0"/>
          <c:showCatName val="0"/>
          <c:showSerName val="0"/>
          <c:showPercent val="0"/>
          <c:showBubbleSize val="0"/>
        </c:dLbls>
        <c:marker val="1"/>
        <c:smooth val="0"/>
        <c:axId val="2052477007"/>
        <c:axId val="2052474095"/>
      </c:line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6">
            <a:lumMod val="40000"/>
            <a:lumOff val="60000"/>
            <a:alpha val="51000"/>
          </a:schemeClr>
        </a:solidFill>
        <a:ln>
          <a:noFill/>
        </a:ln>
        <a:effectLst/>
      </c:spPr>
    </c:plotArea>
    <c:legend>
      <c:legendPos val="b"/>
      <c:layout>
        <c:manualLayout>
          <c:xMode val="edge"/>
          <c:yMode val="edge"/>
          <c:x val="0"/>
          <c:y val="0.87863340519114019"/>
          <c:w val="0.57925688976377954"/>
          <c:h val="0.113912140383397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810185185185189E-2"/>
          <c:y val="4.3650793650793648E-2"/>
          <c:w val="0.85612077136191311"/>
          <c:h val="0.83838770908543325"/>
        </c:manualLayout>
      </c:layout>
      <c:barChart>
        <c:barDir val="col"/>
        <c:grouping val="stacked"/>
        <c:varyColors val="0"/>
        <c:ser>
          <c:idx val="0"/>
          <c:order val="0"/>
          <c:tx>
            <c:strRef>
              <c:f>Hoja1!$B$1</c:f>
              <c:strCache>
                <c:ptCount val="1"/>
                <c:pt idx="0">
                  <c:v>Demandas Locales</c:v>
                </c:pt>
              </c:strCache>
            </c:strRef>
          </c:tx>
          <c:spPr>
            <a:solidFill>
              <a:schemeClr val="accent5">
                <a:lumMod val="75000"/>
              </a:schemeClr>
            </a:solidFill>
            <a:ln>
              <a:solidFill>
                <a:schemeClr val="tx1"/>
              </a:solidFill>
            </a:ln>
            <a:effectLst>
              <a:outerShdw blurRad="50800" dist="38100" dir="2700000" algn="tl" rotWithShape="0">
                <a:prstClr val="black">
                  <a:alpha val="40000"/>
                </a:prst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Hoja1!$B$2:$B$15</c:f>
              <c:numCache>
                <c:formatCode>0</c:formatCode>
                <c:ptCount val="14"/>
                <c:pt idx="0">
                  <c:v>61.88</c:v>
                </c:pt>
                <c:pt idx="1">
                  <c:v>68.239999999999995</c:v>
                </c:pt>
                <c:pt idx="2">
                  <c:v>56.8</c:v>
                </c:pt>
                <c:pt idx="3">
                  <c:v>89.51</c:v>
                </c:pt>
                <c:pt idx="4">
                  <c:v>44.87</c:v>
                </c:pt>
                <c:pt idx="5">
                  <c:v>53.88</c:v>
                </c:pt>
                <c:pt idx="6">
                  <c:v>104.87</c:v>
                </c:pt>
                <c:pt idx="7">
                  <c:v>126.58</c:v>
                </c:pt>
                <c:pt idx="8">
                  <c:v>173.81</c:v>
                </c:pt>
                <c:pt idx="9">
                  <c:v>316.19</c:v>
                </c:pt>
                <c:pt idx="10">
                  <c:v>145</c:v>
                </c:pt>
                <c:pt idx="11">
                  <c:v>188.52</c:v>
                </c:pt>
                <c:pt idx="12">
                  <c:v>292</c:v>
                </c:pt>
                <c:pt idx="13">
                  <c:v>167.24</c:v>
                </c:pt>
              </c:numCache>
            </c:numRef>
          </c:val>
          <c:extLst>
            <c:ext xmlns:c16="http://schemas.microsoft.com/office/drawing/2014/chart" uri="{C3380CC4-5D6E-409C-BE32-E72D297353CC}">
              <c16:uniqueId val="{00000000-914D-4AAD-BE6B-20DD2A7F0700}"/>
            </c:ext>
          </c:extLst>
        </c:ser>
        <c:ser>
          <c:idx val="1"/>
          <c:order val="1"/>
          <c:tx>
            <c:strRef>
              <c:f>Hoja1!$C$1</c:f>
              <c:strCache>
                <c:ptCount val="1"/>
                <c:pt idx="0">
                  <c:v>Arbitrajes Internacionales</c:v>
                </c:pt>
              </c:strCache>
            </c:strRef>
          </c:tx>
          <c:spPr>
            <a:solidFill>
              <a:schemeClr val="accent1">
                <a:lumMod val="60000"/>
                <a:lumOff val="40000"/>
              </a:schemeClr>
            </a:solidFill>
            <a:ln>
              <a:solidFill>
                <a:schemeClr val="tx1"/>
              </a:solidFill>
            </a:ln>
            <a:effectLst>
              <a:outerShdw blurRad="50800" dist="38100" dir="2700000" algn="tl" rotWithShape="0">
                <a:prstClr val="black">
                  <a:alpha val="40000"/>
                </a:prstClr>
              </a:outerShdw>
            </a:effectLst>
          </c:spPr>
          <c:invertIfNegative val="0"/>
          <c:dPt>
            <c:idx val="13"/>
            <c:invertIfNegative val="0"/>
            <c:bubble3D val="0"/>
            <c:spPr>
              <a:noFill/>
              <a:ln w="19050">
                <a:solidFill>
                  <a:schemeClr val="tx1"/>
                </a:solidFill>
                <a:prstDash val="sysDash"/>
              </a:ln>
              <a:effectLst>
                <a:outerShdw blurRad="50800" dist="38100" dir="2700000" algn="tl" rotWithShape="0">
                  <a:prstClr val="black">
                    <a:alpha val="40000"/>
                  </a:prstClr>
                </a:outerShdw>
              </a:effectLst>
            </c:spPr>
            <c:extLst>
              <c:ext xmlns:c16="http://schemas.microsoft.com/office/drawing/2014/chart" uri="{C3380CC4-5D6E-409C-BE32-E72D297353CC}">
                <c16:uniqueId val="{00000002-914D-4AAD-BE6B-20DD2A7F070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Hoja1!$C$2:$C$15</c:f>
              <c:numCache>
                <c:formatCode>General</c:formatCode>
                <c:ptCount val="14"/>
                <c:pt idx="10">
                  <c:v>292</c:v>
                </c:pt>
                <c:pt idx="12">
                  <c:v>338</c:v>
                </c:pt>
                <c:pt idx="13" formatCode="0">
                  <c:v>609.95000000000005</c:v>
                </c:pt>
              </c:numCache>
            </c:numRef>
          </c:val>
          <c:extLst>
            <c:ext xmlns:c16="http://schemas.microsoft.com/office/drawing/2014/chart" uri="{C3380CC4-5D6E-409C-BE32-E72D297353CC}">
              <c16:uniqueId val="{00000003-914D-4AAD-BE6B-20DD2A7F0700}"/>
            </c:ext>
          </c:extLst>
        </c:ser>
        <c:dLbls>
          <c:showLegendKey val="0"/>
          <c:showVal val="0"/>
          <c:showCatName val="0"/>
          <c:showSerName val="0"/>
          <c:showPercent val="0"/>
          <c:showBubbleSize val="0"/>
        </c:dLbls>
        <c:gapWidth val="36"/>
        <c:overlap val="100"/>
        <c:axId val="1576498847"/>
        <c:axId val="1576492191"/>
      </c:barChart>
      <c:lineChart>
        <c:grouping val="standard"/>
        <c:varyColors val="0"/>
        <c:ser>
          <c:idx val="2"/>
          <c:order val="2"/>
          <c:tx>
            <c:strRef>
              <c:f>Hoja1!$D$1</c:f>
              <c:strCache>
                <c:ptCount val="1"/>
                <c:pt idx="0">
                  <c:v>Sentencias/Ingresos Tributarios (%)</c:v>
                </c:pt>
              </c:strCache>
            </c:strRef>
          </c:tx>
          <c:spPr>
            <a:ln w="28575" cap="rnd" cmpd="dbl">
              <a:solidFill>
                <a:schemeClr val="bg1">
                  <a:lumMod val="50000"/>
                </a:schemeClr>
              </a:solidFill>
              <a:prstDash val="sysDot"/>
              <a:round/>
            </a:ln>
            <a:effectLst/>
          </c:spPr>
          <c:marker>
            <c:symbol val="none"/>
          </c:marker>
          <c:dPt>
            <c:idx val="13"/>
            <c:marker>
              <c:symbol val="none"/>
            </c:marker>
            <c:bubble3D val="0"/>
            <c:spPr>
              <a:ln w="28575" cap="rnd" cmpd="dbl">
                <a:noFill/>
                <a:prstDash val="sysDot"/>
                <a:round/>
              </a:ln>
              <a:effectLst/>
            </c:spPr>
            <c:extLst>
              <c:ext xmlns:c16="http://schemas.microsoft.com/office/drawing/2014/chart" uri="{C3380CC4-5D6E-409C-BE32-E72D297353CC}">
                <c16:uniqueId val="{00000005-914D-4AAD-BE6B-20DD2A7F0700}"/>
              </c:ext>
            </c:extLst>
          </c:dPt>
          <c:cat>
            <c:strRef>
              <c:f>Hoja1!$A$2:$A$15</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Hoja1!$D$2:$D$15</c:f>
              <c:numCache>
                <c:formatCode>0.0</c:formatCode>
                <c:ptCount val="14"/>
                <c:pt idx="0">
                  <c:v>0.17795949848987871</c:v>
                </c:pt>
                <c:pt idx="1">
                  <c:v>0.16936299831196444</c:v>
                </c:pt>
                <c:pt idx="2">
                  <c:v>0.13264882845350104</c:v>
                </c:pt>
                <c:pt idx="3">
                  <c:v>0.19317781829393627</c:v>
                </c:pt>
                <c:pt idx="4">
                  <c:v>9.139068265781175E-2</c:v>
                </c:pt>
                <c:pt idx="5">
                  <c:v>0.1083434664036439</c:v>
                </c:pt>
                <c:pt idx="6">
                  <c:v>0.19381085486386046</c:v>
                </c:pt>
                <c:pt idx="7">
                  <c:v>0.22330787451272988</c:v>
                </c:pt>
                <c:pt idx="8">
                  <c:v>0.29541642087873571</c:v>
                </c:pt>
                <c:pt idx="9">
                  <c:v>0.50514783121218632</c:v>
                </c:pt>
                <c:pt idx="10">
                  <c:v>0.72495749508270846</c:v>
                </c:pt>
                <c:pt idx="11">
                  <c:v>0.24163328079165161</c:v>
                </c:pt>
                <c:pt idx="12">
                  <c:v>0.71122918344574071</c:v>
                </c:pt>
                <c:pt idx="13">
                  <c:v>0.19390677749637875</c:v>
                </c:pt>
              </c:numCache>
            </c:numRef>
          </c:val>
          <c:smooth val="1"/>
          <c:extLst>
            <c:ext xmlns:c16="http://schemas.microsoft.com/office/drawing/2014/chart" uri="{C3380CC4-5D6E-409C-BE32-E72D297353CC}">
              <c16:uniqueId val="{00000006-914D-4AAD-BE6B-20DD2A7F0700}"/>
            </c:ext>
          </c:extLst>
        </c:ser>
        <c:ser>
          <c:idx val="3"/>
          <c:order val="3"/>
          <c:tx>
            <c:strRef>
              <c:f>Hoja1!$E$1</c:f>
              <c:strCache>
                <c:ptCount val="1"/>
                <c:pt idx="0">
                  <c:v>Sentencias/PIB %</c:v>
                </c:pt>
              </c:strCache>
            </c:strRef>
          </c:tx>
          <c:spPr>
            <a:ln w="28575" cap="rnd">
              <a:solidFill>
                <a:schemeClr val="accent4"/>
              </a:solidFill>
              <a:prstDash val="sysDot"/>
              <a:round/>
            </a:ln>
            <a:effectLst/>
          </c:spPr>
          <c:marker>
            <c:symbol val="none"/>
          </c:marker>
          <c:cat>
            <c:strRef>
              <c:f>Hoja1!$A$2:$A$15</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Hoja1!$E$2:$E$15</c:f>
              <c:numCache>
                <c:formatCode>General</c:formatCode>
                <c:ptCount val="14"/>
                <c:pt idx="3">
                  <c:v>2.1497024855950002E-2</c:v>
                </c:pt>
                <c:pt idx="4">
                  <c:v>1.0030709126648713E-2</c:v>
                </c:pt>
                <c:pt idx="5">
                  <c:v>1.1318785570775182E-2</c:v>
                </c:pt>
                <c:pt idx="6">
                  <c:v>2.0890367502739534E-2</c:v>
                </c:pt>
                <c:pt idx="7">
                  <c:v>2.4041447470633838E-2</c:v>
                </c:pt>
                <c:pt idx="8">
                  <c:v>3.1523405144403528E-2</c:v>
                </c:pt>
                <c:pt idx="9">
                  <c:v>5.3233149037328356E-2</c:v>
                </c:pt>
                <c:pt idx="10">
                  <c:v>7.2822482783398604E-2</c:v>
                </c:pt>
                <c:pt idx="11">
                  <c:v>2.8324683326825108E-2</c:v>
                </c:pt>
                <c:pt idx="12" formatCode="0.00">
                  <c:v>8.5585151112131497E-2</c:v>
                </c:pt>
                <c:pt idx="13">
                  <c:v>2.0998722548414211E-2</c:v>
                </c:pt>
              </c:numCache>
            </c:numRef>
          </c:val>
          <c:smooth val="1"/>
          <c:extLst>
            <c:ext xmlns:c16="http://schemas.microsoft.com/office/drawing/2014/chart" uri="{C3380CC4-5D6E-409C-BE32-E72D297353CC}">
              <c16:uniqueId val="{00000007-914D-4AAD-BE6B-20DD2A7F0700}"/>
            </c:ext>
          </c:extLst>
        </c:ser>
        <c:dLbls>
          <c:showLegendKey val="0"/>
          <c:showVal val="0"/>
          <c:showCatName val="0"/>
          <c:showSerName val="0"/>
          <c:showPercent val="0"/>
          <c:showBubbleSize val="0"/>
        </c:dLbls>
        <c:marker val="1"/>
        <c:smooth val="0"/>
        <c:axId val="1278974639"/>
        <c:axId val="1278977551"/>
      </c:lineChart>
      <c:catAx>
        <c:axId val="157649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76492191"/>
        <c:crosses val="autoZero"/>
        <c:auto val="1"/>
        <c:lblAlgn val="ctr"/>
        <c:lblOffset val="100"/>
        <c:noMultiLvlLbl val="0"/>
      </c:catAx>
      <c:valAx>
        <c:axId val="1576492191"/>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b="1"/>
                  <a:t>Millones de quetzales</a:t>
                </a:r>
              </a:p>
            </c:rich>
          </c:tx>
          <c:layout>
            <c:manualLayout>
              <c:xMode val="edge"/>
              <c:yMode val="edge"/>
              <c:x val="4.6296296296296294E-3"/>
              <c:y val="0.2502240944089336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76498847"/>
        <c:crosses val="autoZero"/>
        <c:crossBetween val="between"/>
      </c:valAx>
      <c:valAx>
        <c:axId val="1278977551"/>
        <c:scaling>
          <c:orientation val="minMax"/>
        </c:scaling>
        <c:delete val="0"/>
        <c:axPos val="r"/>
        <c:title>
          <c:tx>
            <c:rich>
              <a:bodyPr rot="5400000" spcFirstLastPara="1" vertOverflow="ellipsis"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b="1"/>
                  <a:t>Porcentaje</a:t>
                </a:r>
                <a:r>
                  <a:rPr lang="es-GT" sz="800" b="1" baseline="0"/>
                  <a:t> sobre ingresos y sobre el PIB</a:t>
                </a:r>
                <a:endParaRPr lang="es-GT" sz="800" b="1"/>
              </a:p>
            </c:rich>
          </c:tx>
          <c:overlay val="0"/>
          <c:spPr>
            <a:noFill/>
            <a:ln>
              <a:noFill/>
            </a:ln>
            <a:effectLst/>
          </c:spPr>
          <c:txPr>
            <a:bodyPr rot="5400000" spcFirstLastPara="1" vertOverflow="ellipsis"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78974639"/>
        <c:crosses val="max"/>
        <c:crossBetween val="between"/>
      </c:valAx>
      <c:catAx>
        <c:axId val="1278974639"/>
        <c:scaling>
          <c:orientation val="minMax"/>
        </c:scaling>
        <c:delete val="1"/>
        <c:axPos val="b"/>
        <c:numFmt formatCode="General" sourceLinked="1"/>
        <c:majorTickMark val="out"/>
        <c:minorTickMark val="none"/>
        <c:tickLblPos val="nextTo"/>
        <c:crossAx val="1278977551"/>
        <c:crosses val="autoZero"/>
        <c:auto val="1"/>
        <c:lblAlgn val="ctr"/>
        <c:lblOffset val="100"/>
        <c:noMultiLvlLbl val="0"/>
      </c:catAx>
      <c:spPr>
        <a:noFill/>
        <a:ln w="25400">
          <a:noFill/>
        </a:ln>
        <a:effectLst/>
      </c:spPr>
    </c:plotArea>
    <c:legend>
      <c:legendPos val="b"/>
      <c:layout>
        <c:manualLayout>
          <c:xMode val="edge"/>
          <c:yMode val="edge"/>
          <c:x val="0.10043616943715369"/>
          <c:y val="3.1121977895692078E-2"/>
          <c:w val="0.49759587343248751"/>
          <c:h val="0.2930584230569568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31882473024206E-2"/>
          <c:y val="2.4118090234486991E-2"/>
          <c:w val="0.93817056722076408"/>
          <c:h val="0.89604832418809632"/>
        </c:manualLayout>
      </c:layout>
      <c:barChart>
        <c:barDir val="col"/>
        <c:grouping val="clustered"/>
        <c:varyColors val="0"/>
        <c:ser>
          <c:idx val="0"/>
          <c:order val="0"/>
          <c:tx>
            <c:strRef>
              <c:f>Hoja1!$B$1</c:f>
              <c:strCache>
                <c:ptCount val="1"/>
                <c:pt idx="0">
                  <c:v>Casos</c:v>
                </c:pt>
              </c:strCache>
            </c:strRef>
          </c:tx>
          <c:spPr>
            <a:solidFill>
              <a:schemeClr val="accent6">
                <a:lumMod val="50000"/>
              </a:schemeClr>
            </a:solidFill>
            <a:ln>
              <a:solidFill>
                <a:schemeClr val="tx1"/>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Hoja1!$B$2:$B$21</c:f>
              <c:numCache>
                <c:formatCode>General</c:formatCode>
                <c:ptCount val="20"/>
                <c:pt idx="0">
                  <c:v>63</c:v>
                </c:pt>
                <c:pt idx="1">
                  <c:v>85</c:v>
                </c:pt>
                <c:pt idx="2">
                  <c:v>103</c:v>
                </c:pt>
                <c:pt idx="3">
                  <c:v>118</c:v>
                </c:pt>
                <c:pt idx="4">
                  <c:v>130</c:v>
                </c:pt>
                <c:pt idx="5">
                  <c:v>145</c:v>
                </c:pt>
                <c:pt idx="6">
                  <c:v>154</c:v>
                </c:pt>
                <c:pt idx="7">
                  <c:v>154</c:v>
                </c:pt>
                <c:pt idx="8">
                  <c:v>159</c:v>
                </c:pt>
                <c:pt idx="9">
                  <c:v>172</c:v>
                </c:pt>
                <c:pt idx="10">
                  <c:v>195</c:v>
                </c:pt>
                <c:pt idx="11">
                  <c:v>209</c:v>
                </c:pt>
                <c:pt idx="12">
                  <c:v>243</c:v>
                </c:pt>
                <c:pt idx="13">
                  <c:v>247</c:v>
                </c:pt>
                <c:pt idx="14">
                  <c:v>258</c:v>
                </c:pt>
                <c:pt idx="15">
                  <c:v>279</c:v>
                </c:pt>
                <c:pt idx="16">
                  <c:v>306</c:v>
                </c:pt>
                <c:pt idx="17">
                  <c:v>303</c:v>
                </c:pt>
                <c:pt idx="18">
                  <c:v>332</c:v>
                </c:pt>
                <c:pt idx="19">
                  <c:v>346</c:v>
                </c:pt>
              </c:numCache>
            </c:numRef>
          </c:val>
          <c:extLst>
            <c:ext xmlns:c16="http://schemas.microsoft.com/office/drawing/2014/chart" uri="{C3380CC4-5D6E-409C-BE32-E72D297353CC}">
              <c16:uniqueId val="{00000000-B5BA-48A9-BB95-BD3B503B3BB7}"/>
            </c:ext>
          </c:extLst>
        </c:ser>
        <c:dLbls>
          <c:showLegendKey val="0"/>
          <c:showVal val="0"/>
          <c:showCatName val="0"/>
          <c:showSerName val="0"/>
          <c:showPercent val="0"/>
          <c:showBubbleSize val="0"/>
        </c:dLbls>
        <c:gapWidth val="50"/>
        <c:axId val="1441572159"/>
        <c:axId val="1441578399"/>
      </c:barChart>
      <c:catAx>
        <c:axId val="144157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41578399"/>
        <c:crosses val="autoZero"/>
        <c:auto val="1"/>
        <c:lblAlgn val="ctr"/>
        <c:lblOffset val="100"/>
        <c:noMultiLvlLbl val="0"/>
      </c:catAx>
      <c:valAx>
        <c:axId val="14415783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41572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6776458642152E-2"/>
          <c:y val="3.0651340996168581E-2"/>
          <c:w val="0.90580120490120086"/>
          <c:h val="0.85792258726279902"/>
        </c:manualLayout>
      </c:layout>
      <c:barChart>
        <c:barDir val="col"/>
        <c:grouping val="clustered"/>
        <c:varyColors val="0"/>
        <c:ser>
          <c:idx val="0"/>
          <c:order val="0"/>
          <c:tx>
            <c:strRef>
              <c:f>Hoja1!$B$1</c:f>
              <c:strCache>
                <c:ptCount val="1"/>
                <c:pt idx="0">
                  <c:v>Serie 1</c:v>
                </c:pt>
              </c:strCache>
            </c:strRef>
          </c:tx>
          <c:spPr>
            <a:solidFill>
              <a:schemeClr val="accent5">
                <a:lumMod val="75000"/>
              </a:schemeClr>
            </a:solidFill>
            <a:ln>
              <a:solidFill>
                <a:schemeClr val="tx1"/>
              </a:solidFill>
            </a:ln>
            <a:effectLst>
              <a:outerShdw blurRad="50800" dist="38100" algn="l" rotWithShape="0">
                <a:prstClr val="black">
                  <a:alpha val="40000"/>
                </a:prstClr>
              </a:outerShdw>
            </a:effectLst>
          </c:spPr>
          <c:invertIfNegative val="0"/>
          <c:dLbls>
            <c:dLbl>
              <c:idx val="9"/>
              <c:layout>
                <c:manualLayout>
                  <c:x val="-5.29648819804260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12-420A-9E77-F71798116B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Hoja1!$B$2:$B$15</c:f>
              <c:numCache>
                <c:formatCode>0.0</c:formatCode>
                <c:ptCount val="14"/>
                <c:pt idx="0">
                  <c:v>3.4622980400000003</c:v>
                </c:pt>
                <c:pt idx="1">
                  <c:v>17.388239369999997</c:v>
                </c:pt>
                <c:pt idx="2">
                  <c:v>19.145418160000002</c:v>
                </c:pt>
                <c:pt idx="3">
                  <c:v>21.653880929999996</c:v>
                </c:pt>
                <c:pt idx="4">
                  <c:v>17.960955810000002</c:v>
                </c:pt>
                <c:pt idx="5">
                  <c:v>11.87329211</c:v>
                </c:pt>
                <c:pt idx="6">
                  <c:v>13.048609190000001</c:v>
                </c:pt>
                <c:pt idx="7">
                  <c:v>0</c:v>
                </c:pt>
                <c:pt idx="8">
                  <c:v>1.4741217000000002</c:v>
                </c:pt>
                <c:pt idx="9">
                  <c:v>30.955845739999997</c:v>
                </c:pt>
                <c:pt idx="10">
                  <c:v>26.266867179999998</c:v>
                </c:pt>
                <c:pt idx="11">
                  <c:v>15.467977210000001</c:v>
                </c:pt>
                <c:pt idx="12">
                  <c:v>19.881317130000003</c:v>
                </c:pt>
                <c:pt idx="13">
                  <c:v>23.537275739999998</c:v>
                </c:pt>
              </c:numCache>
            </c:numRef>
          </c:val>
          <c:extLst>
            <c:ext xmlns:c16="http://schemas.microsoft.com/office/drawing/2014/chart" uri="{C3380CC4-5D6E-409C-BE32-E72D297353CC}">
              <c16:uniqueId val="{00000000-2E8D-4007-8006-60ACA8571B60}"/>
            </c:ext>
          </c:extLst>
        </c:ser>
        <c:dLbls>
          <c:showLegendKey val="0"/>
          <c:showVal val="0"/>
          <c:showCatName val="0"/>
          <c:showSerName val="0"/>
          <c:showPercent val="0"/>
          <c:showBubbleSize val="0"/>
        </c:dLbls>
        <c:gapWidth val="50"/>
        <c:overlap val="-43"/>
        <c:axId val="761197872"/>
        <c:axId val="761203280"/>
      </c:barChart>
      <c:catAx>
        <c:axId val="7611978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761203280"/>
        <c:crosses val="autoZero"/>
        <c:auto val="1"/>
        <c:lblAlgn val="ctr"/>
        <c:lblOffset val="100"/>
        <c:noMultiLvlLbl val="0"/>
      </c:catAx>
      <c:valAx>
        <c:axId val="761203280"/>
        <c:scaling>
          <c:orientation val="minMax"/>
          <c:max val="32"/>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7611978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326955180366351E-2"/>
          <c:y val="3.6663132340245548E-2"/>
          <c:w val="0.91003543736110359"/>
          <c:h val="0.83963080773843668"/>
        </c:manualLayout>
      </c:layout>
      <c:lineChart>
        <c:grouping val="standard"/>
        <c:varyColors val="0"/>
        <c:ser>
          <c:idx val="0"/>
          <c:order val="0"/>
          <c:tx>
            <c:strRef>
              <c:f>Impuestos!$J$2</c:f>
              <c:strCache>
                <c:ptCount val="1"/>
                <c:pt idx="0">
                  <c:v>IVA dom</c:v>
                </c:pt>
              </c:strCache>
            </c:strRef>
          </c:tx>
          <c:spPr>
            <a:ln w="28575" cap="rnd">
              <a:solidFill>
                <a:schemeClr val="accent1"/>
              </a:solidFill>
              <a:round/>
            </a:ln>
            <a:effectLst/>
          </c:spPr>
          <c:marker>
            <c:symbol val="none"/>
          </c:marker>
          <c:dLbls>
            <c:dLbl>
              <c:idx val="0"/>
              <c:layout>
                <c:manualLayout>
                  <c:x val="-4.3815201192250373E-2"/>
                  <c:y val="5.495544097782756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62-45E8-BDF6-8257CE890441}"/>
                </c:ext>
              </c:extLst>
            </c:dLbl>
            <c:dLbl>
              <c:idx val="3"/>
              <c:layout>
                <c:manualLayout>
                  <c:x val="-4.4510680576254347E-2"/>
                  <c:y val="5.495544097782751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62-45E8-BDF6-8257CE890441}"/>
                </c:ext>
              </c:extLst>
            </c:dLbl>
            <c:dLbl>
              <c:idx val="5"/>
              <c:layout>
                <c:manualLayout>
                  <c:x val="-0.10577030812324929"/>
                  <c:y val="-1.8165771156588948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62-45E8-BDF6-8257CE890441}"/>
                </c:ext>
              </c:extLst>
            </c:dLbl>
            <c:dLbl>
              <c:idx val="6"/>
              <c:layout>
                <c:manualLayout>
                  <c:x val="-1.0140582278183931E-2"/>
                  <c:y val="2.306485355648535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62-45E8-BDF6-8257CE890441}"/>
                </c:ext>
              </c:extLst>
            </c:dLbl>
            <c:dLbl>
              <c:idx val="7"/>
              <c:layout>
                <c:manualLayout>
                  <c:x val="-4.4268553614106823E-2"/>
                  <c:y val="-5.4877195005436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62-45E8-BDF6-8257CE890441}"/>
                </c:ext>
              </c:extLst>
            </c:dLbl>
            <c:dLbl>
              <c:idx val="8"/>
              <c:layout>
                <c:manualLayout>
                  <c:x val="-3.8543417366946782E-2"/>
                  <c:y val="4.244343126586237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62-45E8-BDF6-8257CE890441}"/>
                </c:ext>
              </c:extLst>
            </c:dLbl>
            <c:dLbl>
              <c:idx val="10"/>
              <c:layout>
                <c:manualLayout>
                  <c:x val="-3.7668344735596576E-2"/>
                  <c:y val="4.449518993180245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62-45E8-BDF6-8257CE89044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Impuestos!$B$4:$B$14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Impuestos!$J$4:$J$14</c:f>
              <c:numCache>
                <c:formatCode>#,##0.00</c:formatCode>
                <c:ptCount val="11"/>
                <c:pt idx="0">
                  <c:v>-0.47520044945533746</c:v>
                </c:pt>
                <c:pt idx="1">
                  <c:v>10.566126101292973</c:v>
                </c:pt>
                <c:pt idx="2">
                  <c:v>31.058053414444807</c:v>
                </c:pt>
                <c:pt idx="3">
                  <c:v>-2.4669899562887676</c:v>
                </c:pt>
                <c:pt idx="4">
                  <c:v>26.187230098654556</c:v>
                </c:pt>
                <c:pt idx="5">
                  <c:v>-54.892229133542848</c:v>
                </c:pt>
                <c:pt idx="6">
                  <c:v>-49.19960020054581</c:v>
                </c:pt>
                <c:pt idx="7">
                  <c:v>15.21245476048434</c:v>
                </c:pt>
                <c:pt idx="8">
                  <c:v>-18.209394061006833</c:v>
                </c:pt>
                <c:pt idx="9">
                  <c:v>19.670225708676004</c:v>
                </c:pt>
                <c:pt idx="10">
                  <c:v>-2.2294289140911694</c:v>
                </c:pt>
              </c:numCache>
            </c:numRef>
          </c:val>
          <c:smooth val="1"/>
          <c:extLst>
            <c:ext xmlns:c16="http://schemas.microsoft.com/office/drawing/2014/chart" uri="{C3380CC4-5D6E-409C-BE32-E72D297353CC}">
              <c16:uniqueId val="{00000007-1C62-45E8-BDF6-8257CE890441}"/>
            </c:ext>
          </c:extLst>
        </c:ser>
        <c:dLbls>
          <c:showLegendKey val="0"/>
          <c:showVal val="0"/>
          <c:showCatName val="0"/>
          <c:showSerName val="0"/>
          <c:showPercent val="0"/>
          <c:showBubbleSize val="0"/>
        </c:dLbls>
        <c:smooth val="0"/>
        <c:axId val="202055600"/>
        <c:axId val="202058928"/>
      </c:lineChart>
      <c:catAx>
        <c:axId val="202055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058928"/>
        <c:crosses val="autoZero"/>
        <c:auto val="1"/>
        <c:lblAlgn val="ctr"/>
        <c:lblOffset val="100"/>
        <c:noMultiLvlLbl val="0"/>
      </c:catAx>
      <c:valAx>
        <c:axId val="2020589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055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456390175786473E-2"/>
          <c:y val="3.8971604888849196E-2"/>
          <c:w val="0.90711083318117613"/>
          <c:h val="0.82939653075238873"/>
        </c:manualLayout>
      </c:layout>
      <c:lineChart>
        <c:grouping val="standard"/>
        <c:varyColors val="0"/>
        <c:ser>
          <c:idx val="0"/>
          <c:order val="0"/>
          <c:tx>
            <c:strRef>
              <c:f>Impuestos!$I$2</c:f>
              <c:strCache>
                <c:ptCount val="1"/>
                <c:pt idx="0">
                  <c:v>ISR</c:v>
                </c:pt>
              </c:strCache>
            </c:strRef>
          </c:tx>
          <c:spPr>
            <a:ln w="28575" cap="rnd">
              <a:solidFill>
                <a:schemeClr val="accent1"/>
              </a:solidFill>
              <a:round/>
            </a:ln>
            <a:effectLst/>
          </c:spPr>
          <c:marker>
            <c:symbol val="none"/>
          </c:marker>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0-BB9E-470A-9D33-AE3177283969}"/>
                </c:ext>
              </c:extLst>
            </c:dLbl>
            <c:dLbl>
              <c:idx val="3"/>
              <c:layout>
                <c:manualLayout>
                  <c:x val="-4.7316729776281367E-2"/>
                  <c:y val="4.125839144015815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9E-470A-9D33-AE3177283969}"/>
                </c:ext>
              </c:extLst>
            </c:dLbl>
            <c:dLbl>
              <c:idx val="4"/>
              <c:layout>
                <c:manualLayout>
                  <c:x val="-4.7483615679485641E-2"/>
                  <c:y val="-4.11858374638184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9E-470A-9D33-AE3177283969}"/>
                </c:ext>
              </c:extLst>
            </c:dLbl>
            <c:dLbl>
              <c:idx val="5"/>
              <c:layout>
                <c:manualLayout>
                  <c:x val="-8.6886409509186024E-2"/>
                  <c:y val="2.185974934510489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9E-470A-9D33-AE3177283969}"/>
                </c:ext>
              </c:extLst>
            </c:dLbl>
            <c:dLbl>
              <c:idx val="6"/>
              <c:layout>
                <c:manualLayout>
                  <c:x val="1.978483986645233E-3"/>
                  <c:y val="7.310767773814710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9E-470A-9D33-AE3177283969}"/>
                </c:ext>
              </c:extLst>
            </c:dLbl>
            <c:dLbl>
              <c:idx val="7"/>
              <c:layout>
                <c:manualLayout>
                  <c:x val="-6.9574674626040153E-2"/>
                  <c:y val="-6.0584479558871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9E-470A-9D33-AE3177283969}"/>
                </c:ext>
              </c:extLst>
            </c:dLbl>
            <c:dLbl>
              <c:idx val="8"/>
              <c:layout>
                <c:manualLayout>
                  <c:x val="-7.1114231161317612E-2"/>
                  <c:y val="-8.4832782177688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9E-470A-9D33-AE3177283969}"/>
                </c:ext>
              </c:extLst>
            </c:dLbl>
            <c:dLbl>
              <c:idx val="10"/>
              <c:layout>
                <c:manualLayout>
                  <c:x val="-2.8378977049780488E-2"/>
                  <c:y val="4.1258391440158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9E-470A-9D33-AE31772839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Impuestos!$B$4:$B$14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Impuestos!$I$4:$I$14</c:f>
              <c:numCache>
                <c:formatCode>#,##0.00</c:formatCode>
                <c:ptCount val="11"/>
                <c:pt idx="0">
                  <c:v>-35.681030019428526</c:v>
                </c:pt>
                <c:pt idx="1">
                  <c:v>1.825495184695014</c:v>
                </c:pt>
                <c:pt idx="2">
                  <c:v>28.854321724468246</c:v>
                </c:pt>
                <c:pt idx="3">
                  <c:v>-30.031560475970622</c:v>
                </c:pt>
                <c:pt idx="4">
                  <c:v>-13.573443203598268</c:v>
                </c:pt>
                <c:pt idx="5">
                  <c:v>-36.204189284089281</c:v>
                </c:pt>
                <c:pt idx="6">
                  <c:v>-72.823014592258573</c:v>
                </c:pt>
                <c:pt idx="7">
                  <c:v>-12.400757636276738</c:v>
                </c:pt>
                <c:pt idx="8">
                  <c:v>56.277571374385872</c:v>
                </c:pt>
                <c:pt idx="9">
                  <c:v>144.57342839261526</c:v>
                </c:pt>
                <c:pt idx="10">
                  <c:v>5.5421143937063544</c:v>
                </c:pt>
              </c:numCache>
            </c:numRef>
          </c:val>
          <c:smooth val="1"/>
          <c:extLst>
            <c:ext xmlns:c16="http://schemas.microsoft.com/office/drawing/2014/chart" uri="{C3380CC4-5D6E-409C-BE32-E72D297353CC}">
              <c16:uniqueId val="{00000008-BB9E-470A-9D33-AE3177283969}"/>
            </c:ext>
          </c:extLst>
        </c:ser>
        <c:dLbls>
          <c:showLegendKey val="0"/>
          <c:showVal val="0"/>
          <c:showCatName val="0"/>
          <c:showSerName val="0"/>
          <c:showPercent val="0"/>
          <c:showBubbleSize val="0"/>
        </c:dLbls>
        <c:smooth val="0"/>
        <c:axId val="202055600"/>
        <c:axId val="202058928"/>
      </c:lineChart>
      <c:catAx>
        <c:axId val="202055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058928"/>
        <c:crosses val="autoZero"/>
        <c:auto val="1"/>
        <c:lblAlgn val="ctr"/>
        <c:lblOffset val="100"/>
        <c:noMultiLvlLbl val="0"/>
      </c:catAx>
      <c:valAx>
        <c:axId val="202058928"/>
        <c:scaling>
          <c:orientation val="minMax"/>
          <c:min val="-8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055600"/>
        <c:crosses val="autoZero"/>
        <c:crossBetween val="between"/>
        <c:majorUnit val="40"/>
      </c:valAx>
      <c:spPr>
        <a:solidFill>
          <a:sysClr val="window" lastClr="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s-GT"/>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96098248912919E-2"/>
          <c:y val="3.5538656811978389E-2"/>
          <c:w val="0.9005352450346692"/>
          <c:h val="0.84442472508340172"/>
        </c:manualLayout>
      </c:layout>
      <c:lineChart>
        <c:grouping val="standard"/>
        <c:varyColors val="0"/>
        <c:ser>
          <c:idx val="0"/>
          <c:order val="0"/>
          <c:tx>
            <c:strRef>
              <c:f>Impuestos!$K$2</c:f>
              <c:strCache>
                <c:ptCount val="1"/>
                <c:pt idx="0">
                  <c:v>los demás</c:v>
                </c:pt>
              </c:strCache>
            </c:strRef>
          </c:tx>
          <c:spPr>
            <a:ln w="28575" cap="rnd">
              <a:solidFill>
                <a:schemeClr val="accent1"/>
              </a:solidFill>
              <a:round/>
            </a:ln>
            <a:effectLst/>
          </c:spPr>
          <c:marker>
            <c:symbol val="none"/>
          </c:marker>
          <c:dLbls>
            <c:dLbl>
              <c:idx val="1"/>
              <c:layout>
                <c:manualLayout>
                  <c:x val="-4.4817927170868349E-4"/>
                  <c:y val="2.031342707510174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91-4DA1-B553-E700C2C781EA}"/>
                </c:ext>
              </c:extLst>
            </c:dLbl>
            <c:dLbl>
              <c:idx val="3"/>
              <c:layout>
                <c:manualLayout>
                  <c:x val="-1.5288559518295507E-2"/>
                  <c:y val="-6.820658968794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91-4DA1-B553-E700C2C781EA}"/>
                </c:ext>
              </c:extLst>
            </c:dLbl>
            <c:dLbl>
              <c:idx val="4"/>
              <c:layout>
                <c:manualLayout>
                  <c:x val="-6.0545409056792641E-2"/>
                  <c:y val="4.449518993180236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91-4DA1-B553-E700C2C781EA}"/>
                </c:ext>
              </c:extLst>
            </c:dLbl>
            <c:dLbl>
              <c:idx val="5"/>
              <c:layout>
                <c:manualLayout>
                  <c:x val="-5.5273541770501103E-2"/>
                  <c:y val="4.316789114749768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91-4DA1-B553-E700C2C781EA}"/>
                </c:ext>
              </c:extLst>
            </c:dLbl>
            <c:dLbl>
              <c:idx val="6"/>
              <c:layout>
                <c:manualLayout>
                  <c:x val="-5.1988794745665548E-2"/>
                  <c:y val="5.979516028069703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91-4DA1-B553-E700C2C781EA}"/>
                </c:ext>
              </c:extLst>
            </c:dLbl>
            <c:dLbl>
              <c:idx val="10"/>
              <c:layout>
                <c:manualLayout>
                  <c:x val="-3.1388896002710692E-2"/>
                  <c:y val="4.449518993180245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91-4DA1-B553-E700C2C781E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Impuestos!$B$4:$B$14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Impuestos!$K$4:$K$14</c:f>
              <c:numCache>
                <c:formatCode>#,##0.00</c:formatCode>
                <c:ptCount val="11"/>
                <c:pt idx="0">
                  <c:v>2.9621097278830222</c:v>
                </c:pt>
                <c:pt idx="1">
                  <c:v>-89.749958599430727</c:v>
                </c:pt>
                <c:pt idx="2">
                  <c:v>207.5505768941938</c:v>
                </c:pt>
                <c:pt idx="3">
                  <c:v>15.344810576434975</c:v>
                </c:pt>
                <c:pt idx="4">
                  <c:v>-32.760246579988582</c:v>
                </c:pt>
                <c:pt idx="5">
                  <c:v>-36.191966124346372</c:v>
                </c:pt>
                <c:pt idx="6">
                  <c:v>-47.501914321531224</c:v>
                </c:pt>
                <c:pt idx="7">
                  <c:v>42.533020669635022</c:v>
                </c:pt>
                <c:pt idx="8">
                  <c:v>25.990729771110431</c:v>
                </c:pt>
                <c:pt idx="9">
                  <c:v>0.48224661905000854</c:v>
                </c:pt>
                <c:pt idx="10">
                  <c:v>-15.359096690048924</c:v>
                </c:pt>
              </c:numCache>
            </c:numRef>
          </c:val>
          <c:smooth val="1"/>
          <c:extLst>
            <c:ext xmlns:c16="http://schemas.microsoft.com/office/drawing/2014/chart" uri="{C3380CC4-5D6E-409C-BE32-E72D297353CC}">
              <c16:uniqueId val="{00000006-7B91-4DA1-B553-E700C2C781EA}"/>
            </c:ext>
          </c:extLst>
        </c:ser>
        <c:dLbls>
          <c:showLegendKey val="0"/>
          <c:showVal val="0"/>
          <c:showCatName val="0"/>
          <c:showSerName val="0"/>
          <c:showPercent val="0"/>
          <c:showBubbleSize val="0"/>
        </c:dLbls>
        <c:smooth val="0"/>
        <c:axId val="202055600"/>
        <c:axId val="202058928"/>
      </c:lineChart>
      <c:catAx>
        <c:axId val="202055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058928"/>
        <c:crosses val="autoZero"/>
        <c:auto val="1"/>
        <c:lblAlgn val="ctr"/>
        <c:lblOffset val="100"/>
        <c:noMultiLvlLbl val="0"/>
      </c:catAx>
      <c:valAx>
        <c:axId val="2020589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055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06204258597366E-2"/>
          <c:y val="3.0605157770512103E-2"/>
          <c:w val="0.91716535433070867"/>
          <c:h val="0.86602178413202036"/>
        </c:manualLayout>
      </c:layout>
      <c:barChart>
        <c:barDir val="col"/>
        <c:grouping val="clustered"/>
        <c:varyColors val="0"/>
        <c:ser>
          <c:idx val="0"/>
          <c:order val="0"/>
          <c:tx>
            <c:strRef>
              <c:f>Impuestos!$K$2</c:f>
              <c:strCache>
                <c:ptCount val="1"/>
                <c:pt idx="0">
                  <c:v>los demás</c:v>
                </c:pt>
              </c:strCache>
            </c:strRef>
          </c:tx>
          <c:spPr>
            <a:solidFill>
              <a:schemeClr val="accent1"/>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Impuestos!$B$3:$B$14</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Impuestos!$G$3:$G$14</c:f>
              <c:numCache>
                <c:formatCode>_-* #,##0.0_-;\-* #,##0.0_-;_-* "-"??_-;_-@_-</c:formatCode>
                <c:ptCount val="12"/>
                <c:pt idx="0">
                  <c:v>1.7161205748064672</c:v>
                </c:pt>
                <c:pt idx="1">
                  <c:v>1.2524652003802976</c:v>
                </c:pt>
                <c:pt idx="2">
                  <c:v>0.86283557144606038</c:v>
                </c:pt>
                <c:pt idx="3">
                  <c:v>1.1094348538982179</c:v>
                </c:pt>
                <c:pt idx="4">
                  <c:v>0.86169506024158204</c:v>
                </c:pt>
                <c:pt idx="5">
                  <c:v>0.73385243413081802</c:v>
                </c:pt>
                <c:pt idx="6">
                  <c:v>0.40901229068559519</c:v>
                </c:pt>
                <c:pt idx="7">
                  <c:v>0.14070755966783771</c:v>
                </c:pt>
                <c:pt idx="8">
                  <c:v>0.14046162465844239</c:v>
                </c:pt>
                <c:pt idx="9">
                  <c:v>0.1775864991858716</c:v>
                </c:pt>
                <c:pt idx="10">
                  <c:v>0.24861448605541914</c:v>
                </c:pt>
                <c:pt idx="11">
                  <c:v>0.2232887923256428</c:v>
                </c:pt>
              </c:numCache>
            </c:numRef>
          </c:val>
          <c:extLst>
            <c:ext xmlns:c16="http://schemas.microsoft.com/office/drawing/2014/chart" uri="{C3380CC4-5D6E-409C-BE32-E72D297353CC}">
              <c16:uniqueId val="{00000000-FECA-4CB5-B9F0-597FDDA16549}"/>
            </c:ext>
          </c:extLst>
        </c:ser>
        <c:dLbls>
          <c:showLegendKey val="0"/>
          <c:showVal val="0"/>
          <c:showCatName val="0"/>
          <c:showSerName val="0"/>
          <c:showPercent val="0"/>
          <c:showBubbleSize val="0"/>
        </c:dLbls>
        <c:gapWidth val="92"/>
        <c:axId val="202055600"/>
        <c:axId val="202058928"/>
      </c:barChart>
      <c:catAx>
        <c:axId val="202055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058928"/>
        <c:crosses val="autoZero"/>
        <c:auto val="1"/>
        <c:lblAlgn val="ctr"/>
        <c:lblOffset val="100"/>
        <c:noMultiLvlLbl val="0"/>
      </c:catAx>
      <c:valAx>
        <c:axId val="20205892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0556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078626112654957E-2"/>
          <c:y val="1.5364754987332928E-3"/>
          <c:w val="0.94521860916181977"/>
          <c:h val="0.52634773287733261"/>
        </c:manualLayout>
      </c:layout>
      <c:barChart>
        <c:barDir val="col"/>
        <c:grouping val="clustered"/>
        <c:varyColors val="0"/>
        <c:ser>
          <c:idx val="0"/>
          <c:order val="0"/>
          <c:spPr>
            <a:solidFill>
              <a:schemeClr val="accent1"/>
            </a:solidFill>
            <a:ln>
              <a:noFill/>
            </a:ln>
            <a:effectLst/>
          </c:spPr>
          <c:invertIfNegative val="0"/>
          <c:dPt>
            <c:idx val="1"/>
            <c:invertIfNegative val="0"/>
            <c:bubble3D val="0"/>
            <c:extLst>
              <c:ext xmlns:c16="http://schemas.microsoft.com/office/drawing/2014/chart" uri="{C3380CC4-5D6E-409C-BE32-E72D297353CC}">
                <c16:uniqueId val="{00000000-C146-4AB3-81DC-0B95BCBCB131}"/>
              </c:ext>
            </c:extLst>
          </c:dPt>
          <c:dPt>
            <c:idx val="15"/>
            <c:invertIfNegative val="0"/>
            <c:bubble3D val="0"/>
            <c:spPr>
              <a:solidFill>
                <a:srgbClr val="C00000"/>
              </a:solidFill>
              <a:ln>
                <a:noFill/>
              </a:ln>
              <a:effectLst/>
            </c:spPr>
            <c:extLst>
              <c:ext xmlns:c16="http://schemas.microsoft.com/office/drawing/2014/chart" uri="{C3380CC4-5D6E-409C-BE32-E72D297353CC}">
                <c16:uniqueId val="{00000002-C146-4AB3-81DC-0B95BCBCB131}"/>
              </c:ext>
            </c:extLst>
          </c:dPt>
          <c:dLbls>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2-C146-4AB3-81DC-0B95BCBCB1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Impuestos!$P$3:$P$23</c:f>
              <c:strCache>
                <c:ptCount val="21"/>
                <c:pt idx="0">
                  <c:v>Comercio…</c:v>
                </c:pt>
                <c:pt idx="1">
                  <c:v>Industrias manufactureras</c:v>
                </c:pt>
                <c:pt idx="2">
                  <c:v>Actividades financieras y de seguros</c:v>
                </c:pt>
                <c:pt idx="3">
                  <c:v>Información y comunicaciones</c:v>
                </c:pt>
                <c:pt idx="4">
                  <c:v>Actividades de servicios administrativos…</c:v>
                </c:pt>
                <c:pt idx="5">
                  <c:v>Transporte y almacenamiento</c:v>
                </c:pt>
                <c:pt idx="6">
                  <c:v>Actividades profesionales, científicas y técnicas</c:v>
                </c:pt>
                <c:pt idx="7">
                  <c:v>Agricultura, ganadería, silvicultura y pesca</c:v>
                </c:pt>
                <c:pt idx="8">
                  <c:v>Actividades inmobiliarias</c:v>
                </c:pt>
                <c:pt idx="9">
                  <c:v>Suministro de electricidad, gas, vapor …</c:v>
                </c:pt>
                <c:pt idx="10">
                  <c:v>Administración pública y defensa</c:v>
                </c:pt>
                <c:pt idx="11">
                  <c:v>Construcción</c:v>
                </c:pt>
                <c:pt idx="12">
                  <c:v>Actividades de atención de la salud humana…</c:v>
                </c:pt>
                <c:pt idx="13">
                  <c:v>Otras actividades de servicios</c:v>
                </c:pt>
                <c:pt idx="14">
                  <c:v>Actividades de alojamiento y de servicio de comidas</c:v>
                </c:pt>
                <c:pt idx="15">
                  <c:v>Explotación de minas y canteras</c:v>
                </c:pt>
                <c:pt idx="16">
                  <c:v>Enseñanza</c:v>
                </c:pt>
                <c:pt idx="17">
                  <c:v>Actividades de los hogares como empleadores…</c:v>
                </c:pt>
                <c:pt idx="18">
                  <c:v>Actividades artísticas…</c:v>
                </c:pt>
                <c:pt idx="19">
                  <c:v>Suministro de agua…</c:v>
                </c:pt>
                <c:pt idx="20">
                  <c:v>Actividades de organizaciones…</c:v>
                </c:pt>
              </c:strCache>
            </c:strRef>
          </c:cat>
          <c:val>
            <c:numRef>
              <c:f>Impuestos!$Q$3:$Q$23</c:f>
              <c:numCache>
                <c:formatCode>0.0</c:formatCode>
                <c:ptCount val="21"/>
                <c:pt idx="0">
                  <c:v>41.216677243988464</c:v>
                </c:pt>
                <c:pt idx="1">
                  <c:v>20.200237748577155</c:v>
                </c:pt>
                <c:pt idx="2">
                  <c:v>7.8798547737988054</c:v>
                </c:pt>
                <c:pt idx="3">
                  <c:v>4.4576016469764168</c:v>
                </c:pt>
                <c:pt idx="4">
                  <c:v>4.415616327068939</c:v>
                </c:pt>
                <c:pt idx="5">
                  <c:v>3.1781414959902139</c:v>
                </c:pt>
                <c:pt idx="6">
                  <c:v>2.9531901475087228</c:v>
                </c:pt>
                <c:pt idx="7">
                  <c:v>2.9213622127433645</c:v>
                </c:pt>
                <c:pt idx="8">
                  <c:v>2.8165801475243275</c:v>
                </c:pt>
                <c:pt idx="9">
                  <c:v>2.2882925489492201</c:v>
                </c:pt>
                <c:pt idx="10">
                  <c:v>1.6256543623205024</c:v>
                </c:pt>
                <c:pt idx="11">
                  <c:v>1.4435324449206499</c:v>
                </c:pt>
                <c:pt idx="12">
                  <c:v>1.3300790410524526</c:v>
                </c:pt>
                <c:pt idx="13">
                  <c:v>0.98947757263967706</c:v>
                </c:pt>
                <c:pt idx="14">
                  <c:v>0.7491127474681849</c:v>
                </c:pt>
                <c:pt idx="15">
                  <c:v>0.457977246492002</c:v>
                </c:pt>
                <c:pt idx="16">
                  <c:v>0.36411774285324744</c:v>
                </c:pt>
                <c:pt idx="17">
                  <c:v>0.35998675611409531</c:v>
                </c:pt>
                <c:pt idx="18">
                  <c:v>0.23553960504280649</c:v>
                </c:pt>
                <c:pt idx="19">
                  <c:v>0.11196081395795403</c:v>
                </c:pt>
                <c:pt idx="20">
                  <c:v>5.0073740128021927E-3</c:v>
                </c:pt>
              </c:numCache>
            </c:numRef>
          </c:val>
          <c:extLst>
            <c:ext xmlns:c16="http://schemas.microsoft.com/office/drawing/2014/chart" uri="{C3380CC4-5D6E-409C-BE32-E72D297353CC}">
              <c16:uniqueId val="{00000003-C146-4AB3-81DC-0B95BCBCB131}"/>
            </c:ext>
          </c:extLst>
        </c:ser>
        <c:dLbls>
          <c:showLegendKey val="0"/>
          <c:showVal val="0"/>
          <c:showCatName val="0"/>
          <c:showSerName val="0"/>
          <c:showPercent val="0"/>
          <c:showBubbleSize val="0"/>
        </c:dLbls>
        <c:gapWidth val="50"/>
        <c:axId val="1321629008"/>
        <c:axId val="1321629840"/>
      </c:barChart>
      <c:catAx>
        <c:axId val="132162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21629840"/>
        <c:crosses val="autoZero"/>
        <c:auto val="1"/>
        <c:lblAlgn val="ctr"/>
        <c:lblOffset val="100"/>
        <c:noMultiLvlLbl val="0"/>
      </c:catAx>
      <c:valAx>
        <c:axId val="1321629840"/>
        <c:scaling>
          <c:orientation val="minMax"/>
        </c:scaling>
        <c:delete val="1"/>
        <c:axPos val="l"/>
        <c:numFmt formatCode="0.0" sourceLinked="1"/>
        <c:majorTickMark val="none"/>
        <c:minorTickMark val="none"/>
        <c:tickLblPos val="nextTo"/>
        <c:crossAx val="1321629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86699880437553"/>
          <c:y val="3.1715593157475304E-2"/>
          <c:w val="0.84124049157806391"/>
          <c:h val="0.86116070309798165"/>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trendline>
            <c:spPr>
              <a:ln w="19050" cap="rnd">
                <a:solidFill>
                  <a:schemeClr val="accent1"/>
                </a:solidFill>
                <a:prstDash val="sysDash"/>
              </a:ln>
              <a:effectLst/>
            </c:spPr>
            <c:trendlineType val="movingAvg"/>
            <c:period val="2"/>
            <c:dispRSqr val="0"/>
            <c:dispEq val="0"/>
          </c:trendline>
          <c:cat>
            <c:strRef>
              <c:f>Hoja1!$A$1:$H$1</c:f>
              <c:strCache>
                <c:ptCount val="8"/>
                <c:pt idx="0">
                  <c:v>2016</c:v>
                </c:pt>
                <c:pt idx="1">
                  <c:v>2017</c:v>
                </c:pt>
                <c:pt idx="2">
                  <c:v>2018</c:v>
                </c:pt>
                <c:pt idx="3">
                  <c:v>2019</c:v>
                </c:pt>
                <c:pt idx="4">
                  <c:v>2020</c:v>
                </c:pt>
                <c:pt idx="5">
                  <c:v>2021</c:v>
                </c:pt>
                <c:pt idx="6">
                  <c:v>2022</c:v>
                </c:pt>
                <c:pt idx="7">
                  <c:v>2023*</c:v>
                </c:pt>
              </c:strCache>
            </c:strRef>
          </c:cat>
          <c:val>
            <c:numRef>
              <c:f>Hoja1!$A$2:$H$2</c:f>
              <c:numCache>
                <c:formatCode>"Q"#,##0.00</c:formatCode>
                <c:ptCount val="8"/>
                <c:pt idx="0">
                  <c:v>109827048.81</c:v>
                </c:pt>
                <c:pt idx="1">
                  <c:v>65589266.949999996</c:v>
                </c:pt>
                <c:pt idx="2">
                  <c:v>15675057.419999998</c:v>
                </c:pt>
                <c:pt idx="3">
                  <c:v>9489687.2999999989</c:v>
                </c:pt>
                <c:pt idx="4">
                  <c:v>16487227.049999997</c:v>
                </c:pt>
                <c:pt idx="5">
                  <c:v>17874506.32</c:v>
                </c:pt>
                <c:pt idx="6">
                  <c:v>22629502.990000002</c:v>
                </c:pt>
                <c:pt idx="7">
                  <c:v>7030645.2400000002</c:v>
                </c:pt>
              </c:numCache>
            </c:numRef>
          </c:val>
          <c:extLst>
            <c:ext xmlns:c16="http://schemas.microsoft.com/office/drawing/2014/chart" uri="{C3380CC4-5D6E-409C-BE32-E72D297353CC}">
              <c16:uniqueId val="{00000001-8B53-4D02-BFE8-11D062A61AB4}"/>
            </c:ext>
          </c:extLst>
        </c:ser>
        <c:dLbls>
          <c:showLegendKey val="0"/>
          <c:showVal val="0"/>
          <c:showCatName val="0"/>
          <c:showSerName val="0"/>
          <c:showPercent val="0"/>
          <c:showBubbleSize val="0"/>
        </c:dLbls>
        <c:gapWidth val="100"/>
        <c:overlap val="-24"/>
        <c:axId val="1927822895"/>
        <c:axId val="1927813743"/>
      </c:barChart>
      <c:catAx>
        <c:axId val="192782289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crossAx val="1927813743"/>
        <c:crosses val="autoZero"/>
        <c:auto val="1"/>
        <c:lblAlgn val="ctr"/>
        <c:lblOffset val="100"/>
        <c:noMultiLvlLbl val="0"/>
      </c:catAx>
      <c:valAx>
        <c:axId val="1927813743"/>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crossAx val="19278228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896190476190475"/>
          <c:y val="3.4208031009798232E-2"/>
          <c:w val="0.84079999999999999"/>
          <c:h val="0.76083415245789465"/>
        </c:manualLayout>
      </c:layout>
      <c:barChart>
        <c:barDir val="col"/>
        <c:grouping val="clustered"/>
        <c:varyColors val="0"/>
        <c:ser>
          <c:idx val="0"/>
          <c:order val="0"/>
          <c:tx>
            <c:strRef>
              <c:f>Inf!$B$30</c:f>
              <c:strCache>
                <c:ptCount val="1"/>
                <c:pt idx="0">
                  <c:v>Año presupuestario</c:v>
                </c:pt>
              </c:strCache>
            </c:strRef>
          </c:tx>
          <c:spPr>
            <a:solidFill>
              <a:schemeClr val="accent1">
                <a:shade val="65000"/>
              </a:schemeClr>
            </a:solidFill>
            <a:ln>
              <a:noFill/>
            </a:ln>
            <a:effectLst/>
          </c:spPr>
          <c:invertIfNegative val="0"/>
          <c:cat>
            <c:numRef>
              <c:f>Inf!$D$29:$N$29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Inf!$D$30:$N$30</c:f>
              <c:numCache>
                <c:formatCode>_(* #,##0.00_);_(* \(#,##0.00\);_(* "-"??_);_(@_)</c:formatCode>
                <c:ptCount val="11"/>
                <c:pt idx="0">
                  <c:v>-2.1499999999999995</c:v>
                </c:pt>
                <c:pt idx="1">
                  <c:v>0.38999999999999968</c:v>
                </c:pt>
                <c:pt idx="2">
                  <c:v>-4.9999999999999822E-2</c:v>
                </c:pt>
                <c:pt idx="3">
                  <c:v>6.999999999999984E-2</c:v>
                </c:pt>
                <c:pt idx="4">
                  <c:v>1.2300000000000004</c:v>
                </c:pt>
                <c:pt idx="5">
                  <c:v>2.6799999999999997</c:v>
                </c:pt>
                <c:pt idx="6">
                  <c:v>-1.69</c:v>
                </c:pt>
                <c:pt idx="7">
                  <c:v>-0.58999999999999986</c:v>
                </c:pt>
                <c:pt idx="8">
                  <c:v>1.8200000000000003</c:v>
                </c:pt>
                <c:pt idx="9">
                  <c:v>-1.4300000000000002</c:v>
                </c:pt>
                <c:pt idx="10">
                  <c:v>6.24</c:v>
                </c:pt>
              </c:numCache>
            </c:numRef>
          </c:val>
          <c:extLst>
            <c:ext xmlns:c16="http://schemas.microsoft.com/office/drawing/2014/chart" uri="{C3380CC4-5D6E-409C-BE32-E72D297353CC}">
              <c16:uniqueId val="{00000000-7DF6-4146-8A4E-0CBA1CD1921E}"/>
            </c:ext>
          </c:extLst>
        </c:ser>
        <c:ser>
          <c:idx val="1"/>
          <c:order val="1"/>
          <c:tx>
            <c:strRef>
              <c:f>Inf!$B$31</c:f>
              <c:strCache>
                <c:ptCount val="1"/>
                <c:pt idx="0">
                  <c:v>Año presupuestario+1</c:v>
                </c:pt>
              </c:strCache>
            </c:strRef>
          </c:tx>
          <c:spPr>
            <a:solidFill>
              <a:schemeClr val="accent1"/>
            </a:solidFill>
            <a:ln>
              <a:noFill/>
            </a:ln>
            <a:effectLst/>
          </c:spPr>
          <c:invertIfNegative val="0"/>
          <c:cat>
            <c:numRef>
              <c:f>Inf!$D$29:$N$29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Inf!$D$31:$N$31</c:f>
              <c:numCache>
                <c:formatCode>_(* #,##0.00_);_(* \(#,##0.00\);_(* "-"??_);_(@_)</c:formatCode>
                <c:ptCount val="11"/>
                <c:pt idx="0">
                  <c:v>-1.0499999999999998</c:v>
                </c:pt>
                <c:pt idx="1">
                  <c:v>-1.1100000000000003</c:v>
                </c:pt>
                <c:pt idx="2">
                  <c:v>-1.0499999999999998</c:v>
                </c:pt>
                <c:pt idx="3">
                  <c:v>6.999999999999984E-2</c:v>
                </c:pt>
                <c:pt idx="4">
                  <c:v>1.2300000000000004</c:v>
                </c:pt>
                <c:pt idx="5">
                  <c:v>2.6799999999999997</c:v>
                </c:pt>
                <c:pt idx="6">
                  <c:v>-0.69</c:v>
                </c:pt>
                <c:pt idx="7">
                  <c:v>-0.58999999999999986</c:v>
                </c:pt>
                <c:pt idx="8">
                  <c:v>0.82000000000000028</c:v>
                </c:pt>
                <c:pt idx="9">
                  <c:v>6.999999999999984E-2</c:v>
                </c:pt>
                <c:pt idx="10">
                  <c:v>6.24</c:v>
                </c:pt>
              </c:numCache>
            </c:numRef>
          </c:val>
          <c:extLst>
            <c:ext xmlns:c16="http://schemas.microsoft.com/office/drawing/2014/chart" uri="{C3380CC4-5D6E-409C-BE32-E72D297353CC}">
              <c16:uniqueId val="{00000001-7DF6-4146-8A4E-0CBA1CD1921E}"/>
            </c:ext>
          </c:extLst>
        </c:ser>
        <c:ser>
          <c:idx val="2"/>
          <c:order val="2"/>
          <c:tx>
            <c:strRef>
              <c:f>Inf!$B$32</c:f>
              <c:strCache>
                <c:ptCount val="1"/>
                <c:pt idx="0">
                  <c:v>Año presupuestario+2</c:v>
                </c:pt>
              </c:strCache>
            </c:strRef>
          </c:tx>
          <c:spPr>
            <a:solidFill>
              <a:schemeClr val="accent1">
                <a:tint val="65000"/>
              </a:schemeClr>
            </a:solidFill>
            <a:ln>
              <a:noFill/>
            </a:ln>
            <a:effectLst/>
          </c:spPr>
          <c:invertIfNegative val="0"/>
          <c:trendline>
            <c:spPr>
              <a:ln w="19050" cap="rnd">
                <a:noFill/>
                <a:prstDash val="sysDot"/>
              </a:ln>
              <a:effectLst/>
            </c:spPr>
            <c:trendlineType val="linear"/>
            <c:dispRSqr val="0"/>
            <c:dispEq val="0"/>
          </c:trendline>
          <c:cat>
            <c:numRef>
              <c:f>Inf!$D$29:$N$29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Inf!$D$32:$N$32</c:f>
              <c:numCache>
                <c:formatCode>_(* #,##0.00_);_(* \(#,##0.00\);_(* "-"??_);_(@_)</c:formatCode>
                <c:ptCount val="11"/>
                <c:pt idx="1">
                  <c:v>0.38999999999999968</c:v>
                </c:pt>
                <c:pt idx="2">
                  <c:v>-3.05</c:v>
                </c:pt>
                <c:pt idx="3">
                  <c:v>-0.93000000000000016</c:v>
                </c:pt>
                <c:pt idx="4">
                  <c:v>1.2300000000000004</c:v>
                </c:pt>
                <c:pt idx="5">
                  <c:v>2.6799999999999997</c:v>
                </c:pt>
                <c:pt idx="6">
                  <c:v>-0.69</c:v>
                </c:pt>
                <c:pt idx="7">
                  <c:v>0.41000000000000014</c:v>
                </c:pt>
                <c:pt idx="8">
                  <c:v>0.82000000000000028</c:v>
                </c:pt>
                <c:pt idx="9">
                  <c:v>-0.93000000000000016</c:v>
                </c:pt>
                <c:pt idx="10">
                  <c:v>6.24</c:v>
                </c:pt>
              </c:numCache>
            </c:numRef>
          </c:val>
          <c:extLst>
            <c:ext xmlns:c16="http://schemas.microsoft.com/office/drawing/2014/chart" uri="{C3380CC4-5D6E-409C-BE32-E72D297353CC}">
              <c16:uniqueId val="{00000003-7DF6-4146-8A4E-0CBA1CD1921E}"/>
            </c:ext>
          </c:extLst>
        </c:ser>
        <c:dLbls>
          <c:showLegendKey val="0"/>
          <c:showVal val="0"/>
          <c:showCatName val="0"/>
          <c:showSerName val="0"/>
          <c:showPercent val="0"/>
          <c:showBubbleSize val="0"/>
        </c:dLbls>
        <c:gapWidth val="80"/>
        <c:overlap val="-30"/>
        <c:axId val="1149594064"/>
        <c:axId val="1149579504"/>
      </c:barChart>
      <c:catAx>
        <c:axId val="1149594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79504"/>
        <c:crosses val="autoZero"/>
        <c:auto val="1"/>
        <c:lblAlgn val="ctr"/>
        <c:lblOffset val="100"/>
        <c:noMultiLvlLbl val="0"/>
      </c:catAx>
      <c:valAx>
        <c:axId val="1149579504"/>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94064"/>
        <c:crosses val="autoZero"/>
        <c:crossBetween val="between"/>
      </c:valAx>
    </c:plotArea>
    <c:legend>
      <c:legendPos val="b"/>
      <c:legendEntry>
        <c:idx val="3"/>
        <c:delete val="1"/>
      </c:legendEntry>
      <c:layout>
        <c:manualLayout>
          <c:xMode val="edge"/>
          <c:yMode val="edge"/>
          <c:x val="6.1753079756159512E-2"/>
          <c:y val="0.89374559322563729"/>
          <c:w val="0.88657448564897134"/>
          <c:h val="0.1062544067743627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28185418122525E-2"/>
          <c:y val="2.5222380075501667E-2"/>
          <c:w val="0.95613459743108631"/>
          <c:h val="0.68568634504443293"/>
        </c:manualLayout>
      </c:layout>
      <c:barChart>
        <c:barDir val="col"/>
        <c:grouping val="clustered"/>
        <c:varyColors val="0"/>
        <c:ser>
          <c:idx val="0"/>
          <c:order val="0"/>
          <c:tx>
            <c:strRef>
              <c:f>Hoja1!$B$1</c:f>
              <c:strCache>
                <c:ptCount val="1"/>
                <c:pt idx="0">
                  <c:v>PIB</c:v>
                </c:pt>
              </c:strCache>
            </c:strRef>
          </c:tx>
          <c:spPr>
            <a:solidFill>
              <a:schemeClr val="accent1"/>
            </a:solidFill>
            <a:ln w="12700">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Mitch 1998-1999</c:v>
                </c:pt>
                <c:pt idx="1">
                  <c:v>Stan 2005-2010</c:v>
                </c:pt>
                <c:pt idx="2">
                  <c:v>Agatha y Pacaya 2010-2014</c:v>
                </c:pt>
                <c:pt idx="3">
                  <c:v>Terremoto N7 y JL7 2012-2019</c:v>
                </c:pt>
                <c:pt idx="4">
                  <c:v>Cambray, Jerez-Jutiapa y Canícula 2015-2018</c:v>
                </c:pt>
                <c:pt idx="5">
                  <c:v>Volcán de Fuego 2018-2019</c:v>
                </c:pt>
                <c:pt idx="6">
                  <c:v>Desastres Naturales y ETA 2020-2021</c:v>
                </c:pt>
                <c:pt idx="7">
                  <c:v>Época lluviosa y ciclón Julia 2022</c:v>
                </c:pt>
              </c:strCache>
            </c:strRef>
          </c:cat>
          <c:val>
            <c:numRef>
              <c:f>Hoja1!$B$2:$B$9</c:f>
              <c:numCache>
                <c:formatCode>0.00</c:formatCode>
                <c:ptCount val="8"/>
                <c:pt idx="0">
                  <c:v>0.52374667258354979</c:v>
                </c:pt>
                <c:pt idx="1">
                  <c:v>1.7902395055463756</c:v>
                </c:pt>
                <c:pt idx="2">
                  <c:v>1.1309377027720866</c:v>
                </c:pt>
                <c:pt idx="3">
                  <c:v>0.22387007291028235</c:v>
                </c:pt>
                <c:pt idx="4">
                  <c:v>1.1001956353244975E-2</c:v>
                </c:pt>
                <c:pt idx="5">
                  <c:v>0.12844975748831924</c:v>
                </c:pt>
                <c:pt idx="6">
                  <c:v>0.1704510501440783</c:v>
                </c:pt>
                <c:pt idx="7">
                  <c:v>0.22573624171078135</c:v>
                </c:pt>
              </c:numCache>
            </c:numRef>
          </c:val>
          <c:extLst>
            <c:ext xmlns:c16="http://schemas.microsoft.com/office/drawing/2014/chart" uri="{C3380CC4-5D6E-409C-BE32-E72D297353CC}">
              <c16:uniqueId val="{00000000-AA2B-4AEF-9008-212FB17FEDD9}"/>
            </c:ext>
          </c:extLst>
        </c:ser>
        <c:dLbls>
          <c:showLegendKey val="0"/>
          <c:showVal val="0"/>
          <c:showCatName val="0"/>
          <c:showSerName val="0"/>
          <c:showPercent val="0"/>
          <c:showBubbleSize val="0"/>
        </c:dLbls>
        <c:gapWidth val="90"/>
        <c:axId val="470727679"/>
        <c:axId val="470714367"/>
      </c:barChart>
      <c:catAx>
        <c:axId val="47072767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0714367"/>
        <c:crosses val="autoZero"/>
        <c:auto val="1"/>
        <c:lblAlgn val="ctr"/>
        <c:lblOffset val="100"/>
        <c:noMultiLvlLbl val="0"/>
      </c:catAx>
      <c:valAx>
        <c:axId val="470714367"/>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470727679"/>
        <c:crosses val="autoZero"/>
        <c:crossBetween val="between"/>
        <c:majorUnit val="0.5"/>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80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550361214671346E-2"/>
          <c:y val="3.8775981888187927E-2"/>
          <c:w val="0.92683863682069212"/>
          <c:h val="0.79560710344698593"/>
        </c:manualLayout>
      </c:layout>
      <c:barChart>
        <c:barDir val="col"/>
        <c:grouping val="stacked"/>
        <c:varyColors val="0"/>
        <c:ser>
          <c:idx val="0"/>
          <c:order val="0"/>
          <c:tx>
            <c:strRef>
              <c:f>Hoja1!$B$1</c:f>
              <c:strCache>
                <c:ptCount val="1"/>
                <c:pt idx="0">
                  <c:v>Déficit sin evento</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Hoja1!$A$2:$A$26</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Hoja1!$B$2:$B$26</c:f>
              <c:numCache>
                <c:formatCode>0.0</c:formatCode>
                <c:ptCount val="25"/>
                <c:pt idx="0">
                  <c:v>2.1556884549244235</c:v>
                </c:pt>
                <c:pt idx="1">
                  <c:v>2.6289021268579202</c:v>
                </c:pt>
                <c:pt idx="2">
                  <c:v>1.8725827666558166</c:v>
                </c:pt>
                <c:pt idx="3">
                  <c:v>2.0033102158702203</c:v>
                </c:pt>
                <c:pt idx="4">
                  <c:v>1.0322151828334285</c:v>
                </c:pt>
                <c:pt idx="5">
                  <c:v>2.4686670926874541</c:v>
                </c:pt>
                <c:pt idx="6">
                  <c:v>1.0476146782505353</c:v>
                </c:pt>
                <c:pt idx="7">
                  <c:v>1.2146769011283052</c:v>
                </c:pt>
                <c:pt idx="8">
                  <c:v>1.3085834579791069</c:v>
                </c:pt>
                <c:pt idx="9">
                  <c:v>1.1851451800273902</c:v>
                </c:pt>
                <c:pt idx="10">
                  <c:v>1.3316603201973145</c:v>
                </c:pt>
                <c:pt idx="11">
                  <c:v>2.9160105478925278</c:v>
                </c:pt>
                <c:pt idx="12">
                  <c:v>3.0112335321628989</c:v>
                </c:pt>
                <c:pt idx="13">
                  <c:v>2.1059376195525061</c:v>
                </c:pt>
                <c:pt idx="14">
                  <c:v>2.2496429751279035</c:v>
                </c:pt>
                <c:pt idx="15">
                  <c:v>1.9850341827080797</c:v>
                </c:pt>
                <c:pt idx="16">
                  <c:v>1.7883531979144802</c:v>
                </c:pt>
                <c:pt idx="17">
                  <c:v>1.4126486594602465</c:v>
                </c:pt>
                <c:pt idx="18">
                  <c:v>1.0879223268330693</c:v>
                </c:pt>
                <c:pt idx="19">
                  <c:v>1.3644241400538724</c:v>
                </c:pt>
                <c:pt idx="20">
                  <c:v>1.8116571104149848</c:v>
                </c:pt>
                <c:pt idx="21">
                  <c:v>2.1597895682469606</c:v>
                </c:pt>
                <c:pt idx="22">
                  <c:v>4.8982681887491948</c:v>
                </c:pt>
                <c:pt idx="23">
                  <c:v>1.0895564524120214</c:v>
                </c:pt>
                <c:pt idx="24">
                  <c:v>1.4122342864281383</c:v>
                </c:pt>
              </c:numCache>
            </c:numRef>
          </c:val>
          <c:extLst>
            <c:ext xmlns:c16="http://schemas.microsoft.com/office/drawing/2014/chart" uri="{C3380CC4-5D6E-409C-BE32-E72D297353CC}">
              <c16:uniqueId val="{00000000-AA38-44E1-84A6-232BFB1440BE}"/>
            </c:ext>
          </c:extLst>
        </c:ser>
        <c:ser>
          <c:idx val="1"/>
          <c:order val="1"/>
          <c:tx>
            <c:strRef>
              <c:f>Hoja1!$C$1</c:f>
              <c:strCache>
                <c:ptCount val="1"/>
                <c:pt idx="0">
                  <c:v>Déficit de reconstrucción y atención del evento</c:v>
                </c:pt>
              </c:strCache>
            </c:strRef>
          </c:tx>
          <c:spPr>
            <a:solidFill>
              <a:schemeClr val="accent2"/>
            </a:solidFill>
            <a:ln>
              <a:solidFill>
                <a:schemeClr val="tx1"/>
              </a:solidFill>
            </a:ln>
            <a:effectLst/>
          </c:spPr>
          <c:invertIfNegative val="0"/>
          <c:dLbls>
            <c:dLbl>
              <c:idx val="1"/>
              <c:layout>
                <c:manualLayout>
                  <c:x val="-1.8008960262818065E-17"/>
                  <c:y val="-4.62635920509936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38-44E1-84A6-232BFB1440BE}"/>
                </c:ext>
              </c:extLst>
            </c:dLbl>
            <c:dLbl>
              <c:idx val="2"/>
              <c:delete val="1"/>
              <c:extLst>
                <c:ext xmlns:c15="http://schemas.microsoft.com/office/drawing/2012/chart" uri="{CE6537A1-D6FC-4f65-9D91-7224C49458BB}"/>
                <c:ext xmlns:c16="http://schemas.microsoft.com/office/drawing/2014/chart" uri="{C3380CC4-5D6E-409C-BE32-E72D297353CC}">
                  <c16:uniqueId val="{00000002-AA38-44E1-84A6-232BFB1440BE}"/>
                </c:ext>
              </c:extLst>
            </c:dLbl>
            <c:dLbl>
              <c:idx val="3"/>
              <c:delete val="1"/>
              <c:extLst>
                <c:ext xmlns:c15="http://schemas.microsoft.com/office/drawing/2012/chart" uri="{CE6537A1-D6FC-4f65-9D91-7224C49458BB}"/>
                <c:ext xmlns:c16="http://schemas.microsoft.com/office/drawing/2014/chart" uri="{C3380CC4-5D6E-409C-BE32-E72D297353CC}">
                  <c16:uniqueId val="{00000003-AA38-44E1-84A6-232BFB1440BE}"/>
                </c:ext>
              </c:extLst>
            </c:dLbl>
            <c:dLbl>
              <c:idx val="4"/>
              <c:delete val="1"/>
              <c:extLst>
                <c:ext xmlns:c15="http://schemas.microsoft.com/office/drawing/2012/chart" uri="{CE6537A1-D6FC-4f65-9D91-7224C49458BB}"/>
                <c:ext xmlns:c16="http://schemas.microsoft.com/office/drawing/2014/chart" uri="{C3380CC4-5D6E-409C-BE32-E72D297353CC}">
                  <c16:uniqueId val="{00000004-AA38-44E1-84A6-232BFB1440BE}"/>
                </c:ext>
              </c:extLst>
            </c:dLbl>
            <c:dLbl>
              <c:idx val="5"/>
              <c:delete val="1"/>
              <c:extLst>
                <c:ext xmlns:c15="http://schemas.microsoft.com/office/drawing/2012/chart" uri="{CE6537A1-D6FC-4f65-9D91-7224C49458BB}"/>
                <c:ext xmlns:c16="http://schemas.microsoft.com/office/drawing/2014/chart" uri="{C3380CC4-5D6E-409C-BE32-E72D297353CC}">
                  <c16:uniqueId val="{00000005-AA38-44E1-84A6-232BFB1440BE}"/>
                </c:ext>
              </c:extLst>
            </c:dLbl>
            <c:dLbl>
              <c:idx val="6"/>
              <c:delete val="1"/>
              <c:extLst>
                <c:ext xmlns:c15="http://schemas.microsoft.com/office/drawing/2012/chart" uri="{CE6537A1-D6FC-4f65-9D91-7224C49458BB}"/>
                <c:ext xmlns:c16="http://schemas.microsoft.com/office/drawing/2014/chart" uri="{C3380CC4-5D6E-409C-BE32-E72D297353CC}">
                  <c16:uniqueId val="{00000006-AA38-44E1-84A6-232BFB1440BE}"/>
                </c:ext>
              </c:extLst>
            </c:dLbl>
            <c:dLbl>
              <c:idx val="7"/>
              <c:layout>
                <c:manualLayout>
                  <c:x val="0"/>
                  <c:y val="-6.39385701787277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38-44E1-84A6-232BFB1440BE}"/>
                </c:ext>
              </c:extLst>
            </c:dLbl>
            <c:dLbl>
              <c:idx val="8"/>
              <c:layout>
                <c:manualLayout>
                  <c:x val="0"/>
                  <c:y val="-6.43344581927259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38-44E1-84A6-232BFB1440BE}"/>
                </c:ext>
              </c:extLst>
            </c:dLbl>
            <c:dLbl>
              <c:idx val="9"/>
              <c:layout>
                <c:manualLayout>
                  <c:x val="0"/>
                  <c:y val="-5.18091488563930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38-44E1-84A6-232BFB1440BE}"/>
                </c:ext>
              </c:extLst>
            </c:dLbl>
            <c:dLbl>
              <c:idx val="10"/>
              <c:layout>
                <c:manualLayout>
                  <c:x val="-7.2035841051272261E-17"/>
                  <c:y val="-4.65066866641670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38-44E1-84A6-232BFB1440BE}"/>
                </c:ext>
              </c:extLst>
            </c:dLbl>
            <c:dLbl>
              <c:idx val="11"/>
              <c:layout>
                <c:manualLayout>
                  <c:x val="0"/>
                  <c:y val="-4.8749843769528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38-44E1-84A6-232BFB1440BE}"/>
                </c:ext>
              </c:extLst>
            </c:dLbl>
            <c:dLbl>
              <c:idx val="12"/>
              <c:layout>
                <c:manualLayout>
                  <c:x val="0"/>
                  <c:y val="-5.26034245719285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38-44E1-84A6-232BFB1440BE}"/>
                </c:ext>
              </c:extLst>
            </c:dLbl>
            <c:dLbl>
              <c:idx val="13"/>
              <c:layout>
                <c:manualLayout>
                  <c:x val="0"/>
                  <c:y val="-7.57264716910386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38-44E1-84A6-232BFB1440BE}"/>
                </c:ext>
              </c:extLst>
            </c:dLbl>
            <c:dLbl>
              <c:idx val="14"/>
              <c:layout>
                <c:manualLayout>
                  <c:x val="-7.2035841051272261E-17"/>
                  <c:y val="-3.13798275215598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38-44E1-84A6-232BFB1440BE}"/>
                </c:ext>
              </c:extLst>
            </c:dLbl>
            <c:dLbl>
              <c:idx val="15"/>
              <c:layout>
                <c:manualLayout>
                  <c:x val="0"/>
                  <c:y val="-4.24796900387451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38-44E1-84A6-232BFB1440BE}"/>
                </c:ext>
              </c:extLst>
            </c:dLbl>
            <c:dLbl>
              <c:idx val="18"/>
              <c:delete val="1"/>
              <c:extLst>
                <c:ext xmlns:c15="http://schemas.microsoft.com/office/drawing/2012/chart" uri="{CE6537A1-D6FC-4f65-9D91-7224C49458BB}"/>
                <c:ext xmlns:c16="http://schemas.microsoft.com/office/drawing/2014/chart" uri="{C3380CC4-5D6E-409C-BE32-E72D297353CC}">
                  <c16:uniqueId val="{00000010-AA38-44E1-84A6-232BFB1440BE}"/>
                </c:ext>
              </c:extLst>
            </c:dLbl>
            <c:dLbl>
              <c:idx val="19"/>
              <c:delete val="1"/>
              <c:extLst>
                <c:ext xmlns:c15="http://schemas.microsoft.com/office/drawing/2012/chart" uri="{CE6537A1-D6FC-4f65-9D91-7224C49458BB}"/>
                <c:ext xmlns:c16="http://schemas.microsoft.com/office/drawing/2014/chart" uri="{C3380CC4-5D6E-409C-BE32-E72D297353CC}">
                  <c16:uniqueId val="{00000011-AA38-44E1-84A6-232BFB1440BE}"/>
                </c:ext>
              </c:extLst>
            </c:dLbl>
            <c:dLbl>
              <c:idx val="22"/>
              <c:delete val="1"/>
              <c:extLst>
                <c:ext xmlns:c15="http://schemas.microsoft.com/office/drawing/2012/chart" uri="{CE6537A1-D6FC-4f65-9D91-7224C49458BB}"/>
                <c:ext xmlns:c16="http://schemas.microsoft.com/office/drawing/2014/chart" uri="{C3380CC4-5D6E-409C-BE32-E72D297353CC}">
                  <c16:uniqueId val="{00000012-AA38-44E1-84A6-232BFB1440BE}"/>
                </c:ext>
              </c:extLst>
            </c:dLbl>
            <c:dLbl>
              <c:idx val="24"/>
              <c:layout>
                <c:manualLayout>
                  <c:x val="-1.4407168210254452E-16"/>
                  <c:y val="-4.23822022247219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A38-44E1-84A6-232BFB1440B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Hoja1!$A$2:$A$26</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Hoja1!$C$2:$C$26</c:f>
              <c:numCache>
                <c:formatCode>0.0</c:formatCode>
                <c:ptCount val="25"/>
                <c:pt idx="0">
                  <c:v>0.16142146469453567</c:v>
                </c:pt>
                <c:pt idx="1">
                  <c:v>0.36232520788901412</c:v>
                </c:pt>
                <c:pt idx="2">
                  <c:v>3.1967459977053025E-3</c:v>
                </c:pt>
                <c:pt idx="3">
                  <c:v>0</c:v>
                </c:pt>
                <c:pt idx="4">
                  <c:v>0</c:v>
                </c:pt>
                <c:pt idx="5">
                  <c:v>0</c:v>
                </c:pt>
                <c:pt idx="6">
                  <c:v>0</c:v>
                </c:pt>
                <c:pt idx="7">
                  <c:v>0.45545863968409839</c:v>
                </c:pt>
                <c:pt idx="8">
                  <c:v>0.56993889130466746</c:v>
                </c:pt>
                <c:pt idx="9">
                  <c:v>0.21788541188496996</c:v>
                </c:pt>
                <c:pt idx="10">
                  <c:v>0.23814194474373473</c:v>
                </c:pt>
                <c:pt idx="11">
                  <c:v>0.2040838052716219</c:v>
                </c:pt>
                <c:pt idx="12">
                  <c:v>0.26607457252485439</c:v>
                </c:pt>
                <c:pt idx="13">
                  <c:v>0.69821900450528507</c:v>
                </c:pt>
                <c:pt idx="14">
                  <c:v>0.1665685677896494</c:v>
                </c:pt>
                <c:pt idx="15">
                  <c:v>0.17878663407370285</c:v>
                </c:pt>
                <c:pt idx="16">
                  <c:v>0.13292878698178645</c:v>
                </c:pt>
                <c:pt idx="17">
                  <c:v>5.9443209478871731E-2</c:v>
                </c:pt>
                <c:pt idx="18">
                  <c:v>2.2166628025306841E-2</c:v>
                </c:pt>
                <c:pt idx="19">
                  <c:v>1.9757234464320917E-2</c:v>
                </c:pt>
                <c:pt idx="20">
                  <c:v>6.8868390681288971E-2</c:v>
                </c:pt>
                <c:pt idx="21">
                  <c:v>7.6306876270292701E-2</c:v>
                </c:pt>
                <c:pt idx="22">
                  <c:v>1.7206181776230827E-2</c:v>
                </c:pt>
                <c:pt idx="23">
                  <c:v>7.8902692762720078E-2</c:v>
                </c:pt>
                <c:pt idx="24">
                  <c:v>0.30076171390735479</c:v>
                </c:pt>
              </c:numCache>
            </c:numRef>
          </c:val>
          <c:extLst>
            <c:ext xmlns:c16="http://schemas.microsoft.com/office/drawing/2014/chart" uri="{C3380CC4-5D6E-409C-BE32-E72D297353CC}">
              <c16:uniqueId val="{00000014-AA38-44E1-84A6-232BFB1440BE}"/>
            </c:ext>
          </c:extLst>
        </c:ser>
        <c:dLbls>
          <c:showLegendKey val="0"/>
          <c:showVal val="0"/>
          <c:showCatName val="0"/>
          <c:showSerName val="0"/>
          <c:showPercent val="0"/>
          <c:showBubbleSize val="0"/>
        </c:dLbls>
        <c:gapWidth val="28"/>
        <c:overlap val="100"/>
        <c:axId val="332145503"/>
        <c:axId val="332145919"/>
      </c:barChart>
      <c:catAx>
        <c:axId val="33214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32145919"/>
        <c:crosses val="autoZero"/>
        <c:auto val="1"/>
        <c:lblAlgn val="ctr"/>
        <c:lblOffset val="100"/>
        <c:noMultiLvlLbl val="0"/>
      </c:catAx>
      <c:valAx>
        <c:axId val="33214591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32145503"/>
        <c:crosses val="autoZero"/>
        <c:crossBetween val="between"/>
      </c:valAx>
      <c:spPr>
        <a:noFill/>
        <a:ln>
          <a:noFill/>
        </a:ln>
        <a:effectLst/>
      </c:spPr>
    </c:plotArea>
    <c:legend>
      <c:legendPos val="b"/>
      <c:layout>
        <c:manualLayout>
          <c:xMode val="edge"/>
          <c:yMode val="edge"/>
          <c:x val="0.10455470816639079"/>
          <c:y val="6.0019372578427689E-2"/>
          <c:w val="0.58232326087444197"/>
          <c:h val="0.1409076990376203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66180555555557"/>
          <c:y val="7.3179360644435587E-2"/>
          <c:w val="0.85338146756374067"/>
          <c:h val="0.76682692889195303"/>
        </c:manualLayout>
      </c:layout>
      <c:lineChart>
        <c:grouping val="standard"/>
        <c:varyColors val="0"/>
        <c:ser>
          <c:idx val="1"/>
          <c:order val="0"/>
          <c:tx>
            <c:strRef>
              <c:f>Results!$B$154</c:f>
              <c:strCache>
                <c:ptCount val="1"/>
                <c:pt idx="0">
                  <c:v>Esc. con evento</c:v>
                </c:pt>
              </c:strCache>
            </c:strRef>
          </c:tx>
          <c:spPr>
            <a:ln w="19050" cap="rnd">
              <a:solidFill>
                <a:srgbClr val="FF0000"/>
              </a:solidFill>
              <a:prstDash val="sysDash"/>
              <a:round/>
            </a:ln>
            <a:effectLst/>
          </c:spPr>
          <c:marker>
            <c:symbol val="none"/>
          </c:marker>
          <c:dPt>
            <c:idx val="13"/>
            <c:bubble3D val="0"/>
            <c:spPr>
              <a:ln w="19050" cap="rnd">
                <a:solidFill>
                  <a:srgbClr val="FF0000"/>
                </a:solidFill>
                <a:prstDash val="sysDash"/>
                <a:round/>
              </a:ln>
              <a:effectLst/>
            </c:spPr>
            <c:extLst>
              <c:ext xmlns:c16="http://schemas.microsoft.com/office/drawing/2014/chart" uri="{C3380CC4-5D6E-409C-BE32-E72D297353CC}">
                <c16:uniqueId val="{00000001-AEDF-4806-8B06-83B8234F4744}"/>
              </c:ext>
            </c:extLst>
          </c:dPt>
          <c:dPt>
            <c:idx val="14"/>
            <c:bubble3D val="0"/>
            <c:spPr>
              <a:ln w="19050" cap="rnd">
                <a:solidFill>
                  <a:srgbClr val="FF0000"/>
                </a:solidFill>
                <a:prstDash val="sysDash"/>
                <a:round/>
              </a:ln>
              <a:effectLst/>
            </c:spPr>
            <c:extLst>
              <c:ext xmlns:c16="http://schemas.microsoft.com/office/drawing/2014/chart" uri="{C3380CC4-5D6E-409C-BE32-E72D297353CC}">
                <c16:uniqueId val="{00000003-AEDF-4806-8B06-83B8234F4744}"/>
              </c:ext>
            </c:extLst>
          </c:dPt>
          <c:dPt>
            <c:idx val="15"/>
            <c:bubble3D val="0"/>
            <c:spPr>
              <a:ln w="19050" cap="rnd">
                <a:solidFill>
                  <a:srgbClr val="FF0000"/>
                </a:solidFill>
                <a:prstDash val="sysDash"/>
                <a:round/>
              </a:ln>
              <a:effectLst/>
            </c:spPr>
            <c:extLst>
              <c:ext xmlns:c16="http://schemas.microsoft.com/office/drawing/2014/chart" uri="{C3380CC4-5D6E-409C-BE32-E72D297353CC}">
                <c16:uniqueId val="{00000005-AEDF-4806-8B06-83B8234F4744}"/>
              </c:ext>
            </c:extLst>
          </c:dPt>
          <c:dPt>
            <c:idx val="19"/>
            <c:bubble3D val="0"/>
            <c:spPr>
              <a:ln w="19050" cap="rnd">
                <a:solidFill>
                  <a:srgbClr val="FF0000"/>
                </a:solidFill>
                <a:prstDash val="sysDash"/>
                <a:round/>
              </a:ln>
              <a:effectLst/>
            </c:spPr>
            <c:extLst>
              <c:ext xmlns:c16="http://schemas.microsoft.com/office/drawing/2014/chart" uri="{C3380CC4-5D6E-409C-BE32-E72D297353CC}">
                <c16:uniqueId val="{00000007-AEDF-4806-8B06-83B8234F4744}"/>
              </c:ext>
            </c:extLst>
          </c:dPt>
          <c:dPt>
            <c:idx val="20"/>
            <c:bubble3D val="0"/>
            <c:spPr>
              <a:ln w="19050" cap="rnd">
                <a:solidFill>
                  <a:srgbClr val="FF0000"/>
                </a:solidFill>
                <a:prstDash val="sysDash"/>
                <a:round/>
              </a:ln>
              <a:effectLst/>
            </c:spPr>
            <c:extLst>
              <c:ext xmlns:c16="http://schemas.microsoft.com/office/drawing/2014/chart" uri="{C3380CC4-5D6E-409C-BE32-E72D297353CC}">
                <c16:uniqueId val="{00000009-AEDF-4806-8B06-83B8234F4744}"/>
              </c:ext>
            </c:extLst>
          </c:dPt>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Results!$L$158:$AA$158</c:f>
              <c:numCache>
                <c:formatCode>0.0</c:formatCode>
                <c:ptCount val="16"/>
                <c:pt idx="0">
                  <c:v>3.4854221929524982</c:v>
                </c:pt>
                <c:pt idx="1">
                  <c:v>4.4439778222835145</c:v>
                </c:pt>
                <c:pt idx="2">
                  <c:v>4.0921707249436565</c:v>
                </c:pt>
                <c:pt idx="3">
                  <c:v>2.6778027219768035</c:v>
                </c:pt>
                <c:pt idx="4">
                  <c:v>3.0798512832579803</c:v>
                </c:pt>
                <c:pt idx="5">
                  <c:v>3.4068734665204232</c:v>
                </c:pt>
                <c:pt idx="6">
                  <c:v>4.0178979271631192</c:v>
                </c:pt>
                <c:pt idx="7">
                  <c:v>-1.7918576862091697</c:v>
                </c:pt>
                <c:pt idx="8">
                  <c:v>8.0024080178003061</c:v>
                </c:pt>
                <c:pt idx="9">
                  <c:v>4.1180041818460182</c:v>
                </c:pt>
                <c:pt idx="10">
                  <c:v>3.5</c:v>
                </c:pt>
                <c:pt idx="11">
                  <c:v>2.0640088718292793</c:v>
                </c:pt>
                <c:pt idx="12">
                  <c:v>2.6191088437103249</c:v>
                </c:pt>
                <c:pt idx="13">
                  <c:v>2.7180577437432163</c:v>
                </c:pt>
                <c:pt idx="14">
                  <c:v>2.7170758178066778</c:v>
                </c:pt>
                <c:pt idx="15">
                  <c:v>2.7161594011551804</c:v>
                </c:pt>
              </c:numCache>
            </c:numRef>
          </c:val>
          <c:smooth val="1"/>
          <c:extLst>
            <c:ext xmlns:c16="http://schemas.microsoft.com/office/drawing/2014/chart" uri="{C3380CC4-5D6E-409C-BE32-E72D297353CC}">
              <c16:uniqueId val="{0000000A-AEDF-4806-8B06-83B8234F4744}"/>
            </c:ext>
          </c:extLst>
        </c:ser>
        <c:ser>
          <c:idx val="0"/>
          <c:order val="1"/>
          <c:tx>
            <c:strRef>
              <c:f>Results!$B$142</c:f>
              <c:strCache>
                <c:ptCount val="1"/>
                <c:pt idx="0">
                  <c:v>Esc. Base</c:v>
                </c:pt>
              </c:strCache>
            </c:strRef>
          </c:tx>
          <c:spPr>
            <a:ln w="19050" cap="rnd">
              <a:solidFill>
                <a:srgbClr val="002060"/>
              </a:solidFill>
              <a:round/>
            </a:ln>
            <a:effectLst/>
          </c:spPr>
          <c:marker>
            <c:symbol val="none"/>
          </c:marker>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Results!$L$146:$AA$146</c:f>
              <c:numCache>
                <c:formatCode>0.0</c:formatCode>
                <c:ptCount val="16"/>
                <c:pt idx="0">
                  <c:v>3.4854221929524982</c:v>
                </c:pt>
                <c:pt idx="1">
                  <c:v>4.4439778222835145</c:v>
                </c:pt>
                <c:pt idx="2">
                  <c:v>4.0921707249436565</c:v>
                </c:pt>
                <c:pt idx="3">
                  <c:v>2.6778027219768035</c:v>
                </c:pt>
                <c:pt idx="4">
                  <c:v>3.0798512832579803</c:v>
                </c:pt>
                <c:pt idx="5">
                  <c:v>3.4068734665204232</c:v>
                </c:pt>
                <c:pt idx="6">
                  <c:v>4.0178979271631192</c:v>
                </c:pt>
                <c:pt idx="7">
                  <c:v>-1.7918576862091697</c:v>
                </c:pt>
                <c:pt idx="8">
                  <c:v>8.0024080178003061</c:v>
                </c:pt>
                <c:pt idx="9">
                  <c:v>4.1180041818460182</c:v>
                </c:pt>
                <c:pt idx="10">
                  <c:v>3.5</c:v>
                </c:pt>
                <c:pt idx="11">
                  <c:v>2.5</c:v>
                </c:pt>
                <c:pt idx="12">
                  <c:v>2.6</c:v>
                </c:pt>
                <c:pt idx="13">
                  <c:v>2.7</c:v>
                </c:pt>
                <c:pt idx="14">
                  <c:v>2.7</c:v>
                </c:pt>
                <c:pt idx="15">
                  <c:v>2.7</c:v>
                </c:pt>
              </c:numCache>
            </c:numRef>
          </c:val>
          <c:smooth val="1"/>
          <c:extLst>
            <c:ext xmlns:c16="http://schemas.microsoft.com/office/drawing/2014/chart" uri="{C3380CC4-5D6E-409C-BE32-E72D297353CC}">
              <c16:uniqueId val="{0000000B-AEDF-4806-8B06-83B8234F4744}"/>
            </c:ext>
          </c:extLst>
        </c:ser>
        <c:dLbls>
          <c:showLegendKey val="0"/>
          <c:showVal val="0"/>
          <c:showCatName val="0"/>
          <c:showSerName val="0"/>
          <c:showPercent val="0"/>
          <c:showBubbleSize val="0"/>
        </c:dLbls>
        <c:smooth val="0"/>
        <c:axId val="352467072"/>
        <c:axId val="352467856"/>
      </c:lineChart>
      <c:catAx>
        <c:axId val="35246707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7856"/>
        <c:crosses val="autoZero"/>
        <c:auto val="1"/>
        <c:lblAlgn val="ctr"/>
        <c:lblOffset val="100"/>
        <c:noMultiLvlLbl val="0"/>
      </c:catAx>
      <c:valAx>
        <c:axId val="352467856"/>
        <c:scaling>
          <c:orientation val="minMax"/>
          <c:max val="8.5"/>
          <c:min val="-2.5"/>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7072"/>
        <c:crosses val="autoZero"/>
        <c:crossBetween val="between"/>
      </c:valAx>
      <c:spPr>
        <a:ln>
          <a:noFill/>
        </a:ln>
      </c:spPr>
    </c:plotArea>
    <c:legend>
      <c:legendPos val="t"/>
      <c:layout>
        <c:manualLayout>
          <c:xMode val="edge"/>
          <c:yMode val="edge"/>
          <c:x val="6.576027619274355E-2"/>
          <c:y val="9.1853728698083892E-3"/>
          <c:w val="0.57943679569993867"/>
          <c:h val="0.151753758052970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7642062097247"/>
          <c:y val="7.5956432865246684E-2"/>
          <c:w val="0.85338146756374067"/>
          <c:h val="0.77304510323306364"/>
        </c:manualLayout>
      </c:layout>
      <c:barChart>
        <c:barDir val="col"/>
        <c:grouping val="clustered"/>
        <c:varyColors val="0"/>
        <c:ser>
          <c:idx val="0"/>
          <c:order val="0"/>
          <c:tx>
            <c:strRef>
              <c:f>Results!$B$154</c:f>
              <c:strCache>
                <c:ptCount val="1"/>
                <c:pt idx="0">
                  <c:v>Esc. con evento</c:v>
                </c:pt>
              </c:strCache>
            </c:strRef>
          </c:tx>
          <c:spPr>
            <a:solidFill>
              <a:srgbClr val="FF0000"/>
            </a:solidFill>
            <a:ln>
              <a:noFill/>
            </a:ln>
            <a:effectLst/>
          </c:spPr>
          <c:invertIfNegative val="0"/>
          <c:cat>
            <c:numRef>
              <c:f>Results!$L$154:$AA$154</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Results!$L$161:$AA$161</c:f>
              <c:numCache>
                <c:formatCode>0.0</c:formatCode>
                <c:ptCount val="16"/>
                <c:pt idx="0">
                  <c:v>-2.1638208169798929</c:v>
                </c:pt>
                <c:pt idx="1">
                  <c:v>-1.9212819848170588</c:v>
                </c:pt>
                <c:pt idx="2">
                  <c:v>-1.4720918688697777</c:v>
                </c:pt>
                <c:pt idx="3">
                  <c:v>-1.1100889548462414</c:v>
                </c:pt>
                <c:pt idx="4">
                  <c:v>-1.3841813369920184</c:v>
                </c:pt>
                <c:pt idx="5">
                  <c:v>-1.8805255620287205</c:v>
                </c:pt>
                <c:pt idx="6">
                  <c:v>-2.2360422335631998</c:v>
                </c:pt>
                <c:pt idx="7">
                  <c:v>-4.9098327111815481</c:v>
                </c:pt>
                <c:pt idx="8">
                  <c:v>-1.1675467056468234</c:v>
                </c:pt>
                <c:pt idx="9">
                  <c:v>-1.7065259597849245</c:v>
                </c:pt>
                <c:pt idx="10" formatCode="_-* #,##0.0_-;\-* #,##0.0_-;_-* &quot;-&quot;??_-;_-@_-">
                  <c:v>-1.6961427745590194</c:v>
                </c:pt>
                <c:pt idx="11" formatCode="_-* #,##0.0_-;\-* #,##0.0_-;_-* &quot;-&quot;??_-;_-@_-">
                  <c:v>-1.9484764817924098</c:v>
                </c:pt>
                <c:pt idx="12" formatCode="_-* #,##0.0_-;\-* #,##0.0_-;_-* &quot;-&quot;??_-;_-@_-">
                  <c:v>-1.5216284509817157</c:v>
                </c:pt>
                <c:pt idx="13" formatCode="_-* #,##0.0_-;\-* #,##0.0_-;_-* &quot;-&quot;??_-;_-@_-">
                  <c:v>-0.90207593884961845</c:v>
                </c:pt>
                <c:pt idx="14" formatCode="_-* #,##0.0_-;\-* #,##0.0_-;_-* &quot;-&quot;??_-;_-@_-">
                  <c:v>-0.3511808295997943</c:v>
                </c:pt>
                <c:pt idx="15" formatCode="_-* #,##0.0_-;\-* #,##0.0_-;_-* &quot;-&quot;??_-;_-@_-">
                  <c:v>2.6088863845028921E-3</c:v>
                </c:pt>
              </c:numCache>
            </c:numRef>
          </c:val>
          <c:extLst>
            <c:ext xmlns:c16="http://schemas.microsoft.com/office/drawing/2014/chart" uri="{C3380CC4-5D6E-409C-BE32-E72D297353CC}">
              <c16:uniqueId val="{00000000-EA48-409B-A62D-F8F038671BA3}"/>
            </c:ext>
          </c:extLst>
        </c:ser>
        <c:ser>
          <c:idx val="1"/>
          <c:order val="1"/>
          <c:tx>
            <c:strRef>
              <c:f>Results!$B$142</c:f>
              <c:strCache>
                <c:ptCount val="1"/>
                <c:pt idx="0">
                  <c:v>Esc. Base</c:v>
                </c:pt>
              </c:strCache>
            </c:strRef>
          </c:tx>
          <c:spPr>
            <a:solidFill>
              <a:srgbClr val="002060"/>
            </a:solidFill>
            <a:ln>
              <a:noFill/>
            </a:ln>
            <a:effectLst/>
          </c:spPr>
          <c:invertIfNegative val="0"/>
          <c:cat>
            <c:numRef>
              <c:f>Results!$L$154:$AA$154</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Results!$L$149:$AA$149</c:f>
              <c:numCache>
                <c:formatCode>0.0</c:formatCode>
                <c:ptCount val="16"/>
                <c:pt idx="0">
                  <c:v>-2.1638208169798929</c:v>
                </c:pt>
                <c:pt idx="1">
                  <c:v>-1.9212819848170588</c:v>
                </c:pt>
                <c:pt idx="2">
                  <c:v>-1.4720918688697777</c:v>
                </c:pt>
                <c:pt idx="3">
                  <c:v>-1.1100889548462414</c:v>
                </c:pt>
                <c:pt idx="4">
                  <c:v>-1.3841813369920184</c:v>
                </c:pt>
                <c:pt idx="5">
                  <c:v>-1.8805255620287205</c:v>
                </c:pt>
                <c:pt idx="6">
                  <c:v>-2.2360422335631998</c:v>
                </c:pt>
                <c:pt idx="7">
                  <c:v>-4.9098327111815481</c:v>
                </c:pt>
                <c:pt idx="8">
                  <c:v>-1.1675467056468234</c:v>
                </c:pt>
                <c:pt idx="9">
                  <c:v>-1.7065259597849245</c:v>
                </c:pt>
                <c:pt idx="10">
                  <c:v>-1.6961427745590212</c:v>
                </c:pt>
                <c:pt idx="11" formatCode="0.00">
                  <c:v>-1.7413305375549775</c:v>
                </c:pt>
                <c:pt idx="12">
                  <c:v>-1.2750860509419715</c:v>
                </c:pt>
                <c:pt idx="13">
                  <c:v>-0.77216174540121618</c:v>
                </c:pt>
                <c:pt idx="14">
                  <c:v>-0.27791295369225766</c:v>
                </c:pt>
                <c:pt idx="15">
                  <c:v>7.0119623564376482E-2</c:v>
                </c:pt>
              </c:numCache>
            </c:numRef>
          </c:val>
          <c:extLst>
            <c:ext xmlns:c16="http://schemas.microsoft.com/office/drawing/2014/chart" uri="{C3380CC4-5D6E-409C-BE32-E72D297353CC}">
              <c16:uniqueId val="{00000001-EA48-409B-A62D-F8F038671BA3}"/>
            </c:ext>
          </c:extLst>
        </c:ser>
        <c:dLbls>
          <c:showLegendKey val="0"/>
          <c:showVal val="0"/>
          <c:showCatName val="0"/>
          <c:showSerName val="0"/>
          <c:showPercent val="0"/>
          <c:showBubbleSize val="0"/>
        </c:dLbls>
        <c:gapWidth val="50"/>
        <c:overlap val="100"/>
        <c:axId val="352462368"/>
        <c:axId val="352462760"/>
      </c:barChart>
      <c:catAx>
        <c:axId val="35246236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2760"/>
        <c:crosses val="autoZero"/>
        <c:auto val="1"/>
        <c:lblAlgn val="ctr"/>
        <c:lblOffset val="100"/>
        <c:noMultiLvlLbl val="0"/>
      </c:catAx>
      <c:valAx>
        <c:axId val="352462760"/>
        <c:scaling>
          <c:orientation val="minMax"/>
          <c:min val="-5"/>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2368"/>
        <c:crosses val="autoZero"/>
        <c:crossBetween val="between"/>
      </c:valAx>
    </c:plotArea>
    <c:legend>
      <c:legendPos val="t"/>
      <c:layout>
        <c:manualLayout>
          <c:xMode val="edge"/>
          <c:yMode val="edge"/>
          <c:x val="6.9991642106189231E-2"/>
          <c:y val="5.2995391705069122E-3"/>
          <c:w val="0.8735067320427865"/>
          <c:h val="7.341656020227049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7642062097247"/>
          <c:y val="9.0093980187960374E-2"/>
          <c:w val="0.85338146756374067"/>
          <c:h val="0.75146594578903447"/>
        </c:manualLayout>
      </c:layout>
      <c:lineChart>
        <c:grouping val="standard"/>
        <c:varyColors val="0"/>
        <c:ser>
          <c:idx val="1"/>
          <c:order val="0"/>
          <c:tx>
            <c:strRef>
              <c:f>Results!$B$154</c:f>
              <c:strCache>
                <c:ptCount val="1"/>
                <c:pt idx="0">
                  <c:v>Esc. con evento</c:v>
                </c:pt>
              </c:strCache>
            </c:strRef>
          </c:tx>
          <c:spPr>
            <a:ln w="19050" cap="rnd">
              <a:solidFill>
                <a:srgbClr val="FF0000"/>
              </a:solidFill>
              <a:prstDash val="sysDash"/>
              <a:round/>
            </a:ln>
            <a:effectLst/>
          </c:spPr>
          <c:marker>
            <c:symbol val="none"/>
          </c:marker>
          <c:dPt>
            <c:idx val="6"/>
            <c:bubble3D val="0"/>
            <c:spPr>
              <a:ln w="19050" cap="rnd">
                <a:solidFill>
                  <a:srgbClr val="FF0000"/>
                </a:solidFill>
                <a:prstDash val="sysDash"/>
                <a:round/>
              </a:ln>
              <a:effectLst/>
            </c:spPr>
            <c:extLst>
              <c:ext xmlns:c16="http://schemas.microsoft.com/office/drawing/2014/chart" uri="{C3380CC4-5D6E-409C-BE32-E72D297353CC}">
                <c16:uniqueId val="{00000001-A893-4ECD-A0C9-2D7A7DD6099B}"/>
              </c:ext>
            </c:extLst>
          </c:dPt>
          <c:dPt>
            <c:idx val="7"/>
            <c:bubble3D val="0"/>
            <c:spPr>
              <a:ln w="19050" cap="rnd">
                <a:solidFill>
                  <a:srgbClr val="FF0000"/>
                </a:solidFill>
                <a:prstDash val="sysDash"/>
                <a:round/>
              </a:ln>
              <a:effectLst/>
            </c:spPr>
            <c:extLst>
              <c:ext xmlns:c16="http://schemas.microsoft.com/office/drawing/2014/chart" uri="{C3380CC4-5D6E-409C-BE32-E72D297353CC}">
                <c16:uniqueId val="{00000003-A893-4ECD-A0C9-2D7A7DD6099B}"/>
              </c:ext>
            </c:extLst>
          </c:dPt>
          <c:dPt>
            <c:idx val="8"/>
            <c:bubble3D val="0"/>
            <c:spPr>
              <a:ln w="19050" cap="rnd">
                <a:solidFill>
                  <a:srgbClr val="FF0000"/>
                </a:solidFill>
                <a:prstDash val="sysDash"/>
                <a:round/>
              </a:ln>
              <a:effectLst/>
            </c:spPr>
            <c:extLst>
              <c:ext xmlns:c16="http://schemas.microsoft.com/office/drawing/2014/chart" uri="{C3380CC4-5D6E-409C-BE32-E72D297353CC}">
                <c16:uniqueId val="{00000005-A893-4ECD-A0C9-2D7A7DD6099B}"/>
              </c:ext>
            </c:extLst>
          </c:dPt>
          <c:dPt>
            <c:idx val="9"/>
            <c:bubble3D val="0"/>
            <c:spPr>
              <a:ln w="19050" cap="rnd">
                <a:solidFill>
                  <a:srgbClr val="FF0000"/>
                </a:solidFill>
                <a:prstDash val="sysDash"/>
                <a:round/>
              </a:ln>
              <a:effectLst/>
            </c:spPr>
            <c:extLst>
              <c:ext xmlns:c16="http://schemas.microsoft.com/office/drawing/2014/chart" uri="{C3380CC4-5D6E-409C-BE32-E72D297353CC}">
                <c16:uniqueId val="{00000007-A893-4ECD-A0C9-2D7A7DD6099B}"/>
              </c:ext>
            </c:extLst>
          </c:dPt>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Results!$L$162:$AA$162</c:f>
              <c:numCache>
                <c:formatCode>0.0</c:formatCode>
                <c:ptCount val="16"/>
                <c:pt idx="0">
                  <c:v>24.619</c:v>
                </c:pt>
                <c:pt idx="1">
                  <c:v>24.283000000000001</c:v>
                </c:pt>
                <c:pt idx="2">
                  <c:v>24.206</c:v>
                </c:pt>
                <c:pt idx="3">
                  <c:v>24.48</c:v>
                </c:pt>
                <c:pt idx="4">
                  <c:v>24.375</c:v>
                </c:pt>
                <c:pt idx="5">
                  <c:v>24.446999999999999</c:v>
                </c:pt>
                <c:pt idx="6">
                  <c:v>24.643999999999998</c:v>
                </c:pt>
                <c:pt idx="7">
                  <c:v>25.03</c:v>
                </c:pt>
                <c:pt idx="8">
                  <c:v>25.428999999999998</c:v>
                </c:pt>
                <c:pt idx="9">
                  <c:v>25.821999999999999</c:v>
                </c:pt>
                <c:pt idx="10">
                  <c:v>28.425119858440439</c:v>
                </c:pt>
                <c:pt idx="11">
                  <c:v>28.227737852830437</c:v>
                </c:pt>
                <c:pt idx="12">
                  <c:v>28.129310062376245</c:v>
                </c:pt>
                <c:pt idx="13">
                  <c:v>27.366091964863681</c:v>
                </c:pt>
                <c:pt idx="14">
                  <c:v>26.095253022519273</c:v>
                </c:pt>
                <c:pt idx="15">
                  <c:v>24.549207447625491</c:v>
                </c:pt>
              </c:numCache>
            </c:numRef>
          </c:val>
          <c:smooth val="1"/>
          <c:extLst>
            <c:ext xmlns:c16="http://schemas.microsoft.com/office/drawing/2014/chart" uri="{C3380CC4-5D6E-409C-BE32-E72D297353CC}">
              <c16:uniqueId val="{00000008-A893-4ECD-A0C9-2D7A7DD6099B}"/>
            </c:ext>
          </c:extLst>
        </c:ser>
        <c:ser>
          <c:idx val="0"/>
          <c:order val="1"/>
          <c:tx>
            <c:strRef>
              <c:f>Results!$B$21</c:f>
              <c:strCache>
                <c:ptCount val="1"/>
                <c:pt idx="0">
                  <c:v>Esc. Base</c:v>
                </c:pt>
              </c:strCache>
            </c:strRef>
          </c:tx>
          <c:spPr>
            <a:ln w="19050" cap="rnd">
              <a:solidFill>
                <a:srgbClr val="002060"/>
              </a:solidFill>
              <a:round/>
            </a:ln>
            <a:effectLst/>
          </c:spPr>
          <c:marker>
            <c:symbol val="none"/>
          </c:marker>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Results!$L$150:$AA$150</c:f>
              <c:numCache>
                <c:formatCode>0.0</c:formatCode>
                <c:ptCount val="16"/>
                <c:pt idx="0">
                  <c:v>24.619</c:v>
                </c:pt>
                <c:pt idx="1">
                  <c:v>24.283000000000001</c:v>
                </c:pt>
                <c:pt idx="2">
                  <c:v>24.206</c:v>
                </c:pt>
                <c:pt idx="3">
                  <c:v>24.48</c:v>
                </c:pt>
                <c:pt idx="4">
                  <c:v>24.375</c:v>
                </c:pt>
                <c:pt idx="5">
                  <c:v>24.446999999999999</c:v>
                </c:pt>
                <c:pt idx="6">
                  <c:v>24.643999999999998</c:v>
                </c:pt>
                <c:pt idx="7">
                  <c:v>25.03</c:v>
                </c:pt>
                <c:pt idx="8">
                  <c:v>25.428999999999998</c:v>
                </c:pt>
                <c:pt idx="9">
                  <c:v>25.821999999999999</c:v>
                </c:pt>
                <c:pt idx="10">
                  <c:v>28.425119858440446</c:v>
                </c:pt>
                <c:pt idx="11">
                  <c:v>27.876110469636451</c:v>
                </c:pt>
                <c:pt idx="12">
                  <c:v>27.526035587382292</c:v>
                </c:pt>
                <c:pt idx="13">
                  <c:v>26.645274857682523</c:v>
                </c:pt>
                <c:pt idx="14">
                  <c:v>25.322144596050254</c:v>
                </c:pt>
                <c:pt idx="15">
                  <c:v>23.733960828448382</c:v>
                </c:pt>
              </c:numCache>
            </c:numRef>
          </c:val>
          <c:smooth val="1"/>
          <c:extLst>
            <c:ext xmlns:c16="http://schemas.microsoft.com/office/drawing/2014/chart" uri="{C3380CC4-5D6E-409C-BE32-E72D297353CC}">
              <c16:uniqueId val="{00000009-A893-4ECD-A0C9-2D7A7DD6099B}"/>
            </c:ext>
          </c:extLst>
        </c:ser>
        <c:dLbls>
          <c:showLegendKey val="0"/>
          <c:showVal val="0"/>
          <c:showCatName val="0"/>
          <c:showSerName val="0"/>
          <c:showPercent val="0"/>
          <c:showBubbleSize val="0"/>
        </c:dLbls>
        <c:smooth val="0"/>
        <c:axId val="352463544"/>
        <c:axId val="352461192"/>
      </c:lineChart>
      <c:catAx>
        <c:axId val="35246354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1192"/>
        <c:crosses val="autoZero"/>
        <c:auto val="1"/>
        <c:lblAlgn val="ctr"/>
        <c:lblOffset val="100"/>
        <c:noMultiLvlLbl val="0"/>
      </c:catAx>
      <c:valAx>
        <c:axId val="352461192"/>
        <c:scaling>
          <c:orientation val="minMax"/>
          <c:min val="19"/>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3544"/>
        <c:crosses val="autoZero"/>
        <c:crossBetween val="between"/>
      </c:valAx>
    </c:plotArea>
    <c:legend>
      <c:legendPos val="t"/>
      <c:layout>
        <c:manualLayout>
          <c:xMode val="edge"/>
          <c:yMode val="edge"/>
          <c:x val="0.14452590881229666"/>
          <c:y val="2.3005188867520593E-2"/>
          <c:w val="0.84611214714371652"/>
          <c:h val="0.1605794683609871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66180555555557"/>
          <c:y val="4.5738579986344084E-2"/>
          <c:w val="0.85338146756374067"/>
          <c:h val="0.77467802641713779"/>
        </c:manualLayout>
      </c:layout>
      <c:lineChart>
        <c:grouping val="standard"/>
        <c:varyColors val="0"/>
        <c:ser>
          <c:idx val="1"/>
          <c:order val="0"/>
          <c:tx>
            <c:strRef>
              <c:f>Results!$B$154</c:f>
              <c:strCache>
                <c:ptCount val="1"/>
                <c:pt idx="0">
                  <c:v>Esc. con evento</c:v>
                </c:pt>
              </c:strCache>
            </c:strRef>
          </c:tx>
          <c:spPr>
            <a:ln w="19050" cap="rnd">
              <a:solidFill>
                <a:srgbClr val="FF0000"/>
              </a:solidFill>
              <a:prstDash val="sysDash"/>
              <a:round/>
            </a:ln>
            <a:effectLst/>
          </c:spPr>
          <c:marker>
            <c:symbol val="none"/>
          </c:marker>
          <c:dPt>
            <c:idx val="13"/>
            <c:bubble3D val="0"/>
            <c:spPr>
              <a:ln w="19050" cap="rnd">
                <a:solidFill>
                  <a:srgbClr val="FF0000"/>
                </a:solidFill>
                <a:prstDash val="sysDash"/>
                <a:round/>
              </a:ln>
              <a:effectLst/>
            </c:spPr>
            <c:extLst>
              <c:ext xmlns:c16="http://schemas.microsoft.com/office/drawing/2014/chart" uri="{C3380CC4-5D6E-409C-BE32-E72D297353CC}">
                <c16:uniqueId val="{00000001-CE36-4F50-997A-18B1AC4138A0}"/>
              </c:ext>
            </c:extLst>
          </c:dPt>
          <c:dPt>
            <c:idx val="14"/>
            <c:bubble3D val="0"/>
            <c:spPr>
              <a:ln w="19050" cap="rnd">
                <a:solidFill>
                  <a:srgbClr val="FF0000"/>
                </a:solidFill>
                <a:prstDash val="sysDash"/>
                <a:round/>
              </a:ln>
              <a:effectLst/>
            </c:spPr>
            <c:extLst>
              <c:ext xmlns:c16="http://schemas.microsoft.com/office/drawing/2014/chart" uri="{C3380CC4-5D6E-409C-BE32-E72D297353CC}">
                <c16:uniqueId val="{00000003-CE36-4F50-997A-18B1AC4138A0}"/>
              </c:ext>
            </c:extLst>
          </c:dPt>
          <c:dPt>
            <c:idx val="15"/>
            <c:bubble3D val="0"/>
            <c:spPr>
              <a:ln w="19050" cap="rnd">
                <a:solidFill>
                  <a:srgbClr val="FF0000"/>
                </a:solidFill>
                <a:prstDash val="sysDash"/>
                <a:round/>
              </a:ln>
              <a:effectLst/>
            </c:spPr>
            <c:extLst>
              <c:ext xmlns:c16="http://schemas.microsoft.com/office/drawing/2014/chart" uri="{C3380CC4-5D6E-409C-BE32-E72D297353CC}">
                <c16:uniqueId val="{00000005-CE36-4F50-997A-18B1AC4138A0}"/>
              </c:ext>
            </c:extLst>
          </c:dPt>
          <c:dPt>
            <c:idx val="19"/>
            <c:bubble3D val="0"/>
            <c:spPr>
              <a:ln w="19050" cap="rnd">
                <a:solidFill>
                  <a:srgbClr val="FF0000"/>
                </a:solidFill>
                <a:prstDash val="sysDash"/>
                <a:round/>
              </a:ln>
              <a:effectLst/>
            </c:spPr>
            <c:extLst>
              <c:ext xmlns:c16="http://schemas.microsoft.com/office/drawing/2014/chart" uri="{C3380CC4-5D6E-409C-BE32-E72D297353CC}">
                <c16:uniqueId val="{00000007-CE36-4F50-997A-18B1AC4138A0}"/>
              </c:ext>
            </c:extLst>
          </c:dPt>
          <c:dPt>
            <c:idx val="20"/>
            <c:bubble3D val="0"/>
            <c:spPr>
              <a:ln w="19050" cap="rnd">
                <a:solidFill>
                  <a:srgbClr val="FF0000"/>
                </a:solidFill>
                <a:prstDash val="sysDash"/>
                <a:round/>
              </a:ln>
              <a:effectLst/>
            </c:spPr>
            <c:extLst>
              <c:ext xmlns:c16="http://schemas.microsoft.com/office/drawing/2014/chart" uri="{C3380CC4-5D6E-409C-BE32-E72D297353CC}">
                <c16:uniqueId val="{00000009-CE36-4F50-997A-18B1AC4138A0}"/>
              </c:ext>
            </c:extLst>
          </c:dPt>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Results!$L$158:$AA$158</c:f>
              <c:numCache>
                <c:formatCode>0.0</c:formatCode>
                <c:ptCount val="16"/>
                <c:pt idx="0">
                  <c:v>3.4854221929524982</c:v>
                </c:pt>
                <c:pt idx="1">
                  <c:v>4.4439778222835145</c:v>
                </c:pt>
                <c:pt idx="2">
                  <c:v>4.0921707249436565</c:v>
                </c:pt>
                <c:pt idx="3">
                  <c:v>2.6778027219768035</c:v>
                </c:pt>
                <c:pt idx="4">
                  <c:v>3.0798512832579803</c:v>
                </c:pt>
                <c:pt idx="5">
                  <c:v>3.4068734665204232</c:v>
                </c:pt>
                <c:pt idx="6">
                  <c:v>4.0178979271631192</c:v>
                </c:pt>
                <c:pt idx="7">
                  <c:v>-1.7918576862091697</c:v>
                </c:pt>
                <c:pt idx="8">
                  <c:v>8.0024080178003061</c:v>
                </c:pt>
                <c:pt idx="9">
                  <c:v>4.1180041818460182</c:v>
                </c:pt>
                <c:pt idx="10">
                  <c:v>3.5</c:v>
                </c:pt>
                <c:pt idx="11">
                  <c:v>0.68909149274952508</c:v>
                </c:pt>
                <c:pt idx="12">
                  <c:v>2.6802573998521129</c:v>
                </c:pt>
                <c:pt idx="13">
                  <c:v>2.7758127031234014</c:v>
                </c:pt>
                <c:pt idx="14">
                  <c:v>2.7716633492990228</c:v>
                </c:pt>
                <c:pt idx="15">
                  <c:v>2.7677932744727496</c:v>
                </c:pt>
              </c:numCache>
            </c:numRef>
          </c:val>
          <c:smooth val="1"/>
          <c:extLst>
            <c:ext xmlns:c16="http://schemas.microsoft.com/office/drawing/2014/chart" uri="{C3380CC4-5D6E-409C-BE32-E72D297353CC}">
              <c16:uniqueId val="{0000000A-CE36-4F50-997A-18B1AC4138A0}"/>
            </c:ext>
          </c:extLst>
        </c:ser>
        <c:ser>
          <c:idx val="0"/>
          <c:order val="1"/>
          <c:tx>
            <c:strRef>
              <c:f>Results!$B$142</c:f>
              <c:strCache>
                <c:ptCount val="1"/>
                <c:pt idx="0">
                  <c:v>Esc. Base</c:v>
                </c:pt>
              </c:strCache>
            </c:strRef>
          </c:tx>
          <c:spPr>
            <a:ln w="19050" cap="rnd">
              <a:solidFill>
                <a:srgbClr val="002060"/>
              </a:solidFill>
              <a:round/>
            </a:ln>
            <a:effectLst/>
          </c:spPr>
          <c:marker>
            <c:symbol val="none"/>
          </c:marker>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Results!$L$146:$AA$146</c:f>
              <c:numCache>
                <c:formatCode>0.0</c:formatCode>
                <c:ptCount val="16"/>
                <c:pt idx="0">
                  <c:v>3.4854221929524982</c:v>
                </c:pt>
                <c:pt idx="1">
                  <c:v>4.4439778222835145</c:v>
                </c:pt>
                <c:pt idx="2">
                  <c:v>4.0921707249436565</c:v>
                </c:pt>
                <c:pt idx="3">
                  <c:v>2.6778027219768035</c:v>
                </c:pt>
                <c:pt idx="4">
                  <c:v>3.0798512832579803</c:v>
                </c:pt>
                <c:pt idx="5">
                  <c:v>3.4068734665204232</c:v>
                </c:pt>
                <c:pt idx="6">
                  <c:v>4.0178979271631192</c:v>
                </c:pt>
                <c:pt idx="7">
                  <c:v>-1.7918576862091697</c:v>
                </c:pt>
                <c:pt idx="8">
                  <c:v>8.0024080178003061</c:v>
                </c:pt>
                <c:pt idx="9">
                  <c:v>4.1180041818460182</c:v>
                </c:pt>
                <c:pt idx="10">
                  <c:v>3.5</c:v>
                </c:pt>
                <c:pt idx="11">
                  <c:v>2.5</c:v>
                </c:pt>
                <c:pt idx="12">
                  <c:v>2.6</c:v>
                </c:pt>
                <c:pt idx="13">
                  <c:v>2.7</c:v>
                </c:pt>
                <c:pt idx="14">
                  <c:v>2.7</c:v>
                </c:pt>
                <c:pt idx="15">
                  <c:v>2.7</c:v>
                </c:pt>
              </c:numCache>
            </c:numRef>
          </c:val>
          <c:smooth val="1"/>
          <c:extLst>
            <c:ext xmlns:c16="http://schemas.microsoft.com/office/drawing/2014/chart" uri="{C3380CC4-5D6E-409C-BE32-E72D297353CC}">
              <c16:uniqueId val="{0000000B-CE36-4F50-997A-18B1AC4138A0}"/>
            </c:ext>
          </c:extLst>
        </c:ser>
        <c:dLbls>
          <c:showLegendKey val="0"/>
          <c:showVal val="0"/>
          <c:showCatName val="0"/>
          <c:showSerName val="0"/>
          <c:showPercent val="0"/>
          <c:showBubbleSize val="0"/>
        </c:dLbls>
        <c:smooth val="0"/>
        <c:axId val="352467072"/>
        <c:axId val="352467856"/>
      </c:lineChart>
      <c:catAx>
        <c:axId val="35246707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7856"/>
        <c:crosses val="autoZero"/>
        <c:auto val="1"/>
        <c:lblAlgn val="ctr"/>
        <c:lblOffset val="100"/>
        <c:noMultiLvlLbl val="0"/>
      </c:catAx>
      <c:valAx>
        <c:axId val="352467856"/>
        <c:scaling>
          <c:orientation val="minMax"/>
          <c:max val="8.5"/>
          <c:min val="-2.5"/>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7072"/>
        <c:crosses val="autoZero"/>
        <c:crossBetween val="between"/>
      </c:valAx>
      <c:spPr>
        <a:ln>
          <a:noFill/>
        </a:ln>
      </c:spPr>
    </c:plotArea>
    <c:legend>
      <c:legendPos val="t"/>
      <c:layout>
        <c:manualLayout>
          <c:xMode val="edge"/>
          <c:yMode val="edge"/>
          <c:x val="0"/>
          <c:y val="6.4176087344058506E-4"/>
          <c:w val="0.69958176043361098"/>
          <c:h val="0.12212090532681706"/>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7642062097247"/>
          <c:y val="4.4286209204626864E-2"/>
          <c:w val="0.85338146756374067"/>
          <c:h val="0.77172955900802875"/>
        </c:manualLayout>
      </c:layout>
      <c:barChart>
        <c:barDir val="col"/>
        <c:grouping val="clustered"/>
        <c:varyColors val="0"/>
        <c:ser>
          <c:idx val="0"/>
          <c:order val="0"/>
          <c:tx>
            <c:strRef>
              <c:f>Results!$B$154</c:f>
              <c:strCache>
                <c:ptCount val="1"/>
                <c:pt idx="0">
                  <c:v>Esc. con evento</c:v>
                </c:pt>
              </c:strCache>
            </c:strRef>
          </c:tx>
          <c:spPr>
            <a:solidFill>
              <a:srgbClr val="FF0000"/>
            </a:solidFill>
            <a:ln>
              <a:noFill/>
            </a:ln>
            <a:effectLst/>
          </c:spPr>
          <c:invertIfNegative val="0"/>
          <c:cat>
            <c:numRef>
              <c:f>Results!$L$154:$AA$154</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Results!$L$161:$AA$161</c:f>
              <c:numCache>
                <c:formatCode>0.0</c:formatCode>
                <c:ptCount val="16"/>
                <c:pt idx="0">
                  <c:v>-2.1638208169798929</c:v>
                </c:pt>
                <c:pt idx="1">
                  <c:v>-1.9212819848170588</c:v>
                </c:pt>
                <c:pt idx="2">
                  <c:v>-1.4720918688697777</c:v>
                </c:pt>
                <c:pt idx="3">
                  <c:v>-1.1100889548462414</c:v>
                </c:pt>
                <c:pt idx="4">
                  <c:v>-1.3841813369920184</c:v>
                </c:pt>
                <c:pt idx="5">
                  <c:v>-1.8805255620287205</c:v>
                </c:pt>
                <c:pt idx="6">
                  <c:v>-2.2360422335631998</c:v>
                </c:pt>
                <c:pt idx="7">
                  <c:v>-4.9098327111815481</c:v>
                </c:pt>
                <c:pt idx="8">
                  <c:v>-1.1675467056468234</c:v>
                </c:pt>
                <c:pt idx="9">
                  <c:v>-1.7065259597849245</c:v>
                </c:pt>
                <c:pt idx="10" formatCode="_-* #,##0.0_-;\-* #,##0.0_-;_-* &quot;-&quot;??_-;_-@_-">
                  <c:v>-1.6961427745590194</c:v>
                </c:pt>
                <c:pt idx="11" formatCode="_-* #,##0.0_-;\-* #,##0.0_-;_-* &quot;-&quot;??_-;_-@_-">
                  <c:v>-2.8471649134231032</c:v>
                </c:pt>
                <c:pt idx="12" formatCode="_-* #,##0.0_-;\-* #,##0.0_-;_-* &quot;-&quot;??_-;_-@_-">
                  <c:v>-2.3088315025380988</c:v>
                </c:pt>
                <c:pt idx="13" formatCode="_-* #,##0.0_-;\-* #,##0.0_-;_-* &quot;-&quot;??_-;_-@_-">
                  <c:v>-1.1076231270604853</c:v>
                </c:pt>
                <c:pt idx="14" formatCode="_-* #,##0.0_-;\-* #,##0.0_-;_-* &quot;-&quot;??_-;_-@_-">
                  <c:v>-0.58516872197732306</c:v>
                </c:pt>
                <c:pt idx="15" formatCode="_-* #,##0.0_-;\-* #,##0.0_-;_-* &quot;-&quot;??_-;_-@_-">
                  <c:v>-0.21284689446154681</c:v>
                </c:pt>
              </c:numCache>
            </c:numRef>
          </c:val>
          <c:extLst>
            <c:ext xmlns:c16="http://schemas.microsoft.com/office/drawing/2014/chart" uri="{C3380CC4-5D6E-409C-BE32-E72D297353CC}">
              <c16:uniqueId val="{00000000-E1E6-4BF1-B00D-1B79B0557414}"/>
            </c:ext>
          </c:extLst>
        </c:ser>
        <c:ser>
          <c:idx val="1"/>
          <c:order val="1"/>
          <c:tx>
            <c:strRef>
              <c:f>Results!$B$142</c:f>
              <c:strCache>
                <c:ptCount val="1"/>
                <c:pt idx="0">
                  <c:v>Esc. Base</c:v>
                </c:pt>
              </c:strCache>
            </c:strRef>
          </c:tx>
          <c:spPr>
            <a:solidFill>
              <a:srgbClr val="002060"/>
            </a:solidFill>
            <a:ln>
              <a:noFill/>
            </a:ln>
            <a:effectLst/>
          </c:spPr>
          <c:invertIfNegative val="0"/>
          <c:cat>
            <c:numRef>
              <c:f>Results!$L$154:$AA$154</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Results!$L$149:$AA$149</c:f>
              <c:numCache>
                <c:formatCode>0.0</c:formatCode>
                <c:ptCount val="16"/>
                <c:pt idx="0">
                  <c:v>-2.1638208169798929</c:v>
                </c:pt>
                <c:pt idx="1">
                  <c:v>-1.9212819848170588</c:v>
                </c:pt>
                <c:pt idx="2">
                  <c:v>-1.4720918688697777</c:v>
                </c:pt>
                <c:pt idx="3">
                  <c:v>-1.1100889548462414</c:v>
                </c:pt>
                <c:pt idx="4">
                  <c:v>-1.3841813369920184</c:v>
                </c:pt>
                <c:pt idx="5">
                  <c:v>-1.8805255620287205</c:v>
                </c:pt>
                <c:pt idx="6">
                  <c:v>-2.2360422335631998</c:v>
                </c:pt>
                <c:pt idx="7">
                  <c:v>-4.9098327111815481</c:v>
                </c:pt>
                <c:pt idx="8">
                  <c:v>-1.1675467056468234</c:v>
                </c:pt>
                <c:pt idx="9">
                  <c:v>-1.7065259597849245</c:v>
                </c:pt>
                <c:pt idx="10">
                  <c:v>-1.6961427745590212</c:v>
                </c:pt>
                <c:pt idx="11" formatCode="0.00">
                  <c:v>-1.7413305375549775</c:v>
                </c:pt>
                <c:pt idx="12">
                  <c:v>-1.2750860509419715</c:v>
                </c:pt>
                <c:pt idx="13">
                  <c:v>-0.77216174540121618</c:v>
                </c:pt>
                <c:pt idx="14">
                  <c:v>-0.27791295369225766</c:v>
                </c:pt>
                <c:pt idx="15">
                  <c:v>7.0119623564376482E-2</c:v>
                </c:pt>
              </c:numCache>
            </c:numRef>
          </c:val>
          <c:extLst>
            <c:ext xmlns:c16="http://schemas.microsoft.com/office/drawing/2014/chart" uri="{C3380CC4-5D6E-409C-BE32-E72D297353CC}">
              <c16:uniqueId val="{00000001-E1E6-4BF1-B00D-1B79B0557414}"/>
            </c:ext>
          </c:extLst>
        </c:ser>
        <c:dLbls>
          <c:showLegendKey val="0"/>
          <c:showVal val="0"/>
          <c:showCatName val="0"/>
          <c:showSerName val="0"/>
          <c:showPercent val="0"/>
          <c:showBubbleSize val="0"/>
        </c:dLbls>
        <c:gapWidth val="50"/>
        <c:overlap val="100"/>
        <c:axId val="352462368"/>
        <c:axId val="352462760"/>
      </c:barChart>
      <c:catAx>
        <c:axId val="35246236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2760"/>
        <c:crosses val="autoZero"/>
        <c:auto val="1"/>
        <c:lblAlgn val="ctr"/>
        <c:lblOffset val="100"/>
        <c:noMultiLvlLbl val="0"/>
      </c:catAx>
      <c:valAx>
        <c:axId val="352462760"/>
        <c:scaling>
          <c:orientation val="minMax"/>
          <c:min val="-5"/>
        </c:scaling>
        <c:delete val="0"/>
        <c:axPos val="l"/>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2368"/>
        <c:crosses val="autoZero"/>
        <c:crossBetween val="between"/>
      </c:valAx>
    </c:plotArea>
    <c:legend>
      <c:legendPos val="t"/>
      <c:layout>
        <c:manualLayout>
          <c:xMode val="edge"/>
          <c:yMode val="edge"/>
          <c:x val="6.9991388277562905E-2"/>
          <c:y val="2.7110024318297253E-3"/>
          <c:w val="0.8735067320427865"/>
          <c:h val="7.3416560202270498E-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7642062097247"/>
          <c:y val="4.1337069090199699E-2"/>
          <c:w val="0.85338146756374067"/>
          <c:h val="0.79070052168297411"/>
        </c:manualLayout>
      </c:layout>
      <c:lineChart>
        <c:grouping val="standard"/>
        <c:varyColors val="0"/>
        <c:ser>
          <c:idx val="1"/>
          <c:order val="0"/>
          <c:tx>
            <c:strRef>
              <c:f>Results!$B$154</c:f>
              <c:strCache>
                <c:ptCount val="1"/>
                <c:pt idx="0">
                  <c:v>Esc. con evento</c:v>
                </c:pt>
              </c:strCache>
            </c:strRef>
          </c:tx>
          <c:spPr>
            <a:ln w="19050" cap="rnd">
              <a:solidFill>
                <a:srgbClr val="FF0000"/>
              </a:solidFill>
              <a:prstDash val="sysDash"/>
              <a:round/>
            </a:ln>
            <a:effectLst/>
          </c:spPr>
          <c:marker>
            <c:symbol val="none"/>
          </c:marker>
          <c:dPt>
            <c:idx val="6"/>
            <c:bubble3D val="0"/>
            <c:spPr>
              <a:ln w="19050" cap="rnd">
                <a:solidFill>
                  <a:srgbClr val="FF0000"/>
                </a:solidFill>
                <a:prstDash val="sysDash"/>
                <a:round/>
              </a:ln>
              <a:effectLst/>
            </c:spPr>
            <c:extLst>
              <c:ext xmlns:c16="http://schemas.microsoft.com/office/drawing/2014/chart" uri="{C3380CC4-5D6E-409C-BE32-E72D297353CC}">
                <c16:uniqueId val="{00000001-60B9-4FFB-A86A-81B9C870B05F}"/>
              </c:ext>
            </c:extLst>
          </c:dPt>
          <c:dPt>
            <c:idx val="7"/>
            <c:bubble3D val="0"/>
            <c:spPr>
              <a:ln w="19050" cap="rnd">
                <a:solidFill>
                  <a:srgbClr val="FF0000"/>
                </a:solidFill>
                <a:prstDash val="sysDash"/>
                <a:round/>
              </a:ln>
              <a:effectLst/>
            </c:spPr>
            <c:extLst>
              <c:ext xmlns:c16="http://schemas.microsoft.com/office/drawing/2014/chart" uri="{C3380CC4-5D6E-409C-BE32-E72D297353CC}">
                <c16:uniqueId val="{00000003-60B9-4FFB-A86A-81B9C870B05F}"/>
              </c:ext>
            </c:extLst>
          </c:dPt>
          <c:dPt>
            <c:idx val="8"/>
            <c:bubble3D val="0"/>
            <c:spPr>
              <a:ln w="19050" cap="rnd">
                <a:solidFill>
                  <a:srgbClr val="FF0000"/>
                </a:solidFill>
                <a:prstDash val="sysDash"/>
                <a:round/>
              </a:ln>
              <a:effectLst/>
            </c:spPr>
            <c:extLst>
              <c:ext xmlns:c16="http://schemas.microsoft.com/office/drawing/2014/chart" uri="{C3380CC4-5D6E-409C-BE32-E72D297353CC}">
                <c16:uniqueId val="{00000005-60B9-4FFB-A86A-81B9C870B05F}"/>
              </c:ext>
            </c:extLst>
          </c:dPt>
          <c:dPt>
            <c:idx val="9"/>
            <c:bubble3D val="0"/>
            <c:spPr>
              <a:ln w="19050" cap="rnd">
                <a:solidFill>
                  <a:srgbClr val="FF0000"/>
                </a:solidFill>
                <a:prstDash val="sysDash"/>
                <a:round/>
              </a:ln>
              <a:effectLst/>
            </c:spPr>
            <c:extLst>
              <c:ext xmlns:c16="http://schemas.microsoft.com/office/drawing/2014/chart" uri="{C3380CC4-5D6E-409C-BE32-E72D297353CC}">
                <c16:uniqueId val="{00000007-60B9-4FFB-A86A-81B9C870B05F}"/>
              </c:ext>
            </c:extLst>
          </c:dPt>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Results!$L$162:$AA$162</c:f>
              <c:numCache>
                <c:formatCode>0.0</c:formatCode>
                <c:ptCount val="16"/>
                <c:pt idx="0">
                  <c:v>24.619</c:v>
                </c:pt>
                <c:pt idx="1">
                  <c:v>24.283000000000001</c:v>
                </c:pt>
                <c:pt idx="2">
                  <c:v>24.206</c:v>
                </c:pt>
                <c:pt idx="3">
                  <c:v>24.48</c:v>
                </c:pt>
                <c:pt idx="4">
                  <c:v>24.375</c:v>
                </c:pt>
                <c:pt idx="5">
                  <c:v>24.446999999999999</c:v>
                </c:pt>
                <c:pt idx="6">
                  <c:v>24.643999999999998</c:v>
                </c:pt>
                <c:pt idx="7">
                  <c:v>25.03</c:v>
                </c:pt>
                <c:pt idx="8">
                  <c:v>25.428999999999998</c:v>
                </c:pt>
                <c:pt idx="9">
                  <c:v>25.821999999999999</c:v>
                </c:pt>
                <c:pt idx="10">
                  <c:v>28.425119858440439</c:v>
                </c:pt>
                <c:pt idx="11">
                  <c:v>29.590456935978864</c:v>
                </c:pt>
                <c:pt idx="12">
                  <c:v>30.28137650561775</c:v>
                </c:pt>
                <c:pt idx="13">
                  <c:v>29.670057002299249</c:v>
                </c:pt>
                <c:pt idx="14">
                  <c:v>28.565404596495149</c:v>
                </c:pt>
                <c:pt idx="15">
                  <c:v>27.152883009703931</c:v>
                </c:pt>
              </c:numCache>
            </c:numRef>
          </c:val>
          <c:smooth val="1"/>
          <c:extLst>
            <c:ext xmlns:c16="http://schemas.microsoft.com/office/drawing/2014/chart" uri="{C3380CC4-5D6E-409C-BE32-E72D297353CC}">
              <c16:uniqueId val="{00000008-60B9-4FFB-A86A-81B9C870B05F}"/>
            </c:ext>
          </c:extLst>
        </c:ser>
        <c:ser>
          <c:idx val="0"/>
          <c:order val="1"/>
          <c:tx>
            <c:strRef>
              <c:f>Results!$B$21</c:f>
              <c:strCache>
                <c:ptCount val="1"/>
                <c:pt idx="0">
                  <c:v>Esc. Base</c:v>
                </c:pt>
              </c:strCache>
            </c:strRef>
          </c:tx>
          <c:spPr>
            <a:ln w="19050" cap="rnd">
              <a:solidFill>
                <a:srgbClr val="002060"/>
              </a:solidFill>
              <a:round/>
            </a:ln>
            <a:effectLst/>
          </c:spPr>
          <c:marker>
            <c:symbol val="none"/>
          </c:marker>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Results!$L$150:$AA$150</c:f>
              <c:numCache>
                <c:formatCode>0.0</c:formatCode>
                <c:ptCount val="16"/>
                <c:pt idx="0">
                  <c:v>24.619</c:v>
                </c:pt>
                <c:pt idx="1">
                  <c:v>24.283000000000001</c:v>
                </c:pt>
                <c:pt idx="2">
                  <c:v>24.206</c:v>
                </c:pt>
                <c:pt idx="3">
                  <c:v>24.48</c:v>
                </c:pt>
                <c:pt idx="4">
                  <c:v>24.375</c:v>
                </c:pt>
                <c:pt idx="5">
                  <c:v>24.446999999999999</c:v>
                </c:pt>
                <c:pt idx="6">
                  <c:v>24.643999999999998</c:v>
                </c:pt>
                <c:pt idx="7">
                  <c:v>25.03</c:v>
                </c:pt>
                <c:pt idx="8">
                  <c:v>25.428999999999998</c:v>
                </c:pt>
                <c:pt idx="9">
                  <c:v>25.821999999999999</c:v>
                </c:pt>
                <c:pt idx="10">
                  <c:v>28.425119858440446</c:v>
                </c:pt>
                <c:pt idx="11">
                  <c:v>27.876110469636451</c:v>
                </c:pt>
                <c:pt idx="12">
                  <c:v>27.526035587382292</c:v>
                </c:pt>
                <c:pt idx="13">
                  <c:v>26.645274857682523</c:v>
                </c:pt>
                <c:pt idx="14">
                  <c:v>25.322144596050254</c:v>
                </c:pt>
                <c:pt idx="15">
                  <c:v>23.733960828448382</c:v>
                </c:pt>
              </c:numCache>
            </c:numRef>
          </c:val>
          <c:smooth val="1"/>
          <c:extLst>
            <c:ext xmlns:c16="http://schemas.microsoft.com/office/drawing/2014/chart" uri="{C3380CC4-5D6E-409C-BE32-E72D297353CC}">
              <c16:uniqueId val="{00000009-60B9-4FFB-A86A-81B9C870B05F}"/>
            </c:ext>
          </c:extLst>
        </c:ser>
        <c:dLbls>
          <c:showLegendKey val="0"/>
          <c:showVal val="0"/>
          <c:showCatName val="0"/>
          <c:showSerName val="0"/>
          <c:showPercent val="0"/>
          <c:showBubbleSize val="0"/>
        </c:dLbls>
        <c:smooth val="0"/>
        <c:axId val="352463544"/>
        <c:axId val="352461192"/>
      </c:lineChart>
      <c:catAx>
        <c:axId val="35246354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1192"/>
        <c:crosses val="autoZero"/>
        <c:auto val="1"/>
        <c:lblAlgn val="ctr"/>
        <c:lblOffset val="100"/>
        <c:noMultiLvlLbl val="0"/>
      </c:catAx>
      <c:valAx>
        <c:axId val="352461192"/>
        <c:scaling>
          <c:orientation val="minMax"/>
          <c:min val="19"/>
        </c:scaling>
        <c:delete val="0"/>
        <c:axPos val="l"/>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3544"/>
        <c:crosses val="autoZero"/>
        <c:crossBetween val="between"/>
      </c:valAx>
    </c:plotArea>
    <c:legend>
      <c:legendPos val="t"/>
      <c:layout>
        <c:manualLayout>
          <c:xMode val="edge"/>
          <c:yMode val="edge"/>
          <c:x val="8.4645833333333323E-2"/>
          <c:y val="2.3005000000000001E-2"/>
          <c:w val="0.84611214714371652"/>
          <c:h val="0.1358124766655343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66180555555557"/>
          <c:y val="5.1233515932227768E-2"/>
          <c:w val="0.85338146756374067"/>
          <c:h val="0.78826175636375628"/>
        </c:manualLayout>
      </c:layout>
      <c:lineChart>
        <c:grouping val="standard"/>
        <c:varyColors val="0"/>
        <c:ser>
          <c:idx val="1"/>
          <c:order val="0"/>
          <c:tx>
            <c:strRef>
              <c:f>Results!$B$154</c:f>
              <c:strCache>
                <c:ptCount val="1"/>
                <c:pt idx="0">
                  <c:v>Esc. con evento</c:v>
                </c:pt>
              </c:strCache>
            </c:strRef>
          </c:tx>
          <c:spPr>
            <a:ln w="19050" cap="rnd">
              <a:solidFill>
                <a:srgbClr val="FF0000"/>
              </a:solidFill>
              <a:prstDash val="sysDash"/>
              <a:round/>
            </a:ln>
            <a:effectLst/>
          </c:spPr>
          <c:marker>
            <c:symbol val="none"/>
          </c:marker>
          <c:dPt>
            <c:idx val="13"/>
            <c:bubble3D val="0"/>
            <c:spPr>
              <a:ln w="19050" cap="rnd">
                <a:solidFill>
                  <a:srgbClr val="FF0000"/>
                </a:solidFill>
                <a:prstDash val="sysDash"/>
                <a:round/>
              </a:ln>
              <a:effectLst/>
            </c:spPr>
            <c:extLst>
              <c:ext xmlns:c16="http://schemas.microsoft.com/office/drawing/2014/chart" uri="{C3380CC4-5D6E-409C-BE32-E72D297353CC}">
                <c16:uniqueId val="{00000001-ABBC-479E-8B47-A148D0D20085}"/>
              </c:ext>
            </c:extLst>
          </c:dPt>
          <c:dPt>
            <c:idx val="14"/>
            <c:bubble3D val="0"/>
            <c:spPr>
              <a:ln w="19050" cap="rnd">
                <a:solidFill>
                  <a:srgbClr val="FF0000"/>
                </a:solidFill>
                <a:prstDash val="sysDash"/>
                <a:round/>
              </a:ln>
              <a:effectLst/>
            </c:spPr>
            <c:extLst>
              <c:ext xmlns:c16="http://schemas.microsoft.com/office/drawing/2014/chart" uri="{C3380CC4-5D6E-409C-BE32-E72D297353CC}">
                <c16:uniqueId val="{00000003-ABBC-479E-8B47-A148D0D20085}"/>
              </c:ext>
            </c:extLst>
          </c:dPt>
          <c:dPt>
            <c:idx val="15"/>
            <c:bubble3D val="0"/>
            <c:spPr>
              <a:ln w="19050" cap="rnd">
                <a:solidFill>
                  <a:srgbClr val="FF0000"/>
                </a:solidFill>
                <a:prstDash val="sysDash"/>
                <a:round/>
              </a:ln>
              <a:effectLst/>
            </c:spPr>
            <c:extLst>
              <c:ext xmlns:c16="http://schemas.microsoft.com/office/drawing/2014/chart" uri="{C3380CC4-5D6E-409C-BE32-E72D297353CC}">
                <c16:uniqueId val="{00000005-ABBC-479E-8B47-A148D0D20085}"/>
              </c:ext>
            </c:extLst>
          </c:dPt>
          <c:dPt>
            <c:idx val="19"/>
            <c:bubble3D val="0"/>
            <c:spPr>
              <a:ln w="19050" cap="rnd">
                <a:solidFill>
                  <a:srgbClr val="FF0000"/>
                </a:solidFill>
                <a:prstDash val="sysDash"/>
                <a:round/>
              </a:ln>
              <a:effectLst/>
            </c:spPr>
            <c:extLst>
              <c:ext xmlns:c16="http://schemas.microsoft.com/office/drawing/2014/chart" uri="{C3380CC4-5D6E-409C-BE32-E72D297353CC}">
                <c16:uniqueId val="{00000007-ABBC-479E-8B47-A148D0D20085}"/>
              </c:ext>
            </c:extLst>
          </c:dPt>
          <c:dPt>
            <c:idx val="20"/>
            <c:bubble3D val="0"/>
            <c:spPr>
              <a:ln w="19050" cap="rnd">
                <a:solidFill>
                  <a:srgbClr val="FF0000"/>
                </a:solidFill>
                <a:prstDash val="sysDash"/>
                <a:round/>
              </a:ln>
              <a:effectLst/>
            </c:spPr>
            <c:extLst>
              <c:ext xmlns:c16="http://schemas.microsoft.com/office/drawing/2014/chart" uri="{C3380CC4-5D6E-409C-BE32-E72D297353CC}">
                <c16:uniqueId val="{00000009-ABBC-479E-8B47-A148D0D20085}"/>
              </c:ext>
            </c:extLst>
          </c:dPt>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Results!$L$158:$AA$158</c:f>
              <c:numCache>
                <c:formatCode>0.0</c:formatCode>
                <c:ptCount val="16"/>
                <c:pt idx="0">
                  <c:v>3.4854221929524982</c:v>
                </c:pt>
                <c:pt idx="1">
                  <c:v>4.4439778222835145</c:v>
                </c:pt>
                <c:pt idx="2">
                  <c:v>4.0921707249436565</c:v>
                </c:pt>
                <c:pt idx="3">
                  <c:v>2.6778027219768035</c:v>
                </c:pt>
                <c:pt idx="4">
                  <c:v>3.0798512832579803</c:v>
                </c:pt>
                <c:pt idx="5">
                  <c:v>3.4068734665204232</c:v>
                </c:pt>
                <c:pt idx="6">
                  <c:v>4.0178979271631192</c:v>
                </c:pt>
                <c:pt idx="7">
                  <c:v>-1.7918576862091697</c:v>
                </c:pt>
                <c:pt idx="8">
                  <c:v>8.0024080178003061</c:v>
                </c:pt>
                <c:pt idx="9">
                  <c:v>4.1180041818460182</c:v>
                </c:pt>
                <c:pt idx="10">
                  <c:v>3.5</c:v>
                </c:pt>
                <c:pt idx="11">
                  <c:v>2.4425968482187788</c:v>
                </c:pt>
                <c:pt idx="12">
                  <c:v>2.6025082593780646</c:v>
                </c:pt>
                <c:pt idx="13">
                  <c:v>2.7023705454945013</c:v>
                </c:pt>
                <c:pt idx="14">
                  <c:v>2.7022418708768736</c:v>
                </c:pt>
                <c:pt idx="15">
                  <c:v>2.7021217601223979</c:v>
                </c:pt>
              </c:numCache>
            </c:numRef>
          </c:val>
          <c:smooth val="1"/>
          <c:extLst>
            <c:ext xmlns:c16="http://schemas.microsoft.com/office/drawing/2014/chart" uri="{C3380CC4-5D6E-409C-BE32-E72D297353CC}">
              <c16:uniqueId val="{0000000A-ABBC-479E-8B47-A148D0D20085}"/>
            </c:ext>
          </c:extLst>
        </c:ser>
        <c:ser>
          <c:idx val="0"/>
          <c:order val="1"/>
          <c:tx>
            <c:strRef>
              <c:f>Results!$B$142</c:f>
              <c:strCache>
                <c:ptCount val="1"/>
                <c:pt idx="0">
                  <c:v>Esc. Base</c:v>
                </c:pt>
              </c:strCache>
            </c:strRef>
          </c:tx>
          <c:spPr>
            <a:ln w="19050" cap="rnd">
              <a:solidFill>
                <a:srgbClr val="002060"/>
              </a:solidFill>
              <a:round/>
            </a:ln>
            <a:effectLst/>
          </c:spPr>
          <c:marker>
            <c:symbol val="none"/>
          </c:marker>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Results!$L$146:$AA$146</c:f>
              <c:numCache>
                <c:formatCode>0.0</c:formatCode>
                <c:ptCount val="16"/>
                <c:pt idx="0">
                  <c:v>3.4854221929524982</c:v>
                </c:pt>
                <c:pt idx="1">
                  <c:v>4.4439778222835145</c:v>
                </c:pt>
                <c:pt idx="2">
                  <c:v>4.0921707249436565</c:v>
                </c:pt>
                <c:pt idx="3">
                  <c:v>2.6778027219768035</c:v>
                </c:pt>
                <c:pt idx="4">
                  <c:v>3.0798512832579803</c:v>
                </c:pt>
                <c:pt idx="5">
                  <c:v>3.4068734665204232</c:v>
                </c:pt>
                <c:pt idx="6">
                  <c:v>4.0178979271631192</c:v>
                </c:pt>
                <c:pt idx="7">
                  <c:v>-1.7918576862091697</c:v>
                </c:pt>
                <c:pt idx="8">
                  <c:v>8.0024080178003061</c:v>
                </c:pt>
                <c:pt idx="9">
                  <c:v>4.1180041818460182</c:v>
                </c:pt>
                <c:pt idx="10">
                  <c:v>3.5</c:v>
                </c:pt>
                <c:pt idx="11">
                  <c:v>2.5</c:v>
                </c:pt>
                <c:pt idx="12">
                  <c:v>2.6</c:v>
                </c:pt>
                <c:pt idx="13">
                  <c:v>2.7</c:v>
                </c:pt>
                <c:pt idx="14">
                  <c:v>2.7</c:v>
                </c:pt>
                <c:pt idx="15">
                  <c:v>2.7</c:v>
                </c:pt>
              </c:numCache>
            </c:numRef>
          </c:val>
          <c:smooth val="1"/>
          <c:extLst>
            <c:ext xmlns:c16="http://schemas.microsoft.com/office/drawing/2014/chart" uri="{C3380CC4-5D6E-409C-BE32-E72D297353CC}">
              <c16:uniqueId val="{0000000B-ABBC-479E-8B47-A148D0D20085}"/>
            </c:ext>
          </c:extLst>
        </c:ser>
        <c:dLbls>
          <c:showLegendKey val="0"/>
          <c:showVal val="0"/>
          <c:showCatName val="0"/>
          <c:showSerName val="0"/>
          <c:showPercent val="0"/>
          <c:showBubbleSize val="0"/>
        </c:dLbls>
        <c:smooth val="0"/>
        <c:axId val="352467072"/>
        <c:axId val="352467856"/>
      </c:lineChart>
      <c:catAx>
        <c:axId val="35246707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7856"/>
        <c:crosses val="autoZero"/>
        <c:auto val="1"/>
        <c:lblAlgn val="ctr"/>
        <c:lblOffset val="100"/>
        <c:noMultiLvlLbl val="0"/>
      </c:catAx>
      <c:valAx>
        <c:axId val="352467856"/>
        <c:scaling>
          <c:orientation val="minMax"/>
          <c:max val="8.5"/>
          <c:min val="-2.5"/>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7072"/>
        <c:crosses val="autoZero"/>
        <c:crossBetween val="between"/>
      </c:valAx>
      <c:spPr>
        <a:ln>
          <a:noFill/>
        </a:ln>
      </c:spPr>
    </c:plotArea>
    <c:legend>
      <c:legendPos val="t"/>
      <c:layout>
        <c:manualLayout>
          <c:xMode val="edge"/>
          <c:yMode val="edge"/>
          <c:x val="0"/>
          <c:y val="1.5777982107504731E-3"/>
          <c:w val="0.78576684387578266"/>
          <c:h val="0.10784196859378885"/>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7642062097247"/>
          <c:y val="5.1411095147953806E-2"/>
          <c:w val="0.85338146756374067"/>
          <c:h val="0.79463432380271182"/>
        </c:manualLayout>
      </c:layout>
      <c:barChart>
        <c:barDir val="col"/>
        <c:grouping val="clustered"/>
        <c:varyColors val="0"/>
        <c:ser>
          <c:idx val="0"/>
          <c:order val="0"/>
          <c:tx>
            <c:strRef>
              <c:f>Results!$B$154</c:f>
              <c:strCache>
                <c:ptCount val="1"/>
                <c:pt idx="0">
                  <c:v>Esc. con evento</c:v>
                </c:pt>
              </c:strCache>
            </c:strRef>
          </c:tx>
          <c:spPr>
            <a:solidFill>
              <a:srgbClr val="FF0000"/>
            </a:solidFill>
            <a:ln>
              <a:noFill/>
            </a:ln>
            <a:effectLst/>
          </c:spPr>
          <c:invertIfNegative val="0"/>
          <c:cat>
            <c:numRef>
              <c:f>Results!$L$154:$AA$154</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Results!$L$161:$AA$161</c:f>
              <c:numCache>
                <c:formatCode>0.0</c:formatCode>
                <c:ptCount val="16"/>
                <c:pt idx="0">
                  <c:v>-2.1638208169798929</c:v>
                </c:pt>
                <c:pt idx="1">
                  <c:v>-1.9212819848170588</c:v>
                </c:pt>
                <c:pt idx="2">
                  <c:v>-1.4720918688697777</c:v>
                </c:pt>
                <c:pt idx="3">
                  <c:v>-1.1100889548462414</c:v>
                </c:pt>
                <c:pt idx="4">
                  <c:v>-1.3841813369920184</c:v>
                </c:pt>
                <c:pt idx="5">
                  <c:v>-1.8805255620287205</c:v>
                </c:pt>
                <c:pt idx="6">
                  <c:v>-2.2360422335631998</c:v>
                </c:pt>
                <c:pt idx="7">
                  <c:v>-4.9098327111815481</c:v>
                </c:pt>
                <c:pt idx="8">
                  <c:v>-1.1675467056468234</c:v>
                </c:pt>
                <c:pt idx="9">
                  <c:v>-1.7065259597849245</c:v>
                </c:pt>
                <c:pt idx="10">
                  <c:v>-1.6961427745590194</c:v>
                </c:pt>
                <c:pt idx="11" formatCode="0.00">
                  <c:v>-1.7685293588915734</c:v>
                </c:pt>
                <c:pt idx="12">
                  <c:v>-1.3074627044418496</c:v>
                </c:pt>
                <c:pt idx="13">
                  <c:v>-0.78265939890040681</c:v>
                </c:pt>
                <c:pt idx="14">
                  <c:v>-0.28753428892427907</c:v>
                </c:pt>
                <c:pt idx="15">
                  <c:v>6.1253056779454598E-2</c:v>
                </c:pt>
              </c:numCache>
            </c:numRef>
          </c:val>
          <c:extLst>
            <c:ext xmlns:c16="http://schemas.microsoft.com/office/drawing/2014/chart" uri="{C3380CC4-5D6E-409C-BE32-E72D297353CC}">
              <c16:uniqueId val="{00000000-11C7-4DB8-BC93-20D21FC4D3B3}"/>
            </c:ext>
          </c:extLst>
        </c:ser>
        <c:ser>
          <c:idx val="1"/>
          <c:order val="1"/>
          <c:tx>
            <c:strRef>
              <c:f>Results!$B$142</c:f>
              <c:strCache>
                <c:ptCount val="1"/>
                <c:pt idx="0">
                  <c:v>Esc. Base</c:v>
                </c:pt>
              </c:strCache>
            </c:strRef>
          </c:tx>
          <c:spPr>
            <a:solidFill>
              <a:srgbClr val="002060"/>
            </a:solidFill>
            <a:ln>
              <a:noFill/>
            </a:ln>
            <a:effectLst/>
          </c:spPr>
          <c:invertIfNegative val="0"/>
          <c:cat>
            <c:numRef>
              <c:f>Results!$L$154:$AA$154</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Results!$L$149:$AA$149</c:f>
              <c:numCache>
                <c:formatCode>0.0</c:formatCode>
                <c:ptCount val="16"/>
                <c:pt idx="0">
                  <c:v>-2.1638208169798929</c:v>
                </c:pt>
                <c:pt idx="1">
                  <c:v>-1.9212819848170588</c:v>
                </c:pt>
                <c:pt idx="2">
                  <c:v>-1.4720918688697777</c:v>
                </c:pt>
                <c:pt idx="3">
                  <c:v>-1.1100889548462414</c:v>
                </c:pt>
                <c:pt idx="4">
                  <c:v>-1.3841813369920184</c:v>
                </c:pt>
                <c:pt idx="5">
                  <c:v>-1.8805255620287205</c:v>
                </c:pt>
                <c:pt idx="6">
                  <c:v>-2.2360422335631998</c:v>
                </c:pt>
                <c:pt idx="7">
                  <c:v>-4.9098327111815481</c:v>
                </c:pt>
                <c:pt idx="8">
                  <c:v>-1.1675467056468234</c:v>
                </c:pt>
                <c:pt idx="9">
                  <c:v>-1.7065259597849245</c:v>
                </c:pt>
                <c:pt idx="10">
                  <c:v>-1.6961427745590212</c:v>
                </c:pt>
                <c:pt idx="11" formatCode="0.00">
                  <c:v>-1.7413305375549775</c:v>
                </c:pt>
                <c:pt idx="12">
                  <c:v>-1.2750860509419715</c:v>
                </c:pt>
                <c:pt idx="13">
                  <c:v>-0.77216174540121618</c:v>
                </c:pt>
                <c:pt idx="14">
                  <c:v>-0.27791295369225766</c:v>
                </c:pt>
                <c:pt idx="15">
                  <c:v>7.0119623564376482E-2</c:v>
                </c:pt>
              </c:numCache>
            </c:numRef>
          </c:val>
          <c:extLst>
            <c:ext xmlns:c16="http://schemas.microsoft.com/office/drawing/2014/chart" uri="{C3380CC4-5D6E-409C-BE32-E72D297353CC}">
              <c16:uniqueId val="{00000001-11C7-4DB8-BC93-20D21FC4D3B3}"/>
            </c:ext>
          </c:extLst>
        </c:ser>
        <c:dLbls>
          <c:showLegendKey val="0"/>
          <c:showVal val="0"/>
          <c:showCatName val="0"/>
          <c:showSerName val="0"/>
          <c:showPercent val="0"/>
          <c:showBubbleSize val="0"/>
        </c:dLbls>
        <c:gapWidth val="50"/>
        <c:overlap val="100"/>
        <c:axId val="352462368"/>
        <c:axId val="352462760"/>
      </c:barChart>
      <c:catAx>
        <c:axId val="35246236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2760"/>
        <c:crosses val="autoZero"/>
        <c:auto val="1"/>
        <c:lblAlgn val="ctr"/>
        <c:lblOffset val="100"/>
        <c:noMultiLvlLbl val="0"/>
      </c:catAx>
      <c:valAx>
        <c:axId val="352462760"/>
        <c:scaling>
          <c:orientation val="minMax"/>
          <c:min val="-5"/>
        </c:scaling>
        <c:delete val="0"/>
        <c:axPos val="l"/>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2368"/>
        <c:crosses val="autoZero"/>
        <c:crossBetween val="between"/>
      </c:valAx>
    </c:plotArea>
    <c:legend>
      <c:legendPos val="t"/>
      <c:layout>
        <c:manualLayout>
          <c:xMode val="edge"/>
          <c:yMode val="edge"/>
          <c:x val="6.9991667741126001E-2"/>
          <c:y val="2.8340955341120105E-2"/>
          <c:w val="0.8735067320427865"/>
          <c:h val="7.3416560202270498E-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43548387096774E-2"/>
          <c:y val="5.5910543130990413E-2"/>
          <c:w val="0.90927419354838712"/>
          <c:h val="0.7327067243591356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Inf!$B$42:$B$44</c:f>
              <c:strCache>
                <c:ptCount val="3"/>
                <c:pt idx="0">
                  <c:v>Año presupuestario</c:v>
                </c:pt>
                <c:pt idx="1">
                  <c:v>Año presupuestario+1</c:v>
                </c:pt>
                <c:pt idx="2">
                  <c:v>Año presupuestario+2</c:v>
                </c:pt>
              </c:strCache>
            </c:strRef>
          </c:cat>
          <c:val>
            <c:numRef>
              <c:f>Inf!$D$42:$D$44</c:f>
              <c:numCache>
                <c:formatCode>_(* #,##0.00_);_(* \(#,##0.00\);_(* "-"??_);_(@_)</c:formatCode>
                <c:ptCount val="3"/>
                <c:pt idx="0">
                  <c:v>1.667272727272727</c:v>
                </c:pt>
                <c:pt idx="1">
                  <c:v>1.4181818181818182</c:v>
                </c:pt>
                <c:pt idx="2">
                  <c:v>1.7369999999999997</c:v>
                </c:pt>
              </c:numCache>
            </c:numRef>
          </c:val>
          <c:extLst>
            <c:ext xmlns:c16="http://schemas.microsoft.com/office/drawing/2014/chart" uri="{C3380CC4-5D6E-409C-BE32-E72D297353CC}">
              <c16:uniqueId val="{00000000-228C-4643-8AD0-BDC2AC430334}"/>
            </c:ext>
          </c:extLst>
        </c:ser>
        <c:dLbls>
          <c:showLegendKey val="0"/>
          <c:showVal val="0"/>
          <c:showCatName val="0"/>
          <c:showSerName val="0"/>
          <c:showPercent val="0"/>
          <c:showBubbleSize val="0"/>
        </c:dLbls>
        <c:gapWidth val="219"/>
        <c:overlap val="-27"/>
        <c:axId val="1217834752"/>
        <c:axId val="1217835168"/>
      </c:barChart>
      <c:catAx>
        <c:axId val="121783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17835168"/>
        <c:crosses val="autoZero"/>
        <c:auto val="1"/>
        <c:lblAlgn val="ctr"/>
        <c:lblOffset val="100"/>
        <c:noMultiLvlLbl val="0"/>
      </c:catAx>
      <c:valAx>
        <c:axId val="1217835168"/>
        <c:scaling>
          <c:orientation val="minMax"/>
          <c:min val="1.2"/>
        </c:scaling>
        <c:delete val="1"/>
        <c:axPos val="l"/>
        <c:numFmt formatCode="_(* #,##0.00_);_(* \(#,##0.00\);_(* &quot;-&quot;??_);_(@_)" sourceLinked="1"/>
        <c:majorTickMark val="none"/>
        <c:minorTickMark val="none"/>
        <c:tickLblPos val="nextTo"/>
        <c:crossAx val="1217834752"/>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7642062097247"/>
          <c:y val="6.554917714377323E-2"/>
          <c:w val="0.85338146756374067"/>
          <c:h val="0.74419136494586013"/>
        </c:manualLayout>
      </c:layout>
      <c:lineChart>
        <c:grouping val="standard"/>
        <c:varyColors val="0"/>
        <c:ser>
          <c:idx val="1"/>
          <c:order val="0"/>
          <c:tx>
            <c:strRef>
              <c:f>Results!$B$154</c:f>
              <c:strCache>
                <c:ptCount val="1"/>
                <c:pt idx="0">
                  <c:v>Esc. con evento</c:v>
                </c:pt>
              </c:strCache>
            </c:strRef>
          </c:tx>
          <c:spPr>
            <a:ln w="19050" cap="rnd">
              <a:solidFill>
                <a:srgbClr val="FF0000"/>
              </a:solidFill>
              <a:prstDash val="sysDash"/>
              <a:round/>
            </a:ln>
            <a:effectLst/>
          </c:spPr>
          <c:marker>
            <c:symbol val="none"/>
          </c:marker>
          <c:dPt>
            <c:idx val="6"/>
            <c:bubble3D val="0"/>
            <c:spPr>
              <a:ln w="19050" cap="rnd">
                <a:solidFill>
                  <a:srgbClr val="FF0000"/>
                </a:solidFill>
                <a:prstDash val="sysDash"/>
                <a:round/>
              </a:ln>
              <a:effectLst/>
            </c:spPr>
            <c:extLst>
              <c:ext xmlns:c16="http://schemas.microsoft.com/office/drawing/2014/chart" uri="{C3380CC4-5D6E-409C-BE32-E72D297353CC}">
                <c16:uniqueId val="{00000001-54CB-403D-B03D-0B3753DD51B6}"/>
              </c:ext>
            </c:extLst>
          </c:dPt>
          <c:dPt>
            <c:idx val="7"/>
            <c:bubble3D val="0"/>
            <c:spPr>
              <a:ln w="19050" cap="rnd">
                <a:solidFill>
                  <a:srgbClr val="FF0000"/>
                </a:solidFill>
                <a:prstDash val="sysDash"/>
                <a:round/>
              </a:ln>
              <a:effectLst/>
            </c:spPr>
            <c:extLst>
              <c:ext xmlns:c16="http://schemas.microsoft.com/office/drawing/2014/chart" uri="{C3380CC4-5D6E-409C-BE32-E72D297353CC}">
                <c16:uniqueId val="{00000003-54CB-403D-B03D-0B3753DD51B6}"/>
              </c:ext>
            </c:extLst>
          </c:dPt>
          <c:dPt>
            <c:idx val="8"/>
            <c:bubble3D val="0"/>
            <c:spPr>
              <a:ln w="19050" cap="rnd">
                <a:solidFill>
                  <a:srgbClr val="FF0000"/>
                </a:solidFill>
                <a:prstDash val="sysDash"/>
                <a:round/>
              </a:ln>
              <a:effectLst/>
            </c:spPr>
            <c:extLst>
              <c:ext xmlns:c16="http://schemas.microsoft.com/office/drawing/2014/chart" uri="{C3380CC4-5D6E-409C-BE32-E72D297353CC}">
                <c16:uniqueId val="{00000005-54CB-403D-B03D-0B3753DD51B6}"/>
              </c:ext>
            </c:extLst>
          </c:dPt>
          <c:dPt>
            <c:idx val="9"/>
            <c:bubble3D val="0"/>
            <c:spPr>
              <a:ln w="19050" cap="rnd">
                <a:solidFill>
                  <a:srgbClr val="FF0000"/>
                </a:solidFill>
                <a:prstDash val="sysDash"/>
                <a:round/>
              </a:ln>
              <a:effectLst/>
            </c:spPr>
            <c:extLst>
              <c:ext xmlns:c16="http://schemas.microsoft.com/office/drawing/2014/chart" uri="{C3380CC4-5D6E-409C-BE32-E72D297353CC}">
                <c16:uniqueId val="{00000007-54CB-403D-B03D-0B3753DD51B6}"/>
              </c:ext>
            </c:extLst>
          </c:dPt>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Results!$L$162:$AA$162</c:f>
              <c:numCache>
                <c:formatCode>0.0</c:formatCode>
                <c:ptCount val="16"/>
                <c:pt idx="0">
                  <c:v>24.619</c:v>
                </c:pt>
                <c:pt idx="1">
                  <c:v>24.283000000000001</c:v>
                </c:pt>
                <c:pt idx="2">
                  <c:v>24.206</c:v>
                </c:pt>
                <c:pt idx="3">
                  <c:v>24.48</c:v>
                </c:pt>
                <c:pt idx="4">
                  <c:v>24.375</c:v>
                </c:pt>
                <c:pt idx="5">
                  <c:v>24.446999999999999</c:v>
                </c:pt>
                <c:pt idx="6">
                  <c:v>24.643999999999998</c:v>
                </c:pt>
                <c:pt idx="7">
                  <c:v>25.03</c:v>
                </c:pt>
                <c:pt idx="8">
                  <c:v>25.428999999999998</c:v>
                </c:pt>
                <c:pt idx="9">
                  <c:v>25.821999999999999</c:v>
                </c:pt>
                <c:pt idx="10">
                  <c:v>28.425119858440439</c:v>
                </c:pt>
                <c:pt idx="11">
                  <c:v>27.922259853944009</c:v>
                </c:pt>
                <c:pt idx="12">
                  <c:v>27.605233492704496</c:v>
                </c:pt>
                <c:pt idx="13">
                  <c:v>26.733350997309891</c:v>
                </c:pt>
                <c:pt idx="14">
                  <c:v>25.417490387160115</c:v>
                </c:pt>
                <c:pt idx="15">
                  <c:v>23.835220012964527</c:v>
                </c:pt>
              </c:numCache>
            </c:numRef>
          </c:val>
          <c:smooth val="1"/>
          <c:extLst>
            <c:ext xmlns:c16="http://schemas.microsoft.com/office/drawing/2014/chart" uri="{C3380CC4-5D6E-409C-BE32-E72D297353CC}">
              <c16:uniqueId val="{00000008-54CB-403D-B03D-0B3753DD51B6}"/>
            </c:ext>
          </c:extLst>
        </c:ser>
        <c:ser>
          <c:idx val="0"/>
          <c:order val="1"/>
          <c:tx>
            <c:strRef>
              <c:f>Results!$B$21</c:f>
              <c:strCache>
                <c:ptCount val="1"/>
                <c:pt idx="0">
                  <c:v>Esc. Base</c:v>
                </c:pt>
              </c:strCache>
            </c:strRef>
          </c:tx>
          <c:spPr>
            <a:ln w="19050" cap="rnd">
              <a:solidFill>
                <a:srgbClr val="002060"/>
              </a:solidFill>
              <a:round/>
            </a:ln>
            <a:effectLst/>
          </c:spPr>
          <c:marker>
            <c:symbol val="none"/>
          </c:marker>
          <c:cat>
            <c:numRef>
              <c:f>Results!$L$142:$AA$142</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Results!$L$150:$AA$150</c:f>
              <c:numCache>
                <c:formatCode>0.0</c:formatCode>
                <c:ptCount val="16"/>
                <c:pt idx="0">
                  <c:v>24.619</c:v>
                </c:pt>
                <c:pt idx="1">
                  <c:v>24.283000000000001</c:v>
                </c:pt>
                <c:pt idx="2">
                  <c:v>24.206</c:v>
                </c:pt>
                <c:pt idx="3">
                  <c:v>24.48</c:v>
                </c:pt>
                <c:pt idx="4">
                  <c:v>24.375</c:v>
                </c:pt>
                <c:pt idx="5">
                  <c:v>24.446999999999999</c:v>
                </c:pt>
                <c:pt idx="6">
                  <c:v>24.643999999999998</c:v>
                </c:pt>
                <c:pt idx="7">
                  <c:v>25.03</c:v>
                </c:pt>
                <c:pt idx="8">
                  <c:v>25.428999999999998</c:v>
                </c:pt>
                <c:pt idx="9">
                  <c:v>25.821999999999999</c:v>
                </c:pt>
                <c:pt idx="10">
                  <c:v>28.425119858440446</c:v>
                </c:pt>
                <c:pt idx="11">
                  <c:v>27.876110469636451</c:v>
                </c:pt>
                <c:pt idx="12">
                  <c:v>27.526035587382292</c:v>
                </c:pt>
                <c:pt idx="13">
                  <c:v>26.645274857682523</c:v>
                </c:pt>
                <c:pt idx="14">
                  <c:v>25.322144596050254</c:v>
                </c:pt>
                <c:pt idx="15">
                  <c:v>23.733960828448382</c:v>
                </c:pt>
              </c:numCache>
            </c:numRef>
          </c:val>
          <c:smooth val="1"/>
          <c:extLst>
            <c:ext xmlns:c16="http://schemas.microsoft.com/office/drawing/2014/chart" uri="{C3380CC4-5D6E-409C-BE32-E72D297353CC}">
              <c16:uniqueId val="{00000009-54CB-403D-B03D-0B3753DD51B6}"/>
            </c:ext>
          </c:extLst>
        </c:ser>
        <c:dLbls>
          <c:showLegendKey val="0"/>
          <c:showVal val="0"/>
          <c:showCatName val="0"/>
          <c:showSerName val="0"/>
          <c:showPercent val="0"/>
          <c:showBubbleSize val="0"/>
        </c:dLbls>
        <c:smooth val="0"/>
        <c:axId val="352463544"/>
        <c:axId val="352461192"/>
      </c:lineChart>
      <c:catAx>
        <c:axId val="35246354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1192"/>
        <c:crosses val="autoZero"/>
        <c:auto val="1"/>
        <c:lblAlgn val="ctr"/>
        <c:lblOffset val="100"/>
        <c:noMultiLvlLbl val="0"/>
      </c:catAx>
      <c:valAx>
        <c:axId val="352461192"/>
        <c:scaling>
          <c:orientation val="minMax"/>
          <c:min val="19"/>
        </c:scaling>
        <c:delete val="0"/>
        <c:axPos val="l"/>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52463544"/>
        <c:crosses val="autoZero"/>
        <c:crossBetween val="between"/>
      </c:valAx>
    </c:plotArea>
    <c:legend>
      <c:legendPos val="t"/>
      <c:layout>
        <c:manualLayout>
          <c:xMode val="edge"/>
          <c:yMode val="edge"/>
          <c:x val="0.31957158448381112"/>
          <c:y val="0.60106659721185518"/>
          <c:w val="0.67383323364923942"/>
          <c:h val="0.1564549047657218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07123070679432E-2"/>
          <c:y val="3.9176317296999788E-2"/>
          <c:w val="0.9013374919299445"/>
          <c:h val="0.77151987599267635"/>
        </c:manualLayout>
      </c:layout>
      <c:barChart>
        <c:barDir val="col"/>
        <c:grouping val="stacked"/>
        <c:varyColors val="0"/>
        <c:ser>
          <c:idx val="0"/>
          <c:order val="0"/>
          <c:tx>
            <c:strRef>
              <c:f>Hoja1!$B$1</c:f>
              <c:strCache>
                <c:ptCount val="1"/>
                <c:pt idx="0">
                  <c:v>Saldo</c:v>
                </c:pt>
              </c:strCache>
            </c:strRef>
          </c:tx>
          <c:spPr>
            <a:solidFill>
              <a:schemeClr val="accent1"/>
            </a:solidFill>
            <a:ln>
              <a:noFill/>
            </a:ln>
            <a:effectLst/>
          </c:spPr>
          <c:invertIfNegative val="0"/>
          <c:dLbls>
            <c:numFmt formatCode="&quot;Q&quot;#,##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2016</c:v>
                </c:pt>
                <c:pt idx="1">
                  <c:v>2019</c:v>
                </c:pt>
                <c:pt idx="2">
                  <c:v>2020</c:v>
                </c:pt>
              </c:numCache>
            </c:numRef>
          </c:cat>
          <c:val>
            <c:numRef>
              <c:f>Hoja1!$B$2:$B$4</c:f>
              <c:numCache>
                <c:formatCode>General</c:formatCode>
                <c:ptCount val="3"/>
                <c:pt idx="0">
                  <c:v>212.38</c:v>
                </c:pt>
                <c:pt idx="1">
                  <c:v>315.55</c:v>
                </c:pt>
                <c:pt idx="2">
                  <c:v>519.54999999999995</c:v>
                </c:pt>
              </c:numCache>
            </c:numRef>
          </c:val>
          <c:extLst>
            <c:ext xmlns:c16="http://schemas.microsoft.com/office/drawing/2014/chart" uri="{C3380CC4-5D6E-409C-BE32-E72D297353CC}">
              <c16:uniqueId val="{00000000-8930-446D-AF5C-3BCE6BC32346}"/>
            </c:ext>
          </c:extLst>
        </c:ser>
        <c:ser>
          <c:idx val="1"/>
          <c:order val="1"/>
          <c:tx>
            <c:strRef>
              <c:f>Hoja1!$C$1</c:f>
              <c:strCache>
                <c:ptCount val="1"/>
                <c:pt idx="0">
                  <c:v>Fondo de apoyo presupuestario</c:v>
                </c:pt>
              </c:strCache>
            </c:strRef>
          </c:tx>
          <c:spPr>
            <a:solidFill>
              <a:schemeClr val="accent2"/>
            </a:solidFill>
            <a:ln>
              <a:noFill/>
            </a:ln>
            <a:effectLst/>
          </c:spPr>
          <c:invertIfNegative val="0"/>
          <c:dLbls>
            <c:numFmt formatCode="&quot;Q&quot;#,##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2016</c:v>
                </c:pt>
                <c:pt idx="1">
                  <c:v>2019</c:v>
                </c:pt>
                <c:pt idx="2">
                  <c:v>2020</c:v>
                </c:pt>
              </c:numCache>
            </c:numRef>
          </c:cat>
          <c:val>
            <c:numRef>
              <c:f>Hoja1!$C$2:$C$4</c:f>
              <c:numCache>
                <c:formatCode>General</c:formatCode>
                <c:ptCount val="3"/>
                <c:pt idx="1">
                  <c:v>204</c:v>
                </c:pt>
              </c:numCache>
            </c:numRef>
          </c:val>
          <c:extLst>
            <c:ext xmlns:c16="http://schemas.microsoft.com/office/drawing/2014/chart" uri="{C3380CC4-5D6E-409C-BE32-E72D297353CC}">
              <c16:uniqueId val="{00000001-8930-446D-AF5C-3BCE6BC32346}"/>
            </c:ext>
          </c:extLst>
        </c:ser>
        <c:ser>
          <c:idx val="2"/>
          <c:order val="2"/>
          <c:tx>
            <c:strRef>
              <c:f>Hoja1!$D$1</c:f>
              <c:strCache>
                <c:ptCount val="1"/>
                <c:pt idx="0">
                  <c:v>Propuesta de asignación de presupuesto 2020</c:v>
                </c:pt>
              </c:strCache>
            </c:strRef>
          </c:tx>
          <c:spPr>
            <a:solidFill>
              <a:schemeClr val="accent3"/>
            </a:solidFill>
            <a:ln>
              <a:noFill/>
            </a:ln>
            <a:effectLst/>
          </c:spPr>
          <c:invertIfNegative val="0"/>
          <c:dLbls>
            <c:numFmt formatCode="&quot;Q&quot;#,##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2016</c:v>
                </c:pt>
                <c:pt idx="1">
                  <c:v>2019</c:v>
                </c:pt>
                <c:pt idx="2">
                  <c:v>2020</c:v>
                </c:pt>
              </c:numCache>
            </c:numRef>
          </c:cat>
          <c:val>
            <c:numRef>
              <c:f>Hoja1!$D$2:$D$4</c:f>
              <c:numCache>
                <c:formatCode>General</c:formatCode>
                <c:ptCount val="3"/>
                <c:pt idx="2">
                  <c:v>150</c:v>
                </c:pt>
              </c:numCache>
            </c:numRef>
          </c:val>
          <c:extLst>
            <c:ext xmlns:c16="http://schemas.microsoft.com/office/drawing/2014/chart" uri="{C3380CC4-5D6E-409C-BE32-E72D297353CC}">
              <c16:uniqueId val="{00000002-8930-446D-AF5C-3BCE6BC32346}"/>
            </c:ext>
          </c:extLst>
        </c:ser>
        <c:dLbls>
          <c:showLegendKey val="0"/>
          <c:showVal val="0"/>
          <c:showCatName val="0"/>
          <c:showSerName val="0"/>
          <c:showPercent val="0"/>
          <c:showBubbleSize val="0"/>
        </c:dLbls>
        <c:gapWidth val="150"/>
        <c:overlap val="100"/>
        <c:axId val="1238463520"/>
        <c:axId val="1238461024"/>
      </c:barChart>
      <c:lineChart>
        <c:grouping val="standard"/>
        <c:varyColors val="0"/>
        <c:ser>
          <c:idx val="3"/>
          <c:order val="3"/>
          <c:tx>
            <c:strRef>
              <c:f>Hoja1!$E$1</c:f>
              <c:strCache>
                <c:ptCount val="1"/>
                <c:pt idx="0">
                  <c:v>Total</c:v>
                </c:pt>
              </c:strCache>
            </c:strRef>
          </c:tx>
          <c:spPr>
            <a:ln w="28575" cap="rnd">
              <a:solidFill>
                <a:schemeClr val="accent4"/>
              </a:solidFill>
              <a:round/>
            </a:ln>
            <a:effectLst/>
          </c:spPr>
          <c:marker>
            <c:symbol val="circle"/>
            <c:size val="8"/>
            <c:spPr>
              <a:solidFill>
                <a:schemeClr val="accent4"/>
              </a:solidFill>
              <a:ln w="9525">
                <a:solidFill>
                  <a:schemeClr val="accent4"/>
                </a:solidFill>
              </a:ln>
              <a:effectLst/>
            </c:spPr>
          </c:marker>
          <c:dLbls>
            <c:dLbl>
              <c:idx val="0"/>
              <c:tx>
                <c:rich>
                  <a:bodyPr/>
                  <a:lstStyle/>
                  <a:p>
                    <a:r>
                      <a:rPr lang="en-US"/>
                      <a:t>212.38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930-446D-AF5C-3BCE6BC32346}"/>
                </c:ext>
              </c:extLst>
            </c:dLbl>
            <c:dLbl>
              <c:idx val="1"/>
              <c:tx>
                <c:rich>
                  <a:bodyPr/>
                  <a:lstStyle/>
                  <a:p>
                    <a:r>
                      <a:rPr lang="en-US"/>
                      <a:t>519.55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930-446D-AF5C-3BCE6BC32346}"/>
                </c:ext>
              </c:extLst>
            </c:dLbl>
            <c:dLbl>
              <c:idx val="2"/>
              <c:tx>
                <c:rich>
                  <a:bodyPr/>
                  <a:lstStyle/>
                  <a:p>
                    <a:r>
                      <a:rPr lang="en-US"/>
                      <a:t>669.55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930-446D-AF5C-3BCE6BC32346}"/>
                </c:ext>
              </c:extLst>
            </c:dLbl>
            <c:numFmt formatCode="&quot;Q&quot;#,##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2016</c:v>
                </c:pt>
                <c:pt idx="1">
                  <c:v>2019</c:v>
                </c:pt>
                <c:pt idx="2">
                  <c:v>2020</c:v>
                </c:pt>
              </c:numCache>
            </c:numRef>
          </c:cat>
          <c:val>
            <c:numRef>
              <c:f>Hoja1!$E$2:$E$4</c:f>
              <c:numCache>
                <c:formatCode>General</c:formatCode>
                <c:ptCount val="3"/>
                <c:pt idx="0">
                  <c:v>212.38</c:v>
                </c:pt>
                <c:pt idx="1">
                  <c:v>519.54999999999995</c:v>
                </c:pt>
                <c:pt idx="2">
                  <c:v>669.55</c:v>
                </c:pt>
              </c:numCache>
            </c:numRef>
          </c:val>
          <c:smooth val="0"/>
          <c:extLst>
            <c:ext xmlns:c16="http://schemas.microsoft.com/office/drawing/2014/chart" uri="{C3380CC4-5D6E-409C-BE32-E72D297353CC}">
              <c16:uniqueId val="{00000006-8930-446D-AF5C-3BCE6BC32346}"/>
            </c:ext>
          </c:extLst>
        </c:ser>
        <c:dLbls>
          <c:showLegendKey val="0"/>
          <c:showVal val="0"/>
          <c:showCatName val="0"/>
          <c:showSerName val="0"/>
          <c:showPercent val="0"/>
          <c:showBubbleSize val="0"/>
        </c:dLbls>
        <c:marker val="1"/>
        <c:smooth val="0"/>
        <c:axId val="1238463520"/>
        <c:axId val="1238461024"/>
      </c:lineChart>
      <c:catAx>
        <c:axId val="123846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38461024"/>
        <c:crosses val="autoZero"/>
        <c:auto val="1"/>
        <c:lblAlgn val="ctr"/>
        <c:lblOffset val="100"/>
        <c:noMultiLvlLbl val="0"/>
      </c:catAx>
      <c:valAx>
        <c:axId val="1238461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238463520"/>
        <c:crosses val="autoZero"/>
        <c:crossBetween val="between"/>
      </c:valAx>
      <c:spPr>
        <a:noFill/>
        <a:ln>
          <a:noFill/>
        </a:ln>
        <a:effectLst/>
      </c:spPr>
    </c:plotArea>
    <c:legend>
      <c:legendPos val="b"/>
      <c:layout>
        <c:manualLayout>
          <c:xMode val="edge"/>
          <c:yMode val="edge"/>
          <c:x val="0"/>
          <c:y val="0.91558740606782207"/>
          <c:w val="0.99730811447146417"/>
          <c:h val="8.441259393217788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068111320795641E-2"/>
          <c:y val="2.7436782406604462E-2"/>
          <c:w val="0.8916894644367801"/>
          <c:h val="0.82006052932810725"/>
        </c:manualLayout>
      </c:layout>
      <c:barChart>
        <c:barDir val="col"/>
        <c:grouping val="clustered"/>
        <c:varyColors val="0"/>
        <c:ser>
          <c:idx val="0"/>
          <c:order val="0"/>
          <c:tx>
            <c:strRef>
              <c:f>Ingreso!$B$30</c:f>
              <c:strCache>
                <c:ptCount val="1"/>
                <c:pt idx="0">
                  <c:v>Año presupuestario</c:v>
                </c:pt>
              </c:strCache>
            </c:strRef>
          </c:tx>
          <c:spPr>
            <a:solidFill>
              <a:schemeClr val="accent1">
                <a:shade val="65000"/>
              </a:schemeClr>
            </a:solidFill>
            <a:ln w="3175">
              <a:solidFill>
                <a:sysClr val="windowText" lastClr="000000"/>
              </a:solidFill>
            </a:ln>
            <a:effectLst/>
          </c:spPr>
          <c:invertIfNegative val="0"/>
          <c:cat>
            <c:numRef>
              <c:f>Ingreso!$D$29:$N$29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Ingreso!$D$30:$N$30</c:f>
              <c:numCache>
                <c:formatCode>_(* #,##0.00_);_(* \(#,##0.00\);_(* "-"??_);_(@_)</c:formatCode>
                <c:ptCount val="11"/>
                <c:pt idx="0">
                  <c:v>-0.20258061390876847</c:v>
                </c:pt>
                <c:pt idx="1">
                  <c:v>-0.97029663340489769</c:v>
                </c:pt>
                <c:pt idx="2">
                  <c:v>-0.6727060655530952</c:v>
                </c:pt>
                <c:pt idx="3">
                  <c:v>-1.0441446880886573</c:v>
                </c:pt>
                <c:pt idx="4">
                  <c:v>-8.8912767130056025E-2</c:v>
                </c:pt>
                <c:pt idx="5">
                  <c:v>-0.24894767127620554</c:v>
                </c:pt>
                <c:pt idx="6">
                  <c:v>-0.75753496145674859</c:v>
                </c:pt>
                <c:pt idx="7">
                  <c:v>-0.24144945244051996</c:v>
                </c:pt>
                <c:pt idx="8">
                  <c:v>-1.1214342822143042</c:v>
                </c:pt>
                <c:pt idx="9">
                  <c:v>2.4930513974843542</c:v>
                </c:pt>
                <c:pt idx="10">
                  <c:v>1.6660636294832027</c:v>
                </c:pt>
              </c:numCache>
            </c:numRef>
          </c:val>
          <c:extLst>
            <c:ext xmlns:c16="http://schemas.microsoft.com/office/drawing/2014/chart" uri="{C3380CC4-5D6E-409C-BE32-E72D297353CC}">
              <c16:uniqueId val="{00000000-50D6-434D-9602-48E93A0CBD3A}"/>
            </c:ext>
          </c:extLst>
        </c:ser>
        <c:ser>
          <c:idx val="1"/>
          <c:order val="1"/>
          <c:tx>
            <c:strRef>
              <c:f>Ingreso!$B$31</c:f>
              <c:strCache>
                <c:ptCount val="1"/>
                <c:pt idx="0">
                  <c:v>Año presupuestario+1</c:v>
                </c:pt>
              </c:strCache>
            </c:strRef>
          </c:tx>
          <c:spPr>
            <a:solidFill>
              <a:srgbClr val="5B9BD5">
                <a:lumMod val="75000"/>
              </a:srgbClr>
            </a:solidFill>
            <a:ln w="3175">
              <a:solidFill>
                <a:sysClr val="windowText" lastClr="000000"/>
              </a:solidFill>
            </a:ln>
            <a:effectLst/>
          </c:spPr>
          <c:invertIfNegative val="0"/>
          <c:cat>
            <c:numRef>
              <c:f>Ingreso!$D$29:$N$29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Ingreso!$D$31:$N$31</c:f>
              <c:numCache>
                <c:formatCode>_(* #,##0.00_);_(* \(#,##0.00\);_(* "-"??_);_(@_)</c:formatCode>
                <c:ptCount val="11"/>
                <c:pt idx="0">
                  <c:v>0.58958977127921841</c:v>
                </c:pt>
                <c:pt idx="1">
                  <c:v>0.10402619746536779</c:v>
                </c:pt>
                <c:pt idx="2">
                  <c:v>-1.0049914493849545</c:v>
                </c:pt>
                <c:pt idx="3">
                  <c:v>-1.0692485265304708</c:v>
                </c:pt>
                <c:pt idx="4">
                  <c:v>0.20026951805607318</c:v>
                </c:pt>
                <c:pt idx="5">
                  <c:v>1.5144379858291757E-3</c:v>
                </c:pt>
                <c:pt idx="6">
                  <c:v>-0.74786809824866651</c:v>
                </c:pt>
                <c:pt idx="7">
                  <c:v>-1.1555161087812245</c:v>
                </c:pt>
                <c:pt idx="8">
                  <c:v>-1.9078837679076024</c:v>
                </c:pt>
                <c:pt idx="9">
                  <c:v>0.71463029274057099</c:v>
                </c:pt>
                <c:pt idx="10">
                  <c:v>3.0226154444997295</c:v>
                </c:pt>
              </c:numCache>
            </c:numRef>
          </c:val>
          <c:extLst>
            <c:ext xmlns:c16="http://schemas.microsoft.com/office/drawing/2014/chart" uri="{C3380CC4-5D6E-409C-BE32-E72D297353CC}">
              <c16:uniqueId val="{00000001-50D6-434D-9602-48E93A0CBD3A}"/>
            </c:ext>
          </c:extLst>
        </c:ser>
        <c:ser>
          <c:idx val="2"/>
          <c:order val="2"/>
          <c:tx>
            <c:strRef>
              <c:f>Ingreso!$B$32</c:f>
              <c:strCache>
                <c:ptCount val="1"/>
                <c:pt idx="0">
                  <c:v>Año presupuestario+2</c:v>
                </c:pt>
              </c:strCache>
            </c:strRef>
          </c:tx>
          <c:spPr>
            <a:solidFill>
              <a:schemeClr val="accent1">
                <a:tint val="65000"/>
              </a:schemeClr>
            </a:solidFill>
            <a:ln w="3175">
              <a:solidFill>
                <a:sysClr val="windowText" lastClr="000000"/>
              </a:solidFill>
            </a:ln>
            <a:effectLst/>
          </c:spPr>
          <c:invertIfNegative val="0"/>
          <c:cat>
            <c:numRef>
              <c:f>Ingreso!$D$29:$N$29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Ingreso!$D$32:$N$32</c:f>
              <c:numCache>
                <c:formatCode>_(* #,##0.00_);_(* \(#,##0.00\);_(* "-"??_);_(@_)</c:formatCode>
                <c:ptCount val="11"/>
                <c:pt idx="1">
                  <c:v>0.75470083267356181</c:v>
                </c:pt>
                <c:pt idx="2">
                  <c:v>0.16965437229460889</c:v>
                </c:pt>
                <c:pt idx="3">
                  <c:v>-1.428685075266408</c:v>
                </c:pt>
                <c:pt idx="4">
                  <c:v>-0.87247584406030221</c:v>
                </c:pt>
                <c:pt idx="5">
                  <c:v>0.1193855226359215</c:v>
                </c:pt>
                <c:pt idx="6">
                  <c:v>-0.18265620820209882</c:v>
                </c:pt>
                <c:pt idx="7">
                  <c:v>-0.90366922037571129</c:v>
                </c:pt>
                <c:pt idx="8">
                  <c:v>-2.6798187495953307</c:v>
                </c:pt>
                <c:pt idx="9">
                  <c:v>-0.1401134531642434</c:v>
                </c:pt>
                <c:pt idx="10">
                  <c:v>1.1444289259270732</c:v>
                </c:pt>
              </c:numCache>
            </c:numRef>
          </c:val>
          <c:extLst>
            <c:ext xmlns:c16="http://schemas.microsoft.com/office/drawing/2014/chart" uri="{C3380CC4-5D6E-409C-BE32-E72D297353CC}">
              <c16:uniqueId val="{00000002-50D6-434D-9602-48E93A0CBD3A}"/>
            </c:ext>
          </c:extLst>
        </c:ser>
        <c:dLbls>
          <c:showLegendKey val="0"/>
          <c:showVal val="0"/>
          <c:showCatName val="0"/>
          <c:showSerName val="0"/>
          <c:showPercent val="0"/>
          <c:showBubbleSize val="0"/>
        </c:dLbls>
        <c:gapWidth val="219"/>
        <c:axId val="1149594064"/>
        <c:axId val="1149579504"/>
      </c:barChart>
      <c:catAx>
        <c:axId val="1149594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79504"/>
        <c:crosses val="autoZero"/>
        <c:auto val="1"/>
        <c:lblAlgn val="ctr"/>
        <c:lblOffset val="100"/>
        <c:noMultiLvlLbl val="0"/>
      </c:catAx>
      <c:valAx>
        <c:axId val="1149579504"/>
        <c:scaling>
          <c:orientation val="minMax"/>
          <c:max val="3.5"/>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94064"/>
        <c:crosses val="autoZero"/>
        <c:crossBetween val="between"/>
      </c:valAx>
      <c:spPr>
        <a:noFill/>
        <a:ln>
          <a:noFill/>
        </a:ln>
        <a:effectLst/>
      </c:spPr>
    </c:plotArea>
    <c:legend>
      <c:legendPos val="b"/>
      <c:layout>
        <c:manualLayout>
          <c:xMode val="edge"/>
          <c:yMode val="edge"/>
          <c:x val="0.16052076961454195"/>
          <c:y val="0.9456753616150404"/>
          <c:w val="0.67895846077091604"/>
          <c:h val="5.43246383849595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3981344074624E-2"/>
          <c:y val="3.9952057530962842E-2"/>
          <c:w val="0.93216027135891455"/>
          <c:h val="0.7254992901923093"/>
        </c:manualLayout>
      </c:layout>
      <c:barChart>
        <c:barDir val="col"/>
        <c:grouping val="clustered"/>
        <c:varyColors val="0"/>
        <c:ser>
          <c:idx val="0"/>
          <c:order val="0"/>
          <c:spPr>
            <a:solidFill>
              <a:srgbClr val="002060"/>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Ingreso!$B$42:$B$44</c:f>
              <c:strCache>
                <c:ptCount val="3"/>
                <c:pt idx="0">
                  <c:v>Año presupuestario</c:v>
                </c:pt>
                <c:pt idx="1">
                  <c:v>Año presupuestario+1</c:v>
                </c:pt>
                <c:pt idx="2">
                  <c:v>Año presupuestario+2</c:v>
                </c:pt>
              </c:strCache>
            </c:strRef>
          </c:cat>
          <c:val>
            <c:numRef>
              <c:f>Ingreso!$C$42:$C$44</c:f>
              <c:numCache>
                <c:formatCode>_(* #,##0.00_);_(* \(#,##0.00\);_(* "-"??_);_(@_)</c:formatCode>
                <c:ptCount val="3"/>
                <c:pt idx="0">
                  <c:v>-0.10808110077324509</c:v>
                </c:pt>
                <c:pt idx="1">
                  <c:v>-0.11389657171146633</c:v>
                </c:pt>
                <c:pt idx="2">
                  <c:v>-0.40192488971329288</c:v>
                </c:pt>
              </c:numCache>
            </c:numRef>
          </c:val>
          <c:extLst>
            <c:ext xmlns:c16="http://schemas.microsoft.com/office/drawing/2014/chart" uri="{C3380CC4-5D6E-409C-BE32-E72D297353CC}">
              <c16:uniqueId val="{00000000-313E-4D30-A111-630E21D68BB7}"/>
            </c:ext>
          </c:extLst>
        </c:ser>
        <c:dLbls>
          <c:showLegendKey val="0"/>
          <c:showVal val="0"/>
          <c:showCatName val="0"/>
          <c:showSerName val="0"/>
          <c:showPercent val="0"/>
          <c:showBubbleSize val="0"/>
        </c:dLbls>
        <c:gapWidth val="219"/>
        <c:overlap val="-27"/>
        <c:axId val="1217834752"/>
        <c:axId val="1217835168"/>
      </c:barChart>
      <c:catAx>
        <c:axId val="121783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17835168"/>
        <c:crosses val="autoZero"/>
        <c:auto val="1"/>
        <c:lblAlgn val="ctr"/>
        <c:lblOffset val="100"/>
        <c:noMultiLvlLbl val="0"/>
      </c:catAx>
      <c:valAx>
        <c:axId val="1217835168"/>
        <c:scaling>
          <c:orientation val="minMax"/>
        </c:scaling>
        <c:delete val="1"/>
        <c:axPos val="l"/>
        <c:numFmt formatCode="_(* #,##0.00_);_(* \(#,##0.00\);_(* &quot;-&quot;??_);_(@_)" sourceLinked="1"/>
        <c:majorTickMark val="none"/>
        <c:minorTickMark val="none"/>
        <c:tickLblPos val="nextTo"/>
        <c:crossAx val="121783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68568751003502848"/>
        </c:manualLayout>
      </c:layout>
      <c:barChart>
        <c:barDir val="col"/>
        <c:grouping val="clustered"/>
        <c:varyColors val="0"/>
        <c:ser>
          <c:idx val="0"/>
          <c:order val="0"/>
          <c:tx>
            <c:strRef>
              <c:f>Ingreso!$B$42</c:f>
              <c:strCache>
                <c:ptCount val="1"/>
                <c:pt idx="0">
                  <c:v>Año presupuestario</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Ingreso!$D$42</c:f>
              <c:numCache>
                <c:formatCode>_(* #,##0.00_);_(* \(#,##0.00\);_(* "-"??_);_(@_)</c:formatCode>
                <c:ptCount val="1"/>
                <c:pt idx="0">
                  <c:v>0.86428383294916455</c:v>
                </c:pt>
              </c:numCache>
            </c:numRef>
          </c:val>
          <c:extLst>
            <c:ext xmlns:c16="http://schemas.microsoft.com/office/drawing/2014/chart" uri="{C3380CC4-5D6E-409C-BE32-E72D297353CC}">
              <c16:uniqueId val="{00000000-3826-4C34-9901-D7F6F1D63E94}"/>
            </c:ext>
          </c:extLst>
        </c:ser>
        <c:ser>
          <c:idx val="1"/>
          <c:order val="1"/>
          <c:tx>
            <c:strRef>
              <c:f>Ingreso!$B$43</c:f>
              <c:strCache>
                <c:ptCount val="1"/>
                <c:pt idx="0">
                  <c:v>Año presupuestario+1</c:v>
                </c:pt>
              </c:strCache>
            </c:strRef>
          </c:tx>
          <c:spPr>
            <a:solidFill>
              <a:srgbClr val="5B9BD5">
                <a:lumMod val="75000"/>
              </a:srgb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Ingreso!$D$43</c:f>
              <c:numCache>
                <c:formatCode>_(* #,##0.00_);_(* \(#,##0.00\);_(* "-"??_);_(@_)</c:formatCode>
                <c:ptCount val="1"/>
                <c:pt idx="0">
                  <c:v>0.95619578298906438</c:v>
                </c:pt>
              </c:numCache>
            </c:numRef>
          </c:val>
          <c:extLst>
            <c:ext xmlns:c16="http://schemas.microsoft.com/office/drawing/2014/chart" uri="{C3380CC4-5D6E-409C-BE32-E72D297353CC}">
              <c16:uniqueId val="{00000001-3826-4C34-9901-D7F6F1D63E94}"/>
            </c:ext>
          </c:extLst>
        </c:ser>
        <c:ser>
          <c:idx val="2"/>
          <c:order val="2"/>
          <c:tx>
            <c:strRef>
              <c:f>Ingreso!$B$44</c:f>
              <c:strCache>
                <c:ptCount val="1"/>
                <c:pt idx="0">
                  <c:v>Año presupuestario+2</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Ingreso!$D$44</c:f>
              <c:numCache>
                <c:formatCode>_(* #,##0.00_);_(* \(#,##0.00\);_(* "-"??_);_(@_)</c:formatCode>
                <c:ptCount val="1"/>
                <c:pt idx="0">
                  <c:v>0.83955882041952601</c:v>
                </c:pt>
              </c:numCache>
            </c:numRef>
          </c:val>
          <c:extLst>
            <c:ext xmlns:c16="http://schemas.microsoft.com/office/drawing/2014/chart" uri="{C3380CC4-5D6E-409C-BE32-E72D297353CC}">
              <c16:uniqueId val="{00000002-3826-4C34-9901-D7F6F1D63E94}"/>
            </c:ext>
          </c:extLst>
        </c:ser>
        <c:dLbls>
          <c:showLegendKey val="0"/>
          <c:showVal val="1"/>
          <c:showCatName val="0"/>
          <c:showSerName val="0"/>
          <c:showPercent val="0"/>
          <c:showBubbleSize val="0"/>
        </c:dLbls>
        <c:gapWidth val="76"/>
        <c:overlap val="-51"/>
        <c:axId val="1549119055"/>
        <c:axId val="1549119887"/>
      </c:barChart>
      <c:catAx>
        <c:axId val="1549119055"/>
        <c:scaling>
          <c:orientation val="minMax"/>
        </c:scaling>
        <c:delete val="1"/>
        <c:axPos val="b"/>
        <c:majorTickMark val="none"/>
        <c:minorTickMark val="none"/>
        <c:tickLblPos val="nextTo"/>
        <c:crossAx val="1549119887"/>
        <c:crosses val="autoZero"/>
        <c:auto val="1"/>
        <c:lblAlgn val="ctr"/>
        <c:lblOffset val="100"/>
        <c:noMultiLvlLbl val="0"/>
      </c:catAx>
      <c:valAx>
        <c:axId val="1549119887"/>
        <c:scaling>
          <c:orientation val="minMax"/>
        </c:scaling>
        <c:delete val="1"/>
        <c:axPos val="l"/>
        <c:numFmt formatCode="_(* #,##0.00_);_(* \(#,##0.00\);_(* &quot;-&quot;??_);_(@_)" sourceLinked="1"/>
        <c:majorTickMark val="none"/>
        <c:minorTickMark val="none"/>
        <c:tickLblPos val="nextTo"/>
        <c:crossAx val="1549119055"/>
        <c:crosses val="autoZero"/>
        <c:crossBetween val="between"/>
      </c:valAx>
      <c:spPr>
        <a:noFill/>
        <a:ln>
          <a:noFill/>
        </a:ln>
        <a:effectLst/>
      </c:spPr>
    </c:plotArea>
    <c:legend>
      <c:legendPos val="b"/>
      <c:layout>
        <c:manualLayout>
          <c:xMode val="edge"/>
          <c:yMode val="edge"/>
          <c:x val="2.4398420785637094E-2"/>
          <c:y val="0.7539601667438629"/>
          <c:w val="0.9410172658898921"/>
          <c:h val="0.187216303844372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959921585711173E-2"/>
          <c:y val="2.3487962419260128E-2"/>
          <c:w val="0.95208015682857761"/>
          <c:h val="0.83748086979438774"/>
        </c:manualLayout>
      </c:layout>
      <c:barChart>
        <c:barDir val="col"/>
        <c:grouping val="clustered"/>
        <c:varyColors val="0"/>
        <c:ser>
          <c:idx val="0"/>
          <c:order val="0"/>
          <c:tx>
            <c:strRef>
              <c:f>Gasto!$B$30</c:f>
              <c:strCache>
                <c:ptCount val="1"/>
                <c:pt idx="0">
                  <c:v>Año presupuestario</c:v>
                </c:pt>
              </c:strCache>
            </c:strRef>
          </c:tx>
          <c:spPr>
            <a:solidFill>
              <a:schemeClr val="accent1">
                <a:shade val="65000"/>
              </a:schemeClr>
            </a:solidFill>
            <a:ln w="3175">
              <a:solidFill>
                <a:sysClr val="windowText" lastClr="000000"/>
              </a:solidFill>
            </a:ln>
            <a:effectLst/>
          </c:spPr>
          <c:invertIfNegative val="0"/>
          <c:cat>
            <c:numRef>
              <c:f>Gasto!$D$29:$N$29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Gasto!$D$30:$N$30</c:f>
              <c:numCache>
                <c:formatCode>_(* #,##0.00_);_(* \(#,##0.00\);_(* "-"??_);_(@_)</c:formatCode>
                <c:ptCount val="11"/>
                <c:pt idx="0">
                  <c:v>-0.50636225120144651</c:v>
                </c:pt>
                <c:pt idx="1">
                  <c:v>-1.5184924808425517</c:v>
                </c:pt>
                <c:pt idx="2">
                  <c:v>-1.3508801301991191</c:v>
                </c:pt>
                <c:pt idx="3">
                  <c:v>-1.7663297418835988</c:v>
                </c:pt>
                <c:pt idx="4">
                  <c:v>-0.64660526326530388</c:v>
                </c:pt>
                <c:pt idx="5">
                  <c:v>-0.97984665600095511</c:v>
                </c:pt>
                <c:pt idx="6">
                  <c:v>-1.9414623154013633</c:v>
                </c:pt>
                <c:pt idx="7">
                  <c:v>-0.65903091544719139</c:v>
                </c:pt>
                <c:pt idx="8">
                  <c:v>0.99292222203941272</c:v>
                </c:pt>
                <c:pt idx="9">
                  <c:v>-0.83262877558733805</c:v>
                </c:pt>
                <c:pt idx="10">
                  <c:v>0.57625161950299564</c:v>
                </c:pt>
              </c:numCache>
            </c:numRef>
          </c:val>
          <c:extLst>
            <c:ext xmlns:c16="http://schemas.microsoft.com/office/drawing/2014/chart" uri="{C3380CC4-5D6E-409C-BE32-E72D297353CC}">
              <c16:uniqueId val="{00000000-8309-4F47-8315-F49564292C91}"/>
            </c:ext>
          </c:extLst>
        </c:ser>
        <c:ser>
          <c:idx val="1"/>
          <c:order val="1"/>
          <c:tx>
            <c:strRef>
              <c:f>Gasto!$B$31</c:f>
              <c:strCache>
                <c:ptCount val="1"/>
                <c:pt idx="0">
                  <c:v>Año presupuestario+1</c:v>
                </c:pt>
              </c:strCache>
            </c:strRef>
          </c:tx>
          <c:spPr>
            <a:solidFill>
              <a:srgbClr val="5B9BD5">
                <a:lumMod val="75000"/>
              </a:srgbClr>
            </a:solidFill>
            <a:ln w="3175">
              <a:solidFill>
                <a:sysClr val="windowText" lastClr="000000"/>
              </a:solidFill>
            </a:ln>
            <a:effectLst/>
          </c:spPr>
          <c:invertIfNegative val="0"/>
          <c:cat>
            <c:numRef>
              <c:f>Gasto!$D$29:$N$29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Gasto!$D$31:$N$31</c:f>
              <c:numCache>
                <c:formatCode>_(* #,##0.00_);_(* \(#,##0.00\);_(* "-"??_);_(@_)</c:formatCode>
                <c:ptCount val="11"/>
                <c:pt idx="0">
                  <c:v>0.74581846842323785</c:v>
                </c:pt>
                <c:pt idx="1">
                  <c:v>-0.16959086193348405</c:v>
                </c:pt>
                <c:pt idx="2">
                  <c:v>-1.0675970042628098</c:v>
                </c:pt>
                <c:pt idx="3">
                  <c:v>-1.4894732675533291</c:v>
                </c:pt>
                <c:pt idx="4">
                  <c:v>-1.1341932493850884</c:v>
                </c:pt>
                <c:pt idx="5">
                  <c:v>-0.25941958043742019</c:v>
                </c:pt>
                <c:pt idx="6">
                  <c:v>-0.92072861680690465</c:v>
                </c:pt>
                <c:pt idx="7">
                  <c:v>-1.3656130438976923</c:v>
                </c:pt>
                <c:pt idx="8">
                  <c:v>0.1901918288679969</c:v>
                </c:pt>
                <c:pt idx="9">
                  <c:v>-0.36408153946011446</c:v>
                </c:pt>
                <c:pt idx="10">
                  <c:v>1.628718034123656</c:v>
                </c:pt>
              </c:numCache>
            </c:numRef>
          </c:val>
          <c:extLst>
            <c:ext xmlns:c16="http://schemas.microsoft.com/office/drawing/2014/chart" uri="{C3380CC4-5D6E-409C-BE32-E72D297353CC}">
              <c16:uniqueId val="{00000001-8309-4F47-8315-F49564292C91}"/>
            </c:ext>
          </c:extLst>
        </c:ser>
        <c:ser>
          <c:idx val="2"/>
          <c:order val="2"/>
          <c:tx>
            <c:strRef>
              <c:f>Gasto!$B$32</c:f>
              <c:strCache>
                <c:ptCount val="1"/>
                <c:pt idx="0">
                  <c:v>Año presupuestario+2</c:v>
                </c:pt>
              </c:strCache>
            </c:strRef>
          </c:tx>
          <c:spPr>
            <a:solidFill>
              <a:schemeClr val="accent1">
                <a:tint val="65000"/>
              </a:schemeClr>
            </a:solidFill>
            <a:ln w="3175">
              <a:solidFill>
                <a:sysClr val="windowText" lastClr="000000"/>
              </a:solidFill>
            </a:ln>
            <a:effectLst/>
          </c:spPr>
          <c:invertIfNegative val="0"/>
          <c:cat>
            <c:numRef>
              <c:f>Gasto!$D$29:$N$29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Gasto!$D$32:$N$32</c:f>
              <c:numCache>
                <c:formatCode>_(* #,##0.00_);_(* \(#,##0.00\);_(* "-"??_);_(@_)</c:formatCode>
                <c:ptCount val="11"/>
                <c:pt idx="1">
                  <c:v>0.65063911689003007</c:v>
                </c:pt>
                <c:pt idx="2">
                  <c:v>-0.14583144778144153</c:v>
                </c:pt>
                <c:pt idx="3">
                  <c:v>-1.8550439759754678</c:v>
                </c:pt>
                <c:pt idx="4">
                  <c:v>-1.2870811765603669</c:v>
                </c:pt>
                <c:pt idx="5">
                  <c:v>-0.74273661090646215</c:v>
                </c:pt>
                <c:pt idx="6">
                  <c:v>0.2378980219707163</c:v>
                </c:pt>
                <c:pt idx="7">
                  <c:v>-0.36304053206211684</c:v>
                </c:pt>
                <c:pt idx="8">
                  <c:v>-0.28302099575446604</c:v>
                </c:pt>
                <c:pt idx="9">
                  <c:v>-1.2495809753553857</c:v>
                </c:pt>
                <c:pt idx="10">
                  <c:v>0.79480620856521256</c:v>
                </c:pt>
              </c:numCache>
            </c:numRef>
          </c:val>
          <c:extLst>
            <c:ext xmlns:c16="http://schemas.microsoft.com/office/drawing/2014/chart" uri="{C3380CC4-5D6E-409C-BE32-E72D297353CC}">
              <c16:uniqueId val="{00000002-8309-4F47-8315-F49564292C91}"/>
            </c:ext>
          </c:extLst>
        </c:ser>
        <c:dLbls>
          <c:showLegendKey val="0"/>
          <c:showVal val="0"/>
          <c:showCatName val="0"/>
          <c:showSerName val="0"/>
          <c:showPercent val="0"/>
          <c:showBubbleSize val="0"/>
        </c:dLbls>
        <c:gapWidth val="219"/>
        <c:axId val="1149594064"/>
        <c:axId val="1149579504"/>
      </c:barChart>
      <c:catAx>
        <c:axId val="1149594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79504"/>
        <c:crosses val="autoZero"/>
        <c:auto val="1"/>
        <c:lblAlgn val="ctr"/>
        <c:lblOffset val="100"/>
        <c:noMultiLvlLbl val="0"/>
      </c:catAx>
      <c:valAx>
        <c:axId val="1149579504"/>
        <c:scaling>
          <c:orientation val="minMax"/>
        </c:scaling>
        <c:delete val="1"/>
        <c:axPos val="l"/>
        <c:numFmt formatCode="_(* #,##0.00_);_(* \(#,##0.00\);_(* &quot;-&quot;??_);_(@_)" sourceLinked="1"/>
        <c:majorTickMark val="none"/>
        <c:minorTickMark val="none"/>
        <c:tickLblPos val="nextTo"/>
        <c:crossAx val="1149594064"/>
        <c:crosses val="autoZero"/>
        <c:crossBetween val="between"/>
      </c:valAx>
      <c:spPr>
        <a:noFill/>
        <a:ln>
          <a:noFill/>
        </a:ln>
        <a:effectLst/>
      </c:spPr>
    </c:plotArea>
    <c:legend>
      <c:legendPos val="b"/>
      <c:layout>
        <c:manualLayout>
          <c:xMode val="edge"/>
          <c:yMode val="edge"/>
          <c:x val="0.16447671496954844"/>
          <c:y val="0.94207073205690761"/>
          <c:w val="0.67104639855108505"/>
          <c:h val="5.79292679430925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060"/>
            </a:solidFill>
            <a:ln w="3175">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Gasto!$B$42:$B$44</c:f>
              <c:strCache>
                <c:ptCount val="3"/>
                <c:pt idx="0">
                  <c:v>Año presupuestario</c:v>
                </c:pt>
                <c:pt idx="1">
                  <c:v>Año presupuestario+1</c:v>
                </c:pt>
                <c:pt idx="2">
                  <c:v>Año presupuestario+2</c:v>
                </c:pt>
              </c:strCache>
            </c:strRef>
          </c:cat>
          <c:val>
            <c:numRef>
              <c:f>Gasto!$C$42:$C$44</c:f>
              <c:numCache>
                <c:formatCode>_(* #,##0.00_);_(* \(#,##0.00\);_(* "-"??_);_(@_)</c:formatCode>
                <c:ptCount val="3"/>
                <c:pt idx="0">
                  <c:v>-0.78476951711695087</c:v>
                </c:pt>
                <c:pt idx="1">
                  <c:v>-0.38236080293835928</c:v>
                </c:pt>
                <c:pt idx="2">
                  <c:v>-0.42429923669697478</c:v>
                </c:pt>
              </c:numCache>
            </c:numRef>
          </c:val>
          <c:extLst>
            <c:ext xmlns:c16="http://schemas.microsoft.com/office/drawing/2014/chart" uri="{C3380CC4-5D6E-409C-BE32-E72D297353CC}">
              <c16:uniqueId val="{00000000-0A5C-49AD-B8F6-DB18E0ADE5C7}"/>
            </c:ext>
          </c:extLst>
        </c:ser>
        <c:dLbls>
          <c:showLegendKey val="0"/>
          <c:showVal val="0"/>
          <c:showCatName val="0"/>
          <c:showSerName val="0"/>
          <c:showPercent val="0"/>
          <c:showBubbleSize val="0"/>
        </c:dLbls>
        <c:gapWidth val="219"/>
        <c:overlap val="-27"/>
        <c:axId val="1217834752"/>
        <c:axId val="1217835168"/>
      </c:barChart>
      <c:catAx>
        <c:axId val="121783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17835168"/>
        <c:crosses val="autoZero"/>
        <c:auto val="1"/>
        <c:lblAlgn val="ctr"/>
        <c:lblOffset val="100"/>
        <c:noMultiLvlLbl val="0"/>
      </c:catAx>
      <c:valAx>
        <c:axId val="1217835168"/>
        <c:scaling>
          <c:orientation val="minMax"/>
        </c:scaling>
        <c:delete val="1"/>
        <c:axPos val="l"/>
        <c:numFmt formatCode="_(* #,##0.00_);_(* \(#,##0.00\);_(* &quot;-&quot;??_);_(@_)" sourceLinked="1"/>
        <c:majorTickMark val="none"/>
        <c:minorTickMark val="none"/>
        <c:tickLblPos val="nextTo"/>
        <c:crossAx val="121783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50268779615538E-2"/>
          <c:y val="6.8665244969378827E-2"/>
          <c:w val="0.90017937161594652"/>
          <c:h val="0.744172408136483"/>
        </c:manualLayout>
      </c:layout>
      <c:lineChart>
        <c:grouping val="standard"/>
        <c:varyColors val="0"/>
        <c:ser>
          <c:idx val="0"/>
          <c:order val="0"/>
          <c:tx>
            <c:strRef>
              <c:f>'materias primas'!$B$1</c:f>
              <c:strCache>
                <c:ptCount val="1"/>
                <c:pt idx="0">
                  <c:v> Energía </c:v>
                </c:pt>
              </c:strCache>
            </c:strRef>
          </c:tx>
          <c:spPr>
            <a:ln w="28575" cap="rnd">
              <a:solidFill>
                <a:schemeClr val="accent1"/>
              </a:solidFill>
              <a:round/>
            </a:ln>
            <a:effectLst/>
          </c:spPr>
          <c:marker>
            <c:symbol val="none"/>
          </c:marker>
          <c:cat>
            <c:strRef>
              <c:f>'materias primas'!$A$26:$A$89</c:f>
              <c:strCache>
                <c:ptCount val="64"/>
                <c:pt idx="0">
                  <c:v> 2018-01 </c:v>
                </c:pt>
                <c:pt idx="1">
                  <c:v> 2018-02 </c:v>
                </c:pt>
                <c:pt idx="2">
                  <c:v> 2018-03 </c:v>
                </c:pt>
                <c:pt idx="3">
                  <c:v> 2018-04 </c:v>
                </c:pt>
                <c:pt idx="4">
                  <c:v> 2018-05 </c:v>
                </c:pt>
                <c:pt idx="5">
                  <c:v> 2018-06 </c:v>
                </c:pt>
                <c:pt idx="6">
                  <c:v> 2018-07 </c:v>
                </c:pt>
                <c:pt idx="7">
                  <c:v> 2018-08 </c:v>
                </c:pt>
                <c:pt idx="8">
                  <c:v> 2018-09 </c:v>
                </c:pt>
                <c:pt idx="9">
                  <c:v> 2018-10 </c:v>
                </c:pt>
                <c:pt idx="10">
                  <c:v> 2018-11 </c:v>
                </c:pt>
                <c:pt idx="11">
                  <c:v> 2018-12 </c:v>
                </c:pt>
                <c:pt idx="12">
                  <c:v> 2019-01 </c:v>
                </c:pt>
                <c:pt idx="13">
                  <c:v> 2019-02 </c:v>
                </c:pt>
                <c:pt idx="14">
                  <c:v> 2019-03 </c:v>
                </c:pt>
                <c:pt idx="15">
                  <c:v> 2019-04 </c:v>
                </c:pt>
                <c:pt idx="16">
                  <c:v> 2019-05 </c:v>
                </c:pt>
                <c:pt idx="17">
                  <c:v> 2019-06 </c:v>
                </c:pt>
                <c:pt idx="18">
                  <c:v> 2019-07 </c:v>
                </c:pt>
                <c:pt idx="19">
                  <c:v> 2019-08 </c:v>
                </c:pt>
                <c:pt idx="20">
                  <c:v> 2019-09 </c:v>
                </c:pt>
                <c:pt idx="21">
                  <c:v> 2019-10 </c:v>
                </c:pt>
                <c:pt idx="22">
                  <c:v> 2019-11 </c:v>
                </c:pt>
                <c:pt idx="23">
                  <c:v> 2019-12 </c:v>
                </c:pt>
                <c:pt idx="24">
                  <c:v> 2020-01 </c:v>
                </c:pt>
                <c:pt idx="25">
                  <c:v> 2020-02 </c:v>
                </c:pt>
                <c:pt idx="26">
                  <c:v> 2020-03 </c:v>
                </c:pt>
                <c:pt idx="27">
                  <c:v> 2020-04 </c:v>
                </c:pt>
                <c:pt idx="28">
                  <c:v> 2020-05 </c:v>
                </c:pt>
                <c:pt idx="29">
                  <c:v> 2020-06 </c:v>
                </c:pt>
                <c:pt idx="30">
                  <c:v> 2020-07 </c:v>
                </c:pt>
                <c:pt idx="31">
                  <c:v> 2020-08 </c:v>
                </c:pt>
                <c:pt idx="32">
                  <c:v> 2020-09 </c:v>
                </c:pt>
                <c:pt idx="33">
                  <c:v> 2020-10 </c:v>
                </c:pt>
                <c:pt idx="34">
                  <c:v> 2020-11 </c:v>
                </c:pt>
                <c:pt idx="35">
                  <c:v> 2020-12 </c:v>
                </c:pt>
                <c:pt idx="36">
                  <c:v> 2021-01 </c:v>
                </c:pt>
                <c:pt idx="37">
                  <c:v> 2021-02 </c:v>
                </c:pt>
                <c:pt idx="38">
                  <c:v> 2021-03 </c:v>
                </c:pt>
                <c:pt idx="39">
                  <c:v> 2021-04 </c:v>
                </c:pt>
                <c:pt idx="40">
                  <c:v> 2021-05 </c:v>
                </c:pt>
                <c:pt idx="41">
                  <c:v> 2021-06 </c:v>
                </c:pt>
                <c:pt idx="42">
                  <c:v> 2021-07 </c:v>
                </c:pt>
                <c:pt idx="43">
                  <c:v> 2021-08 </c:v>
                </c:pt>
                <c:pt idx="44">
                  <c:v> 2021-09 </c:v>
                </c:pt>
                <c:pt idx="45">
                  <c:v> 2021-10 </c:v>
                </c:pt>
                <c:pt idx="46">
                  <c:v> 2021-11 </c:v>
                </c:pt>
                <c:pt idx="47">
                  <c:v> 2021-12 </c:v>
                </c:pt>
                <c:pt idx="48">
                  <c:v> 2022-01 </c:v>
                </c:pt>
                <c:pt idx="49">
                  <c:v> 2022-02 </c:v>
                </c:pt>
                <c:pt idx="50">
                  <c:v> 2022-03 </c:v>
                </c:pt>
                <c:pt idx="51">
                  <c:v> 2022-04 </c:v>
                </c:pt>
                <c:pt idx="52">
                  <c:v> 2022-05 </c:v>
                </c:pt>
                <c:pt idx="53">
                  <c:v> 2022-06 </c:v>
                </c:pt>
                <c:pt idx="54">
                  <c:v> 2022-07 </c:v>
                </c:pt>
                <c:pt idx="55">
                  <c:v> 2022-08 </c:v>
                </c:pt>
                <c:pt idx="56">
                  <c:v> 2022-09 </c:v>
                </c:pt>
                <c:pt idx="57">
                  <c:v> 2022-10 </c:v>
                </c:pt>
                <c:pt idx="58">
                  <c:v> 2022-11 </c:v>
                </c:pt>
                <c:pt idx="59">
                  <c:v> 2022-12 </c:v>
                </c:pt>
                <c:pt idx="60">
                  <c:v> 2023-01 </c:v>
                </c:pt>
                <c:pt idx="61">
                  <c:v> 2023-02 </c:v>
                </c:pt>
                <c:pt idx="62">
                  <c:v> 2023-03 </c:v>
                </c:pt>
                <c:pt idx="63">
                  <c:v> 2023-04 </c:v>
                </c:pt>
              </c:strCache>
            </c:strRef>
          </c:cat>
          <c:val>
            <c:numRef>
              <c:f>'materias primas'!$B$26:$B$89</c:f>
              <c:numCache>
                <c:formatCode>_-* #,##0.0_-;\-* #,##0.0_-;_-* "-"??_-;_-@_-</c:formatCode>
                <c:ptCount val="64"/>
                <c:pt idx="0">
                  <c:v>87.41</c:v>
                </c:pt>
                <c:pt idx="1">
                  <c:v>82.11</c:v>
                </c:pt>
                <c:pt idx="2">
                  <c:v>82.81</c:v>
                </c:pt>
                <c:pt idx="3">
                  <c:v>88.4</c:v>
                </c:pt>
                <c:pt idx="4">
                  <c:v>94.6</c:v>
                </c:pt>
                <c:pt idx="5">
                  <c:v>93.67</c:v>
                </c:pt>
                <c:pt idx="6">
                  <c:v>93.03</c:v>
                </c:pt>
                <c:pt idx="7">
                  <c:v>91.99</c:v>
                </c:pt>
                <c:pt idx="8">
                  <c:v>98.72</c:v>
                </c:pt>
                <c:pt idx="9">
                  <c:v>100.22</c:v>
                </c:pt>
                <c:pt idx="10">
                  <c:v>84.44</c:v>
                </c:pt>
                <c:pt idx="11">
                  <c:v>74.900000000000006</c:v>
                </c:pt>
                <c:pt idx="12">
                  <c:v>76.2</c:v>
                </c:pt>
                <c:pt idx="13">
                  <c:v>80.09</c:v>
                </c:pt>
                <c:pt idx="14">
                  <c:v>82.22</c:v>
                </c:pt>
                <c:pt idx="15">
                  <c:v>86.43</c:v>
                </c:pt>
                <c:pt idx="16">
                  <c:v>85.18</c:v>
                </c:pt>
                <c:pt idx="17">
                  <c:v>76.34</c:v>
                </c:pt>
                <c:pt idx="18">
                  <c:v>77.040000000000006</c:v>
                </c:pt>
                <c:pt idx="19">
                  <c:v>71.59</c:v>
                </c:pt>
                <c:pt idx="20">
                  <c:v>75.56</c:v>
                </c:pt>
                <c:pt idx="21">
                  <c:v>72.67</c:v>
                </c:pt>
                <c:pt idx="22">
                  <c:v>76.62</c:v>
                </c:pt>
                <c:pt idx="23">
                  <c:v>79.08</c:v>
                </c:pt>
                <c:pt idx="24">
                  <c:v>76.06</c:v>
                </c:pt>
                <c:pt idx="25">
                  <c:v>66.31</c:v>
                </c:pt>
                <c:pt idx="26">
                  <c:v>42.65</c:v>
                </c:pt>
                <c:pt idx="27">
                  <c:v>31.63</c:v>
                </c:pt>
                <c:pt idx="28">
                  <c:v>39.25</c:v>
                </c:pt>
                <c:pt idx="29">
                  <c:v>48.52</c:v>
                </c:pt>
                <c:pt idx="30">
                  <c:v>51.65</c:v>
                </c:pt>
                <c:pt idx="31">
                  <c:v>54.3</c:v>
                </c:pt>
                <c:pt idx="32">
                  <c:v>51.17</c:v>
                </c:pt>
                <c:pt idx="33">
                  <c:v>51.62</c:v>
                </c:pt>
                <c:pt idx="34">
                  <c:v>55.3</c:v>
                </c:pt>
                <c:pt idx="35">
                  <c:v>63.75</c:v>
                </c:pt>
                <c:pt idx="36">
                  <c:v>69.88</c:v>
                </c:pt>
                <c:pt idx="37">
                  <c:v>80.38</c:v>
                </c:pt>
                <c:pt idx="38">
                  <c:v>80.77</c:v>
                </c:pt>
                <c:pt idx="39">
                  <c:v>80.8</c:v>
                </c:pt>
                <c:pt idx="40">
                  <c:v>86.28</c:v>
                </c:pt>
                <c:pt idx="41">
                  <c:v>93.92</c:v>
                </c:pt>
                <c:pt idx="42">
                  <c:v>98.29</c:v>
                </c:pt>
                <c:pt idx="43">
                  <c:v>96.32</c:v>
                </c:pt>
                <c:pt idx="44">
                  <c:v>107.18</c:v>
                </c:pt>
                <c:pt idx="45">
                  <c:v>123.37</c:v>
                </c:pt>
                <c:pt idx="46">
                  <c:v>115.01</c:v>
                </c:pt>
                <c:pt idx="47">
                  <c:v>112.37</c:v>
                </c:pt>
                <c:pt idx="48">
                  <c:v>121.31</c:v>
                </c:pt>
                <c:pt idx="49">
                  <c:v>133.31424055374001</c:v>
                </c:pt>
                <c:pt idx="50">
                  <c:v>166.73239302763</c:v>
                </c:pt>
                <c:pt idx="51">
                  <c:v>153.18659162076</c:v>
                </c:pt>
                <c:pt idx="52">
                  <c:v>163.63299774551001</c:v>
                </c:pt>
                <c:pt idx="53">
                  <c:v>173.48221112800999</c:v>
                </c:pt>
                <c:pt idx="54">
                  <c:v>171.75250650948999</c:v>
                </c:pt>
                <c:pt idx="55">
                  <c:v>172.77086426624999</c:v>
                </c:pt>
                <c:pt idx="56">
                  <c:v>158.17363839615001</c:v>
                </c:pt>
                <c:pt idx="57">
                  <c:v>146.1725229079</c:v>
                </c:pt>
                <c:pt idx="58">
                  <c:v>139.44136053757001</c:v>
                </c:pt>
                <c:pt idx="59">
                  <c:v>130.91804770227</c:v>
                </c:pt>
                <c:pt idx="60">
                  <c:v>119.29483540626001</c:v>
                </c:pt>
                <c:pt idx="61">
                  <c:v>110.53012409471</c:v>
                </c:pt>
                <c:pt idx="62">
                  <c:v>103.46584154991</c:v>
                </c:pt>
                <c:pt idx="63">
                  <c:v>109.36408339217</c:v>
                </c:pt>
              </c:numCache>
            </c:numRef>
          </c:val>
          <c:smooth val="0"/>
          <c:extLst>
            <c:ext xmlns:c16="http://schemas.microsoft.com/office/drawing/2014/chart" uri="{C3380CC4-5D6E-409C-BE32-E72D297353CC}">
              <c16:uniqueId val="{00000000-D195-47A7-A7B0-6F8956324E41}"/>
            </c:ext>
          </c:extLst>
        </c:ser>
        <c:ser>
          <c:idx val="1"/>
          <c:order val="1"/>
          <c:tx>
            <c:strRef>
              <c:f>'materias primas'!$C$1</c:f>
              <c:strCache>
                <c:ptCount val="1"/>
                <c:pt idx="0">
                  <c:v> Metales y minerales </c:v>
                </c:pt>
              </c:strCache>
            </c:strRef>
          </c:tx>
          <c:spPr>
            <a:ln w="28575" cap="rnd">
              <a:solidFill>
                <a:schemeClr val="tx2">
                  <a:lumMod val="50000"/>
                </a:schemeClr>
              </a:solidFill>
              <a:round/>
            </a:ln>
            <a:effectLst/>
          </c:spPr>
          <c:marker>
            <c:symbol val="none"/>
          </c:marker>
          <c:cat>
            <c:strRef>
              <c:f>'materias primas'!$A$26:$A$89</c:f>
              <c:strCache>
                <c:ptCount val="64"/>
                <c:pt idx="0">
                  <c:v> 2018-01 </c:v>
                </c:pt>
                <c:pt idx="1">
                  <c:v> 2018-02 </c:v>
                </c:pt>
                <c:pt idx="2">
                  <c:v> 2018-03 </c:v>
                </c:pt>
                <c:pt idx="3">
                  <c:v> 2018-04 </c:v>
                </c:pt>
                <c:pt idx="4">
                  <c:v> 2018-05 </c:v>
                </c:pt>
                <c:pt idx="5">
                  <c:v> 2018-06 </c:v>
                </c:pt>
                <c:pt idx="6">
                  <c:v> 2018-07 </c:v>
                </c:pt>
                <c:pt idx="7">
                  <c:v> 2018-08 </c:v>
                </c:pt>
                <c:pt idx="8">
                  <c:v> 2018-09 </c:v>
                </c:pt>
                <c:pt idx="9">
                  <c:v> 2018-10 </c:v>
                </c:pt>
                <c:pt idx="10">
                  <c:v> 2018-11 </c:v>
                </c:pt>
                <c:pt idx="11">
                  <c:v> 2018-12 </c:v>
                </c:pt>
                <c:pt idx="12">
                  <c:v> 2019-01 </c:v>
                </c:pt>
                <c:pt idx="13">
                  <c:v> 2019-02 </c:v>
                </c:pt>
                <c:pt idx="14">
                  <c:v> 2019-03 </c:v>
                </c:pt>
                <c:pt idx="15">
                  <c:v> 2019-04 </c:v>
                </c:pt>
                <c:pt idx="16">
                  <c:v> 2019-05 </c:v>
                </c:pt>
                <c:pt idx="17">
                  <c:v> 2019-06 </c:v>
                </c:pt>
                <c:pt idx="18">
                  <c:v> 2019-07 </c:v>
                </c:pt>
                <c:pt idx="19">
                  <c:v> 2019-08 </c:v>
                </c:pt>
                <c:pt idx="20">
                  <c:v> 2019-09 </c:v>
                </c:pt>
                <c:pt idx="21">
                  <c:v> 2019-10 </c:v>
                </c:pt>
                <c:pt idx="22">
                  <c:v> 2019-11 </c:v>
                </c:pt>
                <c:pt idx="23">
                  <c:v> 2019-12 </c:v>
                </c:pt>
                <c:pt idx="24">
                  <c:v> 2020-01 </c:v>
                </c:pt>
                <c:pt idx="25">
                  <c:v> 2020-02 </c:v>
                </c:pt>
                <c:pt idx="26">
                  <c:v> 2020-03 </c:v>
                </c:pt>
                <c:pt idx="27">
                  <c:v> 2020-04 </c:v>
                </c:pt>
                <c:pt idx="28">
                  <c:v> 2020-05 </c:v>
                </c:pt>
                <c:pt idx="29">
                  <c:v> 2020-06 </c:v>
                </c:pt>
                <c:pt idx="30">
                  <c:v> 2020-07 </c:v>
                </c:pt>
                <c:pt idx="31">
                  <c:v> 2020-08 </c:v>
                </c:pt>
                <c:pt idx="32">
                  <c:v> 2020-09 </c:v>
                </c:pt>
                <c:pt idx="33">
                  <c:v> 2020-10 </c:v>
                </c:pt>
                <c:pt idx="34">
                  <c:v> 2020-11 </c:v>
                </c:pt>
                <c:pt idx="35">
                  <c:v> 2020-12 </c:v>
                </c:pt>
                <c:pt idx="36">
                  <c:v> 2021-01 </c:v>
                </c:pt>
                <c:pt idx="37">
                  <c:v> 2021-02 </c:v>
                </c:pt>
                <c:pt idx="38">
                  <c:v> 2021-03 </c:v>
                </c:pt>
                <c:pt idx="39">
                  <c:v> 2021-04 </c:v>
                </c:pt>
                <c:pt idx="40">
                  <c:v> 2021-05 </c:v>
                </c:pt>
                <c:pt idx="41">
                  <c:v> 2021-06 </c:v>
                </c:pt>
                <c:pt idx="42">
                  <c:v> 2021-07 </c:v>
                </c:pt>
                <c:pt idx="43">
                  <c:v> 2021-08 </c:v>
                </c:pt>
                <c:pt idx="44">
                  <c:v> 2021-09 </c:v>
                </c:pt>
                <c:pt idx="45">
                  <c:v> 2021-10 </c:v>
                </c:pt>
                <c:pt idx="46">
                  <c:v> 2021-11 </c:v>
                </c:pt>
                <c:pt idx="47">
                  <c:v> 2021-12 </c:v>
                </c:pt>
                <c:pt idx="48">
                  <c:v> 2022-01 </c:v>
                </c:pt>
                <c:pt idx="49">
                  <c:v> 2022-02 </c:v>
                </c:pt>
                <c:pt idx="50">
                  <c:v> 2022-03 </c:v>
                </c:pt>
                <c:pt idx="51">
                  <c:v> 2022-04 </c:v>
                </c:pt>
                <c:pt idx="52">
                  <c:v> 2022-05 </c:v>
                </c:pt>
                <c:pt idx="53">
                  <c:v> 2022-06 </c:v>
                </c:pt>
                <c:pt idx="54">
                  <c:v> 2022-07 </c:v>
                </c:pt>
                <c:pt idx="55">
                  <c:v> 2022-08 </c:v>
                </c:pt>
                <c:pt idx="56">
                  <c:v> 2022-09 </c:v>
                </c:pt>
                <c:pt idx="57">
                  <c:v> 2022-10 </c:v>
                </c:pt>
                <c:pt idx="58">
                  <c:v> 2022-11 </c:v>
                </c:pt>
                <c:pt idx="59">
                  <c:v> 2022-12 </c:v>
                </c:pt>
                <c:pt idx="60">
                  <c:v> 2023-01 </c:v>
                </c:pt>
                <c:pt idx="61">
                  <c:v> 2023-02 </c:v>
                </c:pt>
                <c:pt idx="62">
                  <c:v> 2023-03 </c:v>
                </c:pt>
                <c:pt idx="63">
                  <c:v> 2023-04 </c:v>
                </c:pt>
              </c:strCache>
            </c:strRef>
          </c:cat>
          <c:val>
            <c:numRef>
              <c:f>'materias primas'!$C$26:$C$89</c:f>
              <c:numCache>
                <c:formatCode>_-* #,##0.0_-;\-* #,##0.0_-;_-* "-"??_-;_-@_-</c:formatCode>
                <c:ptCount val="64"/>
                <c:pt idx="0">
                  <c:v>88.57</c:v>
                </c:pt>
                <c:pt idx="1">
                  <c:v>88.61</c:v>
                </c:pt>
                <c:pt idx="2">
                  <c:v>84.47</c:v>
                </c:pt>
                <c:pt idx="3">
                  <c:v>86.45</c:v>
                </c:pt>
                <c:pt idx="4">
                  <c:v>86.79</c:v>
                </c:pt>
                <c:pt idx="5">
                  <c:v>86.98</c:v>
                </c:pt>
                <c:pt idx="6">
                  <c:v>79.77</c:v>
                </c:pt>
                <c:pt idx="7">
                  <c:v>78.12</c:v>
                </c:pt>
                <c:pt idx="8">
                  <c:v>77.44</c:v>
                </c:pt>
                <c:pt idx="9">
                  <c:v>79.349999999999994</c:v>
                </c:pt>
                <c:pt idx="10">
                  <c:v>77.5</c:v>
                </c:pt>
                <c:pt idx="11">
                  <c:v>76.069999999999993</c:v>
                </c:pt>
                <c:pt idx="12">
                  <c:v>75.77</c:v>
                </c:pt>
                <c:pt idx="13">
                  <c:v>80.12</c:v>
                </c:pt>
                <c:pt idx="14">
                  <c:v>81.099999999999994</c:v>
                </c:pt>
                <c:pt idx="15">
                  <c:v>81.599999999999994</c:v>
                </c:pt>
                <c:pt idx="16">
                  <c:v>78.650000000000006</c:v>
                </c:pt>
                <c:pt idx="17">
                  <c:v>78.53</c:v>
                </c:pt>
                <c:pt idx="18">
                  <c:v>81.03</c:v>
                </c:pt>
                <c:pt idx="19">
                  <c:v>76.05</c:v>
                </c:pt>
                <c:pt idx="20">
                  <c:v>77.319999999999993</c:v>
                </c:pt>
                <c:pt idx="21">
                  <c:v>76.459999999999994</c:v>
                </c:pt>
                <c:pt idx="22">
                  <c:v>76.22</c:v>
                </c:pt>
                <c:pt idx="23">
                  <c:v>77.47</c:v>
                </c:pt>
                <c:pt idx="24">
                  <c:v>77.7</c:v>
                </c:pt>
                <c:pt idx="25">
                  <c:v>73.02</c:v>
                </c:pt>
                <c:pt idx="26">
                  <c:v>68.709999999999994</c:v>
                </c:pt>
                <c:pt idx="27">
                  <c:v>65.55</c:v>
                </c:pt>
                <c:pt idx="28">
                  <c:v>68.010000000000005</c:v>
                </c:pt>
                <c:pt idx="29">
                  <c:v>73.680000000000007</c:v>
                </c:pt>
                <c:pt idx="30">
                  <c:v>79.09</c:v>
                </c:pt>
                <c:pt idx="31">
                  <c:v>83.48</c:v>
                </c:pt>
                <c:pt idx="32">
                  <c:v>85.12</c:v>
                </c:pt>
                <c:pt idx="33">
                  <c:v>85.49</c:v>
                </c:pt>
                <c:pt idx="34">
                  <c:v>90.28</c:v>
                </c:pt>
                <c:pt idx="35">
                  <c:v>99.65</c:v>
                </c:pt>
                <c:pt idx="36">
                  <c:v>102.84</c:v>
                </c:pt>
                <c:pt idx="37">
                  <c:v>106.39</c:v>
                </c:pt>
                <c:pt idx="38">
                  <c:v>110.22</c:v>
                </c:pt>
                <c:pt idx="39">
                  <c:v>115.32</c:v>
                </c:pt>
                <c:pt idx="40">
                  <c:v>125.79</c:v>
                </c:pt>
                <c:pt idx="41">
                  <c:v>124.27</c:v>
                </c:pt>
                <c:pt idx="42">
                  <c:v>124.52</c:v>
                </c:pt>
                <c:pt idx="43">
                  <c:v>119.04</c:v>
                </c:pt>
                <c:pt idx="44">
                  <c:v>116.81</c:v>
                </c:pt>
                <c:pt idx="45">
                  <c:v>121.38</c:v>
                </c:pt>
                <c:pt idx="46">
                  <c:v>114.02</c:v>
                </c:pt>
                <c:pt idx="47">
                  <c:v>116.72</c:v>
                </c:pt>
                <c:pt idx="48">
                  <c:v>125.2296412723</c:v>
                </c:pt>
                <c:pt idx="49">
                  <c:v>131.17650136422</c:v>
                </c:pt>
                <c:pt idx="50">
                  <c:v>141.28333939754</c:v>
                </c:pt>
                <c:pt idx="51">
                  <c:v>138.09414281218</c:v>
                </c:pt>
                <c:pt idx="52">
                  <c:v>122.45551742174</c:v>
                </c:pt>
                <c:pt idx="53">
                  <c:v>115.70475261365</c:v>
                </c:pt>
                <c:pt idx="54">
                  <c:v>100.15401234907</c:v>
                </c:pt>
                <c:pt idx="55">
                  <c:v>103.81183514783</c:v>
                </c:pt>
                <c:pt idx="56">
                  <c:v>97.771954273969996</c:v>
                </c:pt>
                <c:pt idx="57">
                  <c:v>96.087120933129995</c:v>
                </c:pt>
                <c:pt idx="58">
                  <c:v>100.91678827657</c:v>
                </c:pt>
                <c:pt idx="59">
                  <c:v>107.60328090433001</c:v>
                </c:pt>
                <c:pt idx="60">
                  <c:v>114.01377472211</c:v>
                </c:pt>
                <c:pt idx="61">
                  <c:v>112.04267293367</c:v>
                </c:pt>
                <c:pt idx="62">
                  <c:v>108.40148588524001</c:v>
                </c:pt>
                <c:pt idx="63">
                  <c:v>107.37743003283001</c:v>
                </c:pt>
              </c:numCache>
            </c:numRef>
          </c:val>
          <c:smooth val="0"/>
          <c:extLst>
            <c:ext xmlns:c16="http://schemas.microsoft.com/office/drawing/2014/chart" uri="{C3380CC4-5D6E-409C-BE32-E72D297353CC}">
              <c16:uniqueId val="{00000001-D195-47A7-A7B0-6F8956324E41}"/>
            </c:ext>
          </c:extLst>
        </c:ser>
        <c:ser>
          <c:idx val="2"/>
          <c:order val="2"/>
          <c:tx>
            <c:strRef>
              <c:f>'materias primas'!$D$1</c:f>
              <c:strCache>
                <c:ptCount val="1"/>
                <c:pt idx="0">
                  <c:v> Agricultura </c:v>
                </c:pt>
              </c:strCache>
            </c:strRef>
          </c:tx>
          <c:spPr>
            <a:ln w="28575" cap="rnd">
              <a:solidFill>
                <a:schemeClr val="accent5"/>
              </a:solidFill>
              <a:round/>
            </a:ln>
            <a:effectLst/>
          </c:spPr>
          <c:marker>
            <c:symbol val="none"/>
          </c:marker>
          <c:cat>
            <c:strRef>
              <c:f>'materias primas'!$A$26:$A$89</c:f>
              <c:strCache>
                <c:ptCount val="64"/>
                <c:pt idx="0">
                  <c:v> 2018-01 </c:v>
                </c:pt>
                <c:pt idx="1">
                  <c:v> 2018-02 </c:v>
                </c:pt>
                <c:pt idx="2">
                  <c:v> 2018-03 </c:v>
                </c:pt>
                <c:pt idx="3">
                  <c:v> 2018-04 </c:v>
                </c:pt>
                <c:pt idx="4">
                  <c:v> 2018-05 </c:v>
                </c:pt>
                <c:pt idx="5">
                  <c:v> 2018-06 </c:v>
                </c:pt>
                <c:pt idx="6">
                  <c:v> 2018-07 </c:v>
                </c:pt>
                <c:pt idx="7">
                  <c:v> 2018-08 </c:v>
                </c:pt>
                <c:pt idx="8">
                  <c:v> 2018-09 </c:v>
                </c:pt>
                <c:pt idx="9">
                  <c:v> 2018-10 </c:v>
                </c:pt>
                <c:pt idx="10">
                  <c:v> 2018-11 </c:v>
                </c:pt>
                <c:pt idx="11">
                  <c:v> 2018-12 </c:v>
                </c:pt>
                <c:pt idx="12">
                  <c:v> 2019-01 </c:v>
                </c:pt>
                <c:pt idx="13">
                  <c:v> 2019-02 </c:v>
                </c:pt>
                <c:pt idx="14">
                  <c:v> 2019-03 </c:v>
                </c:pt>
                <c:pt idx="15">
                  <c:v> 2019-04 </c:v>
                </c:pt>
                <c:pt idx="16">
                  <c:v> 2019-05 </c:v>
                </c:pt>
                <c:pt idx="17">
                  <c:v> 2019-06 </c:v>
                </c:pt>
                <c:pt idx="18">
                  <c:v> 2019-07 </c:v>
                </c:pt>
                <c:pt idx="19">
                  <c:v> 2019-08 </c:v>
                </c:pt>
                <c:pt idx="20">
                  <c:v> 2019-09 </c:v>
                </c:pt>
                <c:pt idx="21">
                  <c:v> 2019-10 </c:v>
                </c:pt>
                <c:pt idx="22">
                  <c:v> 2019-11 </c:v>
                </c:pt>
                <c:pt idx="23">
                  <c:v> 2019-12 </c:v>
                </c:pt>
                <c:pt idx="24">
                  <c:v> 2020-01 </c:v>
                </c:pt>
                <c:pt idx="25">
                  <c:v> 2020-02 </c:v>
                </c:pt>
                <c:pt idx="26">
                  <c:v> 2020-03 </c:v>
                </c:pt>
                <c:pt idx="27">
                  <c:v> 2020-04 </c:v>
                </c:pt>
                <c:pt idx="28">
                  <c:v> 2020-05 </c:v>
                </c:pt>
                <c:pt idx="29">
                  <c:v> 2020-06 </c:v>
                </c:pt>
                <c:pt idx="30">
                  <c:v> 2020-07 </c:v>
                </c:pt>
                <c:pt idx="31">
                  <c:v> 2020-08 </c:v>
                </c:pt>
                <c:pt idx="32">
                  <c:v> 2020-09 </c:v>
                </c:pt>
                <c:pt idx="33">
                  <c:v> 2020-10 </c:v>
                </c:pt>
                <c:pt idx="34">
                  <c:v> 2020-11 </c:v>
                </c:pt>
                <c:pt idx="35">
                  <c:v> 2020-12 </c:v>
                </c:pt>
                <c:pt idx="36">
                  <c:v> 2021-01 </c:v>
                </c:pt>
                <c:pt idx="37">
                  <c:v> 2021-02 </c:v>
                </c:pt>
                <c:pt idx="38">
                  <c:v> 2021-03 </c:v>
                </c:pt>
                <c:pt idx="39">
                  <c:v> 2021-04 </c:v>
                </c:pt>
                <c:pt idx="40">
                  <c:v> 2021-05 </c:v>
                </c:pt>
                <c:pt idx="41">
                  <c:v> 2021-06 </c:v>
                </c:pt>
                <c:pt idx="42">
                  <c:v> 2021-07 </c:v>
                </c:pt>
                <c:pt idx="43">
                  <c:v> 2021-08 </c:v>
                </c:pt>
                <c:pt idx="44">
                  <c:v> 2021-09 </c:v>
                </c:pt>
                <c:pt idx="45">
                  <c:v> 2021-10 </c:v>
                </c:pt>
                <c:pt idx="46">
                  <c:v> 2021-11 </c:v>
                </c:pt>
                <c:pt idx="47">
                  <c:v> 2021-12 </c:v>
                </c:pt>
                <c:pt idx="48">
                  <c:v> 2022-01 </c:v>
                </c:pt>
                <c:pt idx="49">
                  <c:v> 2022-02 </c:v>
                </c:pt>
                <c:pt idx="50">
                  <c:v> 2022-03 </c:v>
                </c:pt>
                <c:pt idx="51">
                  <c:v> 2022-04 </c:v>
                </c:pt>
                <c:pt idx="52">
                  <c:v> 2022-05 </c:v>
                </c:pt>
                <c:pt idx="53">
                  <c:v> 2022-06 </c:v>
                </c:pt>
                <c:pt idx="54">
                  <c:v> 2022-07 </c:v>
                </c:pt>
                <c:pt idx="55">
                  <c:v> 2022-08 </c:v>
                </c:pt>
                <c:pt idx="56">
                  <c:v> 2022-09 </c:v>
                </c:pt>
                <c:pt idx="57">
                  <c:v> 2022-10 </c:v>
                </c:pt>
                <c:pt idx="58">
                  <c:v> 2022-11 </c:v>
                </c:pt>
                <c:pt idx="59">
                  <c:v> 2022-12 </c:v>
                </c:pt>
                <c:pt idx="60">
                  <c:v> 2023-01 </c:v>
                </c:pt>
                <c:pt idx="61">
                  <c:v> 2023-02 </c:v>
                </c:pt>
                <c:pt idx="62">
                  <c:v> 2023-03 </c:v>
                </c:pt>
                <c:pt idx="63">
                  <c:v> 2023-04 </c:v>
                </c:pt>
              </c:strCache>
            </c:strRef>
          </c:cat>
          <c:val>
            <c:numRef>
              <c:f>'materias primas'!$D$26:$D$89</c:f>
              <c:numCache>
                <c:formatCode>_-* #,##0.0_-;\-* #,##0.0_-;_-* "-"??_-;_-@_-</c:formatCode>
                <c:ptCount val="64"/>
                <c:pt idx="0">
                  <c:v>87.03</c:v>
                </c:pt>
                <c:pt idx="1">
                  <c:v>88.67</c:v>
                </c:pt>
                <c:pt idx="2">
                  <c:v>90.04</c:v>
                </c:pt>
                <c:pt idx="3">
                  <c:v>91.66</c:v>
                </c:pt>
                <c:pt idx="4">
                  <c:v>91.85</c:v>
                </c:pt>
                <c:pt idx="5">
                  <c:v>88.94</c:v>
                </c:pt>
                <c:pt idx="6">
                  <c:v>86.35</c:v>
                </c:pt>
                <c:pt idx="7">
                  <c:v>84.84</c:v>
                </c:pt>
                <c:pt idx="8">
                  <c:v>82.65</c:v>
                </c:pt>
                <c:pt idx="9">
                  <c:v>83.39</c:v>
                </c:pt>
                <c:pt idx="10">
                  <c:v>82.23</c:v>
                </c:pt>
                <c:pt idx="11">
                  <c:v>82.63</c:v>
                </c:pt>
                <c:pt idx="12">
                  <c:v>83.5</c:v>
                </c:pt>
                <c:pt idx="13">
                  <c:v>83.76</c:v>
                </c:pt>
                <c:pt idx="14">
                  <c:v>83</c:v>
                </c:pt>
                <c:pt idx="15">
                  <c:v>83.08</c:v>
                </c:pt>
                <c:pt idx="16">
                  <c:v>82.24</c:v>
                </c:pt>
                <c:pt idx="17">
                  <c:v>84.49</c:v>
                </c:pt>
                <c:pt idx="18">
                  <c:v>83.26</c:v>
                </c:pt>
                <c:pt idx="19">
                  <c:v>80.77</c:v>
                </c:pt>
                <c:pt idx="20">
                  <c:v>80.77</c:v>
                </c:pt>
                <c:pt idx="21">
                  <c:v>82.28</c:v>
                </c:pt>
                <c:pt idx="22">
                  <c:v>85.31</c:v>
                </c:pt>
                <c:pt idx="23">
                  <c:v>87.26</c:v>
                </c:pt>
                <c:pt idx="24">
                  <c:v>88.31</c:v>
                </c:pt>
                <c:pt idx="25">
                  <c:v>85.84</c:v>
                </c:pt>
                <c:pt idx="26">
                  <c:v>83.07</c:v>
                </c:pt>
                <c:pt idx="27">
                  <c:v>81.34</c:v>
                </c:pt>
                <c:pt idx="28">
                  <c:v>81.36</c:v>
                </c:pt>
                <c:pt idx="29">
                  <c:v>83.36</c:v>
                </c:pt>
                <c:pt idx="30">
                  <c:v>84.3</c:v>
                </c:pt>
                <c:pt idx="31">
                  <c:v>87.13</c:v>
                </c:pt>
                <c:pt idx="32">
                  <c:v>89.85</c:v>
                </c:pt>
                <c:pt idx="33">
                  <c:v>92.02</c:v>
                </c:pt>
                <c:pt idx="34">
                  <c:v>95.62</c:v>
                </c:pt>
                <c:pt idx="35">
                  <c:v>98.1</c:v>
                </c:pt>
                <c:pt idx="36">
                  <c:v>103.12</c:v>
                </c:pt>
                <c:pt idx="37">
                  <c:v>104.57</c:v>
                </c:pt>
                <c:pt idx="38">
                  <c:v>103.69</c:v>
                </c:pt>
                <c:pt idx="39">
                  <c:v>106.21</c:v>
                </c:pt>
                <c:pt idx="40">
                  <c:v>111.96</c:v>
                </c:pt>
                <c:pt idx="41">
                  <c:v>109.24</c:v>
                </c:pt>
                <c:pt idx="42">
                  <c:v>108.39</c:v>
                </c:pt>
                <c:pt idx="43">
                  <c:v>109.45</c:v>
                </c:pt>
                <c:pt idx="44">
                  <c:v>109.2</c:v>
                </c:pt>
                <c:pt idx="45">
                  <c:v>111.56</c:v>
                </c:pt>
                <c:pt idx="46">
                  <c:v>113.15</c:v>
                </c:pt>
                <c:pt idx="47">
                  <c:v>113.91</c:v>
                </c:pt>
                <c:pt idx="48">
                  <c:v>118.60735184521</c:v>
                </c:pt>
                <c:pt idx="49">
                  <c:v>123.73557597959</c:v>
                </c:pt>
                <c:pt idx="50">
                  <c:v>132.44298626896</c:v>
                </c:pt>
                <c:pt idx="51">
                  <c:v>134.06761629451</c:v>
                </c:pt>
                <c:pt idx="52">
                  <c:v>133.43626128838</c:v>
                </c:pt>
                <c:pt idx="53">
                  <c:v>128.54383678114999</c:v>
                </c:pt>
                <c:pt idx="54">
                  <c:v>119.24481928692001</c:v>
                </c:pt>
                <c:pt idx="55">
                  <c:v>118.2491607576</c:v>
                </c:pt>
                <c:pt idx="56">
                  <c:v>117.12147709735</c:v>
                </c:pt>
                <c:pt idx="57">
                  <c:v>116.37424105658999</c:v>
                </c:pt>
                <c:pt idx="58">
                  <c:v>115.94578140851</c:v>
                </c:pt>
                <c:pt idx="59">
                  <c:v>115.21472294452001</c:v>
                </c:pt>
                <c:pt idx="60">
                  <c:v>115.8531087082</c:v>
                </c:pt>
                <c:pt idx="61">
                  <c:v>117.26946145609</c:v>
                </c:pt>
                <c:pt idx="62">
                  <c:v>115.15044298005</c:v>
                </c:pt>
                <c:pt idx="63">
                  <c:v>117.63675585765</c:v>
                </c:pt>
              </c:numCache>
            </c:numRef>
          </c:val>
          <c:smooth val="0"/>
          <c:extLst>
            <c:ext xmlns:c16="http://schemas.microsoft.com/office/drawing/2014/chart" uri="{C3380CC4-5D6E-409C-BE32-E72D297353CC}">
              <c16:uniqueId val="{00000002-D195-47A7-A7B0-6F8956324E41}"/>
            </c:ext>
          </c:extLst>
        </c:ser>
        <c:ser>
          <c:idx val="3"/>
          <c:order val="3"/>
          <c:tx>
            <c:strRef>
              <c:f>'materias primas'!$E$1</c:f>
              <c:strCache>
                <c:ptCount val="1"/>
                <c:pt idx="0">
                  <c:v> Metales preciosos </c:v>
                </c:pt>
              </c:strCache>
            </c:strRef>
          </c:tx>
          <c:spPr>
            <a:ln w="28575" cap="rnd">
              <a:solidFill>
                <a:schemeClr val="bg2">
                  <a:lumMod val="50000"/>
                </a:schemeClr>
              </a:solidFill>
              <a:round/>
            </a:ln>
            <a:effectLst/>
          </c:spPr>
          <c:marker>
            <c:symbol val="none"/>
          </c:marker>
          <c:cat>
            <c:strRef>
              <c:f>'materias primas'!$A$26:$A$89</c:f>
              <c:strCache>
                <c:ptCount val="64"/>
                <c:pt idx="0">
                  <c:v> 2018-01 </c:v>
                </c:pt>
                <c:pt idx="1">
                  <c:v> 2018-02 </c:v>
                </c:pt>
                <c:pt idx="2">
                  <c:v> 2018-03 </c:v>
                </c:pt>
                <c:pt idx="3">
                  <c:v> 2018-04 </c:v>
                </c:pt>
                <c:pt idx="4">
                  <c:v> 2018-05 </c:v>
                </c:pt>
                <c:pt idx="5">
                  <c:v> 2018-06 </c:v>
                </c:pt>
                <c:pt idx="6">
                  <c:v> 2018-07 </c:v>
                </c:pt>
                <c:pt idx="7">
                  <c:v> 2018-08 </c:v>
                </c:pt>
                <c:pt idx="8">
                  <c:v> 2018-09 </c:v>
                </c:pt>
                <c:pt idx="9">
                  <c:v> 2018-10 </c:v>
                </c:pt>
                <c:pt idx="10">
                  <c:v> 2018-11 </c:v>
                </c:pt>
                <c:pt idx="11">
                  <c:v> 2018-12 </c:v>
                </c:pt>
                <c:pt idx="12">
                  <c:v> 2019-01 </c:v>
                </c:pt>
                <c:pt idx="13">
                  <c:v> 2019-02 </c:v>
                </c:pt>
                <c:pt idx="14">
                  <c:v> 2019-03 </c:v>
                </c:pt>
                <c:pt idx="15">
                  <c:v> 2019-04 </c:v>
                </c:pt>
                <c:pt idx="16">
                  <c:v> 2019-05 </c:v>
                </c:pt>
                <c:pt idx="17">
                  <c:v> 2019-06 </c:v>
                </c:pt>
                <c:pt idx="18">
                  <c:v> 2019-07 </c:v>
                </c:pt>
                <c:pt idx="19">
                  <c:v> 2019-08 </c:v>
                </c:pt>
                <c:pt idx="20">
                  <c:v> 2019-09 </c:v>
                </c:pt>
                <c:pt idx="21">
                  <c:v> 2019-10 </c:v>
                </c:pt>
                <c:pt idx="22">
                  <c:v> 2019-11 </c:v>
                </c:pt>
                <c:pt idx="23">
                  <c:v> 2019-12 </c:v>
                </c:pt>
                <c:pt idx="24">
                  <c:v> 2020-01 </c:v>
                </c:pt>
                <c:pt idx="25">
                  <c:v> 2020-02 </c:v>
                </c:pt>
                <c:pt idx="26">
                  <c:v> 2020-03 </c:v>
                </c:pt>
                <c:pt idx="27">
                  <c:v> 2020-04 </c:v>
                </c:pt>
                <c:pt idx="28">
                  <c:v> 2020-05 </c:v>
                </c:pt>
                <c:pt idx="29">
                  <c:v> 2020-06 </c:v>
                </c:pt>
                <c:pt idx="30">
                  <c:v> 2020-07 </c:v>
                </c:pt>
                <c:pt idx="31">
                  <c:v> 2020-08 </c:v>
                </c:pt>
                <c:pt idx="32">
                  <c:v> 2020-09 </c:v>
                </c:pt>
                <c:pt idx="33">
                  <c:v> 2020-10 </c:v>
                </c:pt>
                <c:pt idx="34">
                  <c:v> 2020-11 </c:v>
                </c:pt>
                <c:pt idx="35">
                  <c:v> 2020-12 </c:v>
                </c:pt>
                <c:pt idx="36">
                  <c:v> 2021-01 </c:v>
                </c:pt>
                <c:pt idx="37">
                  <c:v> 2021-02 </c:v>
                </c:pt>
                <c:pt idx="38">
                  <c:v> 2021-03 </c:v>
                </c:pt>
                <c:pt idx="39">
                  <c:v> 2021-04 </c:v>
                </c:pt>
                <c:pt idx="40">
                  <c:v> 2021-05 </c:v>
                </c:pt>
                <c:pt idx="41">
                  <c:v> 2021-06 </c:v>
                </c:pt>
                <c:pt idx="42">
                  <c:v> 2021-07 </c:v>
                </c:pt>
                <c:pt idx="43">
                  <c:v> 2021-08 </c:v>
                </c:pt>
                <c:pt idx="44">
                  <c:v> 2021-09 </c:v>
                </c:pt>
                <c:pt idx="45">
                  <c:v> 2021-10 </c:v>
                </c:pt>
                <c:pt idx="46">
                  <c:v> 2021-11 </c:v>
                </c:pt>
                <c:pt idx="47">
                  <c:v> 2021-12 </c:v>
                </c:pt>
                <c:pt idx="48">
                  <c:v> 2022-01 </c:v>
                </c:pt>
                <c:pt idx="49">
                  <c:v> 2022-02 </c:v>
                </c:pt>
                <c:pt idx="50">
                  <c:v> 2022-03 </c:v>
                </c:pt>
                <c:pt idx="51">
                  <c:v> 2022-04 </c:v>
                </c:pt>
                <c:pt idx="52">
                  <c:v> 2022-05 </c:v>
                </c:pt>
                <c:pt idx="53">
                  <c:v> 2022-06 </c:v>
                </c:pt>
                <c:pt idx="54">
                  <c:v> 2022-07 </c:v>
                </c:pt>
                <c:pt idx="55">
                  <c:v> 2022-08 </c:v>
                </c:pt>
                <c:pt idx="56">
                  <c:v> 2022-09 </c:v>
                </c:pt>
                <c:pt idx="57">
                  <c:v> 2022-10 </c:v>
                </c:pt>
                <c:pt idx="58">
                  <c:v> 2022-11 </c:v>
                </c:pt>
                <c:pt idx="59">
                  <c:v> 2022-12 </c:v>
                </c:pt>
                <c:pt idx="60">
                  <c:v> 2023-01 </c:v>
                </c:pt>
                <c:pt idx="61">
                  <c:v> 2023-02 </c:v>
                </c:pt>
                <c:pt idx="62">
                  <c:v> 2023-03 </c:v>
                </c:pt>
                <c:pt idx="63">
                  <c:v> 2023-04 </c:v>
                </c:pt>
              </c:strCache>
            </c:strRef>
          </c:cat>
          <c:val>
            <c:numRef>
              <c:f>'materias primas'!$E$26:$E$89</c:f>
              <c:numCache>
                <c:formatCode>_-* #,##0.0_-;\-* #,##0.0_-;_-* "-"??_-;_-@_-</c:formatCode>
                <c:ptCount val="64"/>
                <c:pt idx="0">
                  <c:v>102.67</c:v>
                </c:pt>
                <c:pt idx="1">
                  <c:v>102.11</c:v>
                </c:pt>
                <c:pt idx="2">
                  <c:v>101.56</c:v>
                </c:pt>
                <c:pt idx="3">
                  <c:v>102.3</c:v>
                </c:pt>
                <c:pt idx="4">
                  <c:v>100.13</c:v>
                </c:pt>
                <c:pt idx="5">
                  <c:v>98.74</c:v>
                </c:pt>
                <c:pt idx="6">
                  <c:v>95.08</c:v>
                </c:pt>
                <c:pt idx="7">
                  <c:v>92.05</c:v>
                </c:pt>
                <c:pt idx="8">
                  <c:v>91.17</c:v>
                </c:pt>
                <c:pt idx="9">
                  <c:v>92.6</c:v>
                </c:pt>
                <c:pt idx="10">
                  <c:v>92.74</c:v>
                </c:pt>
                <c:pt idx="11">
                  <c:v>94.91</c:v>
                </c:pt>
                <c:pt idx="12">
                  <c:v>98.37</c:v>
                </c:pt>
                <c:pt idx="13">
                  <c:v>100.37</c:v>
                </c:pt>
                <c:pt idx="14">
                  <c:v>98.72</c:v>
                </c:pt>
                <c:pt idx="15">
                  <c:v>97.63</c:v>
                </c:pt>
                <c:pt idx="16">
                  <c:v>97.01</c:v>
                </c:pt>
                <c:pt idx="17">
                  <c:v>102.1</c:v>
                </c:pt>
                <c:pt idx="18">
                  <c:v>106.3</c:v>
                </c:pt>
                <c:pt idx="19">
                  <c:v>113.23</c:v>
                </c:pt>
                <c:pt idx="20">
                  <c:v>114.93</c:v>
                </c:pt>
                <c:pt idx="21">
                  <c:v>113.35</c:v>
                </c:pt>
                <c:pt idx="22">
                  <c:v>111.38</c:v>
                </c:pt>
                <c:pt idx="23">
                  <c:v>111.93</c:v>
                </c:pt>
                <c:pt idx="24">
                  <c:v>118.03</c:v>
                </c:pt>
                <c:pt idx="25">
                  <c:v>120.2</c:v>
                </c:pt>
                <c:pt idx="26">
                  <c:v>116.65</c:v>
                </c:pt>
                <c:pt idx="27">
                  <c:v>122.6</c:v>
                </c:pt>
                <c:pt idx="28">
                  <c:v>125.87</c:v>
                </c:pt>
                <c:pt idx="29">
                  <c:v>128.34</c:v>
                </c:pt>
                <c:pt idx="30">
                  <c:v>138.44</c:v>
                </c:pt>
                <c:pt idx="31">
                  <c:v>152.33000000000001</c:v>
                </c:pt>
                <c:pt idx="32">
                  <c:v>148.11000000000001</c:v>
                </c:pt>
                <c:pt idx="33">
                  <c:v>145.25</c:v>
                </c:pt>
                <c:pt idx="34">
                  <c:v>143.02000000000001</c:v>
                </c:pt>
                <c:pt idx="35">
                  <c:v>143.59</c:v>
                </c:pt>
                <c:pt idx="36">
                  <c:v>145.12</c:v>
                </c:pt>
                <c:pt idx="37">
                  <c:v>142.94999999999999</c:v>
                </c:pt>
                <c:pt idx="38">
                  <c:v>135.63999999999999</c:v>
                </c:pt>
                <c:pt idx="39">
                  <c:v>138.38999999999999</c:v>
                </c:pt>
                <c:pt idx="40">
                  <c:v>145.84</c:v>
                </c:pt>
                <c:pt idx="41">
                  <c:v>144.18</c:v>
                </c:pt>
                <c:pt idx="42">
                  <c:v>141.16999999999999</c:v>
                </c:pt>
                <c:pt idx="43">
                  <c:v>137.99</c:v>
                </c:pt>
                <c:pt idx="44">
                  <c:v>136.52000000000001</c:v>
                </c:pt>
                <c:pt idx="45">
                  <c:v>136.93</c:v>
                </c:pt>
                <c:pt idx="46">
                  <c:v>140.54</c:v>
                </c:pt>
                <c:pt idx="47">
                  <c:v>136.82</c:v>
                </c:pt>
                <c:pt idx="48">
                  <c:v>139.13090643192999</c:v>
                </c:pt>
                <c:pt idx="49">
                  <c:v>142.16272125897001</c:v>
                </c:pt>
                <c:pt idx="50">
                  <c:v>149.62867889706001</c:v>
                </c:pt>
                <c:pt idx="51">
                  <c:v>148.05005266623999</c:v>
                </c:pt>
                <c:pt idx="52">
                  <c:v>139.94406093820001</c:v>
                </c:pt>
                <c:pt idx="53">
                  <c:v>138.85478867057</c:v>
                </c:pt>
                <c:pt idx="54">
                  <c:v>129.75108198487999</c:v>
                </c:pt>
                <c:pt idx="55">
                  <c:v>132.46217817050999</c:v>
                </c:pt>
                <c:pt idx="56">
                  <c:v>126.35201898117</c:v>
                </c:pt>
                <c:pt idx="57">
                  <c:v>125.83565145202</c:v>
                </c:pt>
                <c:pt idx="58">
                  <c:v>131.33319452622001</c:v>
                </c:pt>
                <c:pt idx="59">
                  <c:v>138.14976048662999</c:v>
                </c:pt>
                <c:pt idx="60">
                  <c:v>144.90514436322999</c:v>
                </c:pt>
                <c:pt idx="61">
                  <c:v>140.34370134854001</c:v>
                </c:pt>
                <c:pt idx="62">
                  <c:v>144.11547579712999</c:v>
                </c:pt>
                <c:pt idx="63">
                  <c:v>152.65750036298999</c:v>
                </c:pt>
              </c:numCache>
            </c:numRef>
          </c:val>
          <c:smooth val="0"/>
          <c:extLst>
            <c:ext xmlns:c16="http://schemas.microsoft.com/office/drawing/2014/chart" uri="{C3380CC4-5D6E-409C-BE32-E72D297353CC}">
              <c16:uniqueId val="{00000003-D195-47A7-A7B0-6F8956324E41}"/>
            </c:ext>
          </c:extLst>
        </c:ser>
        <c:dLbls>
          <c:showLegendKey val="0"/>
          <c:showVal val="0"/>
          <c:showCatName val="0"/>
          <c:showSerName val="0"/>
          <c:showPercent val="0"/>
          <c:showBubbleSize val="0"/>
        </c:dLbls>
        <c:smooth val="0"/>
        <c:axId val="169870848"/>
        <c:axId val="169867936"/>
      </c:lineChart>
      <c:catAx>
        <c:axId val="16987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9867936"/>
        <c:crosses val="autoZero"/>
        <c:auto val="1"/>
        <c:lblAlgn val="ctr"/>
        <c:lblOffset val="100"/>
        <c:noMultiLvlLbl val="0"/>
      </c:catAx>
      <c:valAx>
        <c:axId val="169867936"/>
        <c:scaling>
          <c:orientation val="minMax"/>
          <c:max val="175"/>
          <c:min val="25"/>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9870848"/>
        <c:crosses val="autoZero"/>
        <c:crossBetween val="between"/>
        <c:majorUnit val="75"/>
      </c:valAx>
      <c:spPr>
        <a:noFill/>
        <a:ln>
          <a:noFill/>
        </a:ln>
        <a:effectLst/>
      </c:spPr>
    </c:plotArea>
    <c:legend>
      <c:legendPos val="t"/>
      <c:layout>
        <c:manualLayout>
          <c:xMode val="edge"/>
          <c:yMode val="edge"/>
          <c:x val="5.5427403575023536E-2"/>
          <c:y val="5.554644211140298E-4"/>
          <c:w val="0.9"/>
          <c:h val="6.44972112860892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270100209741321E-2"/>
          <c:y val="3.0899961375048281E-2"/>
          <c:w val="0.89745979958051736"/>
          <c:h val="0.72929687381197861"/>
        </c:manualLayout>
      </c:layout>
      <c:barChart>
        <c:barDir val="col"/>
        <c:grouping val="clustered"/>
        <c:varyColors val="0"/>
        <c:ser>
          <c:idx val="0"/>
          <c:order val="0"/>
          <c:tx>
            <c:strRef>
              <c:f>Gasto!$B$42</c:f>
              <c:strCache>
                <c:ptCount val="1"/>
                <c:pt idx="0">
                  <c:v>Año presupuestario</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Gasto!$D$42</c:f>
              <c:numCache>
                <c:formatCode>_(* #,##0.00_);_(* \(#,##0.00\);_(* "-"??_);_(@_)</c:formatCode>
                <c:ptCount val="1"/>
                <c:pt idx="0">
                  <c:v>1.0700738519428432</c:v>
                </c:pt>
              </c:numCache>
            </c:numRef>
          </c:val>
          <c:extLst>
            <c:ext xmlns:c16="http://schemas.microsoft.com/office/drawing/2014/chart" uri="{C3380CC4-5D6E-409C-BE32-E72D297353CC}">
              <c16:uniqueId val="{00000000-E9D8-40F9-B5D1-1B4896F5AB62}"/>
            </c:ext>
          </c:extLst>
        </c:ser>
        <c:ser>
          <c:idx val="1"/>
          <c:order val="1"/>
          <c:tx>
            <c:strRef>
              <c:f>Gasto!$B$43</c:f>
              <c:strCache>
                <c:ptCount val="1"/>
                <c:pt idx="0">
                  <c:v>Año presupuestario+1</c:v>
                </c:pt>
              </c:strCache>
            </c:strRef>
          </c:tx>
          <c:spPr>
            <a:solidFill>
              <a:srgbClr val="5B9BD5">
                <a:lumMod val="75000"/>
              </a:srgb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Gasto!$D$43</c:f>
              <c:numCache>
                <c:formatCode>_(* #,##0.00_);_(* \(#,##0.00\);_(* "-"??_);_(@_)</c:formatCode>
                <c:ptCount val="1"/>
                <c:pt idx="0">
                  <c:v>0.84867504501379398</c:v>
                </c:pt>
              </c:numCache>
            </c:numRef>
          </c:val>
          <c:extLst>
            <c:ext xmlns:c16="http://schemas.microsoft.com/office/drawing/2014/chart" uri="{C3380CC4-5D6E-409C-BE32-E72D297353CC}">
              <c16:uniqueId val="{00000001-E9D8-40F9-B5D1-1B4896F5AB62}"/>
            </c:ext>
          </c:extLst>
        </c:ser>
        <c:ser>
          <c:idx val="2"/>
          <c:order val="2"/>
          <c:tx>
            <c:strRef>
              <c:f>Gasto!$B$44</c:f>
              <c:strCache>
                <c:ptCount val="1"/>
                <c:pt idx="0">
                  <c:v>Año presupuestario+2</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Gasto!$D$44</c:f>
              <c:numCache>
                <c:formatCode>_(* #,##0.00_);_(* \(#,##0.00\);_(* "-"??_);_(@_)</c:formatCode>
                <c:ptCount val="1"/>
                <c:pt idx="0">
                  <c:v>0.76096790618216659</c:v>
                </c:pt>
              </c:numCache>
            </c:numRef>
          </c:val>
          <c:extLst>
            <c:ext xmlns:c16="http://schemas.microsoft.com/office/drawing/2014/chart" uri="{C3380CC4-5D6E-409C-BE32-E72D297353CC}">
              <c16:uniqueId val="{00000002-E9D8-40F9-B5D1-1B4896F5AB62}"/>
            </c:ext>
          </c:extLst>
        </c:ser>
        <c:dLbls>
          <c:showLegendKey val="0"/>
          <c:showVal val="1"/>
          <c:showCatName val="0"/>
          <c:showSerName val="0"/>
          <c:showPercent val="0"/>
          <c:showBubbleSize val="0"/>
        </c:dLbls>
        <c:gapWidth val="75"/>
        <c:overlap val="-32"/>
        <c:axId val="1621583263"/>
        <c:axId val="1621581599"/>
      </c:barChart>
      <c:catAx>
        <c:axId val="1621583263"/>
        <c:scaling>
          <c:orientation val="minMax"/>
        </c:scaling>
        <c:delete val="1"/>
        <c:axPos val="b"/>
        <c:majorTickMark val="none"/>
        <c:minorTickMark val="none"/>
        <c:tickLblPos val="nextTo"/>
        <c:crossAx val="1621581599"/>
        <c:crosses val="autoZero"/>
        <c:auto val="1"/>
        <c:lblAlgn val="ctr"/>
        <c:lblOffset val="100"/>
        <c:noMultiLvlLbl val="0"/>
      </c:catAx>
      <c:valAx>
        <c:axId val="1621581599"/>
        <c:scaling>
          <c:orientation val="minMax"/>
        </c:scaling>
        <c:delete val="1"/>
        <c:axPos val="l"/>
        <c:numFmt formatCode="_(* #,##0.00_);_(* \(#,##0.00\);_(* &quot;-&quot;??_);_(@_)" sourceLinked="1"/>
        <c:majorTickMark val="none"/>
        <c:minorTickMark val="none"/>
        <c:tickLblPos val="nextTo"/>
        <c:crossAx val="1621583263"/>
        <c:crosses val="autoZero"/>
        <c:crossBetween val="between"/>
      </c:valAx>
      <c:spPr>
        <a:noFill/>
        <a:ln>
          <a:noFill/>
        </a:ln>
        <a:effectLst/>
      </c:spPr>
    </c:plotArea>
    <c:legend>
      <c:legendPos val="b"/>
      <c:layout>
        <c:manualLayout>
          <c:xMode val="edge"/>
          <c:yMode val="edge"/>
          <c:x val="4.8267294483784959E-2"/>
          <c:y val="0.79882178690583727"/>
          <c:w val="0.92210871683453921"/>
          <c:h val="0.154828271031590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951797663604402E-2"/>
          <c:y val="1.4771048744460856E-2"/>
          <c:w val="0.95009640467279122"/>
          <c:h val="0.7992327583867378"/>
        </c:manualLayout>
      </c:layout>
      <c:barChart>
        <c:barDir val="col"/>
        <c:grouping val="clustered"/>
        <c:varyColors val="0"/>
        <c:ser>
          <c:idx val="0"/>
          <c:order val="0"/>
          <c:tx>
            <c:strRef>
              <c:f>Déficit!$B$30</c:f>
              <c:strCache>
                <c:ptCount val="1"/>
                <c:pt idx="0">
                  <c:v>Año presupuestario</c:v>
                </c:pt>
              </c:strCache>
            </c:strRef>
          </c:tx>
          <c:spPr>
            <a:solidFill>
              <a:schemeClr val="accent1">
                <a:shade val="65000"/>
              </a:schemeClr>
            </a:solidFill>
            <a:ln w="3175">
              <a:solidFill>
                <a:sysClr val="windowText" lastClr="000000"/>
              </a:solidFill>
            </a:ln>
            <a:effectLst/>
          </c:spPr>
          <c:invertIfNegative val="0"/>
          <c:cat>
            <c:numRef>
              <c:f>Déficit!$D$29:$N$29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Déficit!$D$30:$N$30</c:f>
              <c:numCache>
                <c:formatCode>_(* #,##0.00_);_(* \(#,##0.00\);_(* "-"??_);_(@_)</c:formatCode>
                <c:ptCount val="11"/>
                <c:pt idx="0">
                  <c:v>-0.21753499734837956</c:v>
                </c:pt>
                <c:pt idx="1">
                  <c:v>-0.3738654979085938</c:v>
                </c:pt>
                <c:pt idx="2">
                  <c:v>-0.47352452947059764</c:v>
                </c:pt>
                <c:pt idx="3">
                  <c:v>-0.62555966245280903</c:v>
                </c:pt>
                <c:pt idx="4">
                  <c:v>-0.55914840614134964</c:v>
                </c:pt>
                <c:pt idx="5">
                  <c:v>-0.52528850141860972</c:v>
                </c:pt>
                <c:pt idx="6">
                  <c:v>-0.96833348513051876</c:v>
                </c:pt>
                <c:pt idx="7">
                  <c:v>-0.32355653540234064</c:v>
                </c:pt>
                <c:pt idx="8">
                  <c:v>2.2015195831709553</c:v>
                </c:pt>
                <c:pt idx="9">
                  <c:v>-3.3580471518694424</c:v>
                </c:pt>
                <c:pt idx="10">
                  <c:v>-0.99748934229669661</c:v>
                </c:pt>
              </c:numCache>
            </c:numRef>
          </c:val>
          <c:extLst>
            <c:ext xmlns:c16="http://schemas.microsoft.com/office/drawing/2014/chart" uri="{C3380CC4-5D6E-409C-BE32-E72D297353CC}">
              <c16:uniqueId val="{00000000-AEC6-46E8-A23D-3033EADFDE60}"/>
            </c:ext>
          </c:extLst>
        </c:ser>
        <c:ser>
          <c:idx val="1"/>
          <c:order val="1"/>
          <c:tx>
            <c:strRef>
              <c:f>Déficit!$B$31</c:f>
              <c:strCache>
                <c:ptCount val="1"/>
                <c:pt idx="0">
                  <c:v>Año presupuestario+1</c:v>
                </c:pt>
              </c:strCache>
            </c:strRef>
          </c:tx>
          <c:spPr>
            <a:solidFill>
              <a:srgbClr val="5B9BD5">
                <a:lumMod val="75000"/>
              </a:srgbClr>
            </a:solidFill>
            <a:ln w="3175">
              <a:solidFill>
                <a:sysClr val="windowText" lastClr="000000"/>
              </a:solidFill>
            </a:ln>
            <a:effectLst/>
          </c:spPr>
          <c:invertIfNegative val="0"/>
          <c:cat>
            <c:numRef>
              <c:f>Déficit!$D$29:$N$29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Déficit!$D$31:$N$31</c:f>
              <c:numCache>
                <c:formatCode>_(* #,##0.00_);_(* \(#,##0.00\);_(* "-"??_);_(@_)</c:formatCode>
                <c:ptCount val="11"/>
                <c:pt idx="0">
                  <c:v>0.24764255543654645</c:v>
                </c:pt>
                <c:pt idx="1">
                  <c:v>-0.29293044012054503</c:v>
                </c:pt>
                <c:pt idx="2">
                  <c:v>-8.3630195548944686E-2</c:v>
                </c:pt>
                <c:pt idx="3">
                  <c:v>-0.43676619293265362</c:v>
                </c:pt>
                <c:pt idx="4">
                  <c:v>-1.4384482098474125</c:v>
                </c:pt>
                <c:pt idx="5">
                  <c:v>-0.28743804783296345</c:v>
                </c:pt>
                <c:pt idx="6">
                  <c:v>-2.4408727786014994E-2</c:v>
                </c:pt>
                <c:pt idx="7">
                  <c:v>-8.0901999498291577E-2</c:v>
                </c:pt>
                <c:pt idx="8">
                  <c:v>2.1072003034103064</c:v>
                </c:pt>
                <c:pt idx="9">
                  <c:v>-1.0856719366584922</c:v>
                </c:pt>
                <c:pt idx="10">
                  <c:v>-1.4599344421392466</c:v>
                </c:pt>
              </c:numCache>
            </c:numRef>
          </c:val>
          <c:extLst>
            <c:ext xmlns:c16="http://schemas.microsoft.com/office/drawing/2014/chart" uri="{C3380CC4-5D6E-409C-BE32-E72D297353CC}">
              <c16:uniqueId val="{00000001-AEC6-46E8-A23D-3033EADFDE60}"/>
            </c:ext>
          </c:extLst>
        </c:ser>
        <c:ser>
          <c:idx val="2"/>
          <c:order val="2"/>
          <c:tx>
            <c:strRef>
              <c:f>Déficit!$B$32</c:f>
              <c:strCache>
                <c:ptCount val="1"/>
                <c:pt idx="0">
                  <c:v>Año presupuestario+2</c:v>
                </c:pt>
              </c:strCache>
            </c:strRef>
          </c:tx>
          <c:spPr>
            <a:solidFill>
              <a:schemeClr val="accent1">
                <a:tint val="65000"/>
              </a:schemeClr>
            </a:solidFill>
            <a:ln w="3175">
              <a:solidFill>
                <a:sysClr val="windowText" lastClr="000000"/>
              </a:solidFill>
            </a:ln>
            <a:effectLst/>
          </c:spPr>
          <c:invertIfNegative val="0"/>
          <c:cat>
            <c:numRef>
              <c:f>Déficit!$D$29:$N$29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Déficit!$D$32:$N$32</c:f>
              <c:numCache>
                <c:formatCode>_(* #,##0.00_);_(* \(#,##0.00\);_(* "-"??_);_(@_)</c:formatCode>
                <c:ptCount val="11"/>
                <c:pt idx="1">
                  <c:v>-4.3929051649775896E-2</c:v>
                </c:pt>
                <c:pt idx="2">
                  <c:v>-0.37909682082516105</c:v>
                </c:pt>
                <c:pt idx="3">
                  <c:v>-0.45516867199125577</c:v>
                </c:pt>
                <c:pt idx="4">
                  <c:v>-0.49022433734311277</c:v>
                </c:pt>
                <c:pt idx="5">
                  <c:v>-0.92921438530099221</c:v>
                </c:pt>
                <c:pt idx="6">
                  <c:v>0.33912331629827697</c:v>
                </c:pt>
                <c:pt idx="7">
                  <c:v>0.58476910957755712</c:v>
                </c:pt>
                <c:pt idx="8">
                  <c:v>2.5648821088213003</c:v>
                </c:pt>
                <c:pt idx="9">
                  <c:v>-1.1534786923629063</c:v>
                </c:pt>
                <c:pt idx="10">
                  <c:v>-0.38422418727210106</c:v>
                </c:pt>
              </c:numCache>
            </c:numRef>
          </c:val>
          <c:extLst>
            <c:ext xmlns:c16="http://schemas.microsoft.com/office/drawing/2014/chart" uri="{C3380CC4-5D6E-409C-BE32-E72D297353CC}">
              <c16:uniqueId val="{00000002-AEC6-46E8-A23D-3033EADFDE60}"/>
            </c:ext>
          </c:extLst>
        </c:ser>
        <c:dLbls>
          <c:showLegendKey val="0"/>
          <c:showVal val="0"/>
          <c:showCatName val="0"/>
          <c:showSerName val="0"/>
          <c:showPercent val="0"/>
          <c:showBubbleSize val="0"/>
        </c:dLbls>
        <c:gapWidth val="219"/>
        <c:axId val="1149594064"/>
        <c:axId val="1149579504"/>
      </c:barChart>
      <c:catAx>
        <c:axId val="1149594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79504"/>
        <c:crosses val="autoZero"/>
        <c:auto val="1"/>
        <c:lblAlgn val="ctr"/>
        <c:lblOffset val="100"/>
        <c:noMultiLvlLbl val="0"/>
      </c:catAx>
      <c:valAx>
        <c:axId val="1149579504"/>
        <c:scaling>
          <c:orientation val="minMax"/>
        </c:scaling>
        <c:delete val="1"/>
        <c:axPos val="l"/>
        <c:numFmt formatCode="_(* #,##0.00_);_(* \(#,##0.00\);_(* &quot;-&quot;??_);_(@_)" sourceLinked="1"/>
        <c:majorTickMark val="none"/>
        <c:minorTickMark val="none"/>
        <c:tickLblPos val="nextTo"/>
        <c:crossAx val="1149594064"/>
        <c:crosses val="autoZero"/>
        <c:crossBetween val="between"/>
      </c:valAx>
      <c:spPr>
        <a:noFill/>
        <a:ln>
          <a:noFill/>
        </a:ln>
        <a:effectLst/>
      </c:spPr>
    </c:plotArea>
    <c:legend>
      <c:legendPos val="b"/>
      <c:layout>
        <c:manualLayout>
          <c:xMode val="edge"/>
          <c:yMode val="edge"/>
          <c:x val="0.11170135716703326"/>
          <c:y val="0.90662642428189832"/>
          <c:w val="0.77659728566593345"/>
          <c:h val="6.383147822917999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75935828877004E-2"/>
          <c:y val="8.0321285140562249E-2"/>
          <c:w val="0.84929508993680114"/>
          <c:h val="0.69795804549622975"/>
        </c:manualLayout>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Déficit!$B$42:$B$44</c:f>
              <c:strCache>
                <c:ptCount val="3"/>
                <c:pt idx="0">
                  <c:v>Año presupuestario</c:v>
                </c:pt>
                <c:pt idx="1">
                  <c:v>Año presupuestario+1</c:v>
                </c:pt>
                <c:pt idx="2">
                  <c:v>Año presupuestario+2</c:v>
                </c:pt>
              </c:strCache>
            </c:strRef>
          </c:cat>
          <c:val>
            <c:numRef>
              <c:f>Déficit!$C$42:$C$44</c:f>
              <c:numCache>
                <c:formatCode>_(* #,##0.00_);_(* \(#,##0.00\);_(* "-"??_);_(@_)</c:formatCode>
                <c:ptCount val="3"/>
                <c:pt idx="0">
                  <c:v>-0.56552986602439848</c:v>
                </c:pt>
                <c:pt idx="1">
                  <c:v>-0.2577533939561556</c:v>
                </c:pt>
                <c:pt idx="2">
                  <c:v>-3.4656161204817071E-2</c:v>
                </c:pt>
              </c:numCache>
            </c:numRef>
          </c:val>
          <c:extLst>
            <c:ext xmlns:c16="http://schemas.microsoft.com/office/drawing/2014/chart" uri="{C3380CC4-5D6E-409C-BE32-E72D297353CC}">
              <c16:uniqueId val="{00000000-FC21-4A8D-B8B4-6AB1E95D8C1F}"/>
            </c:ext>
          </c:extLst>
        </c:ser>
        <c:dLbls>
          <c:showLegendKey val="0"/>
          <c:showVal val="0"/>
          <c:showCatName val="0"/>
          <c:showSerName val="0"/>
          <c:showPercent val="0"/>
          <c:showBubbleSize val="0"/>
        </c:dLbls>
        <c:gapWidth val="219"/>
        <c:overlap val="-27"/>
        <c:axId val="1217834752"/>
        <c:axId val="1217835168"/>
      </c:barChart>
      <c:catAx>
        <c:axId val="121783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17835168"/>
        <c:crosses val="autoZero"/>
        <c:auto val="1"/>
        <c:lblAlgn val="ctr"/>
        <c:lblOffset val="100"/>
        <c:noMultiLvlLbl val="0"/>
      </c:catAx>
      <c:valAx>
        <c:axId val="1217835168"/>
        <c:scaling>
          <c:orientation val="minMax"/>
        </c:scaling>
        <c:delete val="1"/>
        <c:axPos val="l"/>
        <c:numFmt formatCode="_(* #,##0.00_);_(* \(#,##0.00\);_(* &quot;-&quot;??_);_(@_)" sourceLinked="1"/>
        <c:majorTickMark val="none"/>
        <c:minorTickMark val="none"/>
        <c:tickLblPos val="nextTo"/>
        <c:crossAx val="121783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341227685204684E-2"/>
          <c:y val="7.8319686721253112E-2"/>
          <c:w val="0.96461789237807727"/>
          <c:h val="0.62307128583096849"/>
        </c:manualLayout>
      </c:layout>
      <c:barChart>
        <c:barDir val="col"/>
        <c:grouping val="clustered"/>
        <c:varyColors val="0"/>
        <c:ser>
          <c:idx val="0"/>
          <c:order val="0"/>
          <c:tx>
            <c:strRef>
              <c:f>Déficit!$B$42</c:f>
              <c:strCache>
                <c:ptCount val="1"/>
                <c:pt idx="0">
                  <c:v>Año presupuestario</c:v>
                </c:pt>
              </c:strCache>
            </c:strRef>
          </c:tx>
          <c:spPr>
            <a:solidFill>
              <a:schemeClr val="accent1"/>
            </a:solidFill>
            <a:ln w="6350">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Déficit!$D$42</c:f>
              <c:numCache>
                <c:formatCode>_(* #,##0.00_);_(* \(#,##0.00\);_(* "-"??_);_(@_)</c:formatCode>
                <c:ptCount val="1"/>
                <c:pt idx="0">
                  <c:v>0.96580615387366298</c:v>
                </c:pt>
              </c:numCache>
            </c:numRef>
          </c:val>
          <c:extLst>
            <c:ext xmlns:c16="http://schemas.microsoft.com/office/drawing/2014/chart" uri="{C3380CC4-5D6E-409C-BE32-E72D297353CC}">
              <c16:uniqueId val="{00000000-5041-4F77-B0D8-73F2009DE55B}"/>
            </c:ext>
          </c:extLst>
        </c:ser>
        <c:ser>
          <c:idx val="1"/>
          <c:order val="1"/>
          <c:tx>
            <c:strRef>
              <c:f>Déficit!$B$43</c:f>
              <c:strCache>
                <c:ptCount val="1"/>
                <c:pt idx="0">
                  <c:v>Año presupuestario+1</c:v>
                </c:pt>
              </c:strCache>
            </c:strRef>
          </c:tx>
          <c:spPr>
            <a:solidFill>
              <a:srgbClr val="5B9BD5">
                <a:lumMod val="75000"/>
              </a:srgbClr>
            </a:solidFill>
            <a:ln w="6350">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Déficit!$D$43</c:f>
              <c:numCache>
                <c:formatCode>_(* #,##0.00_);_(* \(#,##0.00\);_(* "-"??_);_(@_)</c:formatCode>
                <c:ptCount val="1"/>
                <c:pt idx="0">
                  <c:v>0.68590664101921983</c:v>
                </c:pt>
              </c:numCache>
            </c:numRef>
          </c:val>
          <c:extLst>
            <c:ext xmlns:c16="http://schemas.microsoft.com/office/drawing/2014/chart" uri="{C3380CC4-5D6E-409C-BE32-E72D297353CC}">
              <c16:uniqueId val="{00000001-5041-4F77-B0D8-73F2009DE55B}"/>
            </c:ext>
          </c:extLst>
        </c:ser>
        <c:ser>
          <c:idx val="2"/>
          <c:order val="2"/>
          <c:tx>
            <c:strRef>
              <c:f>Déficit!$B$44</c:f>
              <c:strCache>
                <c:ptCount val="1"/>
                <c:pt idx="0">
                  <c:v>Año presupuestario+2</c:v>
                </c:pt>
              </c:strCache>
            </c:strRef>
          </c:tx>
          <c:spPr>
            <a:solidFill>
              <a:schemeClr val="accent3"/>
            </a:solidFill>
            <a:ln w="6350">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Déficit!$D$44</c:f>
              <c:numCache>
                <c:formatCode>_(* #,##0.00_);_(* \(#,##0.00\);_(* "-"??_);_(@_)</c:formatCode>
                <c:ptCount val="1"/>
                <c:pt idx="0">
                  <c:v>0.73241106814424395</c:v>
                </c:pt>
              </c:numCache>
            </c:numRef>
          </c:val>
          <c:extLst>
            <c:ext xmlns:c16="http://schemas.microsoft.com/office/drawing/2014/chart" uri="{C3380CC4-5D6E-409C-BE32-E72D297353CC}">
              <c16:uniqueId val="{00000002-5041-4F77-B0D8-73F2009DE55B}"/>
            </c:ext>
          </c:extLst>
        </c:ser>
        <c:dLbls>
          <c:showLegendKey val="0"/>
          <c:showVal val="1"/>
          <c:showCatName val="0"/>
          <c:showSerName val="0"/>
          <c:showPercent val="0"/>
          <c:showBubbleSize val="0"/>
        </c:dLbls>
        <c:gapWidth val="57"/>
        <c:overlap val="-26"/>
        <c:axId val="548688143"/>
        <c:axId val="548689807"/>
      </c:barChart>
      <c:catAx>
        <c:axId val="548688143"/>
        <c:scaling>
          <c:orientation val="minMax"/>
        </c:scaling>
        <c:delete val="1"/>
        <c:axPos val="b"/>
        <c:majorTickMark val="none"/>
        <c:minorTickMark val="none"/>
        <c:tickLblPos val="nextTo"/>
        <c:crossAx val="548689807"/>
        <c:crosses val="autoZero"/>
        <c:auto val="1"/>
        <c:lblAlgn val="ctr"/>
        <c:lblOffset val="100"/>
        <c:noMultiLvlLbl val="0"/>
      </c:catAx>
      <c:valAx>
        <c:axId val="548689807"/>
        <c:scaling>
          <c:orientation val="minMax"/>
        </c:scaling>
        <c:delete val="1"/>
        <c:axPos val="l"/>
        <c:numFmt formatCode="_(* #,##0.00_);_(* \(#,##0.00\);_(* &quot;-&quot;??_);_(@_)" sourceLinked="1"/>
        <c:majorTickMark val="none"/>
        <c:minorTickMark val="none"/>
        <c:tickLblPos val="nextTo"/>
        <c:crossAx val="548688143"/>
        <c:crosses val="autoZero"/>
        <c:crossBetween val="between"/>
      </c:valAx>
      <c:spPr>
        <a:noFill/>
        <a:ln>
          <a:noFill/>
        </a:ln>
        <a:effectLst/>
      </c:spPr>
    </c:plotArea>
    <c:legend>
      <c:legendPos val="b"/>
      <c:layout>
        <c:manualLayout>
          <c:xMode val="edge"/>
          <c:yMode val="edge"/>
          <c:x val="6.1419267996638757E-2"/>
          <c:y val="0.76472092279977921"/>
          <c:w val="0.93645000155612956"/>
          <c:h val="0.192559232678940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02841231958176E-2"/>
          <c:y val="0"/>
          <c:w val="0.94999431753608365"/>
          <c:h val="0.82889613440324728"/>
        </c:manualLayout>
      </c:layout>
      <c:barChart>
        <c:barDir val="col"/>
        <c:grouping val="clustered"/>
        <c:varyColors val="0"/>
        <c:ser>
          <c:idx val="0"/>
          <c:order val="0"/>
          <c:tx>
            <c:strRef>
              <c:f>Techos!$B$30</c:f>
              <c:strCache>
                <c:ptCount val="1"/>
                <c:pt idx="0">
                  <c:v>Año presupuestario</c:v>
                </c:pt>
              </c:strCache>
            </c:strRef>
          </c:tx>
          <c:spPr>
            <a:solidFill>
              <a:schemeClr val="accent1">
                <a:shade val="65000"/>
              </a:schemeClr>
            </a:solidFill>
            <a:ln w="3175">
              <a:solidFill>
                <a:sysClr val="windowText" lastClr="000000"/>
              </a:solidFill>
            </a:ln>
            <a:effectLst/>
          </c:spPr>
          <c:invertIfNegative val="0"/>
          <c:cat>
            <c:numRef>
              <c:f>Techos!$D$29:$N$29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Techos!$D$30:$N$30</c:f>
              <c:numCache>
                <c:formatCode>_(* #,##0.00_);_(* \(#,##0.00\);_(* "-"??_);_(@_)</c:formatCode>
                <c:ptCount val="11"/>
                <c:pt idx="0">
                  <c:v>-3.9884786389166038E-6</c:v>
                </c:pt>
                <c:pt idx="1">
                  <c:v>8.9309554702765581E-6</c:v>
                </c:pt>
                <c:pt idx="2">
                  <c:v>-0.79998931504583126</c:v>
                </c:pt>
                <c:pt idx="3">
                  <c:v>0</c:v>
                </c:pt>
                <c:pt idx="4">
                  <c:v>1.0366498663927359E-6</c:v>
                </c:pt>
                <c:pt idx="5">
                  <c:v>-0.5395082939424416</c:v>
                </c:pt>
                <c:pt idx="6">
                  <c:v>-1.9829668243418279</c:v>
                </c:pt>
                <c:pt idx="7">
                  <c:v>-0.34345726734593818</c:v>
                </c:pt>
                <c:pt idx="8">
                  <c:v>-0.69738542290531846</c:v>
                </c:pt>
                <c:pt idx="9">
                  <c:v>1.1751564340768237</c:v>
                </c:pt>
                <c:pt idx="10">
                  <c:v>0.30389072813944829</c:v>
                </c:pt>
              </c:numCache>
            </c:numRef>
          </c:val>
          <c:extLst>
            <c:ext xmlns:c16="http://schemas.microsoft.com/office/drawing/2014/chart" uri="{C3380CC4-5D6E-409C-BE32-E72D297353CC}">
              <c16:uniqueId val="{00000000-EDBD-4DC9-BDFC-025D0DF5621A}"/>
            </c:ext>
          </c:extLst>
        </c:ser>
        <c:ser>
          <c:idx val="1"/>
          <c:order val="1"/>
          <c:tx>
            <c:strRef>
              <c:f>Techos!$B$31</c:f>
              <c:strCache>
                <c:ptCount val="1"/>
                <c:pt idx="0">
                  <c:v>Año presupuestario+1</c:v>
                </c:pt>
              </c:strCache>
            </c:strRef>
          </c:tx>
          <c:spPr>
            <a:solidFill>
              <a:srgbClr val="5B9BD5">
                <a:lumMod val="75000"/>
              </a:srgbClr>
            </a:solidFill>
            <a:ln w="3175">
              <a:solidFill>
                <a:sysClr val="windowText" lastClr="000000"/>
              </a:solidFill>
            </a:ln>
            <a:effectLst/>
          </c:spPr>
          <c:invertIfNegative val="0"/>
          <c:cat>
            <c:numRef>
              <c:f>Techos!$D$29:$N$29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Techos!$D$31:$N$31</c:f>
              <c:numCache>
                <c:formatCode>_(* #,##0.00_);_(* \(#,##0.00\);_(* "-"??_);_(@_)</c:formatCode>
                <c:ptCount val="11"/>
                <c:pt idx="0">
                  <c:v>1.0613733565943413</c:v>
                </c:pt>
                <c:pt idx="1">
                  <c:v>1.310772605719901</c:v>
                </c:pt>
                <c:pt idx="2">
                  <c:v>-0.28276064673866586</c:v>
                </c:pt>
                <c:pt idx="3">
                  <c:v>0.17686126848672146</c:v>
                </c:pt>
                <c:pt idx="4">
                  <c:v>-9.7189868456084128E-2</c:v>
                </c:pt>
                <c:pt idx="5">
                  <c:v>0.97462084305316665</c:v>
                </c:pt>
                <c:pt idx="6">
                  <c:v>-0.8779155890599899</c:v>
                </c:pt>
                <c:pt idx="7">
                  <c:v>-0.65887617598136039</c:v>
                </c:pt>
                <c:pt idx="8">
                  <c:v>-1.3272415743387551</c:v>
                </c:pt>
                <c:pt idx="9">
                  <c:v>1.7631505365568252</c:v>
                </c:pt>
                <c:pt idx="10">
                  <c:v>1.2767901221150684</c:v>
                </c:pt>
              </c:numCache>
            </c:numRef>
          </c:val>
          <c:extLst>
            <c:ext xmlns:c16="http://schemas.microsoft.com/office/drawing/2014/chart" uri="{C3380CC4-5D6E-409C-BE32-E72D297353CC}">
              <c16:uniqueId val="{00000001-EDBD-4DC9-BDFC-025D0DF5621A}"/>
            </c:ext>
          </c:extLst>
        </c:ser>
        <c:ser>
          <c:idx val="2"/>
          <c:order val="2"/>
          <c:tx>
            <c:strRef>
              <c:f>Techos!$B$32</c:f>
              <c:strCache>
                <c:ptCount val="1"/>
                <c:pt idx="0">
                  <c:v>Año presupuestario+2</c:v>
                </c:pt>
              </c:strCache>
            </c:strRef>
          </c:tx>
          <c:spPr>
            <a:solidFill>
              <a:schemeClr val="accent1">
                <a:tint val="65000"/>
              </a:schemeClr>
            </a:solidFill>
            <a:ln w="3175">
              <a:solidFill>
                <a:sysClr val="windowText" lastClr="000000"/>
              </a:solidFill>
            </a:ln>
            <a:effectLst/>
          </c:spPr>
          <c:invertIfNegative val="0"/>
          <c:cat>
            <c:numRef>
              <c:f>Techos!$D$29:$N$29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Techos!$D$32:$N$32</c:f>
              <c:numCache>
                <c:formatCode>_(* #,##0.00_);_(* \(#,##0.00\);_(* "-"??_);_(@_)</c:formatCode>
                <c:ptCount val="11"/>
                <c:pt idx="1">
                  <c:v>2.1301139800513784</c:v>
                </c:pt>
                <c:pt idx="2">
                  <c:v>0.55579943351677485</c:v>
                </c:pt>
                <c:pt idx="3">
                  <c:v>-0.26355879254477443</c:v>
                </c:pt>
                <c:pt idx="4">
                  <c:v>-0.37826461144542733</c:v>
                </c:pt>
                <c:pt idx="5">
                  <c:v>0.59441727029687641</c:v>
                </c:pt>
                <c:pt idx="6">
                  <c:v>0.36901864035836596</c:v>
                </c:pt>
                <c:pt idx="7">
                  <c:v>0.27022485908426752</c:v>
                </c:pt>
                <c:pt idx="8">
                  <c:v>-2.071630660364935</c:v>
                </c:pt>
                <c:pt idx="9">
                  <c:v>0.8954554448914962</c:v>
                </c:pt>
                <c:pt idx="10">
                  <c:v>0.41695822221980983</c:v>
                </c:pt>
              </c:numCache>
            </c:numRef>
          </c:val>
          <c:extLst>
            <c:ext xmlns:c16="http://schemas.microsoft.com/office/drawing/2014/chart" uri="{C3380CC4-5D6E-409C-BE32-E72D297353CC}">
              <c16:uniqueId val="{00000002-EDBD-4DC9-BDFC-025D0DF5621A}"/>
            </c:ext>
          </c:extLst>
        </c:ser>
        <c:dLbls>
          <c:showLegendKey val="0"/>
          <c:showVal val="0"/>
          <c:showCatName val="0"/>
          <c:showSerName val="0"/>
          <c:showPercent val="0"/>
          <c:showBubbleSize val="0"/>
        </c:dLbls>
        <c:gapWidth val="219"/>
        <c:axId val="1149594064"/>
        <c:axId val="1149579504"/>
      </c:barChart>
      <c:catAx>
        <c:axId val="1149594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79504"/>
        <c:crosses val="autoZero"/>
        <c:auto val="1"/>
        <c:lblAlgn val="ctr"/>
        <c:lblOffset val="100"/>
        <c:noMultiLvlLbl val="0"/>
      </c:catAx>
      <c:valAx>
        <c:axId val="1149579504"/>
        <c:scaling>
          <c:orientation val="minMax"/>
        </c:scaling>
        <c:delete val="1"/>
        <c:axPos val="l"/>
        <c:numFmt formatCode="_(* #,##0.00_);_(* \(#,##0.00\);_(* &quot;-&quot;??_);_(@_)" sourceLinked="1"/>
        <c:majorTickMark val="none"/>
        <c:minorTickMark val="none"/>
        <c:tickLblPos val="nextTo"/>
        <c:crossAx val="1149594064"/>
        <c:crosses val="autoZero"/>
        <c:crossBetween val="between"/>
      </c:valAx>
      <c:spPr>
        <a:noFill/>
        <a:ln>
          <a:noFill/>
        </a:ln>
        <a:effectLst/>
      </c:spPr>
    </c:plotArea>
    <c:legend>
      <c:legendPos val="b"/>
      <c:layout>
        <c:manualLayout>
          <c:xMode val="edge"/>
          <c:yMode val="edge"/>
          <c:x val="0.14987225642140795"/>
          <c:y val="0.92920432976904133"/>
          <c:w val="0.70025548715718411"/>
          <c:h val="7.07956702309586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661399548532728E-2"/>
          <c:y val="0"/>
          <c:w val="0.90067720090293457"/>
          <c:h val="0.78931344587125918"/>
        </c:manualLayout>
      </c:layout>
      <c:barChart>
        <c:barDir val="col"/>
        <c:grouping val="clustered"/>
        <c:varyColors val="0"/>
        <c:ser>
          <c:idx val="0"/>
          <c:order val="0"/>
          <c:spPr>
            <a:solidFill>
              <a:srgbClr val="002060"/>
            </a:solidFill>
            <a:ln w="3175">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Techos!$B$42:$B$44</c:f>
              <c:strCache>
                <c:ptCount val="3"/>
                <c:pt idx="0">
                  <c:v>Año presupuestario</c:v>
                </c:pt>
                <c:pt idx="1">
                  <c:v>Año presupuestario+1</c:v>
                </c:pt>
                <c:pt idx="2">
                  <c:v>Año presupuestario+2</c:v>
                </c:pt>
              </c:strCache>
            </c:strRef>
          </c:cat>
          <c:val>
            <c:numRef>
              <c:f>Techos!$C$42:$C$44</c:f>
              <c:numCache>
                <c:formatCode>_(* #,##0.00_);_(* \(#,##0.00\);_(* "-"??_);_(@_)</c:formatCode>
                <c:ptCount val="3"/>
                <c:pt idx="0">
                  <c:v>-0.26220490747621705</c:v>
                </c:pt>
                <c:pt idx="1">
                  <c:v>0.30178044345010624</c:v>
                </c:pt>
                <c:pt idx="2">
                  <c:v>0.25185337860638324</c:v>
                </c:pt>
              </c:numCache>
            </c:numRef>
          </c:val>
          <c:extLst>
            <c:ext xmlns:c16="http://schemas.microsoft.com/office/drawing/2014/chart" uri="{C3380CC4-5D6E-409C-BE32-E72D297353CC}">
              <c16:uniqueId val="{00000000-6540-4CCD-9014-99D07DD2AA8A}"/>
            </c:ext>
          </c:extLst>
        </c:ser>
        <c:dLbls>
          <c:showLegendKey val="0"/>
          <c:showVal val="0"/>
          <c:showCatName val="0"/>
          <c:showSerName val="0"/>
          <c:showPercent val="0"/>
          <c:showBubbleSize val="0"/>
        </c:dLbls>
        <c:gapWidth val="219"/>
        <c:overlap val="-27"/>
        <c:axId val="1217834752"/>
        <c:axId val="1217835168"/>
      </c:barChart>
      <c:catAx>
        <c:axId val="121783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17835168"/>
        <c:crosses val="autoZero"/>
        <c:auto val="1"/>
        <c:lblAlgn val="ctr"/>
        <c:lblOffset val="100"/>
        <c:noMultiLvlLbl val="0"/>
      </c:catAx>
      <c:valAx>
        <c:axId val="1217835168"/>
        <c:scaling>
          <c:orientation val="minMax"/>
        </c:scaling>
        <c:delete val="1"/>
        <c:axPos val="l"/>
        <c:numFmt formatCode="_(* #,##0.00_);_(* \(#,##0.00\);_(* &quot;-&quot;??_);_(@_)" sourceLinked="1"/>
        <c:majorTickMark val="none"/>
        <c:minorTickMark val="none"/>
        <c:tickLblPos val="nextTo"/>
        <c:crossAx val="121783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43192488262914E-2"/>
          <c:y val="2.3748509662420848E-2"/>
          <c:w val="0.92488262910798125"/>
          <c:h val="0.75726765676463847"/>
        </c:manualLayout>
      </c:layout>
      <c:barChart>
        <c:barDir val="col"/>
        <c:grouping val="clustered"/>
        <c:varyColors val="0"/>
        <c:ser>
          <c:idx val="0"/>
          <c:order val="0"/>
          <c:tx>
            <c:strRef>
              <c:f>Techos!$B$42</c:f>
              <c:strCache>
                <c:ptCount val="1"/>
                <c:pt idx="0">
                  <c:v>Año presupuestario</c:v>
                </c:pt>
              </c:strCache>
            </c:strRef>
          </c:tx>
          <c:spPr>
            <a:solidFill>
              <a:schemeClr val="accent1"/>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Techos!$D$42</c:f>
              <c:numCache>
                <c:formatCode>_(* #,##0.00_);_(* \(#,##0.00\);_(* "-"??_);_(@_)</c:formatCode>
                <c:ptCount val="1"/>
                <c:pt idx="0">
                  <c:v>0.53112438562560049</c:v>
                </c:pt>
              </c:numCache>
            </c:numRef>
          </c:val>
          <c:extLst>
            <c:ext xmlns:c16="http://schemas.microsoft.com/office/drawing/2014/chart" uri="{C3380CC4-5D6E-409C-BE32-E72D297353CC}">
              <c16:uniqueId val="{00000000-0F38-426F-B513-493D240A1CF8}"/>
            </c:ext>
          </c:extLst>
        </c:ser>
        <c:ser>
          <c:idx val="1"/>
          <c:order val="1"/>
          <c:tx>
            <c:strRef>
              <c:f>Techos!$B$43</c:f>
              <c:strCache>
                <c:ptCount val="1"/>
                <c:pt idx="0">
                  <c:v>Año presupuestario+1</c:v>
                </c:pt>
              </c:strCache>
            </c:strRef>
          </c:tx>
          <c:spPr>
            <a:solidFill>
              <a:srgbClr val="5B9BD5">
                <a:lumMod val="75000"/>
              </a:srgbClr>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Techos!$D$43</c:f>
              <c:numCache>
                <c:formatCode>_(* #,##0.00_);_(* \(#,##0.00\);_(* "-"??_);_(@_)</c:formatCode>
                <c:ptCount val="1"/>
                <c:pt idx="0">
                  <c:v>0.89159568973644354</c:v>
                </c:pt>
              </c:numCache>
            </c:numRef>
          </c:val>
          <c:extLst>
            <c:ext xmlns:c16="http://schemas.microsoft.com/office/drawing/2014/chart" uri="{C3380CC4-5D6E-409C-BE32-E72D297353CC}">
              <c16:uniqueId val="{00000001-0F38-426F-B513-493D240A1CF8}"/>
            </c:ext>
          </c:extLst>
        </c:ser>
        <c:ser>
          <c:idx val="2"/>
          <c:order val="2"/>
          <c:tx>
            <c:strRef>
              <c:f>Techos!$B$44</c:f>
              <c:strCache>
                <c:ptCount val="1"/>
                <c:pt idx="0">
                  <c:v>Año presupuestario+2</c:v>
                </c:pt>
              </c:strCache>
            </c:strRef>
          </c:tx>
          <c:spPr>
            <a:solidFill>
              <a:schemeClr val="accent3"/>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Techos!$D$44</c:f>
              <c:numCache>
                <c:formatCode>_(* #,##0.00_);_(* \(#,##0.00\);_(* "-"??_);_(@_)</c:formatCode>
                <c:ptCount val="1"/>
                <c:pt idx="0">
                  <c:v>0.79454419147741062</c:v>
                </c:pt>
              </c:numCache>
            </c:numRef>
          </c:val>
          <c:extLst>
            <c:ext xmlns:c16="http://schemas.microsoft.com/office/drawing/2014/chart" uri="{C3380CC4-5D6E-409C-BE32-E72D297353CC}">
              <c16:uniqueId val="{00000002-0F38-426F-B513-493D240A1CF8}"/>
            </c:ext>
          </c:extLst>
        </c:ser>
        <c:dLbls>
          <c:showLegendKey val="0"/>
          <c:showVal val="1"/>
          <c:showCatName val="0"/>
          <c:showSerName val="0"/>
          <c:showPercent val="0"/>
          <c:showBubbleSize val="0"/>
        </c:dLbls>
        <c:gapWidth val="75"/>
        <c:overlap val="-24"/>
        <c:axId val="1622033951"/>
        <c:axId val="1622027711"/>
      </c:barChart>
      <c:catAx>
        <c:axId val="1622033951"/>
        <c:scaling>
          <c:orientation val="minMax"/>
        </c:scaling>
        <c:delete val="1"/>
        <c:axPos val="b"/>
        <c:majorTickMark val="none"/>
        <c:minorTickMark val="none"/>
        <c:tickLblPos val="nextTo"/>
        <c:crossAx val="1622027711"/>
        <c:crosses val="autoZero"/>
        <c:auto val="1"/>
        <c:lblAlgn val="ctr"/>
        <c:lblOffset val="100"/>
        <c:noMultiLvlLbl val="0"/>
      </c:catAx>
      <c:valAx>
        <c:axId val="1622027711"/>
        <c:scaling>
          <c:orientation val="minMax"/>
        </c:scaling>
        <c:delete val="1"/>
        <c:axPos val="l"/>
        <c:numFmt formatCode="_(* #,##0.00_);_(* \(#,##0.00\);_(* &quot;-&quot;??_);_(@_)" sourceLinked="1"/>
        <c:majorTickMark val="none"/>
        <c:minorTickMark val="none"/>
        <c:tickLblPos val="nextTo"/>
        <c:crossAx val="1622033951"/>
        <c:crosses val="autoZero"/>
        <c:crossBetween val="between"/>
      </c:valAx>
      <c:spPr>
        <a:noFill/>
        <a:ln>
          <a:noFill/>
        </a:ln>
        <a:effectLst/>
      </c:spPr>
    </c:plotArea>
    <c:legend>
      <c:legendPos val="b"/>
      <c:layout>
        <c:manualLayout>
          <c:xMode val="edge"/>
          <c:yMode val="edge"/>
          <c:x val="1.7517651842815417E-2"/>
          <c:y val="0.79550374022877712"/>
          <c:w val="0.97904920335662271"/>
          <c:h val="0.16103374618918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22309844346361E-2"/>
          <c:y val="3.5162453670002612E-2"/>
          <c:w val="0.88572043860953331"/>
          <c:h val="0.87016542656938523"/>
        </c:manualLayout>
      </c:layout>
      <c:areaChart>
        <c:grouping val="stacked"/>
        <c:varyColors val="0"/>
        <c:ser>
          <c:idx val="1"/>
          <c:order val="1"/>
          <c:tx>
            <c:strRef>
              <c:f>'PIB real'!$B$77</c:f>
              <c:strCache>
                <c:ptCount val="1"/>
                <c:pt idx="0">
                  <c:v>95%</c:v>
                </c:pt>
              </c:strCache>
            </c:strRef>
          </c:tx>
          <c:spPr>
            <a:noFill/>
            <a:ln>
              <a:no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real'!$C$77:$T$77</c:f>
              <c:numCache>
                <c:formatCode>_(* #,##0.0_);_(* \(#,##0.0\);_(* "-"??_);_(@_)</c:formatCode>
                <c:ptCount val="18"/>
                <c:pt idx="0">
                  <c:v>4.1620489461922716</c:v>
                </c:pt>
                <c:pt idx="1">
                  <c:v>2.9698574268847437</c:v>
                </c:pt>
                <c:pt idx="2">
                  <c:v>3.6975855779096634</c:v>
                </c:pt>
                <c:pt idx="3">
                  <c:v>4.174169136581753</c:v>
                </c:pt>
                <c:pt idx="4">
                  <c:v>4.1400443582547837</c:v>
                </c:pt>
                <c:pt idx="5">
                  <c:v>3.0924825576909001</c:v>
                </c:pt>
                <c:pt idx="6">
                  <c:v>2.7603384836662173</c:v>
                </c:pt>
                <c:pt idx="7">
                  <c:v>3.1450345781208995</c:v>
                </c:pt>
                <c:pt idx="8">
                  <c:v>4.0178979271631192</c:v>
                </c:pt>
                <c:pt idx="9">
                  <c:v>-1.791857686209164</c:v>
                </c:pt>
                <c:pt idx="10">
                  <c:v>8.002408017800299</c:v>
                </c:pt>
                <c:pt idx="11">
                  <c:v>4.1180041818460245</c:v>
                </c:pt>
                <c:pt idx="12">
                  <c:v>-0.75063880334640287</c:v>
                </c:pt>
                <c:pt idx="13">
                  <c:v>-1.6688290799015146</c:v>
                </c:pt>
                <c:pt idx="14">
                  <c:v>-1.6128418586179021</c:v>
                </c:pt>
                <c:pt idx="15">
                  <c:v>-1.639227114376439</c:v>
                </c:pt>
                <c:pt idx="16">
                  <c:v>-1.6362727433360114</c:v>
                </c:pt>
                <c:pt idx="17">
                  <c:v>-1.9034860456419649</c:v>
                </c:pt>
              </c:numCache>
            </c:numRef>
          </c:val>
          <c:extLst>
            <c:ext xmlns:c16="http://schemas.microsoft.com/office/drawing/2014/chart" uri="{C3380CC4-5D6E-409C-BE32-E72D297353CC}">
              <c16:uniqueId val="{00000000-4A7B-4271-96BB-CFB113A44A6A}"/>
            </c:ext>
          </c:extLst>
        </c:ser>
        <c:ser>
          <c:idx val="2"/>
          <c:order val="2"/>
          <c:tx>
            <c:strRef>
              <c:f>'PIB real'!$B$78</c:f>
              <c:strCache>
                <c:ptCount val="1"/>
                <c:pt idx="0">
                  <c:v>90%</c:v>
                </c:pt>
              </c:strCache>
            </c:strRef>
          </c:tx>
          <c:spPr>
            <a:solidFill>
              <a:schemeClr val="accent1">
                <a:lumMod val="20000"/>
                <a:lumOff val="80000"/>
              </a:schemeClr>
            </a:solidFill>
            <a:ln>
              <a:solidFill>
                <a:schemeClr val="accent1">
                  <a:lumMod val="20000"/>
                  <a:lumOff val="80000"/>
                </a:schemeClr>
              </a:solid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real'!$C$78:$T$78</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1.0883338817676531</c:v>
                </c:pt>
                <c:pt idx="13">
                  <c:v>1.0574192369698201</c:v>
                </c:pt>
                <c:pt idx="14">
                  <c:v>1.046596048053853</c:v>
                </c:pt>
                <c:pt idx="15">
                  <c:v>1.0779939294954684</c:v>
                </c:pt>
                <c:pt idx="16">
                  <c:v>1.0779939294954684</c:v>
                </c:pt>
                <c:pt idx="17">
                  <c:v>1.1436437598017428</c:v>
                </c:pt>
              </c:numCache>
            </c:numRef>
          </c:val>
          <c:extLst>
            <c:ext xmlns:c16="http://schemas.microsoft.com/office/drawing/2014/chart" uri="{C3380CC4-5D6E-409C-BE32-E72D297353CC}">
              <c16:uniqueId val="{00000001-4A7B-4271-96BB-CFB113A44A6A}"/>
            </c:ext>
          </c:extLst>
        </c:ser>
        <c:ser>
          <c:idx val="3"/>
          <c:order val="3"/>
          <c:tx>
            <c:strRef>
              <c:f>'PIB real'!$B$79</c:f>
              <c:strCache>
                <c:ptCount val="1"/>
                <c:pt idx="0">
                  <c:v>80%</c:v>
                </c:pt>
              </c:strCache>
            </c:strRef>
          </c:tx>
          <c:spPr>
            <a:solidFill>
              <a:schemeClr val="accent1">
                <a:lumMod val="40000"/>
                <a:lumOff val="60000"/>
              </a:schemeClr>
            </a:solidFill>
            <a:ln>
              <a:solidFill>
                <a:schemeClr val="accent1">
                  <a:lumMod val="40000"/>
                  <a:lumOff val="60000"/>
                </a:schemeClr>
              </a:solid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real'!$C$79:$T$79</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1.218971108195436</c:v>
                </c:pt>
                <c:pt idx="13">
                  <c:v>1.1843456504567889</c:v>
                </c:pt>
                <c:pt idx="14">
                  <c:v>1.1722233093185377</c:v>
                </c:pt>
                <c:pt idx="15">
                  <c:v>1.207390008598094</c:v>
                </c:pt>
                <c:pt idx="16">
                  <c:v>1.207390008598094</c:v>
                </c:pt>
                <c:pt idx="17">
                  <c:v>1.2809200601217179</c:v>
                </c:pt>
              </c:numCache>
            </c:numRef>
          </c:val>
          <c:extLst>
            <c:ext xmlns:c16="http://schemas.microsoft.com/office/drawing/2014/chart" uri="{C3380CC4-5D6E-409C-BE32-E72D297353CC}">
              <c16:uniqueId val="{00000002-4A7B-4271-96BB-CFB113A44A6A}"/>
            </c:ext>
          </c:extLst>
        </c:ser>
        <c:ser>
          <c:idx val="4"/>
          <c:order val="4"/>
          <c:tx>
            <c:strRef>
              <c:f>'PIB real'!$B$80</c:f>
              <c:strCache>
                <c:ptCount val="1"/>
                <c:pt idx="0">
                  <c:v>70%</c:v>
                </c:pt>
              </c:strCache>
            </c:strRef>
          </c:tx>
          <c:spPr>
            <a:solidFill>
              <a:schemeClr val="accent1">
                <a:lumMod val="60000"/>
                <a:lumOff val="40000"/>
              </a:schemeClr>
            </a:solidFill>
            <a:ln>
              <a:solidFill>
                <a:schemeClr val="accent1">
                  <a:lumMod val="60000"/>
                  <a:lumOff val="40000"/>
                </a:schemeClr>
              </a:solid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real'!$C$80:$T$80</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0.83434906759465433</c:v>
                </c:pt>
                <c:pt idx="13">
                  <c:v>0.81064898300278454</c:v>
                </c:pt>
                <c:pt idx="14">
                  <c:v>0.80235160502740532</c:v>
                </c:pt>
                <c:pt idx="15">
                  <c:v>0.82642215317822743</c:v>
                </c:pt>
                <c:pt idx="16">
                  <c:v>0.82642215317822743</c:v>
                </c:pt>
                <c:pt idx="17">
                  <c:v>0.87675126230678169</c:v>
                </c:pt>
              </c:numCache>
            </c:numRef>
          </c:val>
          <c:extLst>
            <c:ext xmlns:c16="http://schemas.microsoft.com/office/drawing/2014/chart" uri="{C3380CC4-5D6E-409C-BE32-E72D297353CC}">
              <c16:uniqueId val="{00000003-4A7B-4271-96BB-CFB113A44A6A}"/>
            </c:ext>
          </c:extLst>
        </c:ser>
        <c:ser>
          <c:idx val="5"/>
          <c:order val="5"/>
          <c:tx>
            <c:strRef>
              <c:f>'PIB real'!$B$81</c:f>
              <c:strCache>
                <c:ptCount val="1"/>
                <c:pt idx="0">
                  <c:v>60%</c:v>
                </c:pt>
              </c:strCache>
            </c:strRef>
          </c:tx>
          <c:spPr>
            <a:solidFill>
              <a:schemeClr val="accent1">
                <a:lumMod val="75000"/>
              </a:schemeClr>
            </a:solidFill>
            <a:ln>
              <a:solidFill>
                <a:schemeClr val="accent1">
                  <a:lumMod val="75000"/>
                </a:schemeClr>
              </a:solid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real'!$C$81:$T$81</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0.69545993100280112</c:v>
                </c:pt>
                <c:pt idx="13">
                  <c:v>0.67570505880939136</c:v>
                </c:pt>
                <c:pt idx="14">
                  <c:v>0.668788896092392</c:v>
                </c:pt>
                <c:pt idx="15">
                  <c:v>0.68885256297516406</c:v>
                </c:pt>
                <c:pt idx="16">
                  <c:v>0.68885256297516406</c:v>
                </c:pt>
                <c:pt idx="17">
                  <c:v>0.73080368406035134</c:v>
                </c:pt>
              </c:numCache>
            </c:numRef>
          </c:val>
          <c:extLst>
            <c:ext xmlns:c16="http://schemas.microsoft.com/office/drawing/2014/chart" uri="{C3380CC4-5D6E-409C-BE32-E72D297353CC}">
              <c16:uniqueId val="{00000004-4A7B-4271-96BB-CFB113A44A6A}"/>
            </c:ext>
          </c:extLst>
        </c:ser>
        <c:ser>
          <c:idx val="6"/>
          <c:order val="6"/>
          <c:tx>
            <c:strRef>
              <c:f>'PIB real'!$B$82</c:f>
              <c:strCache>
                <c:ptCount val="1"/>
                <c:pt idx="0">
                  <c:v>60%</c:v>
                </c:pt>
              </c:strCache>
            </c:strRef>
          </c:tx>
          <c:spPr>
            <a:solidFill>
              <a:schemeClr val="accent1">
                <a:lumMod val="50000"/>
              </a:schemeClr>
            </a:solidFill>
            <a:ln>
              <a:solidFill>
                <a:schemeClr val="accent1">
                  <a:lumMod val="50000"/>
                </a:schemeClr>
              </a:solid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real'!$C$82:$T$82</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1.2863159131552151</c:v>
                </c:pt>
                <c:pt idx="13">
                  <c:v>1.2497774939998667</c:v>
                </c:pt>
                <c:pt idx="14">
                  <c:v>1.2369854268163278</c:v>
                </c:pt>
                <c:pt idx="15">
                  <c:v>1.2740949896208171</c:v>
                </c:pt>
                <c:pt idx="16">
                  <c:v>1.2740949896208171</c:v>
                </c:pt>
                <c:pt idx="17">
                  <c:v>1.3516873744887254</c:v>
                </c:pt>
              </c:numCache>
            </c:numRef>
          </c:val>
          <c:extLst>
            <c:ext xmlns:c16="http://schemas.microsoft.com/office/drawing/2014/chart" uri="{C3380CC4-5D6E-409C-BE32-E72D297353CC}">
              <c16:uniqueId val="{00000005-4A7B-4271-96BB-CFB113A44A6A}"/>
            </c:ext>
          </c:extLst>
        </c:ser>
        <c:ser>
          <c:idx val="7"/>
          <c:order val="7"/>
          <c:tx>
            <c:strRef>
              <c:f>'PIB real'!$B$83</c:f>
              <c:strCache>
                <c:ptCount val="1"/>
                <c:pt idx="0">
                  <c:v>70%</c:v>
                </c:pt>
              </c:strCache>
            </c:strRef>
          </c:tx>
          <c:spPr>
            <a:solidFill>
              <a:schemeClr val="accent1">
                <a:lumMod val="75000"/>
              </a:schemeClr>
            </a:solidFill>
            <a:ln>
              <a:solidFill>
                <a:schemeClr val="accent1">
                  <a:lumMod val="75000"/>
                </a:schemeClr>
              </a:solid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real'!$C$83:$T$83</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0.69545993100280068</c:v>
                </c:pt>
                <c:pt idx="13">
                  <c:v>0.67570505880939136</c:v>
                </c:pt>
                <c:pt idx="14">
                  <c:v>0.668788896092392</c:v>
                </c:pt>
                <c:pt idx="15">
                  <c:v>0.68885256297516406</c:v>
                </c:pt>
                <c:pt idx="16">
                  <c:v>0.68885256297516406</c:v>
                </c:pt>
                <c:pt idx="17">
                  <c:v>0.7308036840603509</c:v>
                </c:pt>
              </c:numCache>
            </c:numRef>
          </c:val>
          <c:extLst>
            <c:ext xmlns:c16="http://schemas.microsoft.com/office/drawing/2014/chart" uri="{C3380CC4-5D6E-409C-BE32-E72D297353CC}">
              <c16:uniqueId val="{00000006-4A7B-4271-96BB-CFB113A44A6A}"/>
            </c:ext>
          </c:extLst>
        </c:ser>
        <c:ser>
          <c:idx val="8"/>
          <c:order val="8"/>
          <c:tx>
            <c:strRef>
              <c:f>'PIB real'!$B$84</c:f>
              <c:strCache>
                <c:ptCount val="1"/>
                <c:pt idx="0">
                  <c:v>80%</c:v>
                </c:pt>
              </c:strCache>
            </c:strRef>
          </c:tx>
          <c:spPr>
            <a:solidFill>
              <a:schemeClr val="accent1">
                <a:lumMod val="60000"/>
                <a:lumOff val="40000"/>
              </a:schemeClr>
            </a:solidFill>
            <a:ln>
              <a:solidFill>
                <a:schemeClr val="accent1">
                  <a:lumMod val="60000"/>
                  <a:lumOff val="40000"/>
                </a:schemeClr>
              </a:solid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real'!$C$84:$T$84</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0.83434906759465477</c:v>
                </c:pt>
                <c:pt idx="13">
                  <c:v>0.81064898300278498</c:v>
                </c:pt>
                <c:pt idx="14">
                  <c:v>0.80235160502740532</c:v>
                </c:pt>
                <c:pt idx="15">
                  <c:v>0.82642215317822743</c:v>
                </c:pt>
                <c:pt idx="16">
                  <c:v>0.82642215317822743</c:v>
                </c:pt>
                <c:pt idx="17">
                  <c:v>0.87675126230678213</c:v>
                </c:pt>
              </c:numCache>
            </c:numRef>
          </c:val>
          <c:extLst>
            <c:ext xmlns:c16="http://schemas.microsoft.com/office/drawing/2014/chart" uri="{C3380CC4-5D6E-409C-BE32-E72D297353CC}">
              <c16:uniqueId val="{00000007-4A7B-4271-96BB-CFB113A44A6A}"/>
            </c:ext>
          </c:extLst>
        </c:ser>
        <c:ser>
          <c:idx val="9"/>
          <c:order val="9"/>
          <c:tx>
            <c:strRef>
              <c:f>'PIB real'!$B$85</c:f>
              <c:strCache>
                <c:ptCount val="1"/>
                <c:pt idx="0">
                  <c:v>90%</c:v>
                </c:pt>
              </c:strCache>
            </c:strRef>
          </c:tx>
          <c:spPr>
            <a:solidFill>
              <a:schemeClr val="accent1">
                <a:lumMod val="40000"/>
                <a:lumOff val="60000"/>
              </a:schemeClr>
            </a:solidFill>
            <a:ln>
              <a:solidFill>
                <a:schemeClr val="accent1">
                  <a:lumMod val="40000"/>
                  <a:lumOff val="60000"/>
                </a:schemeClr>
              </a:solid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real'!$C$85:$T$85</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1.2189711081954355</c:v>
                </c:pt>
                <c:pt idx="13">
                  <c:v>1.1843456504567884</c:v>
                </c:pt>
                <c:pt idx="14">
                  <c:v>1.1722233093185377</c:v>
                </c:pt>
                <c:pt idx="15">
                  <c:v>1.207390008598094</c:v>
                </c:pt>
                <c:pt idx="16">
                  <c:v>1.207390008598094</c:v>
                </c:pt>
                <c:pt idx="17">
                  <c:v>1.2809200601217183</c:v>
                </c:pt>
              </c:numCache>
            </c:numRef>
          </c:val>
          <c:extLst>
            <c:ext xmlns:c16="http://schemas.microsoft.com/office/drawing/2014/chart" uri="{C3380CC4-5D6E-409C-BE32-E72D297353CC}">
              <c16:uniqueId val="{00000008-4A7B-4271-96BB-CFB113A44A6A}"/>
            </c:ext>
          </c:extLst>
        </c:ser>
        <c:ser>
          <c:idx val="10"/>
          <c:order val="10"/>
          <c:tx>
            <c:strRef>
              <c:f>'PIB real'!$B$86</c:f>
              <c:strCache>
                <c:ptCount val="1"/>
                <c:pt idx="0">
                  <c:v>95%</c:v>
                </c:pt>
              </c:strCache>
            </c:strRef>
          </c:tx>
          <c:spPr>
            <a:solidFill>
              <a:schemeClr val="accent1">
                <a:lumMod val="20000"/>
                <a:lumOff val="80000"/>
              </a:schemeClr>
            </a:solidFill>
            <a:ln>
              <a:solidFill>
                <a:schemeClr val="accent1">
                  <a:lumMod val="20000"/>
                  <a:lumOff val="80000"/>
                </a:schemeClr>
              </a:solidFill>
            </a:ln>
            <a:effectLst/>
          </c:spP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real'!$C$86:$T$86</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1.0883338817676531</c:v>
                </c:pt>
                <c:pt idx="13">
                  <c:v>1.0574192369698201</c:v>
                </c:pt>
                <c:pt idx="14">
                  <c:v>1.0465960480538525</c:v>
                </c:pt>
                <c:pt idx="15">
                  <c:v>1.0779939294954684</c:v>
                </c:pt>
                <c:pt idx="16">
                  <c:v>1.0779939294954684</c:v>
                </c:pt>
                <c:pt idx="17">
                  <c:v>1.1436437598017424</c:v>
                </c:pt>
              </c:numCache>
            </c:numRef>
          </c:val>
          <c:extLst>
            <c:ext xmlns:c16="http://schemas.microsoft.com/office/drawing/2014/chart" uri="{C3380CC4-5D6E-409C-BE32-E72D297353CC}">
              <c16:uniqueId val="{00000009-4A7B-4271-96BB-CFB113A44A6A}"/>
            </c:ext>
          </c:extLst>
        </c:ser>
        <c:dLbls>
          <c:showLegendKey val="0"/>
          <c:showVal val="0"/>
          <c:showCatName val="0"/>
          <c:showSerName val="0"/>
          <c:showPercent val="0"/>
          <c:showBubbleSize val="0"/>
        </c:dLbls>
        <c:axId val="214458128"/>
        <c:axId val="116332096"/>
      </c:areaChart>
      <c:lineChart>
        <c:grouping val="standard"/>
        <c:varyColors val="0"/>
        <c:ser>
          <c:idx val="0"/>
          <c:order val="0"/>
          <c:tx>
            <c:v>Escenario base</c:v>
          </c:tx>
          <c:spPr>
            <a:ln w="22225" cap="rnd">
              <a:solidFill>
                <a:schemeClr val="tx1">
                  <a:lumMod val="95000"/>
                  <a:lumOff val="5000"/>
                </a:schemeClr>
              </a:solidFill>
              <a:round/>
            </a:ln>
            <a:effectLst/>
          </c:spPr>
          <c:marker>
            <c:symbol val="none"/>
          </c:marker>
          <c:cat>
            <c:numRef>
              <c:f>'PIB real'!$C$75:$T$75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'PIB real'!$C$76:$T$76</c:f>
              <c:numCache>
                <c:formatCode>_(* #,##0.0_);_(* \(#,##0.0\);_(* "-"??_);_(@_)</c:formatCode>
                <c:ptCount val="18"/>
                <c:pt idx="0">
                  <c:v>4.1620489461922716</c:v>
                </c:pt>
                <c:pt idx="1">
                  <c:v>2.9698574268847437</c:v>
                </c:pt>
                <c:pt idx="2">
                  <c:v>3.6975855779096634</c:v>
                </c:pt>
                <c:pt idx="3">
                  <c:v>4.174169136581753</c:v>
                </c:pt>
                <c:pt idx="4">
                  <c:v>4.1400443582547837</c:v>
                </c:pt>
                <c:pt idx="5">
                  <c:v>3.0924825576909001</c:v>
                </c:pt>
                <c:pt idx="6">
                  <c:v>2.7603384836662173</c:v>
                </c:pt>
                <c:pt idx="7">
                  <c:v>3.1450345781208995</c:v>
                </c:pt>
                <c:pt idx="8">
                  <c:v>4.0178979271631192</c:v>
                </c:pt>
                <c:pt idx="9">
                  <c:v>-1.791857686209164</c:v>
                </c:pt>
                <c:pt idx="10">
                  <c:v>8.002408017800299</c:v>
                </c:pt>
                <c:pt idx="11">
                  <c:v>4.1180041818460245</c:v>
                </c:pt>
                <c:pt idx="12">
                  <c:v>3.5</c:v>
                </c:pt>
                <c:pt idx="13">
                  <c:v>2.5</c:v>
                </c:pt>
                <c:pt idx="14">
                  <c:v>2.6</c:v>
                </c:pt>
                <c:pt idx="15">
                  <c:v>2.7</c:v>
                </c:pt>
                <c:pt idx="16">
                  <c:v>2.7</c:v>
                </c:pt>
                <c:pt idx="17">
                  <c:v>2.7</c:v>
                </c:pt>
              </c:numCache>
            </c:numRef>
          </c:val>
          <c:smooth val="0"/>
          <c:extLst>
            <c:ext xmlns:c16="http://schemas.microsoft.com/office/drawing/2014/chart" uri="{C3380CC4-5D6E-409C-BE32-E72D297353CC}">
              <c16:uniqueId val="{0000000A-4A7B-4271-96BB-CFB113A44A6A}"/>
            </c:ext>
          </c:extLst>
        </c:ser>
        <c:dLbls>
          <c:showLegendKey val="0"/>
          <c:showVal val="0"/>
          <c:showCatName val="0"/>
          <c:showSerName val="0"/>
          <c:showPercent val="0"/>
          <c:showBubbleSize val="0"/>
        </c:dLbls>
        <c:marker val="1"/>
        <c:smooth val="0"/>
        <c:axId val="214458128"/>
        <c:axId val="116332096"/>
      </c:lineChart>
      <c:catAx>
        <c:axId val="214458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6332096"/>
        <c:crosses val="autoZero"/>
        <c:auto val="1"/>
        <c:lblAlgn val="ctr"/>
        <c:lblOffset val="100"/>
        <c:noMultiLvlLbl val="0"/>
      </c:catAx>
      <c:valAx>
        <c:axId val="116332096"/>
        <c:scaling>
          <c:orientation val="minMax"/>
          <c:max val="20"/>
          <c:min val="-10"/>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4458128"/>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ayout>
        <c:manualLayout>
          <c:xMode val="edge"/>
          <c:yMode val="edge"/>
          <c:x val="0.11842212243756488"/>
          <c:y val="3.519690596191353E-3"/>
          <c:w val="0.76277874846673588"/>
          <c:h val="5.3254803987661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20026413746338E-2"/>
          <c:y val="7.7611111111111117E-2"/>
          <c:w val="0.88322064898350916"/>
          <c:h val="0.79398999999999997"/>
        </c:manualLayout>
      </c:layout>
      <c:areaChart>
        <c:grouping val="stacked"/>
        <c:varyColors val="0"/>
        <c:ser>
          <c:idx val="1"/>
          <c:order val="1"/>
          <c:spPr>
            <a:noFill/>
            <a:ln>
              <a:no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Inf!$C$77:$T$77</c:f>
              <c:numCache>
                <c:formatCode>_(* #,##0.0_);_(* \(#,##0.0\);_(* "-"??_);_(@_)</c:formatCode>
                <c:ptCount val="18"/>
                <c:pt idx="0">
                  <c:v>6.2</c:v>
                </c:pt>
                <c:pt idx="1">
                  <c:v>3.45</c:v>
                </c:pt>
                <c:pt idx="2">
                  <c:v>4.3899999999999997</c:v>
                </c:pt>
                <c:pt idx="3">
                  <c:v>2.95</c:v>
                </c:pt>
                <c:pt idx="4">
                  <c:v>3.07</c:v>
                </c:pt>
                <c:pt idx="5">
                  <c:v>4.2300000000000004</c:v>
                </c:pt>
                <c:pt idx="6">
                  <c:v>5.68</c:v>
                </c:pt>
                <c:pt idx="7">
                  <c:v>2.31</c:v>
                </c:pt>
                <c:pt idx="8">
                  <c:v>3.41</c:v>
                </c:pt>
                <c:pt idx="9">
                  <c:v>4.82</c:v>
                </c:pt>
                <c:pt idx="10">
                  <c:v>3.07</c:v>
                </c:pt>
                <c:pt idx="11">
                  <c:v>9.24</c:v>
                </c:pt>
                <c:pt idx="12">
                  <c:v>0.26129335567818501</c:v>
                </c:pt>
                <c:pt idx="13">
                  <c:v>-0.3935123309586418</c:v>
                </c:pt>
                <c:pt idx="14">
                  <c:v>-0.91725347127299539</c:v>
                </c:pt>
                <c:pt idx="15">
                  <c:v>-1.034771075411185</c:v>
                </c:pt>
                <c:pt idx="16">
                  <c:v>-1.0157057754111849</c:v>
                </c:pt>
                <c:pt idx="17">
                  <c:v>-1.2804886339037258</c:v>
                </c:pt>
              </c:numCache>
            </c:numRef>
          </c:val>
          <c:extLst>
            <c:ext xmlns:c16="http://schemas.microsoft.com/office/drawing/2014/chart" uri="{C3380CC4-5D6E-409C-BE32-E72D297353CC}">
              <c16:uniqueId val="{00000000-D16C-46CB-AFA6-A275CC0CAC64}"/>
            </c:ext>
          </c:extLst>
        </c:ser>
        <c:ser>
          <c:idx val="2"/>
          <c:order val="2"/>
          <c:spPr>
            <a:solidFill>
              <a:schemeClr val="accent1">
                <a:lumMod val="20000"/>
                <a:lumOff val="80000"/>
              </a:schemeClr>
            </a:solidFill>
            <a:ln>
              <a:solidFill>
                <a:schemeClr val="accent1">
                  <a:lumMod val="20000"/>
                  <a:lumOff val="80000"/>
                </a:schemeClr>
              </a:solid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Inf!$C$78:$T$78</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1.0521786057379034</c:v>
                </c:pt>
                <c:pt idx="13">
                  <c:v>0.97053340046327596</c:v>
                </c:pt>
                <c:pt idx="14">
                  <c:v>1.1014469080753151</c:v>
                </c:pt>
                <c:pt idx="15">
                  <c:v>1.1344903153175743</c:v>
                </c:pt>
                <c:pt idx="16">
                  <c:v>1.1344903153175743</c:v>
                </c:pt>
                <c:pt idx="17">
                  <c:v>1.2035807755204142</c:v>
                </c:pt>
              </c:numCache>
            </c:numRef>
          </c:val>
          <c:extLst>
            <c:ext xmlns:c16="http://schemas.microsoft.com/office/drawing/2014/chart" uri="{C3380CC4-5D6E-409C-BE32-E72D297353CC}">
              <c16:uniqueId val="{00000001-D16C-46CB-AFA6-A275CC0CAC64}"/>
            </c:ext>
          </c:extLst>
        </c:ser>
        <c:ser>
          <c:idx val="3"/>
          <c:order val="3"/>
          <c:spPr>
            <a:solidFill>
              <a:schemeClr val="accent1">
                <a:lumMod val="40000"/>
                <a:lumOff val="60000"/>
              </a:schemeClr>
            </a:solidFill>
            <a:ln>
              <a:solidFill>
                <a:schemeClr val="accent1">
                  <a:lumMod val="40000"/>
                  <a:lumOff val="60000"/>
                </a:schemeClr>
              </a:solid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Inf!$C$79:$T$79</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1.178475964538312</c:v>
                </c:pt>
                <c:pt idx="13">
                  <c:v>1.087030546896061</c:v>
                </c:pt>
                <c:pt idx="14">
                  <c:v>1.2336581453977371</c:v>
                </c:pt>
                <c:pt idx="15">
                  <c:v>1.270667889759669</c:v>
                </c:pt>
                <c:pt idx="16">
                  <c:v>1.270667889759669</c:v>
                </c:pt>
                <c:pt idx="17">
                  <c:v>1.3480515642460329</c:v>
                </c:pt>
              </c:numCache>
            </c:numRef>
          </c:val>
          <c:extLst>
            <c:ext xmlns:c16="http://schemas.microsoft.com/office/drawing/2014/chart" uri="{C3380CC4-5D6E-409C-BE32-E72D297353CC}">
              <c16:uniqueId val="{00000002-D16C-46CB-AFA6-A275CC0CAC64}"/>
            </c:ext>
          </c:extLst>
        </c:ser>
        <c:ser>
          <c:idx val="4"/>
          <c:order val="4"/>
          <c:spPr>
            <a:solidFill>
              <a:schemeClr val="accent1">
                <a:lumMod val="60000"/>
                <a:lumOff val="40000"/>
              </a:schemeClr>
            </a:solidFill>
            <a:ln>
              <a:solidFill>
                <a:schemeClr val="accent1">
                  <a:lumMod val="60000"/>
                  <a:lumOff val="40000"/>
                </a:schemeClr>
              </a:solid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Inf!$C$80:$T$80</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0.80663135950028408</c:v>
                </c:pt>
                <c:pt idx="13">
                  <c:v>0.74403972100069171</c:v>
                </c:pt>
                <c:pt idx="14">
                  <c:v>0.84440190290230133</c:v>
                </c:pt>
                <c:pt idx="15">
                  <c:v>0.86973395998937053</c:v>
                </c:pt>
                <c:pt idx="16">
                  <c:v>0.86973395998937053</c:v>
                </c:pt>
                <c:pt idx="17">
                  <c:v>0.92270075815272312</c:v>
                </c:pt>
              </c:numCache>
            </c:numRef>
          </c:val>
          <c:extLst>
            <c:ext xmlns:c16="http://schemas.microsoft.com/office/drawing/2014/chart" uri="{C3380CC4-5D6E-409C-BE32-E72D297353CC}">
              <c16:uniqueId val="{00000003-D16C-46CB-AFA6-A275CC0CAC64}"/>
            </c:ext>
          </c:extLst>
        </c:ser>
        <c:ser>
          <c:idx val="5"/>
          <c:order val="5"/>
          <c:spPr>
            <a:solidFill>
              <a:schemeClr val="accent1">
                <a:lumMod val="75000"/>
              </a:schemeClr>
            </a:solidFill>
            <a:ln>
              <a:solidFill>
                <a:schemeClr val="accent1">
                  <a:lumMod val="75000"/>
                </a:schemeClr>
              </a:solid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Inf!$C$81:$T$81</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0.6723562252427655</c:v>
                </c:pt>
                <c:pt idx="13">
                  <c:v>0.62018384526064185</c:v>
                </c:pt>
                <c:pt idx="14">
                  <c:v>0.7038393304903483</c:v>
                </c:pt>
                <c:pt idx="15">
                  <c:v>0.72495451040505876</c:v>
                </c:pt>
                <c:pt idx="16">
                  <c:v>0.72495451040505876</c:v>
                </c:pt>
                <c:pt idx="17">
                  <c:v>0.76910424008872713</c:v>
                </c:pt>
              </c:numCache>
            </c:numRef>
          </c:val>
          <c:extLst>
            <c:ext xmlns:c16="http://schemas.microsoft.com/office/drawing/2014/chart" uri="{C3380CC4-5D6E-409C-BE32-E72D297353CC}">
              <c16:uniqueId val="{00000004-D16C-46CB-AFA6-A275CC0CAC64}"/>
            </c:ext>
          </c:extLst>
        </c:ser>
        <c:ser>
          <c:idx val="6"/>
          <c:order val="6"/>
          <c:tx>
            <c:strRef>
              <c:f>Inf!$B$68</c:f>
              <c:strCache>
                <c:ptCount val="1"/>
                <c:pt idx="0">
                  <c:v>60%</c:v>
                </c:pt>
              </c:strCache>
            </c:strRef>
          </c:tx>
          <c:spPr>
            <a:solidFill>
              <a:schemeClr val="accent1">
                <a:lumMod val="50000"/>
              </a:schemeClr>
            </a:solidFill>
            <a:ln>
              <a:solidFill>
                <a:schemeClr val="accent1">
                  <a:lumMod val="50000"/>
                </a:schemeClr>
              </a:solid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Inf!$C$82:$T$82</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1.243583524059646</c:v>
                </c:pt>
                <c:pt idx="13">
                  <c:v>1.1470859983123063</c:v>
                </c:pt>
                <c:pt idx="14">
                  <c:v>1.3018143688145871</c:v>
                </c:pt>
                <c:pt idx="15">
                  <c:v>1.3408687998790247</c:v>
                </c:pt>
                <c:pt idx="16">
                  <c:v>1.3408687998790247</c:v>
                </c:pt>
                <c:pt idx="17">
                  <c:v>1.4225277097916571</c:v>
                </c:pt>
              </c:numCache>
            </c:numRef>
          </c:val>
          <c:extLst>
            <c:ext xmlns:c16="http://schemas.microsoft.com/office/drawing/2014/chart" uri="{C3380CC4-5D6E-409C-BE32-E72D297353CC}">
              <c16:uniqueId val="{00000005-D16C-46CB-AFA6-A275CC0CAC64}"/>
            </c:ext>
          </c:extLst>
        </c:ser>
        <c:ser>
          <c:idx val="7"/>
          <c:order val="7"/>
          <c:tx>
            <c:strRef>
              <c:f>Inf!$B$69</c:f>
              <c:strCache>
                <c:ptCount val="1"/>
                <c:pt idx="0">
                  <c:v>70%</c:v>
                </c:pt>
              </c:strCache>
            </c:strRef>
          </c:tx>
          <c:spPr>
            <a:solidFill>
              <a:schemeClr val="accent1">
                <a:lumMod val="75000"/>
              </a:schemeClr>
            </a:solidFill>
            <a:ln>
              <a:solidFill>
                <a:schemeClr val="accent1">
                  <a:lumMod val="75000"/>
                </a:schemeClr>
              </a:solid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Inf!$C$83:$T$83</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0.67235622524276462</c:v>
                </c:pt>
                <c:pt idx="13">
                  <c:v>0.62018384526064185</c:v>
                </c:pt>
                <c:pt idx="14">
                  <c:v>0.70383933049034786</c:v>
                </c:pt>
                <c:pt idx="15">
                  <c:v>0.72495451040505854</c:v>
                </c:pt>
                <c:pt idx="16">
                  <c:v>0.72495451040505854</c:v>
                </c:pt>
                <c:pt idx="17">
                  <c:v>0.76910424008872713</c:v>
                </c:pt>
              </c:numCache>
            </c:numRef>
          </c:val>
          <c:extLst>
            <c:ext xmlns:c16="http://schemas.microsoft.com/office/drawing/2014/chart" uri="{C3380CC4-5D6E-409C-BE32-E72D297353CC}">
              <c16:uniqueId val="{00000006-D16C-46CB-AFA6-A275CC0CAC64}"/>
            </c:ext>
          </c:extLst>
        </c:ser>
        <c:ser>
          <c:idx val="8"/>
          <c:order val="8"/>
          <c:tx>
            <c:strRef>
              <c:f>Inf!$B$70</c:f>
              <c:strCache>
                <c:ptCount val="1"/>
                <c:pt idx="0">
                  <c:v>80%</c:v>
                </c:pt>
              </c:strCache>
            </c:strRef>
          </c:tx>
          <c:spPr>
            <a:solidFill>
              <a:schemeClr val="accent1">
                <a:lumMod val="60000"/>
                <a:lumOff val="40000"/>
              </a:schemeClr>
            </a:solidFill>
            <a:ln>
              <a:solidFill>
                <a:schemeClr val="accent1">
                  <a:lumMod val="60000"/>
                  <a:lumOff val="40000"/>
                </a:schemeClr>
              </a:solid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Inf!$C$84:$T$84</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0.80663135950028497</c:v>
                </c:pt>
                <c:pt idx="13">
                  <c:v>0.74403972100069193</c:v>
                </c:pt>
                <c:pt idx="14">
                  <c:v>0.84440190290230177</c:v>
                </c:pt>
                <c:pt idx="15">
                  <c:v>0.86973395998937075</c:v>
                </c:pt>
                <c:pt idx="16">
                  <c:v>0.86973395998937075</c:v>
                </c:pt>
                <c:pt idx="17">
                  <c:v>0.92270075815272357</c:v>
                </c:pt>
              </c:numCache>
            </c:numRef>
          </c:val>
          <c:extLst>
            <c:ext xmlns:c16="http://schemas.microsoft.com/office/drawing/2014/chart" uri="{C3380CC4-5D6E-409C-BE32-E72D297353CC}">
              <c16:uniqueId val="{00000007-D16C-46CB-AFA6-A275CC0CAC64}"/>
            </c:ext>
          </c:extLst>
        </c:ser>
        <c:ser>
          <c:idx val="9"/>
          <c:order val="9"/>
          <c:tx>
            <c:strRef>
              <c:f>Inf!$B$71</c:f>
              <c:strCache>
                <c:ptCount val="1"/>
                <c:pt idx="0">
                  <c:v>90%</c:v>
                </c:pt>
              </c:strCache>
            </c:strRef>
          </c:tx>
          <c:spPr>
            <a:solidFill>
              <a:schemeClr val="accent1">
                <a:lumMod val="40000"/>
                <a:lumOff val="60000"/>
              </a:schemeClr>
            </a:solidFill>
            <a:ln>
              <a:solidFill>
                <a:schemeClr val="accent1">
                  <a:lumMod val="40000"/>
                  <a:lumOff val="60000"/>
                </a:schemeClr>
              </a:solid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Inf!$C$85:$T$85</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1.1784759645383112</c:v>
                </c:pt>
                <c:pt idx="13">
                  <c:v>1.0870305468960613</c:v>
                </c:pt>
                <c:pt idx="14">
                  <c:v>1.2336581453977367</c:v>
                </c:pt>
                <c:pt idx="15">
                  <c:v>1.270667889759669</c:v>
                </c:pt>
                <c:pt idx="16">
                  <c:v>1.270667889759669</c:v>
                </c:pt>
                <c:pt idx="17">
                  <c:v>1.3480515642460329</c:v>
                </c:pt>
              </c:numCache>
            </c:numRef>
          </c:val>
          <c:extLst>
            <c:ext xmlns:c16="http://schemas.microsoft.com/office/drawing/2014/chart" uri="{C3380CC4-5D6E-409C-BE32-E72D297353CC}">
              <c16:uniqueId val="{00000008-D16C-46CB-AFA6-A275CC0CAC64}"/>
            </c:ext>
          </c:extLst>
        </c:ser>
        <c:ser>
          <c:idx val="10"/>
          <c:order val="10"/>
          <c:tx>
            <c:strRef>
              <c:f>Inf!$B$72</c:f>
              <c:strCache>
                <c:ptCount val="1"/>
                <c:pt idx="0">
                  <c:v>95%</c:v>
                </c:pt>
              </c:strCache>
            </c:strRef>
          </c:tx>
          <c:spPr>
            <a:solidFill>
              <a:schemeClr val="accent1">
                <a:lumMod val="20000"/>
                <a:lumOff val="80000"/>
              </a:schemeClr>
            </a:solidFill>
            <a:ln>
              <a:solidFill>
                <a:schemeClr val="accent1">
                  <a:lumMod val="20000"/>
                  <a:lumOff val="80000"/>
                </a:schemeClr>
              </a:solidFill>
            </a:ln>
            <a:effectLst/>
          </c:spP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Inf!$C$86:$T$86</c:f>
              <c:numCache>
                <c:formatCode>_(* #,##0.0_);_(* \(#,##0.0\);_(* "-"??_);_(@_)</c:formatCode>
                <c:ptCount val="18"/>
                <c:pt idx="0">
                  <c:v>0</c:v>
                </c:pt>
                <c:pt idx="1">
                  <c:v>0</c:v>
                </c:pt>
                <c:pt idx="2">
                  <c:v>0</c:v>
                </c:pt>
                <c:pt idx="3">
                  <c:v>0</c:v>
                </c:pt>
                <c:pt idx="4">
                  <c:v>0</c:v>
                </c:pt>
                <c:pt idx="5">
                  <c:v>0</c:v>
                </c:pt>
                <c:pt idx="6">
                  <c:v>0</c:v>
                </c:pt>
                <c:pt idx="7">
                  <c:v>0</c:v>
                </c:pt>
                <c:pt idx="8">
                  <c:v>0</c:v>
                </c:pt>
                <c:pt idx="9">
                  <c:v>0</c:v>
                </c:pt>
                <c:pt idx="10">
                  <c:v>0</c:v>
                </c:pt>
                <c:pt idx="11">
                  <c:v>0</c:v>
                </c:pt>
                <c:pt idx="12">
                  <c:v>1.0521786057379039</c:v>
                </c:pt>
                <c:pt idx="13">
                  <c:v>0.97053340046327552</c:v>
                </c:pt>
                <c:pt idx="14">
                  <c:v>1.1014469080753155</c:v>
                </c:pt>
                <c:pt idx="15">
                  <c:v>1.1344903153175743</c:v>
                </c:pt>
                <c:pt idx="16">
                  <c:v>1.1344903153175743</c:v>
                </c:pt>
                <c:pt idx="17">
                  <c:v>1.2035807755204138</c:v>
                </c:pt>
              </c:numCache>
            </c:numRef>
          </c:val>
          <c:extLst>
            <c:ext xmlns:c16="http://schemas.microsoft.com/office/drawing/2014/chart" uri="{C3380CC4-5D6E-409C-BE32-E72D297353CC}">
              <c16:uniqueId val="{00000009-D16C-46CB-AFA6-A275CC0CAC64}"/>
            </c:ext>
          </c:extLst>
        </c:ser>
        <c:dLbls>
          <c:showLegendKey val="0"/>
          <c:showVal val="0"/>
          <c:showCatName val="0"/>
          <c:showSerName val="0"/>
          <c:showPercent val="0"/>
          <c:showBubbleSize val="0"/>
        </c:dLbls>
        <c:axId val="214458128"/>
        <c:axId val="116332096"/>
      </c:areaChart>
      <c:lineChart>
        <c:grouping val="standard"/>
        <c:varyColors val="0"/>
        <c:ser>
          <c:idx val="0"/>
          <c:order val="0"/>
          <c:tx>
            <c:v>Escenario base</c:v>
          </c:tx>
          <c:spPr>
            <a:ln w="28575" cap="rnd">
              <a:solidFill>
                <a:schemeClr val="tx1">
                  <a:lumMod val="95000"/>
                  <a:lumOff val="5000"/>
                </a:schemeClr>
              </a:solidFill>
              <a:round/>
            </a:ln>
            <a:effectLst/>
          </c:spPr>
          <c:marker>
            <c:symbol val="none"/>
          </c:marker>
          <c:cat>
            <c:numRef>
              <c:f>Inf!$C$75:$T$75</c:f>
              <c:numCache>
                <c:formatCode>General</c:formatCode>
                <c:ptCount val="18"/>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numCache>
            </c:numRef>
          </c:cat>
          <c:val>
            <c:numRef>
              <c:f>Inf!$C$76:$T$76</c:f>
              <c:numCache>
                <c:formatCode>_(* #,##0.0_);_(* \(#,##0.0\);_(* "-"??_);_(@_)</c:formatCode>
                <c:ptCount val="18"/>
                <c:pt idx="0">
                  <c:v>6.2</c:v>
                </c:pt>
                <c:pt idx="1">
                  <c:v>3.45</c:v>
                </c:pt>
                <c:pt idx="2">
                  <c:v>4.3899999999999997</c:v>
                </c:pt>
                <c:pt idx="3">
                  <c:v>2.95</c:v>
                </c:pt>
                <c:pt idx="4">
                  <c:v>3.07</c:v>
                </c:pt>
                <c:pt idx="5">
                  <c:v>4.2300000000000004</c:v>
                </c:pt>
                <c:pt idx="6">
                  <c:v>5.68</c:v>
                </c:pt>
                <c:pt idx="7">
                  <c:v>2.31</c:v>
                </c:pt>
                <c:pt idx="8">
                  <c:v>3.41</c:v>
                </c:pt>
                <c:pt idx="9">
                  <c:v>4.82</c:v>
                </c:pt>
                <c:pt idx="10">
                  <c:v>3.07</c:v>
                </c:pt>
                <c:pt idx="11">
                  <c:v>9.24</c:v>
                </c:pt>
                <c:pt idx="12">
                  <c:v>4</c:v>
                </c:pt>
                <c:pt idx="13">
                  <c:v>3</c:v>
                </c:pt>
                <c:pt idx="14">
                  <c:v>3</c:v>
                </c:pt>
                <c:pt idx="15">
                  <c:v>3</c:v>
                </c:pt>
                <c:pt idx="16">
                  <c:v>3</c:v>
                </c:pt>
                <c:pt idx="17">
                  <c:v>3</c:v>
                </c:pt>
              </c:numCache>
            </c:numRef>
          </c:val>
          <c:smooth val="0"/>
          <c:extLst>
            <c:ext xmlns:c16="http://schemas.microsoft.com/office/drawing/2014/chart" uri="{C3380CC4-5D6E-409C-BE32-E72D297353CC}">
              <c16:uniqueId val="{0000000A-D16C-46CB-AFA6-A275CC0CAC64}"/>
            </c:ext>
          </c:extLst>
        </c:ser>
        <c:dLbls>
          <c:showLegendKey val="0"/>
          <c:showVal val="0"/>
          <c:showCatName val="0"/>
          <c:showSerName val="0"/>
          <c:showPercent val="0"/>
          <c:showBubbleSize val="0"/>
        </c:dLbls>
        <c:marker val="1"/>
        <c:smooth val="0"/>
        <c:axId val="214458128"/>
        <c:axId val="116332096"/>
      </c:lineChart>
      <c:catAx>
        <c:axId val="214458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6332096"/>
        <c:crosses val="autoZero"/>
        <c:auto val="1"/>
        <c:lblAlgn val="ctr"/>
        <c:lblOffset val="100"/>
        <c:noMultiLvlLbl val="0"/>
      </c:catAx>
      <c:valAx>
        <c:axId val="116332096"/>
        <c:scaling>
          <c:orientation val="minMax"/>
          <c:max val="20"/>
          <c:min val="-10"/>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4458128"/>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ayout>
        <c:manualLayout>
          <c:xMode val="edge"/>
          <c:yMode val="edge"/>
          <c:x val="0.11326031623745883"/>
          <c:y val="5.4504444444444446E-2"/>
          <c:w val="0.76277874846673588"/>
          <c:h val="5.3254803987661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7227721298543"/>
          <c:y val="8.1936685288640593E-2"/>
          <c:w val="0.8236421416132057"/>
          <c:h val="0.64129855276470327"/>
        </c:manualLayout>
      </c:layout>
      <c:lineChart>
        <c:grouping val="standard"/>
        <c:varyColors val="0"/>
        <c:ser>
          <c:idx val="0"/>
          <c:order val="0"/>
          <c:spPr>
            <a:ln w="19050" cap="rnd">
              <a:solidFill>
                <a:srgbClr val="002060"/>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5349-4ADF-8A2B-0F34F6EDFB46}"/>
                </c:ext>
              </c:extLst>
            </c:dLbl>
            <c:dLbl>
              <c:idx val="2"/>
              <c:delete val="1"/>
              <c:extLst>
                <c:ext xmlns:c15="http://schemas.microsoft.com/office/drawing/2012/chart" uri="{CE6537A1-D6FC-4f65-9D91-7224C49458BB}"/>
                <c:ext xmlns:c16="http://schemas.microsoft.com/office/drawing/2014/chart" uri="{C3380CC4-5D6E-409C-BE32-E72D297353CC}">
                  <c16:uniqueId val="{00000001-5349-4ADF-8A2B-0F34F6EDFB46}"/>
                </c:ext>
              </c:extLst>
            </c:dLbl>
            <c:dLbl>
              <c:idx val="3"/>
              <c:delete val="1"/>
              <c:extLst>
                <c:ext xmlns:c15="http://schemas.microsoft.com/office/drawing/2012/chart" uri="{CE6537A1-D6FC-4f65-9D91-7224C49458BB}"/>
                <c:ext xmlns:c16="http://schemas.microsoft.com/office/drawing/2014/chart" uri="{C3380CC4-5D6E-409C-BE32-E72D297353CC}">
                  <c16:uniqueId val="{00000002-5349-4ADF-8A2B-0F34F6EDFB46}"/>
                </c:ext>
              </c:extLst>
            </c:dLbl>
            <c:dLbl>
              <c:idx val="4"/>
              <c:delete val="1"/>
              <c:extLst>
                <c:ext xmlns:c15="http://schemas.microsoft.com/office/drawing/2012/chart" uri="{CE6537A1-D6FC-4f65-9D91-7224C49458BB}"/>
                <c:ext xmlns:c16="http://schemas.microsoft.com/office/drawing/2014/chart" uri="{C3380CC4-5D6E-409C-BE32-E72D297353CC}">
                  <c16:uniqueId val="{00000003-5349-4ADF-8A2B-0F34F6EDFB46}"/>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49-4ADF-8A2B-0F34F6EDFB46}"/>
                </c:ext>
              </c:extLst>
            </c:dLbl>
            <c:dLbl>
              <c:idx val="6"/>
              <c:delete val="1"/>
              <c:extLst>
                <c:ext xmlns:c15="http://schemas.microsoft.com/office/drawing/2012/chart" uri="{CE6537A1-D6FC-4f65-9D91-7224C49458BB}"/>
                <c:ext xmlns:c16="http://schemas.microsoft.com/office/drawing/2014/chart" uri="{C3380CC4-5D6E-409C-BE32-E72D297353CC}">
                  <c16:uniqueId val="{00000005-5349-4ADF-8A2B-0F34F6EDFB46}"/>
                </c:ext>
              </c:extLst>
            </c:dLbl>
            <c:dLbl>
              <c:idx val="7"/>
              <c:delete val="1"/>
              <c:extLst>
                <c:ext xmlns:c15="http://schemas.microsoft.com/office/drawing/2012/chart" uri="{CE6537A1-D6FC-4f65-9D91-7224C49458BB}"/>
                <c:ext xmlns:c16="http://schemas.microsoft.com/office/drawing/2014/chart" uri="{C3380CC4-5D6E-409C-BE32-E72D297353CC}">
                  <c16:uniqueId val="{00000006-5349-4ADF-8A2B-0F34F6EDFB46}"/>
                </c:ext>
              </c:extLst>
            </c:dLbl>
            <c:dLbl>
              <c:idx val="9"/>
              <c:delete val="1"/>
              <c:extLst>
                <c:ext xmlns:c15="http://schemas.microsoft.com/office/drawing/2012/chart" uri="{CE6537A1-D6FC-4f65-9D91-7224C49458BB}"/>
                <c:ext xmlns:c16="http://schemas.microsoft.com/office/drawing/2014/chart" uri="{C3380CC4-5D6E-409C-BE32-E72D297353CC}">
                  <c16:uniqueId val="{00000007-5349-4ADF-8A2B-0F34F6EDFB46}"/>
                </c:ext>
              </c:extLst>
            </c:dLbl>
            <c:dLbl>
              <c:idx val="1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extLst>
                <c:ext xmlns:c15="http://schemas.microsoft.com/office/drawing/2012/chart" uri="{CE6537A1-D6FC-4f65-9D91-7224C49458BB}">
                  <c15:layout>
                    <c:manualLayout>
                      <c:w val="0.10805906522744194"/>
                      <c:h val="6.9618406919554524E-2"/>
                    </c:manualLayout>
                  </c15:layout>
                </c:ext>
                <c:ext xmlns:c16="http://schemas.microsoft.com/office/drawing/2014/chart" uri="{C3380CC4-5D6E-409C-BE32-E72D297353CC}">
                  <c16:uniqueId val="{00000008-5349-4ADF-8A2B-0F34F6EDFB46}"/>
                </c:ext>
              </c:extLst>
            </c:dLbl>
            <c:dLbl>
              <c:idx val="12"/>
              <c:layout>
                <c:manualLayout>
                  <c:x val="-2.2077818224804424E-2"/>
                  <c:y val="-3.0422076366597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49-4ADF-8A2B-0F34F6EDFB46}"/>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49-4ADF-8A2B-0F34F6EDFB46}"/>
                </c:ext>
              </c:extLst>
            </c:dLbl>
            <c:dLbl>
              <c:idx val="14"/>
              <c:delete val="1"/>
              <c:extLst>
                <c:ext xmlns:c15="http://schemas.microsoft.com/office/drawing/2012/chart" uri="{CE6537A1-D6FC-4f65-9D91-7224C49458BB}"/>
                <c:ext xmlns:c16="http://schemas.microsoft.com/office/drawing/2014/chart" uri="{C3380CC4-5D6E-409C-BE32-E72D297353CC}">
                  <c16:uniqueId val="{0000000B-5349-4ADF-8A2B-0F34F6EDFB46}"/>
                </c:ext>
              </c:extLst>
            </c:dLbl>
            <c:dLbl>
              <c:idx val="15"/>
              <c:delete val="1"/>
              <c:extLst>
                <c:ext xmlns:c15="http://schemas.microsoft.com/office/drawing/2012/chart" uri="{CE6537A1-D6FC-4f65-9D91-7224C49458BB}"/>
                <c:ext xmlns:c16="http://schemas.microsoft.com/office/drawing/2014/chart" uri="{C3380CC4-5D6E-409C-BE32-E72D297353CC}">
                  <c16:uniqueId val="{0000000C-5349-4ADF-8A2B-0F34F6EDFB46}"/>
                </c:ext>
              </c:extLst>
            </c:dLbl>
            <c:dLbl>
              <c:idx val="1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49-4ADF-8A2B-0F34F6EDFB46}"/>
                </c:ext>
              </c:extLst>
            </c:dLbl>
            <c:dLbl>
              <c:idx val="1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349-4ADF-8A2B-0F34F6EDFB46}"/>
                </c:ext>
              </c:extLst>
            </c:dLbl>
            <c:dLbl>
              <c:idx val="19"/>
              <c:delete val="1"/>
              <c:extLst>
                <c:ext xmlns:c15="http://schemas.microsoft.com/office/drawing/2012/chart" uri="{CE6537A1-D6FC-4f65-9D91-7224C49458BB}"/>
                <c:ext xmlns:c16="http://schemas.microsoft.com/office/drawing/2014/chart" uri="{C3380CC4-5D6E-409C-BE32-E72D297353CC}">
                  <c16:uniqueId val="{0000000F-5349-4ADF-8A2B-0F34F6EDFB46}"/>
                </c:ext>
              </c:extLst>
            </c:dLbl>
            <c:dLbl>
              <c:idx val="20"/>
              <c:delete val="1"/>
              <c:extLst>
                <c:ext xmlns:c15="http://schemas.microsoft.com/office/drawing/2012/chart" uri="{CE6537A1-D6FC-4f65-9D91-7224C49458BB}"/>
                <c:ext xmlns:c16="http://schemas.microsoft.com/office/drawing/2014/chart" uri="{C3380CC4-5D6E-409C-BE32-E72D297353CC}">
                  <c16:uniqueId val="{00000010-5349-4ADF-8A2B-0F34F6EDFB4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TC!$B$27:$B$48</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TC!$G$27:$G$48</c:f>
              <c:numCache>
                <c:formatCode>0.00</c:formatCode>
                <c:ptCount val="22"/>
                <c:pt idx="0">
                  <c:v>8.0004799999999996</c:v>
                </c:pt>
                <c:pt idx="1">
                  <c:v>7.8071999999999999</c:v>
                </c:pt>
                <c:pt idx="2">
                  <c:v>8.0406849999999999</c:v>
                </c:pt>
                <c:pt idx="3">
                  <c:v>7.7484349999999997</c:v>
                </c:pt>
                <c:pt idx="4">
                  <c:v>7.6102950000000007</c:v>
                </c:pt>
                <c:pt idx="5">
                  <c:v>7.5961499999999997</c:v>
                </c:pt>
                <c:pt idx="6">
                  <c:v>7.6310099999999998</c:v>
                </c:pt>
                <c:pt idx="7">
                  <c:v>7.7815899999999996</c:v>
                </c:pt>
                <c:pt idx="8">
                  <c:v>8.3543900000000004</c:v>
                </c:pt>
                <c:pt idx="9">
                  <c:v>8.0135799999999993</c:v>
                </c:pt>
                <c:pt idx="10">
                  <c:v>7.8108300000000002</c:v>
                </c:pt>
                <c:pt idx="11">
                  <c:v>7.9023000000000003</c:v>
                </c:pt>
                <c:pt idx="12">
                  <c:v>7.8413700000000004</c:v>
                </c:pt>
                <c:pt idx="13">
                  <c:v>7.5967500000000001</c:v>
                </c:pt>
                <c:pt idx="14">
                  <c:v>7.6323699999999999</c:v>
                </c:pt>
                <c:pt idx="15">
                  <c:v>7.5221299999999998</c:v>
                </c:pt>
                <c:pt idx="16">
                  <c:v>7.3447699999999996</c:v>
                </c:pt>
                <c:pt idx="17">
                  <c:v>7.7369500000000002</c:v>
                </c:pt>
                <c:pt idx="18">
                  <c:v>7.6988399999999997</c:v>
                </c:pt>
                <c:pt idx="19">
                  <c:v>7.7938200000000002</c:v>
                </c:pt>
                <c:pt idx="20" formatCode="_(* #,##0.00_);_(* \(#,##0.00\);_(* &quot;-&quot;??_);_(@_)">
                  <c:v>7.7191200000000002</c:v>
                </c:pt>
                <c:pt idx="21" formatCode="_(* #,##0.00_);_(* \(#,##0.00\);_(* &quot;-&quot;??_);_(@_)">
                  <c:v>7.85222</c:v>
                </c:pt>
              </c:numCache>
            </c:numRef>
          </c:val>
          <c:smooth val="1"/>
          <c:extLst>
            <c:ext xmlns:c16="http://schemas.microsoft.com/office/drawing/2014/chart" uri="{C3380CC4-5D6E-409C-BE32-E72D297353CC}">
              <c16:uniqueId val="{00000011-5349-4ADF-8A2B-0F34F6EDFB46}"/>
            </c:ext>
          </c:extLst>
        </c:ser>
        <c:ser>
          <c:idx val="1"/>
          <c:order val="1"/>
          <c:tx>
            <c:strRef>
              <c:f>TC!$I$5</c:f>
              <c:strCache>
                <c:ptCount val="1"/>
                <c:pt idx="0">
                  <c:v>Tendencia de largo plazo </c:v>
                </c:pt>
              </c:strCache>
            </c:strRef>
          </c:tx>
          <c:spPr>
            <a:ln w="19050" cap="rnd">
              <a:solidFill>
                <a:srgbClr val="C00000"/>
              </a:solidFill>
              <a:prstDash val="sysDash"/>
              <a:round/>
            </a:ln>
            <a:effectLst/>
          </c:spPr>
          <c:marker>
            <c:symbol val="none"/>
          </c:marker>
          <c:cat>
            <c:numRef>
              <c:f>TC!$B$27:$B$48</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TC!$I$27:$I$48</c:f>
              <c:numCache>
                <c:formatCode>General</c:formatCode>
                <c:ptCount val="22"/>
                <c:pt idx="0">
                  <c:v>7.867087953133824</c:v>
                </c:pt>
                <c:pt idx="1">
                  <c:v>7.8574413721061562</c:v>
                </c:pt>
                <c:pt idx="2">
                  <c:v>7.8477947910784875</c:v>
                </c:pt>
                <c:pt idx="3">
                  <c:v>7.8381482100508197</c:v>
                </c:pt>
                <c:pt idx="4">
                  <c:v>7.8285016290231519</c:v>
                </c:pt>
                <c:pt idx="5">
                  <c:v>7.8188550479954841</c:v>
                </c:pt>
                <c:pt idx="6">
                  <c:v>7.8092084669678163</c:v>
                </c:pt>
                <c:pt idx="7">
                  <c:v>7.7995618859401477</c:v>
                </c:pt>
                <c:pt idx="8">
                  <c:v>7.7899153049124799</c:v>
                </c:pt>
                <c:pt idx="9">
                  <c:v>7.7802687238848121</c:v>
                </c:pt>
                <c:pt idx="10">
                  <c:v>7.7706221428571443</c:v>
                </c:pt>
                <c:pt idx="11">
                  <c:v>7.7609755618294765</c:v>
                </c:pt>
                <c:pt idx="12">
                  <c:v>7.7513289808018078</c:v>
                </c:pt>
                <c:pt idx="13">
                  <c:v>7.74168239977414</c:v>
                </c:pt>
                <c:pt idx="14">
                  <c:v>7.7320358187464722</c:v>
                </c:pt>
                <c:pt idx="15">
                  <c:v>7.7223892377188044</c:v>
                </c:pt>
                <c:pt idx="16">
                  <c:v>7.7127426566911366</c:v>
                </c:pt>
                <c:pt idx="17">
                  <c:v>7.7030960756634679</c:v>
                </c:pt>
                <c:pt idx="18">
                  <c:v>7.6934494946358001</c:v>
                </c:pt>
                <c:pt idx="19">
                  <c:v>7.6838029136081323</c:v>
                </c:pt>
                <c:pt idx="20">
                  <c:v>7.6741563325804645</c:v>
                </c:pt>
                <c:pt idx="21">
                  <c:v>7.6645097515527967</c:v>
                </c:pt>
              </c:numCache>
            </c:numRef>
          </c:val>
          <c:smooth val="0"/>
          <c:extLst>
            <c:ext xmlns:c16="http://schemas.microsoft.com/office/drawing/2014/chart" uri="{C3380CC4-5D6E-409C-BE32-E72D297353CC}">
              <c16:uniqueId val="{00000012-5349-4ADF-8A2B-0F34F6EDFB46}"/>
            </c:ext>
          </c:extLst>
        </c:ser>
        <c:dLbls>
          <c:showLegendKey val="0"/>
          <c:showVal val="0"/>
          <c:showCatName val="0"/>
          <c:showSerName val="0"/>
          <c:showPercent val="0"/>
          <c:showBubbleSize val="0"/>
        </c:dLbls>
        <c:smooth val="0"/>
        <c:axId val="804443088"/>
        <c:axId val="804465968"/>
      </c:lineChart>
      <c:catAx>
        <c:axId val="80444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04465968"/>
        <c:crosses val="autoZero"/>
        <c:auto val="1"/>
        <c:lblAlgn val="ctr"/>
        <c:lblOffset val="100"/>
        <c:noMultiLvlLbl val="0"/>
      </c:catAx>
      <c:valAx>
        <c:axId val="804465968"/>
        <c:scaling>
          <c:orientation val="minMax"/>
          <c:max val="9"/>
          <c:min val="6"/>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04443088"/>
        <c:crosses val="autoZero"/>
        <c:crossBetween val="between"/>
      </c:valAx>
      <c:spPr>
        <a:noFill/>
        <a:ln>
          <a:noFill/>
        </a:ln>
        <a:effectLst/>
      </c:spPr>
    </c:plotArea>
    <c:legend>
      <c:legendPos val="b"/>
      <c:legendEntry>
        <c:idx val="0"/>
        <c:delete val="1"/>
      </c:legendEntry>
      <c:layout>
        <c:manualLayout>
          <c:xMode val="edge"/>
          <c:yMode val="edge"/>
          <c:x val="3.0870621243798422E-3"/>
          <c:y val="0.92174841273332453"/>
          <c:w val="0.97611544740786138"/>
          <c:h val="6.334872945351105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78831000823241E-2"/>
          <c:y val="0"/>
          <c:w val="0.91414794778313535"/>
          <c:h val="0.78562578326357857"/>
        </c:manualLayout>
      </c:layout>
      <c:lineChart>
        <c:grouping val="standard"/>
        <c:varyColors val="0"/>
        <c:ser>
          <c:idx val="0"/>
          <c:order val="0"/>
          <c:tx>
            <c:strRef>
              <c:f>WTI!$B$1</c:f>
              <c:strCache>
                <c:ptCount val="1"/>
                <c:pt idx="0">
                  <c:v>valor</c:v>
                </c:pt>
              </c:strCache>
            </c:strRef>
          </c:tx>
          <c:spPr>
            <a:ln w="6350" cap="rnd">
              <a:solidFill>
                <a:schemeClr val="tx2">
                  <a:lumMod val="50000"/>
                </a:schemeClr>
              </a:solidFill>
              <a:round/>
            </a:ln>
            <a:effectLst/>
          </c:spPr>
          <c:marker>
            <c:symbol val="none"/>
          </c:marker>
          <c:dLbls>
            <c:dLbl>
              <c:idx val="32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26-4C8E-AB81-A211AE5B6DE8}"/>
                </c:ext>
              </c:extLst>
            </c:dLbl>
            <c:dLbl>
              <c:idx val="2670"/>
              <c:layout>
                <c:manualLayout>
                  <c:x val="-3.9687606837606935E-2"/>
                  <c:y val="-0.111859722222222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26-4C8E-AB81-A211AE5B6DE8}"/>
                </c:ext>
              </c:extLst>
            </c:dLbl>
            <c:dLbl>
              <c:idx val="3231"/>
              <c:layout>
                <c:manualLayout>
                  <c:x val="-8.2088675213675411E-2"/>
                  <c:y val="-6.4675925925925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26-4C8E-AB81-A211AE5B6DE8}"/>
                </c:ext>
              </c:extLst>
            </c:dLbl>
            <c:dLbl>
              <c:idx val="332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26-4C8E-AB81-A211AE5B6DE8}"/>
                </c:ext>
              </c:extLst>
            </c:dLbl>
            <c:dLbl>
              <c:idx val="3496"/>
              <c:layout>
                <c:manualLayout>
                  <c:x val="-4.7828632478632477E-2"/>
                  <c:y val="7.6582407407407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26-4C8E-AB81-A211AE5B6DE8}"/>
                </c:ext>
              </c:extLst>
            </c:dLbl>
            <c:dLbl>
              <c:idx val="3708"/>
              <c:layout>
                <c:manualLayout>
                  <c:x val="-6.2735042735042733E-4"/>
                  <c:y val="-0.10598009259259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26-4C8E-AB81-A211AE5B6DE8}"/>
                </c:ext>
              </c:extLst>
            </c:dLbl>
            <c:spPr>
              <a:noFill/>
              <a:ln>
                <a:noFill/>
              </a:ln>
              <a:effectLst/>
            </c:spPr>
            <c:txPr>
              <a:bodyPr rot="0" spcFirstLastPara="1" vertOverflow="ellipsis" vert="horz" wrap="square" anchor="ctr" anchorCtr="1"/>
              <a:lstStyle/>
              <a:p>
                <a:pPr>
                  <a:defRPr sz="7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WTI!$A$2:$A$3711</c:f>
              <c:numCache>
                <c:formatCode>mmm\-yy</c:formatCode>
                <c:ptCount val="3710"/>
                <c:pt idx="0">
                  <c:v>40182</c:v>
                </c:pt>
                <c:pt idx="1">
                  <c:v>40183</c:v>
                </c:pt>
                <c:pt idx="2">
                  <c:v>40184</c:v>
                </c:pt>
                <c:pt idx="3">
                  <c:v>40185</c:v>
                </c:pt>
                <c:pt idx="4">
                  <c:v>40186</c:v>
                </c:pt>
                <c:pt idx="5">
                  <c:v>40189</c:v>
                </c:pt>
                <c:pt idx="6">
                  <c:v>40190</c:v>
                </c:pt>
                <c:pt idx="7">
                  <c:v>40191</c:v>
                </c:pt>
                <c:pt idx="8">
                  <c:v>40192</c:v>
                </c:pt>
                <c:pt idx="9">
                  <c:v>40193</c:v>
                </c:pt>
                <c:pt idx="10">
                  <c:v>40197</c:v>
                </c:pt>
                <c:pt idx="11">
                  <c:v>40198</c:v>
                </c:pt>
                <c:pt idx="12">
                  <c:v>40199</c:v>
                </c:pt>
                <c:pt idx="13">
                  <c:v>40200</c:v>
                </c:pt>
                <c:pt idx="14">
                  <c:v>40203</c:v>
                </c:pt>
                <c:pt idx="15">
                  <c:v>40204</c:v>
                </c:pt>
                <c:pt idx="16">
                  <c:v>40205</c:v>
                </c:pt>
                <c:pt idx="17">
                  <c:v>40206</c:v>
                </c:pt>
                <c:pt idx="18">
                  <c:v>40207</c:v>
                </c:pt>
                <c:pt idx="19">
                  <c:v>40210</c:v>
                </c:pt>
                <c:pt idx="20">
                  <c:v>40211</c:v>
                </c:pt>
                <c:pt idx="21">
                  <c:v>40212</c:v>
                </c:pt>
                <c:pt idx="22">
                  <c:v>40213</c:v>
                </c:pt>
                <c:pt idx="23">
                  <c:v>40214</c:v>
                </c:pt>
                <c:pt idx="24">
                  <c:v>40217</c:v>
                </c:pt>
                <c:pt idx="25">
                  <c:v>40218</c:v>
                </c:pt>
                <c:pt idx="26">
                  <c:v>40219</c:v>
                </c:pt>
                <c:pt idx="27">
                  <c:v>40220</c:v>
                </c:pt>
                <c:pt idx="28">
                  <c:v>40221</c:v>
                </c:pt>
                <c:pt idx="29">
                  <c:v>40225</c:v>
                </c:pt>
                <c:pt idx="30">
                  <c:v>40226</c:v>
                </c:pt>
                <c:pt idx="31">
                  <c:v>40227</c:v>
                </c:pt>
                <c:pt idx="32">
                  <c:v>40228</c:v>
                </c:pt>
                <c:pt idx="33">
                  <c:v>40231</c:v>
                </c:pt>
                <c:pt idx="34">
                  <c:v>40232</c:v>
                </c:pt>
                <c:pt idx="35">
                  <c:v>40233</c:v>
                </c:pt>
                <c:pt idx="36">
                  <c:v>40234</c:v>
                </c:pt>
                <c:pt idx="37">
                  <c:v>40235</c:v>
                </c:pt>
                <c:pt idx="38">
                  <c:v>40238</c:v>
                </c:pt>
                <c:pt idx="39">
                  <c:v>40239</c:v>
                </c:pt>
                <c:pt idx="40">
                  <c:v>40240</c:v>
                </c:pt>
                <c:pt idx="41">
                  <c:v>40241</c:v>
                </c:pt>
                <c:pt idx="42">
                  <c:v>40242</c:v>
                </c:pt>
                <c:pt idx="43">
                  <c:v>40245</c:v>
                </c:pt>
                <c:pt idx="44">
                  <c:v>40246</c:v>
                </c:pt>
                <c:pt idx="45">
                  <c:v>40247</c:v>
                </c:pt>
                <c:pt idx="46">
                  <c:v>40248</c:v>
                </c:pt>
                <c:pt idx="47">
                  <c:v>40249</c:v>
                </c:pt>
                <c:pt idx="48">
                  <c:v>40252</c:v>
                </c:pt>
                <c:pt idx="49">
                  <c:v>40253</c:v>
                </c:pt>
                <c:pt idx="50">
                  <c:v>40254</c:v>
                </c:pt>
                <c:pt idx="51">
                  <c:v>40255</c:v>
                </c:pt>
                <c:pt idx="52">
                  <c:v>40256</c:v>
                </c:pt>
                <c:pt idx="53">
                  <c:v>40259</c:v>
                </c:pt>
                <c:pt idx="54">
                  <c:v>40260</c:v>
                </c:pt>
                <c:pt idx="55">
                  <c:v>40261</c:v>
                </c:pt>
                <c:pt idx="56">
                  <c:v>40262</c:v>
                </c:pt>
                <c:pt idx="57">
                  <c:v>40263</c:v>
                </c:pt>
                <c:pt idx="58">
                  <c:v>40266</c:v>
                </c:pt>
                <c:pt idx="59">
                  <c:v>40267</c:v>
                </c:pt>
                <c:pt idx="60">
                  <c:v>40268</c:v>
                </c:pt>
                <c:pt idx="61">
                  <c:v>40269</c:v>
                </c:pt>
                <c:pt idx="62">
                  <c:v>40273</c:v>
                </c:pt>
                <c:pt idx="63">
                  <c:v>40274</c:v>
                </c:pt>
                <c:pt idx="64">
                  <c:v>40275</c:v>
                </c:pt>
                <c:pt idx="65">
                  <c:v>40276</c:v>
                </c:pt>
                <c:pt idx="66">
                  <c:v>40277</c:v>
                </c:pt>
                <c:pt idx="67">
                  <c:v>40280</c:v>
                </c:pt>
                <c:pt idx="68">
                  <c:v>40281</c:v>
                </c:pt>
                <c:pt idx="69">
                  <c:v>40282</c:v>
                </c:pt>
                <c:pt idx="70">
                  <c:v>40283</c:v>
                </c:pt>
                <c:pt idx="71">
                  <c:v>40284</c:v>
                </c:pt>
                <c:pt idx="72">
                  <c:v>40287</c:v>
                </c:pt>
                <c:pt idx="73">
                  <c:v>40288</c:v>
                </c:pt>
                <c:pt idx="74">
                  <c:v>40289</c:v>
                </c:pt>
                <c:pt idx="75">
                  <c:v>40290</c:v>
                </c:pt>
                <c:pt idx="76">
                  <c:v>40291</c:v>
                </c:pt>
                <c:pt idx="77">
                  <c:v>40294</c:v>
                </c:pt>
                <c:pt idx="78">
                  <c:v>40295</c:v>
                </c:pt>
                <c:pt idx="79">
                  <c:v>40296</c:v>
                </c:pt>
                <c:pt idx="80">
                  <c:v>40297</c:v>
                </c:pt>
                <c:pt idx="81">
                  <c:v>40298</c:v>
                </c:pt>
                <c:pt idx="82">
                  <c:v>40301</c:v>
                </c:pt>
                <c:pt idx="83">
                  <c:v>40302</c:v>
                </c:pt>
                <c:pt idx="84">
                  <c:v>40303</c:v>
                </c:pt>
                <c:pt idx="85">
                  <c:v>40304</c:v>
                </c:pt>
                <c:pt idx="86">
                  <c:v>40305</c:v>
                </c:pt>
                <c:pt idx="87">
                  <c:v>40308</c:v>
                </c:pt>
                <c:pt idx="88">
                  <c:v>40309</c:v>
                </c:pt>
                <c:pt idx="89">
                  <c:v>40310</c:v>
                </c:pt>
                <c:pt idx="90">
                  <c:v>40311</c:v>
                </c:pt>
                <c:pt idx="91">
                  <c:v>40312</c:v>
                </c:pt>
                <c:pt idx="92">
                  <c:v>40315</c:v>
                </c:pt>
                <c:pt idx="93">
                  <c:v>40316</c:v>
                </c:pt>
                <c:pt idx="94">
                  <c:v>40317</c:v>
                </c:pt>
                <c:pt idx="95">
                  <c:v>40318</c:v>
                </c:pt>
                <c:pt idx="96">
                  <c:v>40319</c:v>
                </c:pt>
                <c:pt idx="97">
                  <c:v>40322</c:v>
                </c:pt>
                <c:pt idx="98">
                  <c:v>40323</c:v>
                </c:pt>
                <c:pt idx="99">
                  <c:v>40324</c:v>
                </c:pt>
                <c:pt idx="100">
                  <c:v>40325</c:v>
                </c:pt>
                <c:pt idx="101">
                  <c:v>40326</c:v>
                </c:pt>
                <c:pt idx="102">
                  <c:v>40330</c:v>
                </c:pt>
                <c:pt idx="103">
                  <c:v>40331</c:v>
                </c:pt>
                <c:pt idx="104">
                  <c:v>40332</c:v>
                </c:pt>
                <c:pt idx="105">
                  <c:v>40333</c:v>
                </c:pt>
                <c:pt idx="106">
                  <c:v>40336</c:v>
                </c:pt>
                <c:pt idx="107">
                  <c:v>40337</c:v>
                </c:pt>
                <c:pt idx="108">
                  <c:v>40338</c:v>
                </c:pt>
                <c:pt idx="109">
                  <c:v>40339</c:v>
                </c:pt>
                <c:pt idx="110">
                  <c:v>40340</c:v>
                </c:pt>
                <c:pt idx="111">
                  <c:v>40343</c:v>
                </c:pt>
                <c:pt idx="112">
                  <c:v>40344</c:v>
                </c:pt>
                <c:pt idx="113">
                  <c:v>40345</c:v>
                </c:pt>
                <c:pt idx="114">
                  <c:v>40346</c:v>
                </c:pt>
                <c:pt idx="115">
                  <c:v>40347</c:v>
                </c:pt>
                <c:pt idx="116">
                  <c:v>40350</c:v>
                </c:pt>
                <c:pt idx="117">
                  <c:v>40351</c:v>
                </c:pt>
                <c:pt idx="118">
                  <c:v>40352</c:v>
                </c:pt>
                <c:pt idx="119">
                  <c:v>40353</c:v>
                </c:pt>
                <c:pt idx="120">
                  <c:v>40354</c:v>
                </c:pt>
                <c:pt idx="121">
                  <c:v>40357</c:v>
                </c:pt>
                <c:pt idx="122">
                  <c:v>40358</c:v>
                </c:pt>
                <c:pt idx="123">
                  <c:v>40359</c:v>
                </c:pt>
                <c:pt idx="124">
                  <c:v>40360</c:v>
                </c:pt>
                <c:pt idx="125">
                  <c:v>40361</c:v>
                </c:pt>
                <c:pt idx="126">
                  <c:v>40365</c:v>
                </c:pt>
                <c:pt idx="127">
                  <c:v>40366</c:v>
                </c:pt>
                <c:pt idx="128">
                  <c:v>40367</c:v>
                </c:pt>
                <c:pt idx="129">
                  <c:v>40368</c:v>
                </c:pt>
                <c:pt idx="130">
                  <c:v>40371</c:v>
                </c:pt>
                <c:pt idx="131">
                  <c:v>40372</c:v>
                </c:pt>
                <c:pt idx="132">
                  <c:v>40373</c:v>
                </c:pt>
                <c:pt idx="133">
                  <c:v>40374</c:v>
                </c:pt>
                <c:pt idx="134">
                  <c:v>40375</c:v>
                </c:pt>
                <c:pt idx="135">
                  <c:v>40378</c:v>
                </c:pt>
                <c:pt idx="136">
                  <c:v>40379</c:v>
                </c:pt>
                <c:pt idx="137">
                  <c:v>40380</c:v>
                </c:pt>
                <c:pt idx="138">
                  <c:v>40381</c:v>
                </c:pt>
                <c:pt idx="139">
                  <c:v>40382</c:v>
                </c:pt>
                <c:pt idx="140">
                  <c:v>40385</c:v>
                </c:pt>
                <c:pt idx="141">
                  <c:v>40386</c:v>
                </c:pt>
                <c:pt idx="142">
                  <c:v>40387</c:v>
                </c:pt>
                <c:pt idx="143">
                  <c:v>40388</c:v>
                </c:pt>
                <c:pt idx="144">
                  <c:v>40389</c:v>
                </c:pt>
                <c:pt idx="145">
                  <c:v>40392</c:v>
                </c:pt>
                <c:pt idx="146">
                  <c:v>40393</c:v>
                </c:pt>
                <c:pt idx="147">
                  <c:v>40394</c:v>
                </c:pt>
                <c:pt idx="148">
                  <c:v>40395</c:v>
                </c:pt>
                <c:pt idx="149">
                  <c:v>40396</c:v>
                </c:pt>
                <c:pt idx="150">
                  <c:v>40399</c:v>
                </c:pt>
                <c:pt idx="151">
                  <c:v>40400</c:v>
                </c:pt>
                <c:pt idx="152">
                  <c:v>40401</c:v>
                </c:pt>
                <c:pt idx="153">
                  <c:v>40402</c:v>
                </c:pt>
                <c:pt idx="154">
                  <c:v>40403</c:v>
                </c:pt>
                <c:pt idx="155">
                  <c:v>40406</c:v>
                </c:pt>
                <c:pt idx="156">
                  <c:v>40407</c:v>
                </c:pt>
                <c:pt idx="157">
                  <c:v>40408</c:v>
                </c:pt>
                <c:pt idx="158">
                  <c:v>40409</c:v>
                </c:pt>
                <c:pt idx="159">
                  <c:v>40410</c:v>
                </c:pt>
                <c:pt idx="160">
                  <c:v>40413</c:v>
                </c:pt>
                <c:pt idx="161">
                  <c:v>40414</c:v>
                </c:pt>
                <c:pt idx="162">
                  <c:v>40415</c:v>
                </c:pt>
                <c:pt idx="163">
                  <c:v>40416</c:v>
                </c:pt>
                <c:pt idx="164">
                  <c:v>40417</c:v>
                </c:pt>
                <c:pt idx="165">
                  <c:v>40420</c:v>
                </c:pt>
                <c:pt idx="166">
                  <c:v>40421</c:v>
                </c:pt>
                <c:pt idx="167">
                  <c:v>40422</c:v>
                </c:pt>
                <c:pt idx="168">
                  <c:v>40423</c:v>
                </c:pt>
                <c:pt idx="169">
                  <c:v>40424</c:v>
                </c:pt>
                <c:pt idx="170">
                  <c:v>40428</c:v>
                </c:pt>
                <c:pt idx="171">
                  <c:v>40429</c:v>
                </c:pt>
                <c:pt idx="172">
                  <c:v>40430</c:v>
                </c:pt>
                <c:pt idx="173">
                  <c:v>40431</c:v>
                </c:pt>
                <c:pt idx="174">
                  <c:v>40434</c:v>
                </c:pt>
                <c:pt idx="175">
                  <c:v>40435</c:v>
                </c:pt>
                <c:pt idx="176">
                  <c:v>40436</c:v>
                </c:pt>
                <c:pt idx="177">
                  <c:v>40437</c:v>
                </c:pt>
                <c:pt idx="178">
                  <c:v>40438</c:v>
                </c:pt>
                <c:pt idx="179">
                  <c:v>40441</c:v>
                </c:pt>
                <c:pt idx="180">
                  <c:v>40442</c:v>
                </c:pt>
                <c:pt idx="181">
                  <c:v>40443</c:v>
                </c:pt>
                <c:pt idx="182">
                  <c:v>40444</c:v>
                </c:pt>
                <c:pt idx="183">
                  <c:v>40445</c:v>
                </c:pt>
                <c:pt idx="184">
                  <c:v>40448</c:v>
                </c:pt>
                <c:pt idx="185">
                  <c:v>40449</c:v>
                </c:pt>
                <c:pt idx="186">
                  <c:v>40450</c:v>
                </c:pt>
                <c:pt idx="187">
                  <c:v>40451</c:v>
                </c:pt>
                <c:pt idx="188">
                  <c:v>40452</c:v>
                </c:pt>
                <c:pt idx="189">
                  <c:v>40455</c:v>
                </c:pt>
                <c:pt idx="190">
                  <c:v>40456</c:v>
                </c:pt>
                <c:pt idx="191">
                  <c:v>40457</c:v>
                </c:pt>
                <c:pt idx="192">
                  <c:v>40458</c:v>
                </c:pt>
                <c:pt idx="193">
                  <c:v>40459</c:v>
                </c:pt>
                <c:pt idx="194">
                  <c:v>40462</c:v>
                </c:pt>
                <c:pt idx="195">
                  <c:v>40463</c:v>
                </c:pt>
                <c:pt idx="196">
                  <c:v>40464</c:v>
                </c:pt>
                <c:pt idx="197">
                  <c:v>40465</c:v>
                </c:pt>
                <c:pt idx="198">
                  <c:v>40466</c:v>
                </c:pt>
                <c:pt idx="199">
                  <c:v>40469</c:v>
                </c:pt>
                <c:pt idx="200">
                  <c:v>40470</c:v>
                </c:pt>
                <c:pt idx="201">
                  <c:v>40471</c:v>
                </c:pt>
                <c:pt idx="202">
                  <c:v>40472</c:v>
                </c:pt>
                <c:pt idx="203">
                  <c:v>40473</c:v>
                </c:pt>
                <c:pt idx="204">
                  <c:v>40476</c:v>
                </c:pt>
                <c:pt idx="205">
                  <c:v>40477</c:v>
                </c:pt>
                <c:pt idx="206">
                  <c:v>40478</c:v>
                </c:pt>
                <c:pt idx="207">
                  <c:v>40479</c:v>
                </c:pt>
                <c:pt idx="208">
                  <c:v>40480</c:v>
                </c:pt>
                <c:pt idx="209">
                  <c:v>40483</c:v>
                </c:pt>
                <c:pt idx="210">
                  <c:v>40484</c:v>
                </c:pt>
                <c:pt idx="211">
                  <c:v>40485</c:v>
                </c:pt>
                <c:pt idx="212">
                  <c:v>40486</c:v>
                </c:pt>
                <c:pt idx="213">
                  <c:v>40487</c:v>
                </c:pt>
                <c:pt idx="214">
                  <c:v>40490</c:v>
                </c:pt>
                <c:pt idx="215">
                  <c:v>40491</c:v>
                </c:pt>
                <c:pt idx="216">
                  <c:v>40492</c:v>
                </c:pt>
                <c:pt idx="217">
                  <c:v>40493</c:v>
                </c:pt>
                <c:pt idx="218">
                  <c:v>40494</c:v>
                </c:pt>
                <c:pt idx="219">
                  <c:v>40497</c:v>
                </c:pt>
                <c:pt idx="220">
                  <c:v>40498</c:v>
                </c:pt>
                <c:pt idx="221">
                  <c:v>40499</c:v>
                </c:pt>
                <c:pt idx="222">
                  <c:v>40500</c:v>
                </c:pt>
                <c:pt idx="223">
                  <c:v>40501</c:v>
                </c:pt>
                <c:pt idx="224">
                  <c:v>40504</c:v>
                </c:pt>
                <c:pt idx="225">
                  <c:v>40505</c:v>
                </c:pt>
                <c:pt idx="226">
                  <c:v>40506</c:v>
                </c:pt>
                <c:pt idx="227">
                  <c:v>40508</c:v>
                </c:pt>
                <c:pt idx="228">
                  <c:v>40511</c:v>
                </c:pt>
                <c:pt idx="229">
                  <c:v>40512</c:v>
                </c:pt>
                <c:pt idx="230">
                  <c:v>40513</c:v>
                </c:pt>
                <c:pt idx="231">
                  <c:v>40514</c:v>
                </c:pt>
                <c:pt idx="232">
                  <c:v>40515</c:v>
                </c:pt>
                <c:pt idx="233">
                  <c:v>40518</c:v>
                </c:pt>
                <c:pt idx="234">
                  <c:v>40519</c:v>
                </c:pt>
                <c:pt idx="235">
                  <c:v>40520</c:v>
                </c:pt>
                <c:pt idx="236">
                  <c:v>40521</c:v>
                </c:pt>
                <c:pt idx="237">
                  <c:v>40522</c:v>
                </c:pt>
                <c:pt idx="238">
                  <c:v>40525</c:v>
                </c:pt>
                <c:pt idx="239">
                  <c:v>40526</c:v>
                </c:pt>
                <c:pt idx="240">
                  <c:v>40527</c:v>
                </c:pt>
                <c:pt idx="241">
                  <c:v>40528</c:v>
                </c:pt>
                <c:pt idx="242">
                  <c:v>40529</c:v>
                </c:pt>
                <c:pt idx="243">
                  <c:v>40532</c:v>
                </c:pt>
                <c:pt idx="244">
                  <c:v>40533</c:v>
                </c:pt>
                <c:pt idx="245">
                  <c:v>40534</c:v>
                </c:pt>
                <c:pt idx="246">
                  <c:v>40535</c:v>
                </c:pt>
                <c:pt idx="247">
                  <c:v>40539</c:v>
                </c:pt>
                <c:pt idx="248">
                  <c:v>40540</c:v>
                </c:pt>
                <c:pt idx="249">
                  <c:v>40541</c:v>
                </c:pt>
                <c:pt idx="250">
                  <c:v>40542</c:v>
                </c:pt>
                <c:pt idx="251">
                  <c:v>40543</c:v>
                </c:pt>
                <c:pt idx="252">
                  <c:v>40546</c:v>
                </c:pt>
                <c:pt idx="253">
                  <c:v>40547</c:v>
                </c:pt>
                <c:pt idx="254">
                  <c:v>40548</c:v>
                </c:pt>
                <c:pt idx="255">
                  <c:v>40549</c:v>
                </c:pt>
                <c:pt idx="256">
                  <c:v>40550</c:v>
                </c:pt>
                <c:pt idx="257">
                  <c:v>40553</c:v>
                </c:pt>
                <c:pt idx="258">
                  <c:v>40554</c:v>
                </c:pt>
                <c:pt idx="259">
                  <c:v>40555</c:v>
                </c:pt>
                <c:pt idx="260">
                  <c:v>40556</c:v>
                </c:pt>
                <c:pt idx="261">
                  <c:v>40557</c:v>
                </c:pt>
                <c:pt idx="262">
                  <c:v>40561</c:v>
                </c:pt>
                <c:pt idx="263">
                  <c:v>40562</c:v>
                </c:pt>
                <c:pt idx="264">
                  <c:v>40563</c:v>
                </c:pt>
                <c:pt idx="265">
                  <c:v>40564</c:v>
                </c:pt>
                <c:pt idx="266">
                  <c:v>40567</c:v>
                </c:pt>
                <c:pt idx="267">
                  <c:v>40568</c:v>
                </c:pt>
                <c:pt idx="268">
                  <c:v>40569</c:v>
                </c:pt>
                <c:pt idx="269">
                  <c:v>40570</c:v>
                </c:pt>
                <c:pt idx="270">
                  <c:v>40571</c:v>
                </c:pt>
                <c:pt idx="271">
                  <c:v>40574</c:v>
                </c:pt>
                <c:pt idx="272">
                  <c:v>40575</c:v>
                </c:pt>
                <c:pt idx="273">
                  <c:v>40576</c:v>
                </c:pt>
                <c:pt idx="274">
                  <c:v>40577</c:v>
                </c:pt>
                <c:pt idx="275">
                  <c:v>40578</c:v>
                </c:pt>
                <c:pt idx="276">
                  <c:v>40581</c:v>
                </c:pt>
                <c:pt idx="277">
                  <c:v>40582</c:v>
                </c:pt>
                <c:pt idx="278">
                  <c:v>40583</c:v>
                </c:pt>
                <c:pt idx="279">
                  <c:v>40584</c:v>
                </c:pt>
                <c:pt idx="280">
                  <c:v>40585</c:v>
                </c:pt>
                <c:pt idx="281">
                  <c:v>40588</c:v>
                </c:pt>
                <c:pt idx="282">
                  <c:v>40589</c:v>
                </c:pt>
                <c:pt idx="283">
                  <c:v>40590</c:v>
                </c:pt>
                <c:pt idx="284">
                  <c:v>40591</c:v>
                </c:pt>
                <c:pt idx="285">
                  <c:v>40592</c:v>
                </c:pt>
                <c:pt idx="286">
                  <c:v>40596</c:v>
                </c:pt>
                <c:pt idx="287">
                  <c:v>40597</c:v>
                </c:pt>
                <c:pt idx="288">
                  <c:v>40598</c:v>
                </c:pt>
                <c:pt idx="289">
                  <c:v>40599</c:v>
                </c:pt>
                <c:pt idx="290">
                  <c:v>40602</c:v>
                </c:pt>
                <c:pt idx="291">
                  <c:v>40603</c:v>
                </c:pt>
                <c:pt idx="292">
                  <c:v>40604</c:v>
                </c:pt>
                <c:pt idx="293">
                  <c:v>40605</c:v>
                </c:pt>
                <c:pt idx="294">
                  <c:v>40606</c:v>
                </c:pt>
                <c:pt idx="295">
                  <c:v>40609</c:v>
                </c:pt>
                <c:pt idx="296">
                  <c:v>40610</c:v>
                </c:pt>
                <c:pt idx="297">
                  <c:v>40611</c:v>
                </c:pt>
                <c:pt idx="298">
                  <c:v>40612</c:v>
                </c:pt>
                <c:pt idx="299">
                  <c:v>40613</c:v>
                </c:pt>
                <c:pt idx="300">
                  <c:v>40616</c:v>
                </c:pt>
                <c:pt idx="301">
                  <c:v>40617</c:v>
                </c:pt>
                <c:pt idx="302">
                  <c:v>40618</c:v>
                </c:pt>
                <c:pt idx="303">
                  <c:v>40619</c:v>
                </c:pt>
                <c:pt idx="304">
                  <c:v>40620</c:v>
                </c:pt>
                <c:pt idx="305">
                  <c:v>40623</c:v>
                </c:pt>
                <c:pt idx="306">
                  <c:v>40624</c:v>
                </c:pt>
                <c:pt idx="307">
                  <c:v>40625</c:v>
                </c:pt>
                <c:pt idx="308">
                  <c:v>40626</c:v>
                </c:pt>
                <c:pt idx="309">
                  <c:v>40627</c:v>
                </c:pt>
                <c:pt idx="310">
                  <c:v>40630</c:v>
                </c:pt>
                <c:pt idx="311">
                  <c:v>40631</c:v>
                </c:pt>
                <c:pt idx="312">
                  <c:v>40632</c:v>
                </c:pt>
                <c:pt idx="313">
                  <c:v>40633</c:v>
                </c:pt>
                <c:pt idx="314">
                  <c:v>40634</c:v>
                </c:pt>
                <c:pt idx="315">
                  <c:v>40637</c:v>
                </c:pt>
                <c:pt idx="316">
                  <c:v>40638</c:v>
                </c:pt>
                <c:pt idx="317">
                  <c:v>40639</c:v>
                </c:pt>
                <c:pt idx="318">
                  <c:v>40640</c:v>
                </c:pt>
                <c:pt idx="319">
                  <c:v>40641</c:v>
                </c:pt>
                <c:pt idx="320">
                  <c:v>40644</c:v>
                </c:pt>
                <c:pt idx="321">
                  <c:v>40645</c:v>
                </c:pt>
                <c:pt idx="322">
                  <c:v>40646</c:v>
                </c:pt>
                <c:pt idx="323">
                  <c:v>40647</c:v>
                </c:pt>
                <c:pt idx="324">
                  <c:v>40648</c:v>
                </c:pt>
                <c:pt idx="325">
                  <c:v>40651</c:v>
                </c:pt>
                <c:pt idx="326">
                  <c:v>40652</c:v>
                </c:pt>
                <c:pt idx="327">
                  <c:v>40653</c:v>
                </c:pt>
                <c:pt idx="328">
                  <c:v>40654</c:v>
                </c:pt>
                <c:pt idx="329">
                  <c:v>40658</c:v>
                </c:pt>
                <c:pt idx="330">
                  <c:v>40659</c:v>
                </c:pt>
                <c:pt idx="331">
                  <c:v>40660</c:v>
                </c:pt>
                <c:pt idx="332">
                  <c:v>40661</c:v>
                </c:pt>
                <c:pt idx="333">
                  <c:v>40662</c:v>
                </c:pt>
                <c:pt idx="334">
                  <c:v>40665</c:v>
                </c:pt>
                <c:pt idx="335">
                  <c:v>40666</c:v>
                </c:pt>
                <c:pt idx="336">
                  <c:v>40667</c:v>
                </c:pt>
                <c:pt idx="337">
                  <c:v>40668</c:v>
                </c:pt>
                <c:pt idx="338">
                  <c:v>40669</c:v>
                </c:pt>
                <c:pt idx="339">
                  <c:v>40672</c:v>
                </c:pt>
                <c:pt idx="340">
                  <c:v>40673</c:v>
                </c:pt>
                <c:pt idx="341">
                  <c:v>40674</c:v>
                </c:pt>
                <c:pt idx="342">
                  <c:v>40675</c:v>
                </c:pt>
                <c:pt idx="343">
                  <c:v>40676</c:v>
                </c:pt>
                <c:pt idx="344">
                  <c:v>40679</c:v>
                </c:pt>
                <c:pt idx="345">
                  <c:v>40680</c:v>
                </c:pt>
                <c:pt idx="346">
                  <c:v>40681</c:v>
                </c:pt>
                <c:pt idx="347">
                  <c:v>40682</c:v>
                </c:pt>
                <c:pt idx="348">
                  <c:v>40683</c:v>
                </c:pt>
                <c:pt idx="349">
                  <c:v>40686</c:v>
                </c:pt>
                <c:pt idx="350">
                  <c:v>40687</c:v>
                </c:pt>
                <c:pt idx="351">
                  <c:v>40688</c:v>
                </c:pt>
                <c:pt idx="352">
                  <c:v>40689</c:v>
                </c:pt>
                <c:pt idx="353">
                  <c:v>40690</c:v>
                </c:pt>
                <c:pt idx="354">
                  <c:v>40694</c:v>
                </c:pt>
                <c:pt idx="355">
                  <c:v>40695</c:v>
                </c:pt>
                <c:pt idx="356">
                  <c:v>40696</c:v>
                </c:pt>
                <c:pt idx="357">
                  <c:v>40697</c:v>
                </c:pt>
                <c:pt idx="358">
                  <c:v>40700</c:v>
                </c:pt>
                <c:pt idx="359">
                  <c:v>40701</c:v>
                </c:pt>
                <c:pt idx="360">
                  <c:v>40702</c:v>
                </c:pt>
                <c:pt idx="361">
                  <c:v>40703</c:v>
                </c:pt>
                <c:pt idx="362">
                  <c:v>40704</c:v>
                </c:pt>
                <c:pt idx="363">
                  <c:v>40707</c:v>
                </c:pt>
                <c:pt idx="364">
                  <c:v>40708</c:v>
                </c:pt>
                <c:pt idx="365">
                  <c:v>40709</c:v>
                </c:pt>
                <c:pt idx="366">
                  <c:v>40710</c:v>
                </c:pt>
                <c:pt idx="367">
                  <c:v>40711</c:v>
                </c:pt>
                <c:pt idx="368">
                  <c:v>40714</c:v>
                </c:pt>
                <c:pt idx="369">
                  <c:v>40715</c:v>
                </c:pt>
                <c:pt idx="370">
                  <c:v>40716</c:v>
                </c:pt>
                <c:pt idx="371">
                  <c:v>40717</c:v>
                </c:pt>
                <c:pt idx="372">
                  <c:v>40718</c:v>
                </c:pt>
                <c:pt idx="373">
                  <c:v>40721</c:v>
                </c:pt>
                <c:pt idx="374">
                  <c:v>40722</c:v>
                </c:pt>
                <c:pt idx="375">
                  <c:v>40723</c:v>
                </c:pt>
                <c:pt idx="376">
                  <c:v>40724</c:v>
                </c:pt>
                <c:pt idx="377">
                  <c:v>40725</c:v>
                </c:pt>
                <c:pt idx="378">
                  <c:v>40729</c:v>
                </c:pt>
                <c:pt idx="379">
                  <c:v>40730</c:v>
                </c:pt>
                <c:pt idx="380">
                  <c:v>40731</c:v>
                </c:pt>
                <c:pt idx="381">
                  <c:v>40732</c:v>
                </c:pt>
                <c:pt idx="382">
                  <c:v>40735</c:v>
                </c:pt>
                <c:pt idx="383">
                  <c:v>40736</c:v>
                </c:pt>
                <c:pt idx="384">
                  <c:v>40737</c:v>
                </c:pt>
                <c:pt idx="385">
                  <c:v>40738</c:v>
                </c:pt>
                <c:pt idx="386">
                  <c:v>40739</c:v>
                </c:pt>
                <c:pt idx="387">
                  <c:v>40742</c:v>
                </c:pt>
                <c:pt idx="388">
                  <c:v>40743</c:v>
                </c:pt>
                <c:pt idx="389">
                  <c:v>40744</c:v>
                </c:pt>
                <c:pt idx="390">
                  <c:v>40745</c:v>
                </c:pt>
                <c:pt idx="391">
                  <c:v>40746</c:v>
                </c:pt>
                <c:pt idx="392">
                  <c:v>40749</c:v>
                </c:pt>
                <c:pt idx="393">
                  <c:v>40750</c:v>
                </c:pt>
                <c:pt idx="394">
                  <c:v>40751</c:v>
                </c:pt>
                <c:pt idx="395">
                  <c:v>40752</c:v>
                </c:pt>
                <c:pt idx="396">
                  <c:v>40753</c:v>
                </c:pt>
                <c:pt idx="397">
                  <c:v>40756</c:v>
                </c:pt>
                <c:pt idx="398">
                  <c:v>40757</c:v>
                </c:pt>
                <c:pt idx="399">
                  <c:v>40758</c:v>
                </c:pt>
                <c:pt idx="400">
                  <c:v>40759</c:v>
                </c:pt>
                <c:pt idx="401">
                  <c:v>40760</c:v>
                </c:pt>
                <c:pt idx="402">
                  <c:v>40763</c:v>
                </c:pt>
                <c:pt idx="403">
                  <c:v>40764</c:v>
                </c:pt>
                <c:pt idx="404">
                  <c:v>40765</c:v>
                </c:pt>
                <c:pt idx="405">
                  <c:v>40766</c:v>
                </c:pt>
                <c:pt idx="406">
                  <c:v>40767</c:v>
                </c:pt>
                <c:pt idx="407">
                  <c:v>40770</c:v>
                </c:pt>
                <c:pt idx="408">
                  <c:v>40771</c:v>
                </c:pt>
                <c:pt idx="409">
                  <c:v>40772</c:v>
                </c:pt>
                <c:pt idx="410">
                  <c:v>40773</c:v>
                </c:pt>
                <c:pt idx="411">
                  <c:v>40774</c:v>
                </c:pt>
                <c:pt idx="412">
                  <c:v>40777</c:v>
                </c:pt>
                <c:pt idx="413">
                  <c:v>40778</c:v>
                </c:pt>
                <c:pt idx="414">
                  <c:v>40779</c:v>
                </c:pt>
                <c:pt idx="415">
                  <c:v>40780</c:v>
                </c:pt>
                <c:pt idx="416">
                  <c:v>40781</c:v>
                </c:pt>
                <c:pt idx="417">
                  <c:v>40784</c:v>
                </c:pt>
                <c:pt idx="418">
                  <c:v>40785</c:v>
                </c:pt>
                <c:pt idx="419">
                  <c:v>40786</c:v>
                </c:pt>
                <c:pt idx="420">
                  <c:v>40787</c:v>
                </c:pt>
                <c:pt idx="421">
                  <c:v>40788</c:v>
                </c:pt>
                <c:pt idx="422">
                  <c:v>40792</c:v>
                </c:pt>
                <c:pt idx="423">
                  <c:v>40793</c:v>
                </c:pt>
                <c:pt idx="424">
                  <c:v>40794</c:v>
                </c:pt>
                <c:pt idx="425">
                  <c:v>40795</c:v>
                </c:pt>
                <c:pt idx="426">
                  <c:v>40798</c:v>
                </c:pt>
                <c:pt idx="427">
                  <c:v>40799</c:v>
                </c:pt>
                <c:pt idx="428">
                  <c:v>40800</c:v>
                </c:pt>
                <c:pt idx="429">
                  <c:v>40801</c:v>
                </c:pt>
                <c:pt idx="430">
                  <c:v>40802</c:v>
                </c:pt>
                <c:pt idx="431">
                  <c:v>40805</c:v>
                </c:pt>
                <c:pt idx="432">
                  <c:v>40806</c:v>
                </c:pt>
                <c:pt idx="433">
                  <c:v>40807</c:v>
                </c:pt>
                <c:pt idx="434">
                  <c:v>40808</c:v>
                </c:pt>
                <c:pt idx="435">
                  <c:v>40809</c:v>
                </c:pt>
                <c:pt idx="436">
                  <c:v>40812</c:v>
                </c:pt>
                <c:pt idx="437">
                  <c:v>40813</c:v>
                </c:pt>
                <c:pt idx="438">
                  <c:v>40814</c:v>
                </c:pt>
                <c:pt idx="439">
                  <c:v>40815</c:v>
                </c:pt>
                <c:pt idx="440">
                  <c:v>40816</c:v>
                </c:pt>
                <c:pt idx="441">
                  <c:v>40819</c:v>
                </c:pt>
                <c:pt idx="442">
                  <c:v>40820</c:v>
                </c:pt>
                <c:pt idx="443">
                  <c:v>40821</c:v>
                </c:pt>
                <c:pt idx="444">
                  <c:v>40822</c:v>
                </c:pt>
                <c:pt idx="445">
                  <c:v>40823</c:v>
                </c:pt>
                <c:pt idx="446">
                  <c:v>40826</c:v>
                </c:pt>
                <c:pt idx="447">
                  <c:v>40827</c:v>
                </c:pt>
                <c:pt idx="448">
                  <c:v>40828</c:v>
                </c:pt>
                <c:pt idx="449">
                  <c:v>40829</c:v>
                </c:pt>
                <c:pt idx="450">
                  <c:v>40830</c:v>
                </c:pt>
                <c:pt idx="451">
                  <c:v>40833</c:v>
                </c:pt>
                <c:pt idx="452">
                  <c:v>40834</c:v>
                </c:pt>
                <c:pt idx="453">
                  <c:v>40835</c:v>
                </c:pt>
                <c:pt idx="454">
                  <c:v>40836</c:v>
                </c:pt>
                <c:pt idx="455">
                  <c:v>40837</c:v>
                </c:pt>
                <c:pt idx="456">
                  <c:v>40840</c:v>
                </c:pt>
                <c:pt idx="457">
                  <c:v>40841</c:v>
                </c:pt>
                <c:pt idx="458">
                  <c:v>40842</c:v>
                </c:pt>
                <c:pt idx="459">
                  <c:v>40843</c:v>
                </c:pt>
                <c:pt idx="460">
                  <c:v>40844</c:v>
                </c:pt>
                <c:pt idx="461">
                  <c:v>40847</c:v>
                </c:pt>
                <c:pt idx="462">
                  <c:v>40848</c:v>
                </c:pt>
                <c:pt idx="463">
                  <c:v>40849</c:v>
                </c:pt>
                <c:pt idx="464">
                  <c:v>40850</c:v>
                </c:pt>
                <c:pt idx="465">
                  <c:v>40851</c:v>
                </c:pt>
                <c:pt idx="466">
                  <c:v>40854</c:v>
                </c:pt>
                <c:pt idx="467">
                  <c:v>40855</c:v>
                </c:pt>
                <c:pt idx="468">
                  <c:v>40856</c:v>
                </c:pt>
                <c:pt idx="469">
                  <c:v>40857</c:v>
                </c:pt>
                <c:pt idx="470">
                  <c:v>40858</c:v>
                </c:pt>
                <c:pt idx="471">
                  <c:v>40861</c:v>
                </c:pt>
                <c:pt idx="472">
                  <c:v>40862</c:v>
                </c:pt>
                <c:pt idx="473">
                  <c:v>40863</c:v>
                </c:pt>
                <c:pt idx="474">
                  <c:v>40864</c:v>
                </c:pt>
                <c:pt idx="475">
                  <c:v>40865</c:v>
                </c:pt>
                <c:pt idx="476">
                  <c:v>40868</c:v>
                </c:pt>
                <c:pt idx="477">
                  <c:v>40869</c:v>
                </c:pt>
                <c:pt idx="478">
                  <c:v>40870</c:v>
                </c:pt>
                <c:pt idx="479">
                  <c:v>40872</c:v>
                </c:pt>
                <c:pt idx="480">
                  <c:v>40875</c:v>
                </c:pt>
                <c:pt idx="481">
                  <c:v>40876</c:v>
                </c:pt>
                <c:pt idx="482">
                  <c:v>40877</c:v>
                </c:pt>
                <c:pt idx="483">
                  <c:v>40878</c:v>
                </c:pt>
                <c:pt idx="484">
                  <c:v>40879</c:v>
                </c:pt>
                <c:pt idx="485">
                  <c:v>40882</c:v>
                </c:pt>
                <c:pt idx="486">
                  <c:v>40883</c:v>
                </c:pt>
                <c:pt idx="487">
                  <c:v>40884</c:v>
                </c:pt>
                <c:pt idx="488">
                  <c:v>40885</c:v>
                </c:pt>
                <c:pt idx="489">
                  <c:v>40886</c:v>
                </c:pt>
                <c:pt idx="490">
                  <c:v>40889</c:v>
                </c:pt>
                <c:pt idx="491">
                  <c:v>40890</c:v>
                </c:pt>
                <c:pt idx="492">
                  <c:v>40891</c:v>
                </c:pt>
                <c:pt idx="493">
                  <c:v>40892</c:v>
                </c:pt>
                <c:pt idx="494">
                  <c:v>40893</c:v>
                </c:pt>
                <c:pt idx="495">
                  <c:v>40896</c:v>
                </c:pt>
                <c:pt idx="496">
                  <c:v>40897</c:v>
                </c:pt>
                <c:pt idx="497">
                  <c:v>40898</c:v>
                </c:pt>
                <c:pt idx="498">
                  <c:v>40899</c:v>
                </c:pt>
                <c:pt idx="499">
                  <c:v>40900</c:v>
                </c:pt>
                <c:pt idx="500">
                  <c:v>40904</c:v>
                </c:pt>
                <c:pt idx="501">
                  <c:v>40905</c:v>
                </c:pt>
                <c:pt idx="502">
                  <c:v>40906</c:v>
                </c:pt>
                <c:pt idx="503">
                  <c:v>40907</c:v>
                </c:pt>
                <c:pt idx="504">
                  <c:v>40911</c:v>
                </c:pt>
                <c:pt idx="505">
                  <c:v>40912</c:v>
                </c:pt>
                <c:pt idx="506">
                  <c:v>40913</c:v>
                </c:pt>
                <c:pt idx="507">
                  <c:v>40914</c:v>
                </c:pt>
                <c:pt idx="508">
                  <c:v>40917</c:v>
                </c:pt>
                <c:pt idx="509">
                  <c:v>40918</c:v>
                </c:pt>
                <c:pt idx="510">
                  <c:v>40919</c:v>
                </c:pt>
                <c:pt idx="511">
                  <c:v>40920</c:v>
                </c:pt>
                <c:pt idx="512">
                  <c:v>40921</c:v>
                </c:pt>
                <c:pt idx="513">
                  <c:v>40925</c:v>
                </c:pt>
                <c:pt idx="514">
                  <c:v>40926</c:v>
                </c:pt>
                <c:pt idx="515">
                  <c:v>40927</c:v>
                </c:pt>
                <c:pt idx="516">
                  <c:v>40928</c:v>
                </c:pt>
                <c:pt idx="517">
                  <c:v>40931</c:v>
                </c:pt>
                <c:pt idx="518">
                  <c:v>40932</c:v>
                </c:pt>
                <c:pt idx="519">
                  <c:v>40933</c:v>
                </c:pt>
                <c:pt idx="520">
                  <c:v>40934</c:v>
                </c:pt>
                <c:pt idx="521">
                  <c:v>40935</c:v>
                </c:pt>
                <c:pt idx="522">
                  <c:v>40938</c:v>
                </c:pt>
                <c:pt idx="523">
                  <c:v>40939</c:v>
                </c:pt>
                <c:pt idx="524">
                  <c:v>40940</c:v>
                </c:pt>
                <c:pt idx="525">
                  <c:v>40941</c:v>
                </c:pt>
                <c:pt idx="526">
                  <c:v>40942</c:v>
                </c:pt>
                <c:pt idx="527">
                  <c:v>40945</c:v>
                </c:pt>
                <c:pt idx="528">
                  <c:v>40946</c:v>
                </c:pt>
                <c:pt idx="529">
                  <c:v>40947</c:v>
                </c:pt>
                <c:pt idx="530">
                  <c:v>40948</c:v>
                </c:pt>
                <c:pt idx="531">
                  <c:v>40949</c:v>
                </c:pt>
                <c:pt idx="532">
                  <c:v>40952</c:v>
                </c:pt>
                <c:pt idx="533">
                  <c:v>40953</c:v>
                </c:pt>
                <c:pt idx="534">
                  <c:v>40954</c:v>
                </c:pt>
                <c:pt idx="535">
                  <c:v>40955</c:v>
                </c:pt>
                <c:pt idx="536">
                  <c:v>40956</c:v>
                </c:pt>
                <c:pt idx="537">
                  <c:v>40960</c:v>
                </c:pt>
                <c:pt idx="538">
                  <c:v>40961</c:v>
                </c:pt>
                <c:pt idx="539">
                  <c:v>40962</c:v>
                </c:pt>
                <c:pt idx="540">
                  <c:v>40963</c:v>
                </c:pt>
                <c:pt idx="541">
                  <c:v>40966</c:v>
                </c:pt>
                <c:pt idx="542">
                  <c:v>40967</c:v>
                </c:pt>
                <c:pt idx="543">
                  <c:v>40968</c:v>
                </c:pt>
                <c:pt idx="544">
                  <c:v>40969</c:v>
                </c:pt>
                <c:pt idx="545">
                  <c:v>40970</c:v>
                </c:pt>
                <c:pt idx="546">
                  <c:v>40973</c:v>
                </c:pt>
                <c:pt idx="547">
                  <c:v>40974</c:v>
                </c:pt>
                <c:pt idx="548">
                  <c:v>40975</c:v>
                </c:pt>
                <c:pt idx="549">
                  <c:v>40976</c:v>
                </c:pt>
                <c:pt idx="550">
                  <c:v>40977</c:v>
                </c:pt>
                <c:pt idx="551">
                  <c:v>40980</c:v>
                </c:pt>
                <c:pt idx="552">
                  <c:v>40981</c:v>
                </c:pt>
                <c:pt idx="553">
                  <c:v>40982</c:v>
                </c:pt>
                <c:pt idx="554">
                  <c:v>40983</c:v>
                </c:pt>
                <c:pt idx="555">
                  <c:v>40984</c:v>
                </c:pt>
                <c:pt idx="556">
                  <c:v>40987</c:v>
                </c:pt>
                <c:pt idx="557">
                  <c:v>40988</c:v>
                </c:pt>
                <c:pt idx="558">
                  <c:v>40989</c:v>
                </c:pt>
                <c:pt idx="559">
                  <c:v>40990</c:v>
                </c:pt>
                <c:pt idx="560">
                  <c:v>40991</c:v>
                </c:pt>
                <c:pt idx="561">
                  <c:v>40994</c:v>
                </c:pt>
                <c:pt idx="562">
                  <c:v>40995</c:v>
                </c:pt>
                <c:pt idx="563">
                  <c:v>40996</c:v>
                </c:pt>
                <c:pt idx="564">
                  <c:v>40997</c:v>
                </c:pt>
                <c:pt idx="565">
                  <c:v>40998</c:v>
                </c:pt>
                <c:pt idx="566">
                  <c:v>41001</c:v>
                </c:pt>
                <c:pt idx="567">
                  <c:v>41002</c:v>
                </c:pt>
                <c:pt idx="568">
                  <c:v>41003</c:v>
                </c:pt>
                <c:pt idx="569">
                  <c:v>41004</c:v>
                </c:pt>
                <c:pt idx="570">
                  <c:v>41008</c:v>
                </c:pt>
                <c:pt idx="571">
                  <c:v>41009</c:v>
                </c:pt>
                <c:pt idx="572">
                  <c:v>41010</c:v>
                </c:pt>
                <c:pt idx="573">
                  <c:v>41011</c:v>
                </c:pt>
                <c:pt idx="574">
                  <c:v>41012</c:v>
                </c:pt>
                <c:pt idx="575">
                  <c:v>41015</c:v>
                </c:pt>
                <c:pt idx="576">
                  <c:v>41016</c:v>
                </c:pt>
                <c:pt idx="577">
                  <c:v>41017</c:v>
                </c:pt>
                <c:pt idx="578">
                  <c:v>41018</c:v>
                </c:pt>
                <c:pt idx="579">
                  <c:v>41019</c:v>
                </c:pt>
                <c:pt idx="580">
                  <c:v>41022</c:v>
                </c:pt>
                <c:pt idx="581">
                  <c:v>41023</c:v>
                </c:pt>
                <c:pt idx="582">
                  <c:v>41024</c:v>
                </c:pt>
                <c:pt idx="583">
                  <c:v>41025</c:v>
                </c:pt>
                <c:pt idx="584">
                  <c:v>41026</c:v>
                </c:pt>
                <c:pt idx="585">
                  <c:v>41029</c:v>
                </c:pt>
                <c:pt idx="586">
                  <c:v>41030</c:v>
                </c:pt>
                <c:pt idx="587">
                  <c:v>41031</c:v>
                </c:pt>
                <c:pt idx="588">
                  <c:v>41032</c:v>
                </c:pt>
                <c:pt idx="589">
                  <c:v>41033</c:v>
                </c:pt>
                <c:pt idx="590">
                  <c:v>41036</c:v>
                </c:pt>
                <c:pt idx="591">
                  <c:v>41037</c:v>
                </c:pt>
                <c:pt idx="592">
                  <c:v>41038</c:v>
                </c:pt>
                <c:pt idx="593">
                  <c:v>41039</c:v>
                </c:pt>
                <c:pt idx="594">
                  <c:v>41040</c:v>
                </c:pt>
                <c:pt idx="595">
                  <c:v>41043</c:v>
                </c:pt>
                <c:pt idx="596">
                  <c:v>41044</c:v>
                </c:pt>
                <c:pt idx="597">
                  <c:v>41045</c:v>
                </c:pt>
                <c:pt idx="598">
                  <c:v>41046</c:v>
                </c:pt>
                <c:pt idx="599">
                  <c:v>41047</c:v>
                </c:pt>
                <c:pt idx="600">
                  <c:v>41050</c:v>
                </c:pt>
                <c:pt idx="601">
                  <c:v>41051</c:v>
                </c:pt>
                <c:pt idx="602">
                  <c:v>41052</c:v>
                </c:pt>
                <c:pt idx="603">
                  <c:v>41053</c:v>
                </c:pt>
                <c:pt idx="604">
                  <c:v>41054</c:v>
                </c:pt>
                <c:pt idx="605">
                  <c:v>41058</c:v>
                </c:pt>
                <c:pt idx="606">
                  <c:v>41059</c:v>
                </c:pt>
                <c:pt idx="607">
                  <c:v>41060</c:v>
                </c:pt>
                <c:pt idx="608">
                  <c:v>41061</c:v>
                </c:pt>
                <c:pt idx="609">
                  <c:v>41064</c:v>
                </c:pt>
                <c:pt idx="610">
                  <c:v>41065</c:v>
                </c:pt>
                <c:pt idx="611">
                  <c:v>41066</c:v>
                </c:pt>
                <c:pt idx="612">
                  <c:v>41067</c:v>
                </c:pt>
                <c:pt idx="613">
                  <c:v>41068</c:v>
                </c:pt>
                <c:pt idx="614">
                  <c:v>41071</c:v>
                </c:pt>
                <c:pt idx="615">
                  <c:v>41072</c:v>
                </c:pt>
                <c:pt idx="616">
                  <c:v>41073</c:v>
                </c:pt>
                <c:pt idx="617">
                  <c:v>41074</c:v>
                </c:pt>
                <c:pt idx="618">
                  <c:v>41075</c:v>
                </c:pt>
                <c:pt idx="619">
                  <c:v>41078</c:v>
                </c:pt>
                <c:pt idx="620">
                  <c:v>41079</c:v>
                </c:pt>
                <c:pt idx="621">
                  <c:v>41080</c:v>
                </c:pt>
                <c:pt idx="622">
                  <c:v>41081</c:v>
                </c:pt>
                <c:pt idx="623">
                  <c:v>41082</c:v>
                </c:pt>
                <c:pt idx="624">
                  <c:v>41085</c:v>
                </c:pt>
                <c:pt idx="625">
                  <c:v>41086</c:v>
                </c:pt>
                <c:pt idx="626">
                  <c:v>41087</c:v>
                </c:pt>
                <c:pt idx="627">
                  <c:v>41088</c:v>
                </c:pt>
                <c:pt idx="628">
                  <c:v>41089</c:v>
                </c:pt>
                <c:pt idx="629">
                  <c:v>41092</c:v>
                </c:pt>
                <c:pt idx="630">
                  <c:v>41093</c:v>
                </c:pt>
                <c:pt idx="631">
                  <c:v>41095</c:v>
                </c:pt>
                <c:pt idx="632">
                  <c:v>41096</c:v>
                </c:pt>
                <c:pt idx="633">
                  <c:v>41099</c:v>
                </c:pt>
                <c:pt idx="634">
                  <c:v>41100</c:v>
                </c:pt>
                <c:pt idx="635">
                  <c:v>41101</c:v>
                </c:pt>
                <c:pt idx="636">
                  <c:v>41102</c:v>
                </c:pt>
                <c:pt idx="637">
                  <c:v>41103</c:v>
                </c:pt>
                <c:pt idx="638">
                  <c:v>41106</c:v>
                </c:pt>
                <c:pt idx="639">
                  <c:v>41107</c:v>
                </c:pt>
                <c:pt idx="640">
                  <c:v>41108</c:v>
                </c:pt>
                <c:pt idx="641">
                  <c:v>41109</c:v>
                </c:pt>
                <c:pt idx="642">
                  <c:v>41110</c:v>
                </c:pt>
                <c:pt idx="643">
                  <c:v>41113</c:v>
                </c:pt>
                <c:pt idx="644">
                  <c:v>41114</c:v>
                </c:pt>
                <c:pt idx="645">
                  <c:v>41115</c:v>
                </c:pt>
                <c:pt idx="646">
                  <c:v>41116</c:v>
                </c:pt>
                <c:pt idx="647">
                  <c:v>41117</c:v>
                </c:pt>
                <c:pt idx="648">
                  <c:v>41120</c:v>
                </c:pt>
                <c:pt idx="649">
                  <c:v>41121</c:v>
                </c:pt>
                <c:pt idx="650">
                  <c:v>41122</c:v>
                </c:pt>
                <c:pt idx="651">
                  <c:v>41123</c:v>
                </c:pt>
                <c:pt idx="652">
                  <c:v>41124</c:v>
                </c:pt>
                <c:pt idx="653">
                  <c:v>41127</c:v>
                </c:pt>
                <c:pt idx="654">
                  <c:v>41128</c:v>
                </c:pt>
                <c:pt idx="655">
                  <c:v>41129</c:v>
                </c:pt>
                <c:pt idx="656">
                  <c:v>41130</c:v>
                </c:pt>
                <c:pt idx="657">
                  <c:v>41131</c:v>
                </c:pt>
                <c:pt idx="658">
                  <c:v>41134</c:v>
                </c:pt>
                <c:pt idx="659">
                  <c:v>41135</c:v>
                </c:pt>
                <c:pt idx="660">
                  <c:v>41136</c:v>
                </c:pt>
                <c:pt idx="661">
                  <c:v>41137</c:v>
                </c:pt>
                <c:pt idx="662">
                  <c:v>41138</c:v>
                </c:pt>
                <c:pt idx="663">
                  <c:v>41141</c:v>
                </c:pt>
                <c:pt idx="664">
                  <c:v>41142</c:v>
                </c:pt>
                <c:pt idx="665">
                  <c:v>41143</c:v>
                </c:pt>
                <c:pt idx="666">
                  <c:v>41144</c:v>
                </c:pt>
                <c:pt idx="667">
                  <c:v>41145</c:v>
                </c:pt>
                <c:pt idx="668">
                  <c:v>41148</c:v>
                </c:pt>
                <c:pt idx="669">
                  <c:v>41149</c:v>
                </c:pt>
                <c:pt idx="670">
                  <c:v>41150</c:v>
                </c:pt>
                <c:pt idx="671">
                  <c:v>41151</c:v>
                </c:pt>
                <c:pt idx="672">
                  <c:v>41152</c:v>
                </c:pt>
                <c:pt idx="673">
                  <c:v>41156</c:v>
                </c:pt>
                <c:pt idx="674">
                  <c:v>41157</c:v>
                </c:pt>
                <c:pt idx="675">
                  <c:v>41158</c:v>
                </c:pt>
                <c:pt idx="676">
                  <c:v>41159</c:v>
                </c:pt>
                <c:pt idx="677">
                  <c:v>41162</c:v>
                </c:pt>
                <c:pt idx="678">
                  <c:v>41163</c:v>
                </c:pt>
                <c:pt idx="679">
                  <c:v>41164</c:v>
                </c:pt>
                <c:pt idx="680">
                  <c:v>41165</c:v>
                </c:pt>
                <c:pt idx="681">
                  <c:v>41166</c:v>
                </c:pt>
                <c:pt idx="682">
                  <c:v>41169</c:v>
                </c:pt>
                <c:pt idx="683">
                  <c:v>41170</c:v>
                </c:pt>
                <c:pt idx="684">
                  <c:v>41171</c:v>
                </c:pt>
                <c:pt idx="685">
                  <c:v>41172</c:v>
                </c:pt>
                <c:pt idx="686">
                  <c:v>41173</c:v>
                </c:pt>
                <c:pt idx="687">
                  <c:v>41176</c:v>
                </c:pt>
                <c:pt idx="688">
                  <c:v>41177</c:v>
                </c:pt>
                <c:pt idx="689">
                  <c:v>41178</c:v>
                </c:pt>
                <c:pt idx="690">
                  <c:v>41179</c:v>
                </c:pt>
                <c:pt idx="691">
                  <c:v>41180</c:v>
                </c:pt>
                <c:pt idx="692">
                  <c:v>41183</c:v>
                </c:pt>
                <c:pt idx="693">
                  <c:v>41184</c:v>
                </c:pt>
                <c:pt idx="694">
                  <c:v>41185</c:v>
                </c:pt>
                <c:pt idx="695">
                  <c:v>41186</c:v>
                </c:pt>
                <c:pt idx="696">
                  <c:v>41187</c:v>
                </c:pt>
                <c:pt idx="697">
                  <c:v>41190</c:v>
                </c:pt>
                <c:pt idx="698">
                  <c:v>41191</c:v>
                </c:pt>
                <c:pt idx="699">
                  <c:v>41192</c:v>
                </c:pt>
                <c:pt idx="700">
                  <c:v>41193</c:v>
                </c:pt>
                <c:pt idx="701">
                  <c:v>41194</c:v>
                </c:pt>
                <c:pt idx="702">
                  <c:v>41197</c:v>
                </c:pt>
                <c:pt idx="703">
                  <c:v>41198</c:v>
                </c:pt>
                <c:pt idx="704">
                  <c:v>41199</c:v>
                </c:pt>
                <c:pt idx="705">
                  <c:v>41200</c:v>
                </c:pt>
                <c:pt idx="706">
                  <c:v>41201</c:v>
                </c:pt>
                <c:pt idx="707">
                  <c:v>41204</c:v>
                </c:pt>
                <c:pt idx="708">
                  <c:v>41205</c:v>
                </c:pt>
                <c:pt idx="709">
                  <c:v>41206</c:v>
                </c:pt>
                <c:pt idx="710">
                  <c:v>41207</c:v>
                </c:pt>
                <c:pt idx="711">
                  <c:v>41208</c:v>
                </c:pt>
                <c:pt idx="712">
                  <c:v>41211</c:v>
                </c:pt>
                <c:pt idx="713">
                  <c:v>41212</c:v>
                </c:pt>
                <c:pt idx="714">
                  <c:v>41213</c:v>
                </c:pt>
                <c:pt idx="715">
                  <c:v>41214</c:v>
                </c:pt>
                <c:pt idx="716">
                  <c:v>41215</c:v>
                </c:pt>
                <c:pt idx="717">
                  <c:v>41218</c:v>
                </c:pt>
                <c:pt idx="718">
                  <c:v>41219</c:v>
                </c:pt>
                <c:pt idx="719">
                  <c:v>41220</c:v>
                </c:pt>
                <c:pt idx="720">
                  <c:v>41221</c:v>
                </c:pt>
                <c:pt idx="721">
                  <c:v>41222</c:v>
                </c:pt>
                <c:pt idx="722">
                  <c:v>41225</c:v>
                </c:pt>
                <c:pt idx="723">
                  <c:v>41226</c:v>
                </c:pt>
                <c:pt idx="724">
                  <c:v>41227</c:v>
                </c:pt>
                <c:pt idx="725">
                  <c:v>41228</c:v>
                </c:pt>
                <c:pt idx="726">
                  <c:v>41229</c:v>
                </c:pt>
                <c:pt idx="727">
                  <c:v>41232</c:v>
                </c:pt>
                <c:pt idx="728">
                  <c:v>41233</c:v>
                </c:pt>
                <c:pt idx="729">
                  <c:v>41234</c:v>
                </c:pt>
                <c:pt idx="730">
                  <c:v>41236</c:v>
                </c:pt>
                <c:pt idx="731">
                  <c:v>41239</c:v>
                </c:pt>
                <c:pt idx="732">
                  <c:v>41240</c:v>
                </c:pt>
                <c:pt idx="733">
                  <c:v>41241</c:v>
                </c:pt>
                <c:pt idx="734">
                  <c:v>41242</c:v>
                </c:pt>
                <c:pt idx="735">
                  <c:v>41243</c:v>
                </c:pt>
                <c:pt idx="736">
                  <c:v>41246</c:v>
                </c:pt>
                <c:pt idx="737">
                  <c:v>41247</c:v>
                </c:pt>
                <c:pt idx="738">
                  <c:v>41248</c:v>
                </c:pt>
                <c:pt idx="739">
                  <c:v>41249</c:v>
                </c:pt>
                <c:pt idx="740">
                  <c:v>41250</c:v>
                </c:pt>
                <c:pt idx="741">
                  <c:v>41253</c:v>
                </c:pt>
                <c:pt idx="742">
                  <c:v>41254</c:v>
                </c:pt>
                <c:pt idx="743">
                  <c:v>41255</c:v>
                </c:pt>
                <c:pt idx="744">
                  <c:v>41256</c:v>
                </c:pt>
                <c:pt idx="745">
                  <c:v>41257</c:v>
                </c:pt>
                <c:pt idx="746">
                  <c:v>41260</c:v>
                </c:pt>
                <c:pt idx="747">
                  <c:v>41261</c:v>
                </c:pt>
                <c:pt idx="748">
                  <c:v>41262</c:v>
                </c:pt>
                <c:pt idx="749">
                  <c:v>41263</c:v>
                </c:pt>
                <c:pt idx="750">
                  <c:v>41264</c:v>
                </c:pt>
                <c:pt idx="751">
                  <c:v>41267</c:v>
                </c:pt>
                <c:pt idx="752">
                  <c:v>41269</c:v>
                </c:pt>
                <c:pt idx="753">
                  <c:v>41270</c:v>
                </c:pt>
                <c:pt idx="754">
                  <c:v>41271</c:v>
                </c:pt>
                <c:pt idx="755">
                  <c:v>41274</c:v>
                </c:pt>
                <c:pt idx="756">
                  <c:v>41276</c:v>
                </c:pt>
                <c:pt idx="757">
                  <c:v>41277</c:v>
                </c:pt>
                <c:pt idx="758">
                  <c:v>41278</c:v>
                </c:pt>
                <c:pt idx="759">
                  <c:v>41281</c:v>
                </c:pt>
                <c:pt idx="760">
                  <c:v>41282</c:v>
                </c:pt>
                <c:pt idx="761">
                  <c:v>41283</c:v>
                </c:pt>
                <c:pt idx="762">
                  <c:v>41284</c:v>
                </c:pt>
                <c:pt idx="763">
                  <c:v>41285</c:v>
                </c:pt>
                <c:pt idx="764">
                  <c:v>41288</c:v>
                </c:pt>
                <c:pt idx="765">
                  <c:v>41289</c:v>
                </c:pt>
                <c:pt idx="766">
                  <c:v>41290</c:v>
                </c:pt>
                <c:pt idx="767">
                  <c:v>41291</c:v>
                </c:pt>
                <c:pt idx="768">
                  <c:v>41292</c:v>
                </c:pt>
                <c:pt idx="769">
                  <c:v>41296</c:v>
                </c:pt>
                <c:pt idx="770">
                  <c:v>41297</c:v>
                </c:pt>
                <c:pt idx="771">
                  <c:v>41298</c:v>
                </c:pt>
                <c:pt idx="772">
                  <c:v>41299</c:v>
                </c:pt>
                <c:pt idx="773">
                  <c:v>41302</c:v>
                </c:pt>
                <c:pt idx="774">
                  <c:v>41303</c:v>
                </c:pt>
                <c:pt idx="775">
                  <c:v>41304</c:v>
                </c:pt>
                <c:pt idx="776">
                  <c:v>41305</c:v>
                </c:pt>
                <c:pt idx="777">
                  <c:v>41306</c:v>
                </c:pt>
                <c:pt idx="778">
                  <c:v>41309</c:v>
                </c:pt>
                <c:pt idx="779">
                  <c:v>41310</c:v>
                </c:pt>
                <c:pt idx="780">
                  <c:v>41311</c:v>
                </c:pt>
                <c:pt idx="781">
                  <c:v>41312</c:v>
                </c:pt>
                <c:pt idx="782">
                  <c:v>41313</c:v>
                </c:pt>
                <c:pt idx="783">
                  <c:v>41316</c:v>
                </c:pt>
                <c:pt idx="784">
                  <c:v>41317</c:v>
                </c:pt>
                <c:pt idx="785">
                  <c:v>41318</c:v>
                </c:pt>
                <c:pt idx="786">
                  <c:v>41319</c:v>
                </c:pt>
                <c:pt idx="787">
                  <c:v>41320</c:v>
                </c:pt>
                <c:pt idx="788">
                  <c:v>41324</c:v>
                </c:pt>
                <c:pt idx="789">
                  <c:v>41325</c:v>
                </c:pt>
                <c:pt idx="790">
                  <c:v>41326</c:v>
                </c:pt>
                <c:pt idx="791">
                  <c:v>41327</c:v>
                </c:pt>
                <c:pt idx="792">
                  <c:v>41330</c:v>
                </c:pt>
                <c:pt idx="793">
                  <c:v>41331</c:v>
                </c:pt>
                <c:pt idx="794">
                  <c:v>41332</c:v>
                </c:pt>
                <c:pt idx="795">
                  <c:v>41333</c:v>
                </c:pt>
                <c:pt idx="796">
                  <c:v>41334</c:v>
                </c:pt>
                <c:pt idx="797">
                  <c:v>41337</c:v>
                </c:pt>
                <c:pt idx="798">
                  <c:v>41338</c:v>
                </c:pt>
                <c:pt idx="799">
                  <c:v>41339</c:v>
                </c:pt>
                <c:pt idx="800">
                  <c:v>41340</c:v>
                </c:pt>
                <c:pt idx="801">
                  <c:v>41341</c:v>
                </c:pt>
                <c:pt idx="802">
                  <c:v>41344</c:v>
                </c:pt>
                <c:pt idx="803">
                  <c:v>41345</c:v>
                </c:pt>
                <c:pt idx="804">
                  <c:v>41346</c:v>
                </c:pt>
                <c:pt idx="805">
                  <c:v>41347</c:v>
                </c:pt>
                <c:pt idx="806">
                  <c:v>41348</c:v>
                </c:pt>
                <c:pt idx="807">
                  <c:v>41351</c:v>
                </c:pt>
                <c:pt idx="808">
                  <c:v>41352</c:v>
                </c:pt>
                <c:pt idx="809">
                  <c:v>41353</c:v>
                </c:pt>
                <c:pt idx="810">
                  <c:v>41354</c:v>
                </c:pt>
                <c:pt idx="811">
                  <c:v>41355</c:v>
                </c:pt>
                <c:pt idx="812">
                  <c:v>41358</c:v>
                </c:pt>
                <c:pt idx="813">
                  <c:v>41359</c:v>
                </c:pt>
                <c:pt idx="814">
                  <c:v>41360</c:v>
                </c:pt>
                <c:pt idx="815">
                  <c:v>41361</c:v>
                </c:pt>
                <c:pt idx="816">
                  <c:v>41365</c:v>
                </c:pt>
                <c:pt idx="817">
                  <c:v>41366</c:v>
                </c:pt>
                <c:pt idx="818">
                  <c:v>41367</c:v>
                </c:pt>
                <c:pt idx="819">
                  <c:v>41368</c:v>
                </c:pt>
                <c:pt idx="820">
                  <c:v>41369</c:v>
                </c:pt>
                <c:pt idx="821">
                  <c:v>41372</c:v>
                </c:pt>
                <c:pt idx="822">
                  <c:v>41373</c:v>
                </c:pt>
                <c:pt idx="823">
                  <c:v>41374</c:v>
                </c:pt>
                <c:pt idx="824">
                  <c:v>41375</c:v>
                </c:pt>
                <c:pt idx="825">
                  <c:v>41376</c:v>
                </c:pt>
                <c:pt idx="826">
                  <c:v>41379</c:v>
                </c:pt>
                <c:pt idx="827">
                  <c:v>41380</c:v>
                </c:pt>
                <c:pt idx="828">
                  <c:v>41381</c:v>
                </c:pt>
                <c:pt idx="829">
                  <c:v>41382</c:v>
                </c:pt>
                <c:pt idx="830">
                  <c:v>41383</c:v>
                </c:pt>
                <c:pt idx="831">
                  <c:v>41386</c:v>
                </c:pt>
                <c:pt idx="832">
                  <c:v>41387</c:v>
                </c:pt>
                <c:pt idx="833">
                  <c:v>41388</c:v>
                </c:pt>
                <c:pt idx="834">
                  <c:v>41389</c:v>
                </c:pt>
                <c:pt idx="835">
                  <c:v>41390</c:v>
                </c:pt>
                <c:pt idx="836">
                  <c:v>41393</c:v>
                </c:pt>
                <c:pt idx="837">
                  <c:v>41394</c:v>
                </c:pt>
                <c:pt idx="838">
                  <c:v>41395</c:v>
                </c:pt>
                <c:pt idx="839">
                  <c:v>41396</c:v>
                </c:pt>
                <c:pt idx="840">
                  <c:v>41397</c:v>
                </c:pt>
                <c:pt idx="841">
                  <c:v>41400</c:v>
                </c:pt>
                <c:pt idx="842">
                  <c:v>41401</c:v>
                </c:pt>
                <c:pt idx="843">
                  <c:v>41402</c:v>
                </c:pt>
                <c:pt idx="844">
                  <c:v>41403</c:v>
                </c:pt>
                <c:pt idx="845">
                  <c:v>41404</c:v>
                </c:pt>
                <c:pt idx="846">
                  <c:v>41407</c:v>
                </c:pt>
                <c:pt idx="847">
                  <c:v>41408</c:v>
                </c:pt>
                <c:pt idx="848">
                  <c:v>41409</c:v>
                </c:pt>
                <c:pt idx="849">
                  <c:v>41410</c:v>
                </c:pt>
                <c:pt idx="850">
                  <c:v>41411</c:v>
                </c:pt>
                <c:pt idx="851">
                  <c:v>41414</c:v>
                </c:pt>
                <c:pt idx="852">
                  <c:v>41415</c:v>
                </c:pt>
                <c:pt idx="853">
                  <c:v>41416</c:v>
                </c:pt>
                <c:pt idx="854">
                  <c:v>41417</c:v>
                </c:pt>
                <c:pt idx="855">
                  <c:v>41418</c:v>
                </c:pt>
                <c:pt idx="856">
                  <c:v>41422</c:v>
                </c:pt>
                <c:pt idx="857">
                  <c:v>41423</c:v>
                </c:pt>
                <c:pt idx="858">
                  <c:v>41424</c:v>
                </c:pt>
                <c:pt idx="859">
                  <c:v>41425</c:v>
                </c:pt>
                <c:pt idx="860">
                  <c:v>41428</c:v>
                </c:pt>
                <c:pt idx="861">
                  <c:v>41429</c:v>
                </c:pt>
                <c:pt idx="862">
                  <c:v>41430</c:v>
                </c:pt>
                <c:pt idx="863">
                  <c:v>41431</c:v>
                </c:pt>
                <c:pt idx="864">
                  <c:v>41432</c:v>
                </c:pt>
                <c:pt idx="865">
                  <c:v>41435</c:v>
                </c:pt>
                <c:pt idx="866">
                  <c:v>41436</c:v>
                </c:pt>
                <c:pt idx="867">
                  <c:v>41437</c:v>
                </c:pt>
                <c:pt idx="868">
                  <c:v>41438</c:v>
                </c:pt>
                <c:pt idx="869">
                  <c:v>41439</c:v>
                </c:pt>
                <c:pt idx="870">
                  <c:v>41442</c:v>
                </c:pt>
                <c:pt idx="871">
                  <c:v>41443</c:v>
                </c:pt>
                <c:pt idx="872">
                  <c:v>41444</c:v>
                </c:pt>
                <c:pt idx="873">
                  <c:v>41445</c:v>
                </c:pt>
                <c:pt idx="874">
                  <c:v>41446</c:v>
                </c:pt>
                <c:pt idx="875">
                  <c:v>41449</c:v>
                </c:pt>
                <c:pt idx="876">
                  <c:v>41450</c:v>
                </c:pt>
                <c:pt idx="877">
                  <c:v>41451</c:v>
                </c:pt>
                <c:pt idx="878">
                  <c:v>41452</c:v>
                </c:pt>
                <c:pt idx="879">
                  <c:v>41453</c:v>
                </c:pt>
                <c:pt idx="880">
                  <c:v>41456</c:v>
                </c:pt>
                <c:pt idx="881">
                  <c:v>41457</c:v>
                </c:pt>
                <c:pt idx="882">
                  <c:v>41458</c:v>
                </c:pt>
                <c:pt idx="883">
                  <c:v>41460</c:v>
                </c:pt>
                <c:pt idx="884">
                  <c:v>41463</c:v>
                </c:pt>
                <c:pt idx="885">
                  <c:v>41464</c:v>
                </c:pt>
                <c:pt idx="886">
                  <c:v>41465</c:v>
                </c:pt>
                <c:pt idx="887">
                  <c:v>41466</c:v>
                </c:pt>
                <c:pt idx="888">
                  <c:v>41467</c:v>
                </c:pt>
                <c:pt idx="889">
                  <c:v>41470</c:v>
                </c:pt>
                <c:pt idx="890">
                  <c:v>41471</c:v>
                </c:pt>
                <c:pt idx="891">
                  <c:v>41472</c:v>
                </c:pt>
                <c:pt idx="892">
                  <c:v>41473</c:v>
                </c:pt>
                <c:pt idx="893">
                  <c:v>41474</c:v>
                </c:pt>
                <c:pt idx="894">
                  <c:v>41477</c:v>
                </c:pt>
                <c:pt idx="895">
                  <c:v>41478</c:v>
                </c:pt>
                <c:pt idx="896">
                  <c:v>41479</c:v>
                </c:pt>
                <c:pt idx="897">
                  <c:v>41480</c:v>
                </c:pt>
                <c:pt idx="898">
                  <c:v>41481</c:v>
                </c:pt>
                <c:pt idx="899">
                  <c:v>41484</c:v>
                </c:pt>
                <c:pt idx="900">
                  <c:v>41485</c:v>
                </c:pt>
                <c:pt idx="901">
                  <c:v>41486</c:v>
                </c:pt>
                <c:pt idx="902">
                  <c:v>41487</c:v>
                </c:pt>
                <c:pt idx="903">
                  <c:v>41488</c:v>
                </c:pt>
                <c:pt idx="904">
                  <c:v>41491</c:v>
                </c:pt>
                <c:pt idx="905">
                  <c:v>41492</c:v>
                </c:pt>
                <c:pt idx="906">
                  <c:v>41493</c:v>
                </c:pt>
                <c:pt idx="907">
                  <c:v>41494</c:v>
                </c:pt>
                <c:pt idx="908">
                  <c:v>41495</c:v>
                </c:pt>
                <c:pt idx="909">
                  <c:v>41498</c:v>
                </c:pt>
                <c:pt idx="910">
                  <c:v>41499</c:v>
                </c:pt>
                <c:pt idx="911">
                  <c:v>41500</c:v>
                </c:pt>
                <c:pt idx="912">
                  <c:v>41501</c:v>
                </c:pt>
                <c:pt idx="913">
                  <c:v>41502</c:v>
                </c:pt>
                <c:pt idx="914">
                  <c:v>41505</c:v>
                </c:pt>
                <c:pt idx="915">
                  <c:v>41506</c:v>
                </c:pt>
                <c:pt idx="916">
                  <c:v>41507</c:v>
                </c:pt>
                <c:pt idx="917">
                  <c:v>41508</c:v>
                </c:pt>
                <c:pt idx="918">
                  <c:v>41509</c:v>
                </c:pt>
                <c:pt idx="919">
                  <c:v>41512</c:v>
                </c:pt>
                <c:pt idx="920">
                  <c:v>41513</c:v>
                </c:pt>
                <c:pt idx="921">
                  <c:v>41514</c:v>
                </c:pt>
                <c:pt idx="922">
                  <c:v>41515</c:v>
                </c:pt>
                <c:pt idx="923">
                  <c:v>41516</c:v>
                </c:pt>
                <c:pt idx="924">
                  <c:v>41520</c:v>
                </c:pt>
                <c:pt idx="925">
                  <c:v>41521</c:v>
                </c:pt>
                <c:pt idx="926">
                  <c:v>41522</c:v>
                </c:pt>
                <c:pt idx="927">
                  <c:v>41523</c:v>
                </c:pt>
                <c:pt idx="928">
                  <c:v>41526</c:v>
                </c:pt>
                <c:pt idx="929">
                  <c:v>41527</c:v>
                </c:pt>
                <c:pt idx="930">
                  <c:v>41528</c:v>
                </c:pt>
                <c:pt idx="931">
                  <c:v>41529</c:v>
                </c:pt>
                <c:pt idx="932">
                  <c:v>41530</c:v>
                </c:pt>
                <c:pt idx="933">
                  <c:v>41533</c:v>
                </c:pt>
                <c:pt idx="934">
                  <c:v>41534</c:v>
                </c:pt>
                <c:pt idx="935">
                  <c:v>41535</c:v>
                </c:pt>
                <c:pt idx="936">
                  <c:v>41536</c:v>
                </c:pt>
                <c:pt idx="937">
                  <c:v>41537</c:v>
                </c:pt>
                <c:pt idx="938">
                  <c:v>41540</c:v>
                </c:pt>
                <c:pt idx="939">
                  <c:v>41541</c:v>
                </c:pt>
                <c:pt idx="940">
                  <c:v>41542</c:v>
                </c:pt>
                <c:pt idx="941">
                  <c:v>41543</c:v>
                </c:pt>
                <c:pt idx="942">
                  <c:v>41544</c:v>
                </c:pt>
                <c:pt idx="943">
                  <c:v>41547</c:v>
                </c:pt>
                <c:pt idx="944">
                  <c:v>41548</c:v>
                </c:pt>
                <c:pt idx="945">
                  <c:v>41549</c:v>
                </c:pt>
                <c:pt idx="946">
                  <c:v>41550</c:v>
                </c:pt>
                <c:pt idx="947">
                  <c:v>41551</c:v>
                </c:pt>
                <c:pt idx="948">
                  <c:v>41554</c:v>
                </c:pt>
                <c:pt idx="949">
                  <c:v>41555</c:v>
                </c:pt>
                <c:pt idx="950">
                  <c:v>41556</c:v>
                </c:pt>
                <c:pt idx="951">
                  <c:v>41557</c:v>
                </c:pt>
                <c:pt idx="952">
                  <c:v>41558</c:v>
                </c:pt>
                <c:pt idx="953">
                  <c:v>41561</c:v>
                </c:pt>
                <c:pt idx="954">
                  <c:v>41562</c:v>
                </c:pt>
                <c:pt idx="955">
                  <c:v>41563</c:v>
                </c:pt>
                <c:pt idx="956">
                  <c:v>41564</c:v>
                </c:pt>
                <c:pt idx="957">
                  <c:v>41565</c:v>
                </c:pt>
                <c:pt idx="958">
                  <c:v>41568</c:v>
                </c:pt>
                <c:pt idx="959">
                  <c:v>41569</c:v>
                </c:pt>
                <c:pt idx="960">
                  <c:v>41570</c:v>
                </c:pt>
                <c:pt idx="961">
                  <c:v>41571</c:v>
                </c:pt>
                <c:pt idx="962">
                  <c:v>41572</c:v>
                </c:pt>
                <c:pt idx="963">
                  <c:v>41575</c:v>
                </c:pt>
                <c:pt idx="964">
                  <c:v>41576</c:v>
                </c:pt>
                <c:pt idx="965">
                  <c:v>41577</c:v>
                </c:pt>
                <c:pt idx="966">
                  <c:v>41578</c:v>
                </c:pt>
                <c:pt idx="967">
                  <c:v>41579</c:v>
                </c:pt>
                <c:pt idx="968">
                  <c:v>41582</c:v>
                </c:pt>
                <c:pt idx="969">
                  <c:v>41583</c:v>
                </c:pt>
                <c:pt idx="970">
                  <c:v>41584</c:v>
                </c:pt>
                <c:pt idx="971">
                  <c:v>41585</c:v>
                </c:pt>
                <c:pt idx="972">
                  <c:v>41586</c:v>
                </c:pt>
                <c:pt idx="973">
                  <c:v>41589</c:v>
                </c:pt>
                <c:pt idx="974">
                  <c:v>41590</c:v>
                </c:pt>
                <c:pt idx="975">
                  <c:v>41591</c:v>
                </c:pt>
                <c:pt idx="976">
                  <c:v>41592</c:v>
                </c:pt>
                <c:pt idx="977">
                  <c:v>41593</c:v>
                </c:pt>
                <c:pt idx="978">
                  <c:v>41596</c:v>
                </c:pt>
                <c:pt idx="979">
                  <c:v>41597</c:v>
                </c:pt>
                <c:pt idx="980">
                  <c:v>41598</c:v>
                </c:pt>
                <c:pt idx="981">
                  <c:v>41599</c:v>
                </c:pt>
                <c:pt idx="982">
                  <c:v>41600</c:v>
                </c:pt>
                <c:pt idx="983">
                  <c:v>41603</c:v>
                </c:pt>
                <c:pt idx="984">
                  <c:v>41604</c:v>
                </c:pt>
                <c:pt idx="985">
                  <c:v>41605</c:v>
                </c:pt>
                <c:pt idx="986">
                  <c:v>41607</c:v>
                </c:pt>
                <c:pt idx="987">
                  <c:v>41610</c:v>
                </c:pt>
                <c:pt idx="988">
                  <c:v>41611</c:v>
                </c:pt>
                <c:pt idx="989">
                  <c:v>41612</c:v>
                </c:pt>
                <c:pt idx="990">
                  <c:v>41613</c:v>
                </c:pt>
                <c:pt idx="991">
                  <c:v>41614</c:v>
                </c:pt>
                <c:pt idx="992">
                  <c:v>41617</c:v>
                </c:pt>
                <c:pt idx="993">
                  <c:v>41618</c:v>
                </c:pt>
                <c:pt idx="994">
                  <c:v>41619</c:v>
                </c:pt>
                <c:pt idx="995">
                  <c:v>41620</c:v>
                </c:pt>
                <c:pt idx="996">
                  <c:v>41621</c:v>
                </c:pt>
                <c:pt idx="997">
                  <c:v>41624</c:v>
                </c:pt>
                <c:pt idx="998">
                  <c:v>41625</c:v>
                </c:pt>
                <c:pt idx="999">
                  <c:v>41626</c:v>
                </c:pt>
                <c:pt idx="1000">
                  <c:v>41627</c:v>
                </c:pt>
                <c:pt idx="1001">
                  <c:v>41628</c:v>
                </c:pt>
                <c:pt idx="1002">
                  <c:v>41631</c:v>
                </c:pt>
                <c:pt idx="1003">
                  <c:v>41632</c:v>
                </c:pt>
                <c:pt idx="1004">
                  <c:v>41634</c:v>
                </c:pt>
                <c:pt idx="1005">
                  <c:v>41635</c:v>
                </c:pt>
                <c:pt idx="1006">
                  <c:v>41638</c:v>
                </c:pt>
                <c:pt idx="1007">
                  <c:v>41639</c:v>
                </c:pt>
                <c:pt idx="1008">
                  <c:v>41641</c:v>
                </c:pt>
                <c:pt idx="1009">
                  <c:v>41642</c:v>
                </c:pt>
                <c:pt idx="1010">
                  <c:v>41645</c:v>
                </c:pt>
                <c:pt idx="1011">
                  <c:v>41646</c:v>
                </c:pt>
                <c:pt idx="1012">
                  <c:v>41647</c:v>
                </c:pt>
                <c:pt idx="1013">
                  <c:v>41648</c:v>
                </c:pt>
                <c:pt idx="1014">
                  <c:v>41649</c:v>
                </c:pt>
                <c:pt idx="1015">
                  <c:v>41652</c:v>
                </c:pt>
                <c:pt idx="1016">
                  <c:v>41653</c:v>
                </c:pt>
                <c:pt idx="1017">
                  <c:v>41654</c:v>
                </c:pt>
                <c:pt idx="1018">
                  <c:v>41655</c:v>
                </c:pt>
                <c:pt idx="1019">
                  <c:v>41656</c:v>
                </c:pt>
                <c:pt idx="1020">
                  <c:v>41660</c:v>
                </c:pt>
                <c:pt idx="1021">
                  <c:v>41661</c:v>
                </c:pt>
                <c:pt idx="1022">
                  <c:v>41662</c:v>
                </c:pt>
                <c:pt idx="1023">
                  <c:v>41663</c:v>
                </c:pt>
                <c:pt idx="1024">
                  <c:v>41666</c:v>
                </c:pt>
                <c:pt idx="1025">
                  <c:v>41667</c:v>
                </c:pt>
                <c:pt idx="1026">
                  <c:v>41668</c:v>
                </c:pt>
                <c:pt idx="1027">
                  <c:v>41669</c:v>
                </c:pt>
                <c:pt idx="1028">
                  <c:v>41670</c:v>
                </c:pt>
                <c:pt idx="1029">
                  <c:v>41673</c:v>
                </c:pt>
                <c:pt idx="1030">
                  <c:v>41674</c:v>
                </c:pt>
                <c:pt idx="1031">
                  <c:v>41675</c:v>
                </c:pt>
                <c:pt idx="1032">
                  <c:v>41676</c:v>
                </c:pt>
                <c:pt idx="1033">
                  <c:v>41677</c:v>
                </c:pt>
                <c:pt idx="1034">
                  <c:v>41680</c:v>
                </c:pt>
                <c:pt idx="1035">
                  <c:v>41681</c:v>
                </c:pt>
                <c:pt idx="1036">
                  <c:v>41682</c:v>
                </c:pt>
                <c:pt idx="1037">
                  <c:v>41683</c:v>
                </c:pt>
                <c:pt idx="1038">
                  <c:v>41684</c:v>
                </c:pt>
                <c:pt idx="1039">
                  <c:v>41688</c:v>
                </c:pt>
                <c:pt idx="1040">
                  <c:v>41689</c:v>
                </c:pt>
                <c:pt idx="1041">
                  <c:v>41690</c:v>
                </c:pt>
                <c:pt idx="1042">
                  <c:v>41691</c:v>
                </c:pt>
                <c:pt idx="1043">
                  <c:v>41694</c:v>
                </c:pt>
                <c:pt idx="1044">
                  <c:v>41695</c:v>
                </c:pt>
                <c:pt idx="1045">
                  <c:v>41696</c:v>
                </c:pt>
                <c:pt idx="1046">
                  <c:v>41697</c:v>
                </c:pt>
                <c:pt idx="1047">
                  <c:v>41698</c:v>
                </c:pt>
                <c:pt idx="1048">
                  <c:v>41701</c:v>
                </c:pt>
                <c:pt idx="1049">
                  <c:v>41702</c:v>
                </c:pt>
                <c:pt idx="1050">
                  <c:v>41703</c:v>
                </c:pt>
                <c:pt idx="1051">
                  <c:v>41704</c:v>
                </c:pt>
                <c:pt idx="1052">
                  <c:v>41705</c:v>
                </c:pt>
                <c:pt idx="1053">
                  <c:v>41708</c:v>
                </c:pt>
                <c:pt idx="1054">
                  <c:v>41709</c:v>
                </c:pt>
                <c:pt idx="1055">
                  <c:v>41710</c:v>
                </c:pt>
                <c:pt idx="1056">
                  <c:v>41711</c:v>
                </c:pt>
                <c:pt idx="1057">
                  <c:v>41712</c:v>
                </c:pt>
                <c:pt idx="1058">
                  <c:v>41715</c:v>
                </c:pt>
                <c:pt idx="1059">
                  <c:v>41716</c:v>
                </c:pt>
                <c:pt idx="1060">
                  <c:v>41717</c:v>
                </c:pt>
                <c:pt idx="1061">
                  <c:v>41718</c:v>
                </c:pt>
                <c:pt idx="1062">
                  <c:v>41719</c:v>
                </c:pt>
                <c:pt idx="1063">
                  <c:v>41722</c:v>
                </c:pt>
                <c:pt idx="1064">
                  <c:v>41723</c:v>
                </c:pt>
                <c:pt idx="1065">
                  <c:v>41724</c:v>
                </c:pt>
                <c:pt idx="1066">
                  <c:v>41725</c:v>
                </c:pt>
                <c:pt idx="1067">
                  <c:v>41726</c:v>
                </c:pt>
                <c:pt idx="1068">
                  <c:v>41729</c:v>
                </c:pt>
                <c:pt idx="1069">
                  <c:v>41730</c:v>
                </c:pt>
                <c:pt idx="1070">
                  <c:v>41731</c:v>
                </c:pt>
                <c:pt idx="1071">
                  <c:v>41732</c:v>
                </c:pt>
                <c:pt idx="1072">
                  <c:v>41733</c:v>
                </c:pt>
                <c:pt idx="1073">
                  <c:v>41736</c:v>
                </c:pt>
                <c:pt idx="1074">
                  <c:v>41737</c:v>
                </c:pt>
                <c:pt idx="1075">
                  <c:v>41738</c:v>
                </c:pt>
                <c:pt idx="1076">
                  <c:v>41739</c:v>
                </c:pt>
                <c:pt idx="1077">
                  <c:v>41740</c:v>
                </c:pt>
                <c:pt idx="1078">
                  <c:v>41743</c:v>
                </c:pt>
                <c:pt idx="1079">
                  <c:v>41744</c:v>
                </c:pt>
                <c:pt idx="1080">
                  <c:v>41745</c:v>
                </c:pt>
                <c:pt idx="1081">
                  <c:v>41746</c:v>
                </c:pt>
                <c:pt idx="1082">
                  <c:v>41750</c:v>
                </c:pt>
                <c:pt idx="1083">
                  <c:v>41751</c:v>
                </c:pt>
                <c:pt idx="1084">
                  <c:v>41752</c:v>
                </c:pt>
                <c:pt idx="1085">
                  <c:v>41753</c:v>
                </c:pt>
                <c:pt idx="1086">
                  <c:v>41754</c:v>
                </c:pt>
                <c:pt idx="1087">
                  <c:v>41757</c:v>
                </c:pt>
                <c:pt idx="1088">
                  <c:v>41758</c:v>
                </c:pt>
                <c:pt idx="1089">
                  <c:v>41759</c:v>
                </c:pt>
                <c:pt idx="1090">
                  <c:v>41760</c:v>
                </c:pt>
                <c:pt idx="1091">
                  <c:v>41761</c:v>
                </c:pt>
                <c:pt idx="1092">
                  <c:v>41764</c:v>
                </c:pt>
                <c:pt idx="1093">
                  <c:v>41765</c:v>
                </c:pt>
                <c:pt idx="1094">
                  <c:v>41766</c:v>
                </c:pt>
                <c:pt idx="1095">
                  <c:v>41767</c:v>
                </c:pt>
                <c:pt idx="1096">
                  <c:v>41768</c:v>
                </c:pt>
                <c:pt idx="1097">
                  <c:v>41771</c:v>
                </c:pt>
                <c:pt idx="1098">
                  <c:v>41772</c:v>
                </c:pt>
                <c:pt idx="1099">
                  <c:v>41773</c:v>
                </c:pt>
                <c:pt idx="1100">
                  <c:v>41774</c:v>
                </c:pt>
                <c:pt idx="1101">
                  <c:v>41775</c:v>
                </c:pt>
                <c:pt idx="1102">
                  <c:v>41778</c:v>
                </c:pt>
                <c:pt idx="1103">
                  <c:v>41779</c:v>
                </c:pt>
                <c:pt idx="1104">
                  <c:v>41780</c:v>
                </c:pt>
                <c:pt idx="1105">
                  <c:v>41781</c:v>
                </c:pt>
                <c:pt idx="1106">
                  <c:v>41782</c:v>
                </c:pt>
                <c:pt idx="1107">
                  <c:v>41786</c:v>
                </c:pt>
                <c:pt idx="1108">
                  <c:v>41787</c:v>
                </c:pt>
                <c:pt idx="1109">
                  <c:v>41788</c:v>
                </c:pt>
                <c:pt idx="1110">
                  <c:v>41789</c:v>
                </c:pt>
                <c:pt idx="1111">
                  <c:v>41792</c:v>
                </c:pt>
                <c:pt idx="1112">
                  <c:v>41793</c:v>
                </c:pt>
                <c:pt idx="1113">
                  <c:v>41794</c:v>
                </c:pt>
                <c:pt idx="1114">
                  <c:v>41795</c:v>
                </c:pt>
                <c:pt idx="1115">
                  <c:v>41796</c:v>
                </c:pt>
                <c:pt idx="1116">
                  <c:v>41799</c:v>
                </c:pt>
                <c:pt idx="1117">
                  <c:v>41800</c:v>
                </c:pt>
                <c:pt idx="1118">
                  <c:v>41801</c:v>
                </c:pt>
                <c:pt idx="1119">
                  <c:v>41802</c:v>
                </c:pt>
                <c:pt idx="1120">
                  <c:v>41803</c:v>
                </c:pt>
                <c:pt idx="1121">
                  <c:v>41806</c:v>
                </c:pt>
                <c:pt idx="1122">
                  <c:v>41807</c:v>
                </c:pt>
                <c:pt idx="1123">
                  <c:v>41808</c:v>
                </c:pt>
                <c:pt idx="1124">
                  <c:v>41809</c:v>
                </c:pt>
                <c:pt idx="1125">
                  <c:v>41810</c:v>
                </c:pt>
                <c:pt idx="1126">
                  <c:v>41813</c:v>
                </c:pt>
                <c:pt idx="1127">
                  <c:v>41814</c:v>
                </c:pt>
                <c:pt idx="1128">
                  <c:v>41815</c:v>
                </c:pt>
                <c:pt idx="1129">
                  <c:v>41816</c:v>
                </c:pt>
                <c:pt idx="1130">
                  <c:v>41817</c:v>
                </c:pt>
                <c:pt idx="1131">
                  <c:v>41820</c:v>
                </c:pt>
                <c:pt idx="1132">
                  <c:v>41821</c:v>
                </c:pt>
                <c:pt idx="1133">
                  <c:v>41822</c:v>
                </c:pt>
                <c:pt idx="1134">
                  <c:v>41823</c:v>
                </c:pt>
                <c:pt idx="1135">
                  <c:v>41827</c:v>
                </c:pt>
                <c:pt idx="1136">
                  <c:v>41828</c:v>
                </c:pt>
                <c:pt idx="1137">
                  <c:v>41829</c:v>
                </c:pt>
                <c:pt idx="1138">
                  <c:v>41830</c:v>
                </c:pt>
                <c:pt idx="1139">
                  <c:v>41831</c:v>
                </c:pt>
                <c:pt idx="1140">
                  <c:v>41834</c:v>
                </c:pt>
                <c:pt idx="1141">
                  <c:v>41835</c:v>
                </c:pt>
                <c:pt idx="1142">
                  <c:v>41836</c:v>
                </c:pt>
                <c:pt idx="1143">
                  <c:v>41837</c:v>
                </c:pt>
                <c:pt idx="1144">
                  <c:v>41838</c:v>
                </c:pt>
                <c:pt idx="1145">
                  <c:v>41841</c:v>
                </c:pt>
                <c:pt idx="1146">
                  <c:v>41842</c:v>
                </c:pt>
                <c:pt idx="1147">
                  <c:v>41843</c:v>
                </c:pt>
                <c:pt idx="1148">
                  <c:v>41844</c:v>
                </c:pt>
                <c:pt idx="1149">
                  <c:v>41845</c:v>
                </c:pt>
                <c:pt idx="1150">
                  <c:v>41848</c:v>
                </c:pt>
                <c:pt idx="1151">
                  <c:v>41849</c:v>
                </c:pt>
                <c:pt idx="1152">
                  <c:v>41850</c:v>
                </c:pt>
                <c:pt idx="1153">
                  <c:v>41851</c:v>
                </c:pt>
                <c:pt idx="1154">
                  <c:v>41852</c:v>
                </c:pt>
                <c:pt idx="1155">
                  <c:v>41855</c:v>
                </c:pt>
                <c:pt idx="1156">
                  <c:v>41856</c:v>
                </c:pt>
                <c:pt idx="1157">
                  <c:v>41857</c:v>
                </c:pt>
                <c:pt idx="1158">
                  <c:v>41858</c:v>
                </c:pt>
                <c:pt idx="1159">
                  <c:v>41859</c:v>
                </c:pt>
                <c:pt idx="1160">
                  <c:v>41862</c:v>
                </c:pt>
                <c:pt idx="1161">
                  <c:v>41863</c:v>
                </c:pt>
                <c:pt idx="1162">
                  <c:v>41864</c:v>
                </c:pt>
                <c:pt idx="1163">
                  <c:v>41865</c:v>
                </c:pt>
                <c:pt idx="1164">
                  <c:v>41866</c:v>
                </c:pt>
                <c:pt idx="1165">
                  <c:v>41869</c:v>
                </c:pt>
                <c:pt idx="1166">
                  <c:v>41870</c:v>
                </c:pt>
                <c:pt idx="1167">
                  <c:v>41871</c:v>
                </c:pt>
                <c:pt idx="1168">
                  <c:v>41872</c:v>
                </c:pt>
                <c:pt idx="1169">
                  <c:v>41873</c:v>
                </c:pt>
                <c:pt idx="1170">
                  <c:v>41876</c:v>
                </c:pt>
                <c:pt idx="1171">
                  <c:v>41877</c:v>
                </c:pt>
                <c:pt idx="1172">
                  <c:v>41878</c:v>
                </c:pt>
                <c:pt idx="1173">
                  <c:v>41879</c:v>
                </c:pt>
                <c:pt idx="1174">
                  <c:v>41880</c:v>
                </c:pt>
                <c:pt idx="1175">
                  <c:v>41884</c:v>
                </c:pt>
                <c:pt idx="1176">
                  <c:v>41885</c:v>
                </c:pt>
                <c:pt idx="1177">
                  <c:v>41886</c:v>
                </c:pt>
                <c:pt idx="1178">
                  <c:v>41887</c:v>
                </c:pt>
                <c:pt idx="1179">
                  <c:v>41890</c:v>
                </c:pt>
                <c:pt idx="1180">
                  <c:v>41891</c:v>
                </c:pt>
                <c:pt idx="1181">
                  <c:v>41892</c:v>
                </c:pt>
                <c:pt idx="1182">
                  <c:v>41893</c:v>
                </c:pt>
                <c:pt idx="1183">
                  <c:v>41894</c:v>
                </c:pt>
                <c:pt idx="1184">
                  <c:v>41897</c:v>
                </c:pt>
                <c:pt idx="1185">
                  <c:v>41898</c:v>
                </c:pt>
                <c:pt idx="1186">
                  <c:v>41899</c:v>
                </c:pt>
                <c:pt idx="1187">
                  <c:v>41900</c:v>
                </c:pt>
                <c:pt idx="1188">
                  <c:v>41901</c:v>
                </c:pt>
                <c:pt idx="1189">
                  <c:v>41904</c:v>
                </c:pt>
                <c:pt idx="1190">
                  <c:v>41905</c:v>
                </c:pt>
                <c:pt idx="1191">
                  <c:v>41906</c:v>
                </c:pt>
                <c:pt idx="1192">
                  <c:v>41907</c:v>
                </c:pt>
                <c:pt idx="1193">
                  <c:v>41908</c:v>
                </c:pt>
                <c:pt idx="1194">
                  <c:v>41911</c:v>
                </c:pt>
                <c:pt idx="1195">
                  <c:v>41912</c:v>
                </c:pt>
                <c:pt idx="1196">
                  <c:v>41913</c:v>
                </c:pt>
                <c:pt idx="1197">
                  <c:v>41914</c:v>
                </c:pt>
                <c:pt idx="1198">
                  <c:v>41915</c:v>
                </c:pt>
                <c:pt idx="1199">
                  <c:v>41918</c:v>
                </c:pt>
                <c:pt idx="1200">
                  <c:v>41919</c:v>
                </c:pt>
                <c:pt idx="1201">
                  <c:v>41920</c:v>
                </c:pt>
                <c:pt idx="1202">
                  <c:v>41921</c:v>
                </c:pt>
                <c:pt idx="1203">
                  <c:v>41922</c:v>
                </c:pt>
                <c:pt idx="1204">
                  <c:v>41925</c:v>
                </c:pt>
                <c:pt idx="1205">
                  <c:v>41926</c:v>
                </c:pt>
                <c:pt idx="1206">
                  <c:v>41927</c:v>
                </c:pt>
                <c:pt idx="1207">
                  <c:v>41928</c:v>
                </c:pt>
                <c:pt idx="1208">
                  <c:v>41929</c:v>
                </c:pt>
                <c:pt idx="1209">
                  <c:v>41932</c:v>
                </c:pt>
                <c:pt idx="1210">
                  <c:v>41933</c:v>
                </c:pt>
                <c:pt idx="1211">
                  <c:v>41934</c:v>
                </c:pt>
                <c:pt idx="1212">
                  <c:v>41935</c:v>
                </c:pt>
                <c:pt idx="1213">
                  <c:v>41936</c:v>
                </c:pt>
                <c:pt idx="1214">
                  <c:v>41939</c:v>
                </c:pt>
                <c:pt idx="1215">
                  <c:v>41940</c:v>
                </c:pt>
                <c:pt idx="1216">
                  <c:v>41941</c:v>
                </c:pt>
                <c:pt idx="1217">
                  <c:v>41942</c:v>
                </c:pt>
                <c:pt idx="1218">
                  <c:v>41943</c:v>
                </c:pt>
                <c:pt idx="1219">
                  <c:v>41946</c:v>
                </c:pt>
                <c:pt idx="1220">
                  <c:v>41947</c:v>
                </c:pt>
                <c:pt idx="1221">
                  <c:v>41948</c:v>
                </c:pt>
                <c:pt idx="1222">
                  <c:v>41949</c:v>
                </c:pt>
                <c:pt idx="1223">
                  <c:v>41950</c:v>
                </c:pt>
                <c:pt idx="1224">
                  <c:v>41953</c:v>
                </c:pt>
                <c:pt idx="1225">
                  <c:v>41954</c:v>
                </c:pt>
                <c:pt idx="1226">
                  <c:v>41955</c:v>
                </c:pt>
                <c:pt idx="1227">
                  <c:v>41956</c:v>
                </c:pt>
                <c:pt idx="1228">
                  <c:v>41957</c:v>
                </c:pt>
                <c:pt idx="1229">
                  <c:v>41960</c:v>
                </c:pt>
                <c:pt idx="1230">
                  <c:v>41961</c:v>
                </c:pt>
                <c:pt idx="1231">
                  <c:v>41962</c:v>
                </c:pt>
                <c:pt idx="1232">
                  <c:v>41963</c:v>
                </c:pt>
                <c:pt idx="1233">
                  <c:v>41964</c:v>
                </c:pt>
                <c:pt idx="1234">
                  <c:v>41967</c:v>
                </c:pt>
                <c:pt idx="1235">
                  <c:v>41968</c:v>
                </c:pt>
                <c:pt idx="1236">
                  <c:v>41969</c:v>
                </c:pt>
                <c:pt idx="1237">
                  <c:v>41971</c:v>
                </c:pt>
                <c:pt idx="1238">
                  <c:v>41974</c:v>
                </c:pt>
                <c:pt idx="1239">
                  <c:v>41975</c:v>
                </c:pt>
                <c:pt idx="1240">
                  <c:v>41976</c:v>
                </c:pt>
                <c:pt idx="1241">
                  <c:v>41977</c:v>
                </c:pt>
                <c:pt idx="1242">
                  <c:v>41978</c:v>
                </c:pt>
                <c:pt idx="1243">
                  <c:v>41981</c:v>
                </c:pt>
                <c:pt idx="1244">
                  <c:v>41982</c:v>
                </c:pt>
                <c:pt idx="1245">
                  <c:v>41983</c:v>
                </c:pt>
                <c:pt idx="1246">
                  <c:v>41984</c:v>
                </c:pt>
                <c:pt idx="1247">
                  <c:v>41985</c:v>
                </c:pt>
                <c:pt idx="1248">
                  <c:v>41988</c:v>
                </c:pt>
                <c:pt idx="1249">
                  <c:v>41989</c:v>
                </c:pt>
                <c:pt idx="1250">
                  <c:v>41990</c:v>
                </c:pt>
                <c:pt idx="1251">
                  <c:v>41991</c:v>
                </c:pt>
                <c:pt idx="1252">
                  <c:v>41992</c:v>
                </c:pt>
                <c:pt idx="1253">
                  <c:v>41995</c:v>
                </c:pt>
                <c:pt idx="1254">
                  <c:v>41996</c:v>
                </c:pt>
                <c:pt idx="1255">
                  <c:v>41997</c:v>
                </c:pt>
                <c:pt idx="1256">
                  <c:v>41999</c:v>
                </c:pt>
                <c:pt idx="1257">
                  <c:v>42002</c:v>
                </c:pt>
                <c:pt idx="1258">
                  <c:v>42003</c:v>
                </c:pt>
                <c:pt idx="1259">
                  <c:v>42004</c:v>
                </c:pt>
                <c:pt idx="1260">
                  <c:v>42006</c:v>
                </c:pt>
                <c:pt idx="1261">
                  <c:v>42009</c:v>
                </c:pt>
                <c:pt idx="1262">
                  <c:v>42010</c:v>
                </c:pt>
                <c:pt idx="1263">
                  <c:v>42011</c:v>
                </c:pt>
                <c:pt idx="1264">
                  <c:v>42012</c:v>
                </c:pt>
                <c:pt idx="1265">
                  <c:v>42013</c:v>
                </c:pt>
                <c:pt idx="1266">
                  <c:v>42016</c:v>
                </c:pt>
                <c:pt idx="1267">
                  <c:v>42017</c:v>
                </c:pt>
                <c:pt idx="1268">
                  <c:v>42018</c:v>
                </c:pt>
                <c:pt idx="1269">
                  <c:v>42019</c:v>
                </c:pt>
                <c:pt idx="1270">
                  <c:v>42020</c:v>
                </c:pt>
                <c:pt idx="1271">
                  <c:v>42024</c:v>
                </c:pt>
                <c:pt idx="1272">
                  <c:v>42025</c:v>
                </c:pt>
                <c:pt idx="1273">
                  <c:v>42026</c:v>
                </c:pt>
                <c:pt idx="1274">
                  <c:v>42027</c:v>
                </c:pt>
                <c:pt idx="1275">
                  <c:v>42030</c:v>
                </c:pt>
                <c:pt idx="1276">
                  <c:v>42031</c:v>
                </c:pt>
                <c:pt idx="1277">
                  <c:v>42032</c:v>
                </c:pt>
                <c:pt idx="1278">
                  <c:v>42033</c:v>
                </c:pt>
                <c:pt idx="1279">
                  <c:v>42034</c:v>
                </c:pt>
                <c:pt idx="1280">
                  <c:v>42037</c:v>
                </c:pt>
                <c:pt idx="1281">
                  <c:v>42038</c:v>
                </c:pt>
                <c:pt idx="1282">
                  <c:v>42039</c:v>
                </c:pt>
                <c:pt idx="1283">
                  <c:v>42040</c:v>
                </c:pt>
                <c:pt idx="1284">
                  <c:v>42041</c:v>
                </c:pt>
                <c:pt idx="1285">
                  <c:v>42044</c:v>
                </c:pt>
                <c:pt idx="1286">
                  <c:v>42045</c:v>
                </c:pt>
                <c:pt idx="1287">
                  <c:v>42046</c:v>
                </c:pt>
                <c:pt idx="1288">
                  <c:v>42047</c:v>
                </c:pt>
                <c:pt idx="1289">
                  <c:v>42048</c:v>
                </c:pt>
                <c:pt idx="1290">
                  <c:v>42052</c:v>
                </c:pt>
                <c:pt idx="1291">
                  <c:v>42053</c:v>
                </c:pt>
                <c:pt idx="1292">
                  <c:v>42054</c:v>
                </c:pt>
                <c:pt idx="1293">
                  <c:v>42055</c:v>
                </c:pt>
                <c:pt idx="1294">
                  <c:v>42058</c:v>
                </c:pt>
                <c:pt idx="1295">
                  <c:v>42059</c:v>
                </c:pt>
                <c:pt idx="1296">
                  <c:v>42060</c:v>
                </c:pt>
                <c:pt idx="1297">
                  <c:v>42061</c:v>
                </c:pt>
                <c:pt idx="1298">
                  <c:v>42062</c:v>
                </c:pt>
                <c:pt idx="1299">
                  <c:v>42065</c:v>
                </c:pt>
                <c:pt idx="1300">
                  <c:v>42066</c:v>
                </c:pt>
                <c:pt idx="1301">
                  <c:v>42067</c:v>
                </c:pt>
                <c:pt idx="1302">
                  <c:v>42068</c:v>
                </c:pt>
                <c:pt idx="1303">
                  <c:v>42069</c:v>
                </c:pt>
                <c:pt idx="1304">
                  <c:v>42072</c:v>
                </c:pt>
                <c:pt idx="1305">
                  <c:v>42073</c:v>
                </c:pt>
                <c:pt idx="1306">
                  <c:v>42074</c:v>
                </c:pt>
                <c:pt idx="1307">
                  <c:v>42075</c:v>
                </c:pt>
                <c:pt idx="1308">
                  <c:v>42076</c:v>
                </c:pt>
                <c:pt idx="1309">
                  <c:v>42079</c:v>
                </c:pt>
                <c:pt idx="1310">
                  <c:v>42080</c:v>
                </c:pt>
                <c:pt idx="1311">
                  <c:v>42081</c:v>
                </c:pt>
                <c:pt idx="1312">
                  <c:v>42082</c:v>
                </c:pt>
                <c:pt idx="1313">
                  <c:v>42083</c:v>
                </c:pt>
                <c:pt idx="1314">
                  <c:v>42086</c:v>
                </c:pt>
                <c:pt idx="1315">
                  <c:v>42087</c:v>
                </c:pt>
                <c:pt idx="1316">
                  <c:v>42088</c:v>
                </c:pt>
                <c:pt idx="1317">
                  <c:v>42089</c:v>
                </c:pt>
                <c:pt idx="1318">
                  <c:v>42090</c:v>
                </c:pt>
                <c:pt idx="1319">
                  <c:v>42093</c:v>
                </c:pt>
                <c:pt idx="1320">
                  <c:v>42094</c:v>
                </c:pt>
                <c:pt idx="1321">
                  <c:v>42095</c:v>
                </c:pt>
                <c:pt idx="1322">
                  <c:v>42096</c:v>
                </c:pt>
                <c:pt idx="1323">
                  <c:v>42100</c:v>
                </c:pt>
                <c:pt idx="1324">
                  <c:v>42101</c:v>
                </c:pt>
                <c:pt idx="1325">
                  <c:v>42102</c:v>
                </c:pt>
                <c:pt idx="1326">
                  <c:v>42103</c:v>
                </c:pt>
                <c:pt idx="1327">
                  <c:v>42104</c:v>
                </c:pt>
                <c:pt idx="1328">
                  <c:v>42107</c:v>
                </c:pt>
                <c:pt idx="1329">
                  <c:v>42108</c:v>
                </c:pt>
                <c:pt idx="1330">
                  <c:v>42109</c:v>
                </c:pt>
                <c:pt idx="1331">
                  <c:v>42110</c:v>
                </c:pt>
                <c:pt idx="1332">
                  <c:v>42111</c:v>
                </c:pt>
                <c:pt idx="1333">
                  <c:v>42114</c:v>
                </c:pt>
                <c:pt idx="1334">
                  <c:v>42115</c:v>
                </c:pt>
                <c:pt idx="1335">
                  <c:v>42116</c:v>
                </c:pt>
                <c:pt idx="1336">
                  <c:v>42117</c:v>
                </c:pt>
                <c:pt idx="1337">
                  <c:v>42118</c:v>
                </c:pt>
                <c:pt idx="1338">
                  <c:v>42121</c:v>
                </c:pt>
                <c:pt idx="1339">
                  <c:v>42122</c:v>
                </c:pt>
                <c:pt idx="1340">
                  <c:v>42123</c:v>
                </c:pt>
                <c:pt idx="1341">
                  <c:v>42124</c:v>
                </c:pt>
                <c:pt idx="1342">
                  <c:v>42125</c:v>
                </c:pt>
                <c:pt idx="1343">
                  <c:v>42128</c:v>
                </c:pt>
                <c:pt idx="1344">
                  <c:v>42129</c:v>
                </c:pt>
                <c:pt idx="1345">
                  <c:v>42130</c:v>
                </c:pt>
                <c:pt idx="1346">
                  <c:v>42131</c:v>
                </c:pt>
                <c:pt idx="1347">
                  <c:v>42132</c:v>
                </c:pt>
                <c:pt idx="1348">
                  <c:v>42135</c:v>
                </c:pt>
                <c:pt idx="1349">
                  <c:v>42136</c:v>
                </c:pt>
                <c:pt idx="1350">
                  <c:v>42137</c:v>
                </c:pt>
                <c:pt idx="1351">
                  <c:v>42138</c:v>
                </c:pt>
                <c:pt idx="1352">
                  <c:v>42139</c:v>
                </c:pt>
                <c:pt idx="1353">
                  <c:v>42142</c:v>
                </c:pt>
                <c:pt idx="1354">
                  <c:v>42143</c:v>
                </c:pt>
                <c:pt idx="1355">
                  <c:v>42144</c:v>
                </c:pt>
                <c:pt idx="1356">
                  <c:v>42145</c:v>
                </c:pt>
                <c:pt idx="1357">
                  <c:v>42146</c:v>
                </c:pt>
                <c:pt idx="1358">
                  <c:v>42150</c:v>
                </c:pt>
                <c:pt idx="1359">
                  <c:v>42151</c:v>
                </c:pt>
                <c:pt idx="1360">
                  <c:v>42152</c:v>
                </c:pt>
                <c:pt idx="1361">
                  <c:v>42153</c:v>
                </c:pt>
                <c:pt idx="1362">
                  <c:v>42156</c:v>
                </c:pt>
                <c:pt idx="1363">
                  <c:v>42157</c:v>
                </c:pt>
                <c:pt idx="1364">
                  <c:v>42158</c:v>
                </c:pt>
                <c:pt idx="1365">
                  <c:v>42159</c:v>
                </c:pt>
                <c:pt idx="1366">
                  <c:v>42160</c:v>
                </c:pt>
                <c:pt idx="1367">
                  <c:v>42163</c:v>
                </c:pt>
                <c:pt idx="1368">
                  <c:v>42164</c:v>
                </c:pt>
                <c:pt idx="1369">
                  <c:v>42165</c:v>
                </c:pt>
                <c:pt idx="1370">
                  <c:v>42166</c:v>
                </c:pt>
                <c:pt idx="1371">
                  <c:v>42167</c:v>
                </c:pt>
                <c:pt idx="1372">
                  <c:v>42170</c:v>
                </c:pt>
                <c:pt idx="1373">
                  <c:v>42171</c:v>
                </c:pt>
                <c:pt idx="1374">
                  <c:v>42172</c:v>
                </c:pt>
                <c:pt idx="1375">
                  <c:v>42173</c:v>
                </c:pt>
                <c:pt idx="1376">
                  <c:v>42174</c:v>
                </c:pt>
                <c:pt idx="1377">
                  <c:v>42177</c:v>
                </c:pt>
                <c:pt idx="1378">
                  <c:v>42178</c:v>
                </c:pt>
                <c:pt idx="1379">
                  <c:v>42179</c:v>
                </c:pt>
                <c:pt idx="1380">
                  <c:v>42180</c:v>
                </c:pt>
                <c:pt idx="1381">
                  <c:v>42181</c:v>
                </c:pt>
                <c:pt idx="1382">
                  <c:v>42184</c:v>
                </c:pt>
                <c:pt idx="1383">
                  <c:v>42185</c:v>
                </c:pt>
                <c:pt idx="1384">
                  <c:v>42186</c:v>
                </c:pt>
                <c:pt idx="1385">
                  <c:v>42187</c:v>
                </c:pt>
                <c:pt idx="1386">
                  <c:v>42191</c:v>
                </c:pt>
                <c:pt idx="1387">
                  <c:v>42192</c:v>
                </c:pt>
                <c:pt idx="1388">
                  <c:v>42193</c:v>
                </c:pt>
                <c:pt idx="1389">
                  <c:v>42194</c:v>
                </c:pt>
                <c:pt idx="1390">
                  <c:v>42195</c:v>
                </c:pt>
                <c:pt idx="1391">
                  <c:v>42198</c:v>
                </c:pt>
                <c:pt idx="1392">
                  <c:v>42199</c:v>
                </c:pt>
                <c:pt idx="1393">
                  <c:v>42200</c:v>
                </c:pt>
                <c:pt idx="1394">
                  <c:v>42201</c:v>
                </c:pt>
                <c:pt idx="1395">
                  <c:v>42202</c:v>
                </c:pt>
                <c:pt idx="1396">
                  <c:v>42205</c:v>
                </c:pt>
                <c:pt idx="1397">
                  <c:v>42206</c:v>
                </c:pt>
                <c:pt idx="1398">
                  <c:v>42207</c:v>
                </c:pt>
                <c:pt idx="1399">
                  <c:v>42208</c:v>
                </c:pt>
                <c:pt idx="1400">
                  <c:v>42209</c:v>
                </c:pt>
                <c:pt idx="1401">
                  <c:v>42212</c:v>
                </c:pt>
                <c:pt idx="1402">
                  <c:v>42213</c:v>
                </c:pt>
                <c:pt idx="1403">
                  <c:v>42214</c:v>
                </c:pt>
                <c:pt idx="1404">
                  <c:v>42215</c:v>
                </c:pt>
                <c:pt idx="1405">
                  <c:v>42216</c:v>
                </c:pt>
                <c:pt idx="1406">
                  <c:v>42219</c:v>
                </c:pt>
                <c:pt idx="1407">
                  <c:v>42220</c:v>
                </c:pt>
                <c:pt idx="1408">
                  <c:v>42221</c:v>
                </c:pt>
                <c:pt idx="1409">
                  <c:v>42222</c:v>
                </c:pt>
                <c:pt idx="1410">
                  <c:v>42223</c:v>
                </c:pt>
                <c:pt idx="1411">
                  <c:v>42226</c:v>
                </c:pt>
                <c:pt idx="1412">
                  <c:v>42227</c:v>
                </c:pt>
                <c:pt idx="1413">
                  <c:v>42228</c:v>
                </c:pt>
                <c:pt idx="1414">
                  <c:v>42229</c:v>
                </c:pt>
                <c:pt idx="1415">
                  <c:v>42230</c:v>
                </c:pt>
                <c:pt idx="1416">
                  <c:v>42233</c:v>
                </c:pt>
                <c:pt idx="1417">
                  <c:v>42234</c:v>
                </c:pt>
                <c:pt idx="1418">
                  <c:v>42235</c:v>
                </c:pt>
                <c:pt idx="1419">
                  <c:v>42236</c:v>
                </c:pt>
                <c:pt idx="1420">
                  <c:v>42237</c:v>
                </c:pt>
                <c:pt idx="1421">
                  <c:v>42240</c:v>
                </c:pt>
                <c:pt idx="1422">
                  <c:v>42241</c:v>
                </c:pt>
                <c:pt idx="1423">
                  <c:v>42242</c:v>
                </c:pt>
                <c:pt idx="1424">
                  <c:v>42243</c:v>
                </c:pt>
                <c:pt idx="1425">
                  <c:v>42244</c:v>
                </c:pt>
                <c:pt idx="1426">
                  <c:v>42247</c:v>
                </c:pt>
                <c:pt idx="1427">
                  <c:v>42248</c:v>
                </c:pt>
                <c:pt idx="1428">
                  <c:v>42249</c:v>
                </c:pt>
                <c:pt idx="1429">
                  <c:v>42250</c:v>
                </c:pt>
                <c:pt idx="1430">
                  <c:v>42251</c:v>
                </c:pt>
                <c:pt idx="1431">
                  <c:v>42255</c:v>
                </c:pt>
                <c:pt idx="1432">
                  <c:v>42256</c:v>
                </c:pt>
                <c:pt idx="1433">
                  <c:v>42257</c:v>
                </c:pt>
                <c:pt idx="1434">
                  <c:v>42258</c:v>
                </c:pt>
                <c:pt idx="1435">
                  <c:v>42261</c:v>
                </c:pt>
                <c:pt idx="1436">
                  <c:v>42262</c:v>
                </c:pt>
                <c:pt idx="1437">
                  <c:v>42263</c:v>
                </c:pt>
                <c:pt idx="1438">
                  <c:v>42264</c:v>
                </c:pt>
                <c:pt idx="1439">
                  <c:v>42265</c:v>
                </c:pt>
                <c:pt idx="1440">
                  <c:v>42268</c:v>
                </c:pt>
                <c:pt idx="1441">
                  <c:v>42269</c:v>
                </c:pt>
                <c:pt idx="1442">
                  <c:v>42270</c:v>
                </c:pt>
                <c:pt idx="1443">
                  <c:v>42271</c:v>
                </c:pt>
                <c:pt idx="1444">
                  <c:v>42272</c:v>
                </c:pt>
                <c:pt idx="1445">
                  <c:v>42275</c:v>
                </c:pt>
                <c:pt idx="1446">
                  <c:v>42276</c:v>
                </c:pt>
                <c:pt idx="1447">
                  <c:v>42277</c:v>
                </c:pt>
                <c:pt idx="1448">
                  <c:v>42278</c:v>
                </c:pt>
                <c:pt idx="1449">
                  <c:v>42279</c:v>
                </c:pt>
                <c:pt idx="1450">
                  <c:v>42282</c:v>
                </c:pt>
                <c:pt idx="1451">
                  <c:v>42283</c:v>
                </c:pt>
                <c:pt idx="1452">
                  <c:v>42284</c:v>
                </c:pt>
                <c:pt idx="1453">
                  <c:v>42285</c:v>
                </c:pt>
                <c:pt idx="1454">
                  <c:v>42286</c:v>
                </c:pt>
                <c:pt idx="1455">
                  <c:v>42289</c:v>
                </c:pt>
                <c:pt idx="1456">
                  <c:v>42290</c:v>
                </c:pt>
                <c:pt idx="1457">
                  <c:v>42291</c:v>
                </c:pt>
                <c:pt idx="1458">
                  <c:v>42292</c:v>
                </c:pt>
                <c:pt idx="1459">
                  <c:v>42293</c:v>
                </c:pt>
                <c:pt idx="1460">
                  <c:v>42296</c:v>
                </c:pt>
                <c:pt idx="1461">
                  <c:v>42297</c:v>
                </c:pt>
                <c:pt idx="1462">
                  <c:v>42298</c:v>
                </c:pt>
                <c:pt idx="1463">
                  <c:v>42299</c:v>
                </c:pt>
                <c:pt idx="1464">
                  <c:v>42300</c:v>
                </c:pt>
                <c:pt idx="1465">
                  <c:v>42303</c:v>
                </c:pt>
                <c:pt idx="1466">
                  <c:v>42304</c:v>
                </c:pt>
                <c:pt idx="1467">
                  <c:v>42305</c:v>
                </c:pt>
                <c:pt idx="1468">
                  <c:v>42306</c:v>
                </c:pt>
                <c:pt idx="1469">
                  <c:v>42307</c:v>
                </c:pt>
                <c:pt idx="1470">
                  <c:v>42310</c:v>
                </c:pt>
                <c:pt idx="1471">
                  <c:v>42311</c:v>
                </c:pt>
                <c:pt idx="1472">
                  <c:v>42312</c:v>
                </c:pt>
                <c:pt idx="1473">
                  <c:v>42313</c:v>
                </c:pt>
                <c:pt idx="1474">
                  <c:v>42314</c:v>
                </c:pt>
                <c:pt idx="1475">
                  <c:v>42317</c:v>
                </c:pt>
                <c:pt idx="1476">
                  <c:v>42318</c:v>
                </c:pt>
                <c:pt idx="1477">
                  <c:v>42319</c:v>
                </c:pt>
                <c:pt idx="1478">
                  <c:v>42320</c:v>
                </c:pt>
                <c:pt idx="1479">
                  <c:v>42321</c:v>
                </c:pt>
                <c:pt idx="1480">
                  <c:v>42324</c:v>
                </c:pt>
                <c:pt idx="1481">
                  <c:v>42325</c:v>
                </c:pt>
                <c:pt idx="1482">
                  <c:v>42326</c:v>
                </c:pt>
                <c:pt idx="1483">
                  <c:v>42327</c:v>
                </c:pt>
                <c:pt idx="1484">
                  <c:v>42328</c:v>
                </c:pt>
                <c:pt idx="1485">
                  <c:v>42331</c:v>
                </c:pt>
                <c:pt idx="1486">
                  <c:v>42332</c:v>
                </c:pt>
                <c:pt idx="1487">
                  <c:v>42333</c:v>
                </c:pt>
                <c:pt idx="1488">
                  <c:v>42335</c:v>
                </c:pt>
                <c:pt idx="1489">
                  <c:v>42338</c:v>
                </c:pt>
                <c:pt idx="1490">
                  <c:v>42339</c:v>
                </c:pt>
                <c:pt idx="1491">
                  <c:v>42340</c:v>
                </c:pt>
                <c:pt idx="1492">
                  <c:v>42341</c:v>
                </c:pt>
                <c:pt idx="1493">
                  <c:v>42342</c:v>
                </c:pt>
                <c:pt idx="1494">
                  <c:v>42345</c:v>
                </c:pt>
                <c:pt idx="1495">
                  <c:v>42346</c:v>
                </c:pt>
                <c:pt idx="1496">
                  <c:v>42347</c:v>
                </c:pt>
                <c:pt idx="1497">
                  <c:v>42348</c:v>
                </c:pt>
                <c:pt idx="1498">
                  <c:v>42349</c:v>
                </c:pt>
                <c:pt idx="1499">
                  <c:v>42352</c:v>
                </c:pt>
                <c:pt idx="1500">
                  <c:v>42353</c:v>
                </c:pt>
                <c:pt idx="1501">
                  <c:v>42354</c:v>
                </c:pt>
                <c:pt idx="1502">
                  <c:v>42355</c:v>
                </c:pt>
                <c:pt idx="1503">
                  <c:v>42356</c:v>
                </c:pt>
                <c:pt idx="1504">
                  <c:v>42359</c:v>
                </c:pt>
                <c:pt idx="1505">
                  <c:v>42360</c:v>
                </c:pt>
                <c:pt idx="1506">
                  <c:v>42361</c:v>
                </c:pt>
                <c:pt idx="1507">
                  <c:v>42362</c:v>
                </c:pt>
                <c:pt idx="1508">
                  <c:v>42366</c:v>
                </c:pt>
                <c:pt idx="1509">
                  <c:v>42367</c:v>
                </c:pt>
                <c:pt idx="1510">
                  <c:v>42368</c:v>
                </c:pt>
                <c:pt idx="1511">
                  <c:v>42369</c:v>
                </c:pt>
                <c:pt idx="1512">
                  <c:v>42373</c:v>
                </c:pt>
                <c:pt idx="1513">
                  <c:v>42374</c:v>
                </c:pt>
                <c:pt idx="1514">
                  <c:v>42375</c:v>
                </c:pt>
                <c:pt idx="1515">
                  <c:v>42376</c:v>
                </c:pt>
                <c:pt idx="1516">
                  <c:v>42377</c:v>
                </c:pt>
                <c:pt idx="1517">
                  <c:v>42380</c:v>
                </c:pt>
                <c:pt idx="1518">
                  <c:v>42381</c:v>
                </c:pt>
                <c:pt idx="1519">
                  <c:v>42382</c:v>
                </c:pt>
                <c:pt idx="1520">
                  <c:v>42383</c:v>
                </c:pt>
                <c:pt idx="1521">
                  <c:v>42384</c:v>
                </c:pt>
                <c:pt idx="1522">
                  <c:v>42388</c:v>
                </c:pt>
                <c:pt idx="1523">
                  <c:v>42389</c:v>
                </c:pt>
                <c:pt idx="1524">
                  <c:v>42390</c:v>
                </c:pt>
                <c:pt idx="1525">
                  <c:v>42391</c:v>
                </c:pt>
                <c:pt idx="1526">
                  <c:v>42394</c:v>
                </c:pt>
                <c:pt idx="1527">
                  <c:v>42395</c:v>
                </c:pt>
                <c:pt idx="1528">
                  <c:v>42396</c:v>
                </c:pt>
                <c:pt idx="1529">
                  <c:v>42397</c:v>
                </c:pt>
                <c:pt idx="1530">
                  <c:v>42398</c:v>
                </c:pt>
                <c:pt idx="1531">
                  <c:v>42401</c:v>
                </c:pt>
                <c:pt idx="1532">
                  <c:v>42402</c:v>
                </c:pt>
                <c:pt idx="1533">
                  <c:v>42403</c:v>
                </c:pt>
                <c:pt idx="1534">
                  <c:v>42404</c:v>
                </c:pt>
                <c:pt idx="1535">
                  <c:v>42405</c:v>
                </c:pt>
                <c:pt idx="1536">
                  <c:v>42408</c:v>
                </c:pt>
                <c:pt idx="1537">
                  <c:v>42409</c:v>
                </c:pt>
                <c:pt idx="1538">
                  <c:v>42410</c:v>
                </c:pt>
                <c:pt idx="1539">
                  <c:v>42411</c:v>
                </c:pt>
                <c:pt idx="1540">
                  <c:v>42412</c:v>
                </c:pt>
                <c:pt idx="1541">
                  <c:v>42416</c:v>
                </c:pt>
                <c:pt idx="1542">
                  <c:v>42417</c:v>
                </c:pt>
                <c:pt idx="1543">
                  <c:v>42418</c:v>
                </c:pt>
                <c:pt idx="1544">
                  <c:v>42419</c:v>
                </c:pt>
                <c:pt idx="1545">
                  <c:v>42422</c:v>
                </c:pt>
                <c:pt idx="1546">
                  <c:v>42423</c:v>
                </c:pt>
                <c:pt idx="1547">
                  <c:v>42424</c:v>
                </c:pt>
                <c:pt idx="1548">
                  <c:v>42425</c:v>
                </c:pt>
                <c:pt idx="1549">
                  <c:v>42426</c:v>
                </c:pt>
                <c:pt idx="1550">
                  <c:v>42429</c:v>
                </c:pt>
                <c:pt idx="1551">
                  <c:v>42430</c:v>
                </c:pt>
                <c:pt idx="1552">
                  <c:v>42431</c:v>
                </c:pt>
                <c:pt idx="1553">
                  <c:v>42432</c:v>
                </c:pt>
                <c:pt idx="1554">
                  <c:v>42433</c:v>
                </c:pt>
                <c:pt idx="1555">
                  <c:v>42436</c:v>
                </c:pt>
                <c:pt idx="1556">
                  <c:v>42437</c:v>
                </c:pt>
                <c:pt idx="1557">
                  <c:v>42438</c:v>
                </c:pt>
                <c:pt idx="1558">
                  <c:v>42439</c:v>
                </c:pt>
                <c:pt idx="1559">
                  <c:v>42440</c:v>
                </c:pt>
                <c:pt idx="1560">
                  <c:v>42443</c:v>
                </c:pt>
                <c:pt idx="1561">
                  <c:v>42444</c:v>
                </c:pt>
                <c:pt idx="1562">
                  <c:v>42445</c:v>
                </c:pt>
                <c:pt idx="1563">
                  <c:v>42446</c:v>
                </c:pt>
                <c:pt idx="1564">
                  <c:v>42447</c:v>
                </c:pt>
                <c:pt idx="1565">
                  <c:v>42450</c:v>
                </c:pt>
                <c:pt idx="1566">
                  <c:v>42451</c:v>
                </c:pt>
                <c:pt idx="1567">
                  <c:v>42452</c:v>
                </c:pt>
                <c:pt idx="1568">
                  <c:v>42453</c:v>
                </c:pt>
                <c:pt idx="1569">
                  <c:v>42457</c:v>
                </c:pt>
                <c:pt idx="1570">
                  <c:v>42458</c:v>
                </c:pt>
                <c:pt idx="1571">
                  <c:v>42459</c:v>
                </c:pt>
                <c:pt idx="1572">
                  <c:v>42460</c:v>
                </c:pt>
                <c:pt idx="1573">
                  <c:v>42461</c:v>
                </c:pt>
                <c:pt idx="1574">
                  <c:v>42464</c:v>
                </c:pt>
                <c:pt idx="1575">
                  <c:v>42465</c:v>
                </c:pt>
                <c:pt idx="1576">
                  <c:v>42466</c:v>
                </c:pt>
                <c:pt idx="1577">
                  <c:v>42467</c:v>
                </c:pt>
                <c:pt idx="1578">
                  <c:v>42468</c:v>
                </c:pt>
                <c:pt idx="1579">
                  <c:v>42471</c:v>
                </c:pt>
                <c:pt idx="1580">
                  <c:v>42472</c:v>
                </c:pt>
                <c:pt idx="1581">
                  <c:v>42473</c:v>
                </c:pt>
                <c:pt idx="1582">
                  <c:v>42474</c:v>
                </c:pt>
                <c:pt idx="1583">
                  <c:v>42475</c:v>
                </c:pt>
                <c:pt idx="1584">
                  <c:v>42478</c:v>
                </c:pt>
                <c:pt idx="1585">
                  <c:v>42479</c:v>
                </c:pt>
                <c:pt idx="1586">
                  <c:v>42480</c:v>
                </c:pt>
                <c:pt idx="1587">
                  <c:v>42481</c:v>
                </c:pt>
                <c:pt idx="1588">
                  <c:v>42482</c:v>
                </c:pt>
                <c:pt idx="1589">
                  <c:v>42485</c:v>
                </c:pt>
                <c:pt idx="1590">
                  <c:v>42486</c:v>
                </c:pt>
                <c:pt idx="1591">
                  <c:v>42487</c:v>
                </c:pt>
                <c:pt idx="1592">
                  <c:v>42488</c:v>
                </c:pt>
                <c:pt idx="1593">
                  <c:v>42489</c:v>
                </c:pt>
                <c:pt idx="1594">
                  <c:v>42492</c:v>
                </c:pt>
                <c:pt idx="1595">
                  <c:v>42493</c:v>
                </c:pt>
                <c:pt idx="1596">
                  <c:v>42494</c:v>
                </c:pt>
                <c:pt idx="1597">
                  <c:v>42495</c:v>
                </c:pt>
                <c:pt idx="1598">
                  <c:v>42496</c:v>
                </c:pt>
                <c:pt idx="1599">
                  <c:v>42499</c:v>
                </c:pt>
                <c:pt idx="1600">
                  <c:v>42500</c:v>
                </c:pt>
                <c:pt idx="1601">
                  <c:v>42501</c:v>
                </c:pt>
                <c:pt idx="1602">
                  <c:v>42502</c:v>
                </c:pt>
                <c:pt idx="1603">
                  <c:v>42503</c:v>
                </c:pt>
                <c:pt idx="1604">
                  <c:v>42506</c:v>
                </c:pt>
                <c:pt idx="1605">
                  <c:v>42507</c:v>
                </c:pt>
                <c:pt idx="1606">
                  <c:v>42508</c:v>
                </c:pt>
                <c:pt idx="1607">
                  <c:v>42509</c:v>
                </c:pt>
                <c:pt idx="1608">
                  <c:v>42510</c:v>
                </c:pt>
                <c:pt idx="1609">
                  <c:v>42513</c:v>
                </c:pt>
                <c:pt idx="1610">
                  <c:v>42514</c:v>
                </c:pt>
                <c:pt idx="1611">
                  <c:v>42515</c:v>
                </c:pt>
                <c:pt idx="1612">
                  <c:v>42516</c:v>
                </c:pt>
                <c:pt idx="1613">
                  <c:v>42517</c:v>
                </c:pt>
                <c:pt idx="1614">
                  <c:v>42521</c:v>
                </c:pt>
                <c:pt idx="1615">
                  <c:v>42522</c:v>
                </c:pt>
                <c:pt idx="1616">
                  <c:v>42523</c:v>
                </c:pt>
                <c:pt idx="1617">
                  <c:v>42524</c:v>
                </c:pt>
                <c:pt idx="1618">
                  <c:v>42527</c:v>
                </c:pt>
                <c:pt idx="1619">
                  <c:v>42528</c:v>
                </c:pt>
                <c:pt idx="1620">
                  <c:v>42529</c:v>
                </c:pt>
                <c:pt idx="1621">
                  <c:v>42530</c:v>
                </c:pt>
                <c:pt idx="1622">
                  <c:v>42531</c:v>
                </c:pt>
                <c:pt idx="1623">
                  <c:v>42534</c:v>
                </c:pt>
                <c:pt idx="1624">
                  <c:v>42535</c:v>
                </c:pt>
                <c:pt idx="1625">
                  <c:v>42536</c:v>
                </c:pt>
                <c:pt idx="1626">
                  <c:v>42537</c:v>
                </c:pt>
                <c:pt idx="1627">
                  <c:v>42538</c:v>
                </c:pt>
                <c:pt idx="1628">
                  <c:v>42541</c:v>
                </c:pt>
                <c:pt idx="1629">
                  <c:v>42542</c:v>
                </c:pt>
                <c:pt idx="1630">
                  <c:v>42543</c:v>
                </c:pt>
                <c:pt idx="1631">
                  <c:v>42544</c:v>
                </c:pt>
                <c:pt idx="1632">
                  <c:v>42545</c:v>
                </c:pt>
                <c:pt idx="1633">
                  <c:v>42548</c:v>
                </c:pt>
                <c:pt idx="1634">
                  <c:v>42549</c:v>
                </c:pt>
                <c:pt idx="1635">
                  <c:v>42550</c:v>
                </c:pt>
                <c:pt idx="1636">
                  <c:v>42551</c:v>
                </c:pt>
                <c:pt idx="1637">
                  <c:v>42552</c:v>
                </c:pt>
                <c:pt idx="1638">
                  <c:v>42556</c:v>
                </c:pt>
                <c:pt idx="1639">
                  <c:v>42557</c:v>
                </c:pt>
                <c:pt idx="1640">
                  <c:v>42558</c:v>
                </c:pt>
                <c:pt idx="1641">
                  <c:v>42559</c:v>
                </c:pt>
                <c:pt idx="1642">
                  <c:v>42562</c:v>
                </c:pt>
                <c:pt idx="1643">
                  <c:v>42563</c:v>
                </c:pt>
                <c:pt idx="1644">
                  <c:v>42564</c:v>
                </c:pt>
                <c:pt idx="1645">
                  <c:v>42565</c:v>
                </c:pt>
                <c:pt idx="1646">
                  <c:v>42566</c:v>
                </c:pt>
                <c:pt idx="1647">
                  <c:v>42569</c:v>
                </c:pt>
                <c:pt idx="1648">
                  <c:v>42570</c:v>
                </c:pt>
                <c:pt idx="1649">
                  <c:v>42571</c:v>
                </c:pt>
                <c:pt idx="1650">
                  <c:v>42572</c:v>
                </c:pt>
                <c:pt idx="1651">
                  <c:v>42573</c:v>
                </c:pt>
                <c:pt idx="1652">
                  <c:v>42576</c:v>
                </c:pt>
                <c:pt idx="1653">
                  <c:v>42577</c:v>
                </c:pt>
                <c:pt idx="1654">
                  <c:v>42578</c:v>
                </c:pt>
                <c:pt idx="1655">
                  <c:v>42579</c:v>
                </c:pt>
                <c:pt idx="1656">
                  <c:v>42580</c:v>
                </c:pt>
                <c:pt idx="1657">
                  <c:v>42583</c:v>
                </c:pt>
                <c:pt idx="1658">
                  <c:v>42584</c:v>
                </c:pt>
                <c:pt idx="1659">
                  <c:v>42585</c:v>
                </c:pt>
                <c:pt idx="1660">
                  <c:v>42586</c:v>
                </c:pt>
                <c:pt idx="1661">
                  <c:v>42587</c:v>
                </c:pt>
                <c:pt idx="1662">
                  <c:v>42590</c:v>
                </c:pt>
                <c:pt idx="1663">
                  <c:v>42591</c:v>
                </c:pt>
                <c:pt idx="1664">
                  <c:v>42592</c:v>
                </c:pt>
                <c:pt idx="1665">
                  <c:v>42593</c:v>
                </c:pt>
                <c:pt idx="1666">
                  <c:v>42594</c:v>
                </c:pt>
                <c:pt idx="1667">
                  <c:v>42597</c:v>
                </c:pt>
                <c:pt idx="1668">
                  <c:v>42598</c:v>
                </c:pt>
                <c:pt idx="1669">
                  <c:v>42599</c:v>
                </c:pt>
                <c:pt idx="1670">
                  <c:v>42600</c:v>
                </c:pt>
                <c:pt idx="1671">
                  <c:v>42601</c:v>
                </c:pt>
                <c:pt idx="1672">
                  <c:v>42604</c:v>
                </c:pt>
                <c:pt idx="1673">
                  <c:v>42605</c:v>
                </c:pt>
                <c:pt idx="1674">
                  <c:v>42606</c:v>
                </c:pt>
                <c:pt idx="1675">
                  <c:v>42607</c:v>
                </c:pt>
                <c:pt idx="1676">
                  <c:v>42608</c:v>
                </c:pt>
                <c:pt idx="1677">
                  <c:v>42611</c:v>
                </c:pt>
                <c:pt idx="1678">
                  <c:v>42612</c:v>
                </c:pt>
                <c:pt idx="1679">
                  <c:v>42613</c:v>
                </c:pt>
                <c:pt idx="1680">
                  <c:v>42614</c:v>
                </c:pt>
                <c:pt idx="1681">
                  <c:v>42615</c:v>
                </c:pt>
                <c:pt idx="1682">
                  <c:v>42619</c:v>
                </c:pt>
                <c:pt idx="1683">
                  <c:v>42620</c:v>
                </c:pt>
                <c:pt idx="1684">
                  <c:v>42621</c:v>
                </c:pt>
                <c:pt idx="1685">
                  <c:v>42622</c:v>
                </c:pt>
                <c:pt idx="1686">
                  <c:v>42625</c:v>
                </c:pt>
                <c:pt idx="1687">
                  <c:v>42626</c:v>
                </c:pt>
                <c:pt idx="1688">
                  <c:v>42627</c:v>
                </c:pt>
                <c:pt idx="1689">
                  <c:v>42628</c:v>
                </c:pt>
                <c:pt idx="1690">
                  <c:v>42629</c:v>
                </c:pt>
                <c:pt idx="1691">
                  <c:v>42632</c:v>
                </c:pt>
                <c:pt idx="1692">
                  <c:v>42633</c:v>
                </c:pt>
                <c:pt idx="1693">
                  <c:v>42634</c:v>
                </c:pt>
                <c:pt idx="1694">
                  <c:v>42635</c:v>
                </c:pt>
                <c:pt idx="1695">
                  <c:v>42636</c:v>
                </c:pt>
                <c:pt idx="1696">
                  <c:v>42639</c:v>
                </c:pt>
                <c:pt idx="1697">
                  <c:v>42640</c:v>
                </c:pt>
                <c:pt idx="1698">
                  <c:v>42641</c:v>
                </c:pt>
                <c:pt idx="1699">
                  <c:v>42642</c:v>
                </c:pt>
                <c:pt idx="1700">
                  <c:v>42643</c:v>
                </c:pt>
                <c:pt idx="1701">
                  <c:v>42646</c:v>
                </c:pt>
                <c:pt idx="1702">
                  <c:v>42647</c:v>
                </c:pt>
                <c:pt idx="1703">
                  <c:v>42648</c:v>
                </c:pt>
                <c:pt idx="1704">
                  <c:v>42649</c:v>
                </c:pt>
                <c:pt idx="1705">
                  <c:v>42650</c:v>
                </c:pt>
                <c:pt idx="1706">
                  <c:v>42653</c:v>
                </c:pt>
                <c:pt idx="1707">
                  <c:v>42654</c:v>
                </c:pt>
                <c:pt idx="1708">
                  <c:v>42655</c:v>
                </c:pt>
                <c:pt idx="1709">
                  <c:v>42656</c:v>
                </c:pt>
                <c:pt idx="1710">
                  <c:v>42657</c:v>
                </c:pt>
                <c:pt idx="1711">
                  <c:v>42660</c:v>
                </c:pt>
                <c:pt idx="1712">
                  <c:v>42661</c:v>
                </c:pt>
                <c:pt idx="1713">
                  <c:v>42662</c:v>
                </c:pt>
                <c:pt idx="1714">
                  <c:v>42663</c:v>
                </c:pt>
                <c:pt idx="1715">
                  <c:v>42664</c:v>
                </c:pt>
                <c:pt idx="1716">
                  <c:v>42667</c:v>
                </c:pt>
                <c:pt idx="1717">
                  <c:v>42668</c:v>
                </c:pt>
                <c:pt idx="1718">
                  <c:v>42669</c:v>
                </c:pt>
                <c:pt idx="1719">
                  <c:v>42670</c:v>
                </c:pt>
                <c:pt idx="1720">
                  <c:v>42671</c:v>
                </c:pt>
                <c:pt idx="1721">
                  <c:v>42674</c:v>
                </c:pt>
                <c:pt idx="1722">
                  <c:v>42675</c:v>
                </c:pt>
                <c:pt idx="1723">
                  <c:v>42676</c:v>
                </c:pt>
                <c:pt idx="1724">
                  <c:v>42677</c:v>
                </c:pt>
                <c:pt idx="1725">
                  <c:v>42678</c:v>
                </c:pt>
                <c:pt idx="1726">
                  <c:v>42681</c:v>
                </c:pt>
                <c:pt idx="1727">
                  <c:v>42682</c:v>
                </c:pt>
                <c:pt idx="1728">
                  <c:v>42683</c:v>
                </c:pt>
                <c:pt idx="1729">
                  <c:v>42684</c:v>
                </c:pt>
                <c:pt idx="1730">
                  <c:v>42685</c:v>
                </c:pt>
                <c:pt idx="1731">
                  <c:v>42688</c:v>
                </c:pt>
                <c:pt idx="1732">
                  <c:v>42689</c:v>
                </c:pt>
                <c:pt idx="1733">
                  <c:v>42690</c:v>
                </c:pt>
                <c:pt idx="1734">
                  <c:v>42691</c:v>
                </c:pt>
                <c:pt idx="1735">
                  <c:v>42692</c:v>
                </c:pt>
                <c:pt idx="1736">
                  <c:v>42695</c:v>
                </c:pt>
                <c:pt idx="1737">
                  <c:v>42696</c:v>
                </c:pt>
                <c:pt idx="1738">
                  <c:v>42697</c:v>
                </c:pt>
                <c:pt idx="1739">
                  <c:v>42699</c:v>
                </c:pt>
                <c:pt idx="1740">
                  <c:v>42702</c:v>
                </c:pt>
                <c:pt idx="1741">
                  <c:v>42703</c:v>
                </c:pt>
                <c:pt idx="1742">
                  <c:v>42704</c:v>
                </c:pt>
                <c:pt idx="1743">
                  <c:v>42705</c:v>
                </c:pt>
                <c:pt idx="1744">
                  <c:v>42706</c:v>
                </c:pt>
                <c:pt idx="1745">
                  <c:v>42709</c:v>
                </c:pt>
                <c:pt idx="1746">
                  <c:v>42710</c:v>
                </c:pt>
                <c:pt idx="1747">
                  <c:v>42711</c:v>
                </c:pt>
                <c:pt idx="1748">
                  <c:v>42712</c:v>
                </c:pt>
                <c:pt idx="1749">
                  <c:v>42713</c:v>
                </c:pt>
                <c:pt idx="1750">
                  <c:v>42716</c:v>
                </c:pt>
                <c:pt idx="1751">
                  <c:v>42717</c:v>
                </c:pt>
                <c:pt idx="1752">
                  <c:v>42718</c:v>
                </c:pt>
                <c:pt idx="1753">
                  <c:v>42719</c:v>
                </c:pt>
                <c:pt idx="1754">
                  <c:v>42720</c:v>
                </c:pt>
                <c:pt idx="1755">
                  <c:v>42723</c:v>
                </c:pt>
                <c:pt idx="1756">
                  <c:v>42724</c:v>
                </c:pt>
                <c:pt idx="1757">
                  <c:v>42725</c:v>
                </c:pt>
                <c:pt idx="1758">
                  <c:v>42726</c:v>
                </c:pt>
                <c:pt idx="1759">
                  <c:v>42727</c:v>
                </c:pt>
                <c:pt idx="1760">
                  <c:v>42731</c:v>
                </c:pt>
                <c:pt idx="1761">
                  <c:v>42732</c:v>
                </c:pt>
                <c:pt idx="1762">
                  <c:v>42733</c:v>
                </c:pt>
                <c:pt idx="1763">
                  <c:v>42734</c:v>
                </c:pt>
                <c:pt idx="1764">
                  <c:v>42738</c:v>
                </c:pt>
                <c:pt idx="1765">
                  <c:v>42739</c:v>
                </c:pt>
                <c:pt idx="1766">
                  <c:v>42740</c:v>
                </c:pt>
                <c:pt idx="1767">
                  <c:v>42741</c:v>
                </c:pt>
                <c:pt idx="1768">
                  <c:v>42744</c:v>
                </c:pt>
                <c:pt idx="1769">
                  <c:v>42745</c:v>
                </c:pt>
                <c:pt idx="1770">
                  <c:v>42746</c:v>
                </c:pt>
                <c:pt idx="1771">
                  <c:v>42747</c:v>
                </c:pt>
                <c:pt idx="1772">
                  <c:v>42748</c:v>
                </c:pt>
                <c:pt idx="1773">
                  <c:v>42752</c:v>
                </c:pt>
                <c:pt idx="1774">
                  <c:v>42753</c:v>
                </c:pt>
                <c:pt idx="1775">
                  <c:v>42754</c:v>
                </c:pt>
                <c:pt idx="1776">
                  <c:v>42755</c:v>
                </c:pt>
                <c:pt idx="1777">
                  <c:v>42758</c:v>
                </c:pt>
                <c:pt idx="1778">
                  <c:v>42759</c:v>
                </c:pt>
                <c:pt idx="1779">
                  <c:v>42760</c:v>
                </c:pt>
                <c:pt idx="1780">
                  <c:v>42761</c:v>
                </c:pt>
                <c:pt idx="1781">
                  <c:v>42762</c:v>
                </c:pt>
                <c:pt idx="1782">
                  <c:v>42765</c:v>
                </c:pt>
                <c:pt idx="1783">
                  <c:v>42766</c:v>
                </c:pt>
                <c:pt idx="1784">
                  <c:v>42767</c:v>
                </c:pt>
                <c:pt idx="1785">
                  <c:v>42768</c:v>
                </c:pt>
                <c:pt idx="1786">
                  <c:v>42769</c:v>
                </c:pt>
                <c:pt idx="1787">
                  <c:v>42772</c:v>
                </c:pt>
                <c:pt idx="1788">
                  <c:v>42773</c:v>
                </c:pt>
                <c:pt idx="1789">
                  <c:v>42774</c:v>
                </c:pt>
                <c:pt idx="1790">
                  <c:v>42775</c:v>
                </c:pt>
                <c:pt idx="1791">
                  <c:v>42776</c:v>
                </c:pt>
                <c:pt idx="1792">
                  <c:v>42779</c:v>
                </c:pt>
                <c:pt idx="1793">
                  <c:v>42780</c:v>
                </c:pt>
                <c:pt idx="1794">
                  <c:v>42781</c:v>
                </c:pt>
                <c:pt idx="1795">
                  <c:v>42782</c:v>
                </c:pt>
                <c:pt idx="1796">
                  <c:v>42783</c:v>
                </c:pt>
                <c:pt idx="1797">
                  <c:v>42787</c:v>
                </c:pt>
                <c:pt idx="1798">
                  <c:v>42788</c:v>
                </c:pt>
                <c:pt idx="1799">
                  <c:v>42789</c:v>
                </c:pt>
                <c:pt idx="1800">
                  <c:v>42790</c:v>
                </c:pt>
                <c:pt idx="1801">
                  <c:v>42793</c:v>
                </c:pt>
                <c:pt idx="1802">
                  <c:v>42794</c:v>
                </c:pt>
                <c:pt idx="1803">
                  <c:v>42795</c:v>
                </c:pt>
                <c:pt idx="1804">
                  <c:v>42796</c:v>
                </c:pt>
                <c:pt idx="1805">
                  <c:v>42797</c:v>
                </c:pt>
                <c:pt idx="1806">
                  <c:v>42800</c:v>
                </c:pt>
                <c:pt idx="1807">
                  <c:v>42801</c:v>
                </c:pt>
                <c:pt idx="1808">
                  <c:v>42802</c:v>
                </c:pt>
                <c:pt idx="1809">
                  <c:v>42803</c:v>
                </c:pt>
                <c:pt idx="1810">
                  <c:v>42804</c:v>
                </c:pt>
                <c:pt idx="1811">
                  <c:v>42807</c:v>
                </c:pt>
                <c:pt idx="1812">
                  <c:v>42808</c:v>
                </c:pt>
                <c:pt idx="1813">
                  <c:v>42809</c:v>
                </c:pt>
                <c:pt idx="1814">
                  <c:v>42810</c:v>
                </c:pt>
                <c:pt idx="1815">
                  <c:v>42811</c:v>
                </c:pt>
                <c:pt idx="1816">
                  <c:v>42814</c:v>
                </c:pt>
                <c:pt idx="1817">
                  <c:v>42815</c:v>
                </c:pt>
                <c:pt idx="1818">
                  <c:v>42816</c:v>
                </c:pt>
                <c:pt idx="1819">
                  <c:v>42817</c:v>
                </c:pt>
                <c:pt idx="1820">
                  <c:v>42818</c:v>
                </c:pt>
                <c:pt idx="1821">
                  <c:v>42821</c:v>
                </c:pt>
                <c:pt idx="1822">
                  <c:v>42822</c:v>
                </c:pt>
                <c:pt idx="1823">
                  <c:v>42823</c:v>
                </c:pt>
                <c:pt idx="1824">
                  <c:v>42824</c:v>
                </c:pt>
                <c:pt idx="1825">
                  <c:v>42825</c:v>
                </c:pt>
                <c:pt idx="1826">
                  <c:v>42828</c:v>
                </c:pt>
                <c:pt idx="1827">
                  <c:v>42829</c:v>
                </c:pt>
                <c:pt idx="1828">
                  <c:v>42830</c:v>
                </c:pt>
                <c:pt idx="1829">
                  <c:v>42831</c:v>
                </c:pt>
                <c:pt idx="1830">
                  <c:v>42832</c:v>
                </c:pt>
                <c:pt idx="1831">
                  <c:v>42835</c:v>
                </c:pt>
                <c:pt idx="1832">
                  <c:v>42836</c:v>
                </c:pt>
                <c:pt idx="1833">
                  <c:v>42837</c:v>
                </c:pt>
                <c:pt idx="1834">
                  <c:v>42838</c:v>
                </c:pt>
                <c:pt idx="1835">
                  <c:v>42842</c:v>
                </c:pt>
                <c:pt idx="1836">
                  <c:v>42843</c:v>
                </c:pt>
                <c:pt idx="1837">
                  <c:v>42844</c:v>
                </c:pt>
                <c:pt idx="1838">
                  <c:v>42845</c:v>
                </c:pt>
                <c:pt idx="1839">
                  <c:v>42846</c:v>
                </c:pt>
                <c:pt idx="1840">
                  <c:v>42849</c:v>
                </c:pt>
                <c:pt idx="1841">
                  <c:v>42850</c:v>
                </c:pt>
                <c:pt idx="1842">
                  <c:v>42851</c:v>
                </c:pt>
                <c:pt idx="1843">
                  <c:v>42852</c:v>
                </c:pt>
                <c:pt idx="1844">
                  <c:v>42853</c:v>
                </c:pt>
                <c:pt idx="1845">
                  <c:v>42856</c:v>
                </c:pt>
                <c:pt idx="1846">
                  <c:v>42857</c:v>
                </c:pt>
                <c:pt idx="1847">
                  <c:v>42858</c:v>
                </c:pt>
                <c:pt idx="1848">
                  <c:v>42859</c:v>
                </c:pt>
                <c:pt idx="1849">
                  <c:v>42860</c:v>
                </c:pt>
                <c:pt idx="1850">
                  <c:v>42863</c:v>
                </c:pt>
                <c:pt idx="1851">
                  <c:v>42864</c:v>
                </c:pt>
                <c:pt idx="1852">
                  <c:v>42865</c:v>
                </c:pt>
                <c:pt idx="1853">
                  <c:v>42866</c:v>
                </c:pt>
                <c:pt idx="1854">
                  <c:v>42867</c:v>
                </c:pt>
                <c:pt idx="1855">
                  <c:v>42870</c:v>
                </c:pt>
                <c:pt idx="1856">
                  <c:v>42871</c:v>
                </c:pt>
                <c:pt idx="1857">
                  <c:v>42872</c:v>
                </c:pt>
                <c:pt idx="1858">
                  <c:v>42873</c:v>
                </c:pt>
                <c:pt idx="1859">
                  <c:v>42874</c:v>
                </c:pt>
                <c:pt idx="1860">
                  <c:v>42877</c:v>
                </c:pt>
                <c:pt idx="1861">
                  <c:v>42878</c:v>
                </c:pt>
                <c:pt idx="1862">
                  <c:v>42879</c:v>
                </c:pt>
                <c:pt idx="1863">
                  <c:v>42880</c:v>
                </c:pt>
                <c:pt idx="1864">
                  <c:v>42881</c:v>
                </c:pt>
                <c:pt idx="1865">
                  <c:v>42885</c:v>
                </c:pt>
                <c:pt idx="1866">
                  <c:v>42886</c:v>
                </c:pt>
                <c:pt idx="1867">
                  <c:v>42887</c:v>
                </c:pt>
                <c:pt idx="1868">
                  <c:v>42888</c:v>
                </c:pt>
                <c:pt idx="1869">
                  <c:v>42891</c:v>
                </c:pt>
                <c:pt idx="1870">
                  <c:v>42892</c:v>
                </c:pt>
                <c:pt idx="1871">
                  <c:v>42893</c:v>
                </c:pt>
                <c:pt idx="1872">
                  <c:v>42894</c:v>
                </c:pt>
                <c:pt idx="1873">
                  <c:v>42895</c:v>
                </c:pt>
                <c:pt idx="1874">
                  <c:v>42898</c:v>
                </c:pt>
                <c:pt idx="1875">
                  <c:v>42899</c:v>
                </c:pt>
                <c:pt idx="1876">
                  <c:v>42900</c:v>
                </c:pt>
                <c:pt idx="1877">
                  <c:v>42901</c:v>
                </c:pt>
                <c:pt idx="1878">
                  <c:v>42902</c:v>
                </c:pt>
                <c:pt idx="1879">
                  <c:v>42905</c:v>
                </c:pt>
                <c:pt idx="1880">
                  <c:v>42906</c:v>
                </c:pt>
                <c:pt idx="1881">
                  <c:v>42907</c:v>
                </c:pt>
                <c:pt idx="1882">
                  <c:v>42908</c:v>
                </c:pt>
                <c:pt idx="1883">
                  <c:v>42909</c:v>
                </c:pt>
                <c:pt idx="1884">
                  <c:v>42912</c:v>
                </c:pt>
                <c:pt idx="1885">
                  <c:v>42913</c:v>
                </c:pt>
                <c:pt idx="1886">
                  <c:v>42914</c:v>
                </c:pt>
                <c:pt idx="1887">
                  <c:v>42915</c:v>
                </c:pt>
                <c:pt idx="1888">
                  <c:v>42916</c:v>
                </c:pt>
                <c:pt idx="1889">
                  <c:v>42919</c:v>
                </c:pt>
                <c:pt idx="1890">
                  <c:v>42921</c:v>
                </c:pt>
                <c:pt idx="1891">
                  <c:v>42922</c:v>
                </c:pt>
                <c:pt idx="1892">
                  <c:v>42923</c:v>
                </c:pt>
                <c:pt idx="1893">
                  <c:v>42926</c:v>
                </c:pt>
                <c:pt idx="1894">
                  <c:v>42927</c:v>
                </c:pt>
                <c:pt idx="1895">
                  <c:v>42928</c:v>
                </c:pt>
                <c:pt idx="1896">
                  <c:v>42929</c:v>
                </c:pt>
                <c:pt idx="1897">
                  <c:v>42930</c:v>
                </c:pt>
                <c:pt idx="1898">
                  <c:v>42933</c:v>
                </c:pt>
                <c:pt idx="1899">
                  <c:v>42934</c:v>
                </c:pt>
                <c:pt idx="1900">
                  <c:v>42935</c:v>
                </c:pt>
                <c:pt idx="1901">
                  <c:v>42936</c:v>
                </c:pt>
                <c:pt idx="1902">
                  <c:v>42937</c:v>
                </c:pt>
                <c:pt idx="1903">
                  <c:v>42940</c:v>
                </c:pt>
                <c:pt idx="1904">
                  <c:v>42941</c:v>
                </c:pt>
                <c:pt idx="1905">
                  <c:v>42942</c:v>
                </c:pt>
                <c:pt idx="1906">
                  <c:v>42943</c:v>
                </c:pt>
                <c:pt idx="1907">
                  <c:v>42944</c:v>
                </c:pt>
                <c:pt idx="1908">
                  <c:v>42947</c:v>
                </c:pt>
                <c:pt idx="1909">
                  <c:v>42948</c:v>
                </c:pt>
                <c:pt idx="1910">
                  <c:v>42949</c:v>
                </c:pt>
                <c:pt idx="1911">
                  <c:v>42950</c:v>
                </c:pt>
                <c:pt idx="1912">
                  <c:v>42951</c:v>
                </c:pt>
                <c:pt idx="1913">
                  <c:v>42954</c:v>
                </c:pt>
                <c:pt idx="1914">
                  <c:v>42955</c:v>
                </c:pt>
                <c:pt idx="1915">
                  <c:v>42956</c:v>
                </c:pt>
                <c:pt idx="1916">
                  <c:v>42957</c:v>
                </c:pt>
                <c:pt idx="1917">
                  <c:v>42958</c:v>
                </c:pt>
                <c:pt idx="1918">
                  <c:v>42961</c:v>
                </c:pt>
                <c:pt idx="1919">
                  <c:v>42962</c:v>
                </c:pt>
                <c:pt idx="1920">
                  <c:v>42963</c:v>
                </c:pt>
                <c:pt idx="1921">
                  <c:v>42964</c:v>
                </c:pt>
                <c:pt idx="1922">
                  <c:v>42965</c:v>
                </c:pt>
                <c:pt idx="1923">
                  <c:v>42968</c:v>
                </c:pt>
                <c:pt idx="1924">
                  <c:v>42969</c:v>
                </c:pt>
                <c:pt idx="1925">
                  <c:v>42970</c:v>
                </c:pt>
                <c:pt idx="1926">
                  <c:v>42971</c:v>
                </c:pt>
                <c:pt idx="1927">
                  <c:v>42972</c:v>
                </c:pt>
                <c:pt idx="1928">
                  <c:v>42975</c:v>
                </c:pt>
                <c:pt idx="1929">
                  <c:v>42976</c:v>
                </c:pt>
                <c:pt idx="1930">
                  <c:v>42977</c:v>
                </c:pt>
                <c:pt idx="1931">
                  <c:v>42978</c:v>
                </c:pt>
                <c:pt idx="1932">
                  <c:v>42979</c:v>
                </c:pt>
                <c:pt idx="1933">
                  <c:v>42982</c:v>
                </c:pt>
                <c:pt idx="1934">
                  <c:v>42983</c:v>
                </c:pt>
                <c:pt idx="1935">
                  <c:v>42984</c:v>
                </c:pt>
                <c:pt idx="1936">
                  <c:v>42985</c:v>
                </c:pt>
                <c:pt idx="1937">
                  <c:v>42986</c:v>
                </c:pt>
                <c:pt idx="1938">
                  <c:v>42988</c:v>
                </c:pt>
                <c:pt idx="1939">
                  <c:v>42989</c:v>
                </c:pt>
                <c:pt idx="1940">
                  <c:v>42990</c:v>
                </c:pt>
                <c:pt idx="1941">
                  <c:v>42991</c:v>
                </c:pt>
                <c:pt idx="1942">
                  <c:v>42992</c:v>
                </c:pt>
                <c:pt idx="1943">
                  <c:v>42993</c:v>
                </c:pt>
                <c:pt idx="1944">
                  <c:v>42995</c:v>
                </c:pt>
                <c:pt idx="1945">
                  <c:v>42996</c:v>
                </c:pt>
                <c:pt idx="1946">
                  <c:v>42997</c:v>
                </c:pt>
                <c:pt idx="1947">
                  <c:v>42998</c:v>
                </c:pt>
                <c:pt idx="1948">
                  <c:v>42999</c:v>
                </c:pt>
                <c:pt idx="1949">
                  <c:v>43000</c:v>
                </c:pt>
                <c:pt idx="1950">
                  <c:v>43002</c:v>
                </c:pt>
                <c:pt idx="1951">
                  <c:v>43003</c:v>
                </c:pt>
                <c:pt idx="1952">
                  <c:v>43004</c:v>
                </c:pt>
                <c:pt idx="1953">
                  <c:v>43005</c:v>
                </c:pt>
                <c:pt idx="1954">
                  <c:v>43006</c:v>
                </c:pt>
                <c:pt idx="1955">
                  <c:v>43007</c:v>
                </c:pt>
                <c:pt idx="1956">
                  <c:v>43009</c:v>
                </c:pt>
                <c:pt idx="1957">
                  <c:v>43010</c:v>
                </c:pt>
                <c:pt idx="1958">
                  <c:v>43011</c:v>
                </c:pt>
                <c:pt idx="1959">
                  <c:v>43012</c:v>
                </c:pt>
                <c:pt idx="1960">
                  <c:v>43013</c:v>
                </c:pt>
                <c:pt idx="1961">
                  <c:v>43014</c:v>
                </c:pt>
                <c:pt idx="1962">
                  <c:v>43016</c:v>
                </c:pt>
                <c:pt idx="1963">
                  <c:v>43017</c:v>
                </c:pt>
                <c:pt idx="1964">
                  <c:v>43018</c:v>
                </c:pt>
                <c:pt idx="1965">
                  <c:v>43019</c:v>
                </c:pt>
                <c:pt idx="1966">
                  <c:v>43020</c:v>
                </c:pt>
                <c:pt idx="1967">
                  <c:v>43021</c:v>
                </c:pt>
                <c:pt idx="1968">
                  <c:v>43023</c:v>
                </c:pt>
                <c:pt idx="1969">
                  <c:v>43024</c:v>
                </c:pt>
                <c:pt idx="1970">
                  <c:v>43025</c:v>
                </c:pt>
                <c:pt idx="1971">
                  <c:v>43026</c:v>
                </c:pt>
                <c:pt idx="1972">
                  <c:v>43027</c:v>
                </c:pt>
                <c:pt idx="1973">
                  <c:v>43028</c:v>
                </c:pt>
                <c:pt idx="1974">
                  <c:v>43030</c:v>
                </c:pt>
                <c:pt idx="1975">
                  <c:v>43031</c:v>
                </c:pt>
                <c:pt idx="1976">
                  <c:v>43032</c:v>
                </c:pt>
                <c:pt idx="1977">
                  <c:v>43033</c:v>
                </c:pt>
                <c:pt idx="1978">
                  <c:v>43034</c:v>
                </c:pt>
                <c:pt idx="1979">
                  <c:v>43035</c:v>
                </c:pt>
                <c:pt idx="1980">
                  <c:v>43037</c:v>
                </c:pt>
                <c:pt idx="1981">
                  <c:v>43038</c:v>
                </c:pt>
                <c:pt idx="1982">
                  <c:v>43039</c:v>
                </c:pt>
                <c:pt idx="1983">
                  <c:v>43040</c:v>
                </c:pt>
                <c:pt idx="1984">
                  <c:v>43041</c:v>
                </c:pt>
                <c:pt idx="1985">
                  <c:v>43042</c:v>
                </c:pt>
                <c:pt idx="1986">
                  <c:v>43044</c:v>
                </c:pt>
                <c:pt idx="1987">
                  <c:v>43045</c:v>
                </c:pt>
                <c:pt idx="1988">
                  <c:v>43046</c:v>
                </c:pt>
                <c:pt idx="1989">
                  <c:v>43047</c:v>
                </c:pt>
                <c:pt idx="1990">
                  <c:v>43048</c:v>
                </c:pt>
                <c:pt idx="1991">
                  <c:v>43049</c:v>
                </c:pt>
                <c:pt idx="1992">
                  <c:v>43051</c:v>
                </c:pt>
                <c:pt idx="1993">
                  <c:v>43052</c:v>
                </c:pt>
                <c:pt idx="1994">
                  <c:v>43053</c:v>
                </c:pt>
                <c:pt idx="1995">
                  <c:v>43054</c:v>
                </c:pt>
                <c:pt idx="1996">
                  <c:v>43055</c:v>
                </c:pt>
                <c:pt idx="1997">
                  <c:v>43056</c:v>
                </c:pt>
                <c:pt idx="1998">
                  <c:v>43058</c:v>
                </c:pt>
                <c:pt idx="1999">
                  <c:v>43059</c:v>
                </c:pt>
                <c:pt idx="2000">
                  <c:v>43060</c:v>
                </c:pt>
                <c:pt idx="2001">
                  <c:v>43061</c:v>
                </c:pt>
                <c:pt idx="2002">
                  <c:v>43062</c:v>
                </c:pt>
                <c:pt idx="2003">
                  <c:v>43063</c:v>
                </c:pt>
                <c:pt idx="2004">
                  <c:v>43065</c:v>
                </c:pt>
                <c:pt idx="2005">
                  <c:v>43066</c:v>
                </c:pt>
                <c:pt idx="2006">
                  <c:v>43067</c:v>
                </c:pt>
                <c:pt idx="2007">
                  <c:v>43068</c:v>
                </c:pt>
                <c:pt idx="2008">
                  <c:v>43069</c:v>
                </c:pt>
                <c:pt idx="2009">
                  <c:v>43070</c:v>
                </c:pt>
                <c:pt idx="2010">
                  <c:v>43072</c:v>
                </c:pt>
                <c:pt idx="2011">
                  <c:v>43073</c:v>
                </c:pt>
                <c:pt idx="2012">
                  <c:v>43074</c:v>
                </c:pt>
                <c:pt idx="2013">
                  <c:v>43075</c:v>
                </c:pt>
                <c:pt idx="2014">
                  <c:v>43076</c:v>
                </c:pt>
                <c:pt idx="2015">
                  <c:v>43077</c:v>
                </c:pt>
                <c:pt idx="2016">
                  <c:v>43079</c:v>
                </c:pt>
                <c:pt idx="2017">
                  <c:v>43080</c:v>
                </c:pt>
                <c:pt idx="2018">
                  <c:v>43081</c:v>
                </c:pt>
                <c:pt idx="2019">
                  <c:v>43082</c:v>
                </c:pt>
                <c:pt idx="2020">
                  <c:v>43083</c:v>
                </c:pt>
                <c:pt idx="2021">
                  <c:v>43084</c:v>
                </c:pt>
                <c:pt idx="2022">
                  <c:v>43086</c:v>
                </c:pt>
                <c:pt idx="2023">
                  <c:v>43087</c:v>
                </c:pt>
                <c:pt idx="2024">
                  <c:v>43088</c:v>
                </c:pt>
                <c:pt idx="2025">
                  <c:v>43089</c:v>
                </c:pt>
                <c:pt idx="2026">
                  <c:v>43090</c:v>
                </c:pt>
                <c:pt idx="2027">
                  <c:v>43091</c:v>
                </c:pt>
                <c:pt idx="2028">
                  <c:v>43095</c:v>
                </c:pt>
                <c:pt idx="2029">
                  <c:v>43096</c:v>
                </c:pt>
                <c:pt idx="2030">
                  <c:v>43097</c:v>
                </c:pt>
                <c:pt idx="2031">
                  <c:v>43098</c:v>
                </c:pt>
                <c:pt idx="2032">
                  <c:v>43102</c:v>
                </c:pt>
                <c:pt idx="2033">
                  <c:v>43103</c:v>
                </c:pt>
                <c:pt idx="2034">
                  <c:v>43104</c:v>
                </c:pt>
                <c:pt idx="2035">
                  <c:v>43105</c:v>
                </c:pt>
                <c:pt idx="2036">
                  <c:v>43107</c:v>
                </c:pt>
                <c:pt idx="2037">
                  <c:v>43108</c:v>
                </c:pt>
                <c:pt idx="2038">
                  <c:v>43109</c:v>
                </c:pt>
                <c:pt idx="2039">
                  <c:v>43110</c:v>
                </c:pt>
                <c:pt idx="2040">
                  <c:v>43111</c:v>
                </c:pt>
                <c:pt idx="2041">
                  <c:v>43112</c:v>
                </c:pt>
                <c:pt idx="2042">
                  <c:v>43114</c:v>
                </c:pt>
                <c:pt idx="2043">
                  <c:v>43115</c:v>
                </c:pt>
                <c:pt idx="2044">
                  <c:v>43116</c:v>
                </c:pt>
                <c:pt idx="2045">
                  <c:v>43117</c:v>
                </c:pt>
                <c:pt idx="2046">
                  <c:v>43118</c:v>
                </c:pt>
                <c:pt idx="2047">
                  <c:v>43119</c:v>
                </c:pt>
                <c:pt idx="2048">
                  <c:v>43121</c:v>
                </c:pt>
                <c:pt idx="2049">
                  <c:v>43122</c:v>
                </c:pt>
                <c:pt idx="2050">
                  <c:v>43123</c:v>
                </c:pt>
                <c:pt idx="2051">
                  <c:v>43124</c:v>
                </c:pt>
                <c:pt idx="2052">
                  <c:v>43125</c:v>
                </c:pt>
                <c:pt idx="2053">
                  <c:v>43126</c:v>
                </c:pt>
                <c:pt idx="2054">
                  <c:v>43128</c:v>
                </c:pt>
                <c:pt idx="2055">
                  <c:v>43129</c:v>
                </c:pt>
                <c:pt idx="2056">
                  <c:v>43130</c:v>
                </c:pt>
                <c:pt idx="2057">
                  <c:v>43131</c:v>
                </c:pt>
                <c:pt idx="2058">
                  <c:v>43132</c:v>
                </c:pt>
                <c:pt idx="2059">
                  <c:v>43133</c:v>
                </c:pt>
                <c:pt idx="2060">
                  <c:v>43135</c:v>
                </c:pt>
                <c:pt idx="2061">
                  <c:v>43136</c:v>
                </c:pt>
                <c:pt idx="2062">
                  <c:v>43137</c:v>
                </c:pt>
                <c:pt idx="2063">
                  <c:v>43138</c:v>
                </c:pt>
                <c:pt idx="2064">
                  <c:v>43139</c:v>
                </c:pt>
                <c:pt idx="2065">
                  <c:v>43140</c:v>
                </c:pt>
                <c:pt idx="2066">
                  <c:v>43142</c:v>
                </c:pt>
                <c:pt idx="2067">
                  <c:v>43143</c:v>
                </c:pt>
                <c:pt idx="2068">
                  <c:v>43144</c:v>
                </c:pt>
                <c:pt idx="2069">
                  <c:v>43145</c:v>
                </c:pt>
                <c:pt idx="2070">
                  <c:v>43146</c:v>
                </c:pt>
                <c:pt idx="2071">
                  <c:v>43147</c:v>
                </c:pt>
                <c:pt idx="2072">
                  <c:v>43149</c:v>
                </c:pt>
                <c:pt idx="2073">
                  <c:v>43150</c:v>
                </c:pt>
                <c:pt idx="2074">
                  <c:v>43151</c:v>
                </c:pt>
                <c:pt idx="2075">
                  <c:v>43152</c:v>
                </c:pt>
                <c:pt idx="2076">
                  <c:v>43153</c:v>
                </c:pt>
                <c:pt idx="2077">
                  <c:v>43154</c:v>
                </c:pt>
                <c:pt idx="2078">
                  <c:v>43156</c:v>
                </c:pt>
                <c:pt idx="2079">
                  <c:v>43157</c:v>
                </c:pt>
                <c:pt idx="2080">
                  <c:v>43158</c:v>
                </c:pt>
                <c:pt idx="2081">
                  <c:v>43159</c:v>
                </c:pt>
                <c:pt idx="2082">
                  <c:v>43160</c:v>
                </c:pt>
                <c:pt idx="2083">
                  <c:v>43161</c:v>
                </c:pt>
                <c:pt idx="2084">
                  <c:v>43163</c:v>
                </c:pt>
                <c:pt idx="2085">
                  <c:v>43164</c:v>
                </c:pt>
                <c:pt idx="2086">
                  <c:v>43165</c:v>
                </c:pt>
                <c:pt idx="2087">
                  <c:v>43166</c:v>
                </c:pt>
                <c:pt idx="2088">
                  <c:v>43167</c:v>
                </c:pt>
                <c:pt idx="2089">
                  <c:v>43168</c:v>
                </c:pt>
                <c:pt idx="2090">
                  <c:v>43170</c:v>
                </c:pt>
                <c:pt idx="2091">
                  <c:v>43171</c:v>
                </c:pt>
                <c:pt idx="2092">
                  <c:v>43172</c:v>
                </c:pt>
                <c:pt idx="2093">
                  <c:v>43173</c:v>
                </c:pt>
                <c:pt idx="2094">
                  <c:v>43174</c:v>
                </c:pt>
                <c:pt idx="2095">
                  <c:v>43175</c:v>
                </c:pt>
                <c:pt idx="2096">
                  <c:v>43177</c:v>
                </c:pt>
                <c:pt idx="2097">
                  <c:v>43178</c:v>
                </c:pt>
                <c:pt idx="2098">
                  <c:v>43179</c:v>
                </c:pt>
                <c:pt idx="2099">
                  <c:v>43180</c:v>
                </c:pt>
                <c:pt idx="2100">
                  <c:v>43181</c:v>
                </c:pt>
                <c:pt idx="2101">
                  <c:v>43182</c:v>
                </c:pt>
                <c:pt idx="2102">
                  <c:v>43184</c:v>
                </c:pt>
                <c:pt idx="2103">
                  <c:v>43185</c:v>
                </c:pt>
                <c:pt idx="2104">
                  <c:v>43186</c:v>
                </c:pt>
                <c:pt idx="2105">
                  <c:v>43187</c:v>
                </c:pt>
                <c:pt idx="2106">
                  <c:v>43188</c:v>
                </c:pt>
                <c:pt idx="2107">
                  <c:v>43191</c:v>
                </c:pt>
                <c:pt idx="2108">
                  <c:v>43192</c:v>
                </c:pt>
                <c:pt idx="2109">
                  <c:v>43193</c:v>
                </c:pt>
                <c:pt idx="2110">
                  <c:v>43194</c:v>
                </c:pt>
                <c:pt idx="2111">
                  <c:v>43195</c:v>
                </c:pt>
                <c:pt idx="2112">
                  <c:v>43196</c:v>
                </c:pt>
                <c:pt idx="2113">
                  <c:v>43198</c:v>
                </c:pt>
                <c:pt idx="2114">
                  <c:v>43199</c:v>
                </c:pt>
                <c:pt idx="2115">
                  <c:v>43200</c:v>
                </c:pt>
                <c:pt idx="2116">
                  <c:v>43201</c:v>
                </c:pt>
                <c:pt idx="2117">
                  <c:v>43202</c:v>
                </c:pt>
                <c:pt idx="2118">
                  <c:v>43203</c:v>
                </c:pt>
                <c:pt idx="2119">
                  <c:v>43205</c:v>
                </c:pt>
                <c:pt idx="2120">
                  <c:v>43206</c:v>
                </c:pt>
                <c:pt idx="2121">
                  <c:v>43207</c:v>
                </c:pt>
                <c:pt idx="2122">
                  <c:v>43208</c:v>
                </c:pt>
                <c:pt idx="2123">
                  <c:v>43209</c:v>
                </c:pt>
                <c:pt idx="2124">
                  <c:v>43210</c:v>
                </c:pt>
                <c:pt idx="2125">
                  <c:v>43212</c:v>
                </c:pt>
                <c:pt idx="2126">
                  <c:v>43213</c:v>
                </c:pt>
                <c:pt idx="2127">
                  <c:v>43214</c:v>
                </c:pt>
                <c:pt idx="2128">
                  <c:v>43215</c:v>
                </c:pt>
                <c:pt idx="2129">
                  <c:v>43216</c:v>
                </c:pt>
                <c:pt idx="2130">
                  <c:v>43217</c:v>
                </c:pt>
                <c:pt idx="2131">
                  <c:v>43219</c:v>
                </c:pt>
                <c:pt idx="2132">
                  <c:v>43220</c:v>
                </c:pt>
                <c:pt idx="2133">
                  <c:v>43221</c:v>
                </c:pt>
                <c:pt idx="2134">
                  <c:v>43222</c:v>
                </c:pt>
                <c:pt idx="2135">
                  <c:v>43223</c:v>
                </c:pt>
                <c:pt idx="2136">
                  <c:v>43224</c:v>
                </c:pt>
                <c:pt idx="2137">
                  <c:v>43226</c:v>
                </c:pt>
                <c:pt idx="2138">
                  <c:v>43227</c:v>
                </c:pt>
                <c:pt idx="2139">
                  <c:v>43228</c:v>
                </c:pt>
                <c:pt idx="2140">
                  <c:v>43229</c:v>
                </c:pt>
                <c:pt idx="2141">
                  <c:v>43230</c:v>
                </c:pt>
                <c:pt idx="2142">
                  <c:v>43231</c:v>
                </c:pt>
                <c:pt idx="2143">
                  <c:v>43233</c:v>
                </c:pt>
                <c:pt idx="2144">
                  <c:v>43234</c:v>
                </c:pt>
                <c:pt idx="2145">
                  <c:v>43235</c:v>
                </c:pt>
                <c:pt idx="2146">
                  <c:v>43236</c:v>
                </c:pt>
                <c:pt idx="2147">
                  <c:v>43237</c:v>
                </c:pt>
                <c:pt idx="2148">
                  <c:v>43238</c:v>
                </c:pt>
                <c:pt idx="2149">
                  <c:v>43240</c:v>
                </c:pt>
                <c:pt idx="2150">
                  <c:v>43241</c:v>
                </c:pt>
                <c:pt idx="2151">
                  <c:v>43242</c:v>
                </c:pt>
                <c:pt idx="2152">
                  <c:v>43243</c:v>
                </c:pt>
                <c:pt idx="2153">
                  <c:v>43244</c:v>
                </c:pt>
                <c:pt idx="2154">
                  <c:v>43245</c:v>
                </c:pt>
                <c:pt idx="2155">
                  <c:v>43247</c:v>
                </c:pt>
                <c:pt idx="2156">
                  <c:v>43248</c:v>
                </c:pt>
                <c:pt idx="2157">
                  <c:v>43249</c:v>
                </c:pt>
                <c:pt idx="2158">
                  <c:v>43250</c:v>
                </c:pt>
                <c:pt idx="2159">
                  <c:v>43251</c:v>
                </c:pt>
                <c:pt idx="2160">
                  <c:v>43252</c:v>
                </c:pt>
                <c:pt idx="2161">
                  <c:v>43254</c:v>
                </c:pt>
                <c:pt idx="2162">
                  <c:v>43255</c:v>
                </c:pt>
                <c:pt idx="2163">
                  <c:v>43256</c:v>
                </c:pt>
                <c:pt idx="2164">
                  <c:v>43257</c:v>
                </c:pt>
                <c:pt idx="2165">
                  <c:v>43258</c:v>
                </c:pt>
                <c:pt idx="2166">
                  <c:v>43259</c:v>
                </c:pt>
                <c:pt idx="2167">
                  <c:v>43261</c:v>
                </c:pt>
                <c:pt idx="2168">
                  <c:v>43262</c:v>
                </c:pt>
                <c:pt idx="2169">
                  <c:v>43263</c:v>
                </c:pt>
                <c:pt idx="2170">
                  <c:v>43264</c:v>
                </c:pt>
                <c:pt idx="2171">
                  <c:v>43265</c:v>
                </c:pt>
                <c:pt idx="2172">
                  <c:v>43266</c:v>
                </c:pt>
                <c:pt idx="2173">
                  <c:v>43268</c:v>
                </c:pt>
                <c:pt idx="2174">
                  <c:v>43269</c:v>
                </c:pt>
                <c:pt idx="2175">
                  <c:v>43270</c:v>
                </c:pt>
                <c:pt idx="2176">
                  <c:v>43271</c:v>
                </c:pt>
                <c:pt idx="2177">
                  <c:v>43272</c:v>
                </c:pt>
                <c:pt idx="2178">
                  <c:v>43273</c:v>
                </c:pt>
                <c:pt idx="2179">
                  <c:v>43275</c:v>
                </c:pt>
                <c:pt idx="2180">
                  <c:v>43276</c:v>
                </c:pt>
                <c:pt idx="2181">
                  <c:v>43277</c:v>
                </c:pt>
                <c:pt idx="2182">
                  <c:v>43278</c:v>
                </c:pt>
                <c:pt idx="2183">
                  <c:v>43279</c:v>
                </c:pt>
                <c:pt idx="2184">
                  <c:v>43280</c:v>
                </c:pt>
                <c:pt idx="2185">
                  <c:v>43282</c:v>
                </c:pt>
                <c:pt idx="2186">
                  <c:v>43283</c:v>
                </c:pt>
                <c:pt idx="2187">
                  <c:v>43284</c:v>
                </c:pt>
                <c:pt idx="2188">
                  <c:v>43285</c:v>
                </c:pt>
                <c:pt idx="2189">
                  <c:v>43286</c:v>
                </c:pt>
                <c:pt idx="2190">
                  <c:v>43287</c:v>
                </c:pt>
                <c:pt idx="2191">
                  <c:v>43289</c:v>
                </c:pt>
                <c:pt idx="2192">
                  <c:v>43290</c:v>
                </c:pt>
                <c:pt idx="2193">
                  <c:v>43291</c:v>
                </c:pt>
                <c:pt idx="2194">
                  <c:v>43292</c:v>
                </c:pt>
                <c:pt idx="2195">
                  <c:v>43293</c:v>
                </c:pt>
                <c:pt idx="2196">
                  <c:v>43294</c:v>
                </c:pt>
                <c:pt idx="2197">
                  <c:v>43296</c:v>
                </c:pt>
                <c:pt idx="2198">
                  <c:v>43297</c:v>
                </c:pt>
                <c:pt idx="2199">
                  <c:v>43298</c:v>
                </c:pt>
                <c:pt idx="2200">
                  <c:v>43299</c:v>
                </c:pt>
                <c:pt idx="2201">
                  <c:v>43300</c:v>
                </c:pt>
                <c:pt idx="2202">
                  <c:v>43301</c:v>
                </c:pt>
                <c:pt idx="2203">
                  <c:v>43303</c:v>
                </c:pt>
                <c:pt idx="2204">
                  <c:v>43304</c:v>
                </c:pt>
                <c:pt idx="2205">
                  <c:v>43305</c:v>
                </c:pt>
                <c:pt idx="2206">
                  <c:v>43306</c:v>
                </c:pt>
                <c:pt idx="2207">
                  <c:v>43307</c:v>
                </c:pt>
                <c:pt idx="2208">
                  <c:v>43308</c:v>
                </c:pt>
                <c:pt idx="2209">
                  <c:v>43310</c:v>
                </c:pt>
                <c:pt idx="2210">
                  <c:v>43311</c:v>
                </c:pt>
                <c:pt idx="2211">
                  <c:v>43312</c:v>
                </c:pt>
                <c:pt idx="2212">
                  <c:v>43313</c:v>
                </c:pt>
                <c:pt idx="2213">
                  <c:v>43314</c:v>
                </c:pt>
                <c:pt idx="2214">
                  <c:v>43315</c:v>
                </c:pt>
                <c:pt idx="2215">
                  <c:v>43317</c:v>
                </c:pt>
                <c:pt idx="2216">
                  <c:v>43318</c:v>
                </c:pt>
                <c:pt idx="2217">
                  <c:v>43319</c:v>
                </c:pt>
                <c:pt idx="2218">
                  <c:v>43320</c:v>
                </c:pt>
                <c:pt idx="2219">
                  <c:v>43321</c:v>
                </c:pt>
                <c:pt idx="2220">
                  <c:v>43322</c:v>
                </c:pt>
                <c:pt idx="2221">
                  <c:v>43324</c:v>
                </c:pt>
                <c:pt idx="2222">
                  <c:v>43325</c:v>
                </c:pt>
                <c:pt idx="2223">
                  <c:v>43326</c:v>
                </c:pt>
                <c:pt idx="2224">
                  <c:v>43327</c:v>
                </c:pt>
                <c:pt idx="2225">
                  <c:v>43328</c:v>
                </c:pt>
                <c:pt idx="2226">
                  <c:v>43329</c:v>
                </c:pt>
                <c:pt idx="2227">
                  <c:v>43331</c:v>
                </c:pt>
                <c:pt idx="2228">
                  <c:v>43332</c:v>
                </c:pt>
                <c:pt idx="2229">
                  <c:v>43333</c:v>
                </c:pt>
                <c:pt idx="2230">
                  <c:v>43334</c:v>
                </c:pt>
                <c:pt idx="2231">
                  <c:v>43335</c:v>
                </c:pt>
                <c:pt idx="2232">
                  <c:v>43336</c:v>
                </c:pt>
                <c:pt idx="2233">
                  <c:v>43338</c:v>
                </c:pt>
                <c:pt idx="2234">
                  <c:v>43339</c:v>
                </c:pt>
                <c:pt idx="2235">
                  <c:v>43340</c:v>
                </c:pt>
                <c:pt idx="2236">
                  <c:v>43341</c:v>
                </c:pt>
                <c:pt idx="2237">
                  <c:v>43342</c:v>
                </c:pt>
                <c:pt idx="2238">
                  <c:v>43343</c:v>
                </c:pt>
                <c:pt idx="2239">
                  <c:v>43345</c:v>
                </c:pt>
                <c:pt idx="2240">
                  <c:v>43346</c:v>
                </c:pt>
                <c:pt idx="2241">
                  <c:v>43347</c:v>
                </c:pt>
                <c:pt idx="2242">
                  <c:v>43348</c:v>
                </c:pt>
                <c:pt idx="2243">
                  <c:v>43349</c:v>
                </c:pt>
                <c:pt idx="2244">
                  <c:v>43350</c:v>
                </c:pt>
                <c:pt idx="2245">
                  <c:v>43352</c:v>
                </c:pt>
                <c:pt idx="2246">
                  <c:v>43353</c:v>
                </c:pt>
                <c:pt idx="2247">
                  <c:v>43354</c:v>
                </c:pt>
                <c:pt idx="2248">
                  <c:v>43355</c:v>
                </c:pt>
                <c:pt idx="2249">
                  <c:v>43356</c:v>
                </c:pt>
                <c:pt idx="2250">
                  <c:v>43357</c:v>
                </c:pt>
                <c:pt idx="2251">
                  <c:v>43359</c:v>
                </c:pt>
                <c:pt idx="2252">
                  <c:v>43360</c:v>
                </c:pt>
                <c:pt idx="2253">
                  <c:v>43361</c:v>
                </c:pt>
                <c:pt idx="2254">
                  <c:v>43362</c:v>
                </c:pt>
                <c:pt idx="2255">
                  <c:v>43363</c:v>
                </c:pt>
                <c:pt idx="2256">
                  <c:v>43364</c:v>
                </c:pt>
                <c:pt idx="2257">
                  <c:v>43366</c:v>
                </c:pt>
                <c:pt idx="2258">
                  <c:v>43367</c:v>
                </c:pt>
                <c:pt idx="2259">
                  <c:v>43368</c:v>
                </c:pt>
                <c:pt idx="2260">
                  <c:v>43369</c:v>
                </c:pt>
                <c:pt idx="2261">
                  <c:v>43370</c:v>
                </c:pt>
                <c:pt idx="2262">
                  <c:v>43371</c:v>
                </c:pt>
                <c:pt idx="2263">
                  <c:v>43373</c:v>
                </c:pt>
                <c:pt idx="2264">
                  <c:v>43374</c:v>
                </c:pt>
                <c:pt idx="2265">
                  <c:v>43375</c:v>
                </c:pt>
                <c:pt idx="2266">
                  <c:v>43376</c:v>
                </c:pt>
                <c:pt idx="2267">
                  <c:v>43377</c:v>
                </c:pt>
                <c:pt idx="2268">
                  <c:v>43378</c:v>
                </c:pt>
                <c:pt idx="2269">
                  <c:v>43380</c:v>
                </c:pt>
                <c:pt idx="2270">
                  <c:v>43381</c:v>
                </c:pt>
                <c:pt idx="2271">
                  <c:v>43382</c:v>
                </c:pt>
                <c:pt idx="2272">
                  <c:v>43383</c:v>
                </c:pt>
                <c:pt idx="2273">
                  <c:v>43384</c:v>
                </c:pt>
                <c:pt idx="2274">
                  <c:v>43385</c:v>
                </c:pt>
                <c:pt idx="2275">
                  <c:v>43387</c:v>
                </c:pt>
                <c:pt idx="2276">
                  <c:v>43388</c:v>
                </c:pt>
                <c:pt idx="2277">
                  <c:v>43389</c:v>
                </c:pt>
                <c:pt idx="2278">
                  <c:v>43390</c:v>
                </c:pt>
                <c:pt idx="2279">
                  <c:v>43391</c:v>
                </c:pt>
                <c:pt idx="2280">
                  <c:v>43392</c:v>
                </c:pt>
                <c:pt idx="2281">
                  <c:v>43394</c:v>
                </c:pt>
                <c:pt idx="2282">
                  <c:v>43395</c:v>
                </c:pt>
                <c:pt idx="2283">
                  <c:v>43396</c:v>
                </c:pt>
                <c:pt idx="2284">
                  <c:v>43397</c:v>
                </c:pt>
                <c:pt idx="2285">
                  <c:v>43398</c:v>
                </c:pt>
                <c:pt idx="2286">
                  <c:v>43399</c:v>
                </c:pt>
                <c:pt idx="2287">
                  <c:v>43401</c:v>
                </c:pt>
                <c:pt idx="2288">
                  <c:v>43402</c:v>
                </c:pt>
                <c:pt idx="2289">
                  <c:v>43403</c:v>
                </c:pt>
                <c:pt idx="2290">
                  <c:v>43404</c:v>
                </c:pt>
                <c:pt idx="2291">
                  <c:v>43405</c:v>
                </c:pt>
                <c:pt idx="2292">
                  <c:v>43406</c:v>
                </c:pt>
                <c:pt idx="2293">
                  <c:v>43408</c:v>
                </c:pt>
                <c:pt idx="2294">
                  <c:v>43409</c:v>
                </c:pt>
                <c:pt idx="2295">
                  <c:v>43410</c:v>
                </c:pt>
                <c:pt idx="2296">
                  <c:v>43411</c:v>
                </c:pt>
                <c:pt idx="2297">
                  <c:v>43412</c:v>
                </c:pt>
                <c:pt idx="2298">
                  <c:v>43413</c:v>
                </c:pt>
                <c:pt idx="2299">
                  <c:v>43415</c:v>
                </c:pt>
                <c:pt idx="2300">
                  <c:v>43416</c:v>
                </c:pt>
                <c:pt idx="2301">
                  <c:v>43417</c:v>
                </c:pt>
                <c:pt idx="2302">
                  <c:v>43418</c:v>
                </c:pt>
                <c:pt idx="2303">
                  <c:v>43419</c:v>
                </c:pt>
                <c:pt idx="2304">
                  <c:v>43420</c:v>
                </c:pt>
                <c:pt idx="2305">
                  <c:v>43422</c:v>
                </c:pt>
                <c:pt idx="2306">
                  <c:v>43423</c:v>
                </c:pt>
                <c:pt idx="2307">
                  <c:v>43424</c:v>
                </c:pt>
                <c:pt idx="2308">
                  <c:v>43425</c:v>
                </c:pt>
                <c:pt idx="2309">
                  <c:v>43426</c:v>
                </c:pt>
                <c:pt idx="2310">
                  <c:v>43427</c:v>
                </c:pt>
                <c:pt idx="2311">
                  <c:v>43429</c:v>
                </c:pt>
                <c:pt idx="2312">
                  <c:v>43430</c:v>
                </c:pt>
                <c:pt idx="2313">
                  <c:v>43431</c:v>
                </c:pt>
                <c:pt idx="2314">
                  <c:v>43432</c:v>
                </c:pt>
                <c:pt idx="2315">
                  <c:v>43433</c:v>
                </c:pt>
                <c:pt idx="2316">
                  <c:v>43434</c:v>
                </c:pt>
                <c:pt idx="2317">
                  <c:v>43436</c:v>
                </c:pt>
                <c:pt idx="2318">
                  <c:v>43437</c:v>
                </c:pt>
                <c:pt idx="2319">
                  <c:v>43438</c:v>
                </c:pt>
                <c:pt idx="2320">
                  <c:v>43439</c:v>
                </c:pt>
                <c:pt idx="2321">
                  <c:v>43440</c:v>
                </c:pt>
                <c:pt idx="2322">
                  <c:v>43441</c:v>
                </c:pt>
                <c:pt idx="2323">
                  <c:v>43443</c:v>
                </c:pt>
                <c:pt idx="2324">
                  <c:v>43444</c:v>
                </c:pt>
                <c:pt idx="2325">
                  <c:v>43445</c:v>
                </c:pt>
                <c:pt idx="2326">
                  <c:v>43446</c:v>
                </c:pt>
                <c:pt idx="2327">
                  <c:v>43447</c:v>
                </c:pt>
                <c:pt idx="2328">
                  <c:v>43448</c:v>
                </c:pt>
                <c:pt idx="2329">
                  <c:v>43450</c:v>
                </c:pt>
                <c:pt idx="2330">
                  <c:v>43451</c:v>
                </c:pt>
                <c:pt idx="2331">
                  <c:v>43452</c:v>
                </c:pt>
                <c:pt idx="2332">
                  <c:v>43453</c:v>
                </c:pt>
                <c:pt idx="2333">
                  <c:v>43454</c:v>
                </c:pt>
                <c:pt idx="2334">
                  <c:v>43455</c:v>
                </c:pt>
                <c:pt idx="2335">
                  <c:v>43457</c:v>
                </c:pt>
                <c:pt idx="2336">
                  <c:v>43458</c:v>
                </c:pt>
                <c:pt idx="2337">
                  <c:v>43460</c:v>
                </c:pt>
                <c:pt idx="2338">
                  <c:v>43461</c:v>
                </c:pt>
                <c:pt idx="2339">
                  <c:v>43462</c:v>
                </c:pt>
                <c:pt idx="2340">
                  <c:v>43464</c:v>
                </c:pt>
                <c:pt idx="2341">
                  <c:v>43465</c:v>
                </c:pt>
                <c:pt idx="2342">
                  <c:v>43467</c:v>
                </c:pt>
                <c:pt idx="2343">
                  <c:v>43468</c:v>
                </c:pt>
                <c:pt idx="2344">
                  <c:v>43469</c:v>
                </c:pt>
                <c:pt idx="2345">
                  <c:v>43471</c:v>
                </c:pt>
                <c:pt idx="2346">
                  <c:v>43472</c:v>
                </c:pt>
                <c:pt idx="2347">
                  <c:v>43473</c:v>
                </c:pt>
                <c:pt idx="2348">
                  <c:v>43474</c:v>
                </c:pt>
                <c:pt idx="2349">
                  <c:v>43475</c:v>
                </c:pt>
                <c:pt idx="2350">
                  <c:v>43476</c:v>
                </c:pt>
                <c:pt idx="2351">
                  <c:v>43478</c:v>
                </c:pt>
                <c:pt idx="2352">
                  <c:v>43479</c:v>
                </c:pt>
                <c:pt idx="2353">
                  <c:v>43480</c:v>
                </c:pt>
                <c:pt idx="2354">
                  <c:v>43481</c:v>
                </c:pt>
                <c:pt idx="2355">
                  <c:v>43482</c:v>
                </c:pt>
                <c:pt idx="2356">
                  <c:v>43483</c:v>
                </c:pt>
                <c:pt idx="2357">
                  <c:v>43485</c:v>
                </c:pt>
                <c:pt idx="2358">
                  <c:v>43486</c:v>
                </c:pt>
                <c:pt idx="2359">
                  <c:v>43487</c:v>
                </c:pt>
                <c:pt idx="2360">
                  <c:v>43488</c:v>
                </c:pt>
                <c:pt idx="2361">
                  <c:v>43489</c:v>
                </c:pt>
                <c:pt idx="2362">
                  <c:v>43490</c:v>
                </c:pt>
                <c:pt idx="2363">
                  <c:v>43492</c:v>
                </c:pt>
                <c:pt idx="2364">
                  <c:v>43493</c:v>
                </c:pt>
                <c:pt idx="2365">
                  <c:v>43494</c:v>
                </c:pt>
                <c:pt idx="2366">
                  <c:v>43495</c:v>
                </c:pt>
                <c:pt idx="2367">
                  <c:v>43496</c:v>
                </c:pt>
                <c:pt idx="2368">
                  <c:v>43497</c:v>
                </c:pt>
                <c:pt idx="2369">
                  <c:v>43499</c:v>
                </c:pt>
                <c:pt idx="2370">
                  <c:v>43500</c:v>
                </c:pt>
                <c:pt idx="2371">
                  <c:v>43501</c:v>
                </c:pt>
                <c:pt idx="2372">
                  <c:v>43502</c:v>
                </c:pt>
                <c:pt idx="2373">
                  <c:v>43503</c:v>
                </c:pt>
                <c:pt idx="2374">
                  <c:v>43504</c:v>
                </c:pt>
                <c:pt idx="2375">
                  <c:v>43506</c:v>
                </c:pt>
                <c:pt idx="2376">
                  <c:v>43507</c:v>
                </c:pt>
                <c:pt idx="2377">
                  <c:v>43508</c:v>
                </c:pt>
                <c:pt idx="2378">
                  <c:v>43509</c:v>
                </c:pt>
                <c:pt idx="2379">
                  <c:v>43510</c:v>
                </c:pt>
                <c:pt idx="2380">
                  <c:v>43511</c:v>
                </c:pt>
                <c:pt idx="2381">
                  <c:v>43513</c:v>
                </c:pt>
                <c:pt idx="2382">
                  <c:v>43514</c:v>
                </c:pt>
                <c:pt idx="2383">
                  <c:v>43515</c:v>
                </c:pt>
                <c:pt idx="2384">
                  <c:v>43516</c:v>
                </c:pt>
                <c:pt idx="2385">
                  <c:v>43517</c:v>
                </c:pt>
                <c:pt idx="2386">
                  <c:v>43518</c:v>
                </c:pt>
                <c:pt idx="2387">
                  <c:v>43520</c:v>
                </c:pt>
                <c:pt idx="2388">
                  <c:v>43521</c:v>
                </c:pt>
                <c:pt idx="2389">
                  <c:v>43522</c:v>
                </c:pt>
                <c:pt idx="2390">
                  <c:v>43523</c:v>
                </c:pt>
                <c:pt idx="2391">
                  <c:v>43524</c:v>
                </c:pt>
                <c:pt idx="2392">
                  <c:v>43525</c:v>
                </c:pt>
                <c:pt idx="2393">
                  <c:v>43527</c:v>
                </c:pt>
                <c:pt idx="2394">
                  <c:v>43528</c:v>
                </c:pt>
                <c:pt idx="2395">
                  <c:v>43529</c:v>
                </c:pt>
                <c:pt idx="2396">
                  <c:v>43530</c:v>
                </c:pt>
                <c:pt idx="2397">
                  <c:v>43531</c:v>
                </c:pt>
                <c:pt idx="2398">
                  <c:v>43532</c:v>
                </c:pt>
                <c:pt idx="2399">
                  <c:v>43534</c:v>
                </c:pt>
                <c:pt idx="2400">
                  <c:v>43535</c:v>
                </c:pt>
                <c:pt idx="2401">
                  <c:v>43536</c:v>
                </c:pt>
                <c:pt idx="2402">
                  <c:v>43537</c:v>
                </c:pt>
                <c:pt idx="2403">
                  <c:v>43538</c:v>
                </c:pt>
                <c:pt idx="2404">
                  <c:v>43539</c:v>
                </c:pt>
                <c:pt idx="2405">
                  <c:v>43541</c:v>
                </c:pt>
                <c:pt idx="2406">
                  <c:v>43542</c:v>
                </c:pt>
                <c:pt idx="2407">
                  <c:v>43543</c:v>
                </c:pt>
                <c:pt idx="2408">
                  <c:v>43544</c:v>
                </c:pt>
                <c:pt idx="2409">
                  <c:v>43545</c:v>
                </c:pt>
                <c:pt idx="2410">
                  <c:v>43546</c:v>
                </c:pt>
                <c:pt idx="2411">
                  <c:v>43548</c:v>
                </c:pt>
                <c:pt idx="2412">
                  <c:v>43549</c:v>
                </c:pt>
                <c:pt idx="2413">
                  <c:v>43550</c:v>
                </c:pt>
                <c:pt idx="2414">
                  <c:v>43551</c:v>
                </c:pt>
                <c:pt idx="2415">
                  <c:v>43552</c:v>
                </c:pt>
                <c:pt idx="2416">
                  <c:v>43553</c:v>
                </c:pt>
                <c:pt idx="2417">
                  <c:v>43555</c:v>
                </c:pt>
                <c:pt idx="2418">
                  <c:v>43556</c:v>
                </c:pt>
                <c:pt idx="2419">
                  <c:v>43557</c:v>
                </c:pt>
                <c:pt idx="2420">
                  <c:v>43558</c:v>
                </c:pt>
                <c:pt idx="2421">
                  <c:v>43559</c:v>
                </c:pt>
                <c:pt idx="2422">
                  <c:v>43560</c:v>
                </c:pt>
                <c:pt idx="2423">
                  <c:v>43562</c:v>
                </c:pt>
                <c:pt idx="2424">
                  <c:v>43563</c:v>
                </c:pt>
                <c:pt idx="2425">
                  <c:v>43564</c:v>
                </c:pt>
                <c:pt idx="2426">
                  <c:v>43565</c:v>
                </c:pt>
                <c:pt idx="2427">
                  <c:v>43566</c:v>
                </c:pt>
                <c:pt idx="2428">
                  <c:v>43567</c:v>
                </c:pt>
                <c:pt idx="2429">
                  <c:v>43569</c:v>
                </c:pt>
                <c:pt idx="2430">
                  <c:v>43570</c:v>
                </c:pt>
                <c:pt idx="2431">
                  <c:v>43571</c:v>
                </c:pt>
                <c:pt idx="2432">
                  <c:v>43572</c:v>
                </c:pt>
                <c:pt idx="2433">
                  <c:v>43573</c:v>
                </c:pt>
                <c:pt idx="2434">
                  <c:v>43576</c:v>
                </c:pt>
                <c:pt idx="2435">
                  <c:v>43577</c:v>
                </c:pt>
                <c:pt idx="2436">
                  <c:v>43578</c:v>
                </c:pt>
                <c:pt idx="2437">
                  <c:v>43579</c:v>
                </c:pt>
                <c:pt idx="2438">
                  <c:v>43580</c:v>
                </c:pt>
                <c:pt idx="2439">
                  <c:v>43581</c:v>
                </c:pt>
                <c:pt idx="2440">
                  <c:v>43583</c:v>
                </c:pt>
                <c:pt idx="2441">
                  <c:v>43584</c:v>
                </c:pt>
                <c:pt idx="2442">
                  <c:v>43585</c:v>
                </c:pt>
                <c:pt idx="2443">
                  <c:v>43586</c:v>
                </c:pt>
                <c:pt idx="2444">
                  <c:v>43587</c:v>
                </c:pt>
                <c:pt idx="2445">
                  <c:v>43588</c:v>
                </c:pt>
                <c:pt idx="2446">
                  <c:v>43590</c:v>
                </c:pt>
                <c:pt idx="2447">
                  <c:v>43591</c:v>
                </c:pt>
                <c:pt idx="2448">
                  <c:v>43592</c:v>
                </c:pt>
                <c:pt idx="2449">
                  <c:v>43593</c:v>
                </c:pt>
                <c:pt idx="2450">
                  <c:v>43594</c:v>
                </c:pt>
                <c:pt idx="2451">
                  <c:v>43595</c:v>
                </c:pt>
                <c:pt idx="2452">
                  <c:v>43597</c:v>
                </c:pt>
                <c:pt idx="2453">
                  <c:v>43598</c:v>
                </c:pt>
                <c:pt idx="2454">
                  <c:v>43599</c:v>
                </c:pt>
                <c:pt idx="2455">
                  <c:v>43600</c:v>
                </c:pt>
                <c:pt idx="2456">
                  <c:v>43601</c:v>
                </c:pt>
                <c:pt idx="2457">
                  <c:v>43602</c:v>
                </c:pt>
                <c:pt idx="2458">
                  <c:v>43604</c:v>
                </c:pt>
                <c:pt idx="2459">
                  <c:v>43605</c:v>
                </c:pt>
                <c:pt idx="2460">
                  <c:v>43606</c:v>
                </c:pt>
                <c:pt idx="2461">
                  <c:v>43607</c:v>
                </c:pt>
                <c:pt idx="2462">
                  <c:v>43608</c:v>
                </c:pt>
                <c:pt idx="2463">
                  <c:v>43609</c:v>
                </c:pt>
                <c:pt idx="2464">
                  <c:v>43611</c:v>
                </c:pt>
                <c:pt idx="2465">
                  <c:v>43612</c:v>
                </c:pt>
                <c:pt idx="2466">
                  <c:v>43613</c:v>
                </c:pt>
                <c:pt idx="2467">
                  <c:v>43614</c:v>
                </c:pt>
                <c:pt idx="2468">
                  <c:v>43615</c:v>
                </c:pt>
                <c:pt idx="2469">
                  <c:v>43616</c:v>
                </c:pt>
                <c:pt idx="2470">
                  <c:v>43618</c:v>
                </c:pt>
                <c:pt idx="2471">
                  <c:v>43619</c:v>
                </c:pt>
                <c:pt idx="2472">
                  <c:v>43620</c:v>
                </c:pt>
                <c:pt idx="2473">
                  <c:v>43621</c:v>
                </c:pt>
                <c:pt idx="2474">
                  <c:v>43622</c:v>
                </c:pt>
                <c:pt idx="2475">
                  <c:v>43623</c:v>
                </c:pt>
                <c:pt idx="2476">
                  <c:v>43625</c:v>
                </c:pt>
                <c:pt idx="2477">
                  <c:v>43626</c:v>
                </c:pt>
                <c:pt idx="2478">
                  <c:v>43627</c:v>
                </c:pt>
                <c:pt idx="2479">
                  <c:v>43628</c:v>
                </c:pt>
                <c:pt idx="2480">
                  <c:v>43629</c:v>
                </c:pt>
                <c:pt idx="2481">
                  <c:v>43630</c:v>
                </c:pt>
                <c:pt idx="2482">
                  <c:v>43632</c:v>
                </c:pt>
                <c:pt idx="2483">
                  <c:v>43633</c:v>
                </c:pt>
                <c:pt idx="2484">
                  <c:v>43634</c:v>
                </c:pt>
                <c:pt idx="2485">
                  <c:v>43635</c:v>
                </c:pt>
                <c:pt idx="2486">
                  <c:v>43636</c:v>
                </c:pt>
                <c:pt idx="2487">
                  <c:v>43637</c:v>
                </c:pt>
                <c:pt idx="2488">
                  <c:v>43639</c:v>
                </c:pt>
                <c:pt idx="2489">
                  <c:v>43640</c:v>
                </c:pt>
                <c:pt idx="2490">
                  <c:v>43641</c:v>
                </c:pt>
                <c:pt idx="2491">
                  <c:v>43642</c:v>
                </c:pt>
                <c:pt idx="2492">
                  <c:v>43643</c:v>
                </c:pt>
                <c:pt idx="2493">
                  <c:v>43644</c:v>
                </c:pt>
                <c:pt idx="2494">
                  <c:v>43646</c:v>
                </c:pt>
                <c:pt idx="2495">
                  <c:v>43647</c:v>
                </c:pt>
                <c:pt idx="2496">
                  <c:v>43648</c:v>
                </c:pt>
                <c:pt idx="2497">
                  <c:v>43649</c:v>
                </c:pt>
                <c:pt idx="2498">
                  <c:v>43650</c:v>
                </c:pt>
                <c:pt idx="2499">
                  <c:v>43651</c:v>
                </c:pt>
                <c:pt idx="2500">
                  <c:v>43653</c:v>
                </c:pt>
                <c:pt idx="2501">
                  <c:v>43654</c:v>
                </c:pt>
                <c:pt idx="2502">
                  <c:v>43655</c:v>
                </c:pt>
                <c:pt idx="2503">
                  <c:v>43656</c:v>
                </c:pt>
                <c:pt idx="2504">
                  <c:v>43657</c:v>
                </c:pt>
                <c:pt idx="2505">
                  <c:v>43658</c:v>
                </c:pt>
                <c:pt idx="2506">
                  <c:v>43660</c:v>
                </c:pt>
                <c:pt idx="2507">
                  <c:v>43661</c:v>
                </c:pt>
                <c:pt idx="2508">
                  <c:v>43662</c:v>
                </c:pt>
                <c:pt idx="2509">
                  <c:v>43663</c:v>
                </c:pt>
                <c:pt idx="2510">
                  <c:v>43664</c:v>
                </c:pt>
                <c:pt idx="2511">
                  <c:v>43665</c:v>
                </c:pt>
                <c:pt idx="2512">
                  <c:v>43667</c:v>
                </c:pt>
                <c:pt idx="2513">
                  <c:v>43668</c:v>
                </c:pt>
                <c:pt idx="2514">
                  <c:v>43669</c:v>
                </c:pt>
                <c:pt idx="2515">
                  <c:v>43670</c:v>
                </c:pt>
                <c:pt idx="2516">
                  <c:v>43671</c:v>
                </c:pt>
                <c:pt idx="2517">
                  <c:v>43672</c:v>
                </c:pt>
                <c:pt idx="2518">
                  <c:v>43674</c:v>
                </c:pt>
                <c:pt idx="2519">
                  <c:v>43675</c:v>
                </c:pt>
                <c:pt idx="2520">
                  <c:v>43676</c:v>
                </c:pt>
                <c:pt idx="2521">
                  <c:v>43677</c:v>
                </c:pt>
                <c:pt idx="2522">
                  <c:v>43678</c:v>
                </c:pt>
                <c:pt idx="2523">
                  <c:v>43679</c:v>
                </c:pt>
                <c:pt idx="2524">
                  <c:v>43681</c:v>
                </c:pt>
                <c:pt idx="2525">
                  <c:v>43682</c:v>
                </c:pt>
                <c:pt idx="2526">
                  <c:v>43683</c:v>
                </c:pt>
                <c:pt idx="2527">
                  <c:v>43684</c:v>
                </c:pt>
                <c:pt idx="2528">
                  <c:v>43685</c:v>
                </c:pt>
                <c:pt idx="2529">
                  <c:v>43686</c:v>
                </c:pt>
                <c:pt idx="2530">
                  <c:v>43688</c:v>
                </c:pt>
                <c:pt idx="2531">
                  <c:v>43689</c:v>
                </c:pt>
                <c:pt idx="2532">
                  <c:v>43690</c:v>
                </c:pt>
                <c:pt idx="2533">
                  <c:v>43691</c:v>
                </c:pt>
                <c:pt idx="2534">
                  <c:v>43692</c:v>
                </c:pt>
                <c:pt idx="2535">
                  <c:v>43693</c:v>
                </c:pt>
                <c:pt idx="2536">
                  <c:v>43695</c:v>
                </c:pt>
                <c:pt idx="2537">
                  <c:v>43696</c:v>
                </c:pt>
                <c:pt idx="2538">
                  <c:v>43697</c:v>
                </c:pt>
                <c:pt idx="2539">
                  <c:v>43698</c:v>
                </c:pt>
                <c:pt idx="2540">
                  <c:v>43699</c:v>
                </c:pt>
                <c:pt idx="2541">
                  <c:v>43700</c:v>
                </c:pt>
                <c:pt idx="2542">
                  <c:v>43702</c:v>
                </c:pt>
                <c:pt idx="2543">
                  <c:v>43703</c:v>
                </c:pt>
                <c:pt idx="2544">
                  <c:v>43704</c:v>
                </c:pt>
                <c:pt idx="2545">
                  <c:v>43705</c:v>
                </c:pt>
                <c:pt idx="2546">
                  <c:v>43706</c:v>
                </c:pt>
                <c:pt idx="2547">
                  <c:v>43707</c:v>
                </c:pt>
                <c:pt idx="2548">
                  <c:v>43709</c:v>
                </c:pt>
                <c:pt idx="2549">
                  <c:v>43710</c:v>
                </c:pt>
                <c:pt idx="2550">
                  <c:v>43711</c:v>
                </c:pt>
                <c:pt idx="2551">
                  <c:v>43712</c:v>
                </c:pt>
                <c:pt idx="2552">
                  <c:v>43713</c:v>
                </c:pt>
                <c:pt idx="2553">
                  <c:v>43714</c:v>
                </c:pt>
                <c:pt idx="2554">
                  <c:v>43716</c:v>
                </c:pt>
                <c:pt idx="2555">
                  <c:v>43717</c:v>
                </c:pt>
                <c:pt idx="2556">
                  <c:v>43718</c:v>
                </c:pt>
                <c:pt idx="2557">
                  <c:v>43719</c:v>
                </c:pt>
                <c:pt idx="2558">
                  <c:v>43720</c:v>
                </c:pt>
                <c:pt idx="2559">
                  <c:v>43721</c:v>
                </c:pt>
                <c:pt idx="2560">
                  <c:v>43723</c:v>
                </c:pt>
                <c:pt idx="2561">
                  <c:v>43724</c:v>
                </c:pt>
                <c:pt idx="2562">
                  <c:v>43725</c:v>
                </c:pt>
                <c:pt idx="2563">
                  <c:v>43726</c:v>
                </c:pt>
                <c:pt idx="2564">
                  <c:v>43727</c:v>
                </c:pt>
                <c:pt idx="2565">
                  <c:v>43728</c:v>
                </c:pt>
                <c:pt idx="2566">
                  <c:v>43730</c:v>
                </c:pt>
                <c:pt idx="2567">
                  <c:v>43731</c:v>
                </c:pt>
                <c:pt idx="2568">
                  <c:v>43732</c:v>
                </c:pt>
                <c:pt idx="2569">
                  <c:v>43733</c:v>
                </c:pt>
                <c:pt idx="2570">
                  <c:v>43734</c:v>
                </c:pt>
                <c:pt idx="2571">
                  <c:v>43735</c:v>
                </c:pt>
                <c:pt idx="2572">
                  <c:v>43737</c:v>
                </c:pt>
                <c:pt idx="2573">
                  <c:v>43738</c:v>
                </c:pt>
                <c:pt idx="2574">
                  <c:v>43739</c:v>
                </c:pt>
                <c:pt idx="2575">
                  <c:v>43740</c:v>
                </c:pt>
                <c:pt idx="2576">
                  <c:v>43741</c:v>
                </c:pt>
                <c:pt idx="2577">
                  <c:v>43742</c:v>
                </c:pt>
                <c:pt idx="2578">
                  <c:v>43744</c:v>
                </c:pt>
                <c:pt idx="2579">
                  <c:v>43745</c:v>
                </c:pt>
                <c:pt idx="2580">
                  <c:v>43746</c:v>
                </c:pt>
                <c:pt idx="2581">
                  <c:v>43747</c:v>
                </c:pt>
                <c:pt idx="2582">
                  <c:v>43748</c:v>
                </c:pt>
                <c:pt idx="2583">
                  <c:v>43749</c:v>
                </c:pt>
                <c:pt idx="2584">
                  <c:v>43751</c:v>
                </c:pt>
                <c:pt idx="2585">
                  <c:v>43752</c:v>
                </c:pt>
                <c:pt idx="2586">
                  <c:v>43753</c:v>
                </c:pt>
                <c:pt idx="2587">
                  <c:v>43754</c:v>
                </c:pt>
                <c:pt idx="2588">
                  <c:v>43755</c:v>
                </c:pt>
                <c:pt idx="2589">
                  <c:v>43756</c:v>
                </c:pt>
                <c:pt idx="2590">
                  <c:v>43758</c:v>
                </c:pt>
                <c:pt idx="2591">
                  <c:v>43759</c:v>
                </c:pt>
                <c:pt idx="2592">
                  <c:v>43760</c:v>
                </c:pt>
                <c:pt idx="2593">
                  <c:v>43761</c:v>
                </c:pt>
                <c:pt idx="2594">
                  <c:v>43762</c:v>
                </c:pt>
                <c:pt idx="2595">
                  <c:v>43763</c:v>
                </c:pt>
                <c:pt idx="2596">
                  <c:v>43765</c:v>
                </c:pt>
                <c:pt idx="2597">
                  <c:v>43766</c:v>
                </c:pt>
                <c:pt idx="2598">
                  <c:v>43767</c:v>
                </c:pt>
                <c:pt idx="2599">
                  <c:v>43768</c:v>
                </c:pt>
                <c:pt idx="2600">
                  <c:v>43769</c:v>
                </c:pt>
                <c:pt idx="2601">
                  <c:v>43770</c:v>
                </c:pt>
                <c:pt idx="2602">
                  <c:v>43772</c:v>
                </c:pt>
                <c:pt idx="2603">
                  <c:v>43773</c:v>
                </c:pt>
                <c:pt idx="2604">
                  <c:v>43774</c:v>
                </c:pt>
                <c:pt idx="2605">
                  <c:v>43775</c:v>
                </c:pt>
                <c:pt idx="2606">
                  <c:v>43776</c:v>
                </c:pt>
                <c:pt idx="2607">
                  <c:v>43777</c:v>
                </c:pt>
                <c:pt idx="2608">
                  <c:v>43779</c:v>
                </c:pt>
                <c:pt idx="2609">
                  <c:v>43780</c:v>
                </c:pt>
                <c:pt idx="2610">
                  <c:v>43781</c:v>
                </c:pt>
                <c:pt idx="2611">
                  <c:v>43782</c:v>
                </c:pt>
                <c:pt idx="2612">
                  <c:v>43783</c:v>
                </c:pt>
                <c:pt idx="2613">
                  <c:v>43784</c:v>
                </c:pt>
                <c:pt idx="2614">
                  <c:v>43786</c:v>
                </c:pt>
                <c:pt idx="2615">
                  <c:v>43787</c:v>
                </c:pt>
                <c:pt idx="2616">
                  <c:v>43788</c:v>
                </c:pt>
                <c:pt idx="2617">
                  <c:v>43789</c:v>
                </c:pt>
                <c:pt idx="2618">
                  <c:v>43790</c:v>
                </c:pt>
                <c:pt idx="2619">
                  <c:v>43791</c:v>
                </c:pt>
                <c:pt idx="2620">
                  <c:v>43793</c:v>
                </c:pt>
                <c:pt idx="2621">
                  <c:v>43794</c:v>
                </c:pt>
                <c:pt idx="2622">
                  <c:v>43795</c:v>
                </c:pt>
                <c:pt idx="2623">
                  <c:v>43796</c:v>
                </c:pt>
                <c:pt idx="2624">
                  <c:v>43797</c:v>
                </c:pt>
                <c:pt idx="2625">
                  <c:v>43798</c:v>
                </c:pt>
                <c:pt idx="2626">
                  <c:v>43800</c:v>
                </c:pt>
                <c:pt idx="2627">
                  <c:v>43801</c:v>
                </c:pt>
                <c:pt idx="2628">
                  <c:v>43802</c:v>
                </c:pt>
                <c:pt idx="2629">
                  <c:v>43803</c:v>
                </c:pt>
                <c:pt idx="2630">
                  <c:v>43804</c:v>
                </c:pt>
                <c:pt idx="2631">
                  <c:v>43805</c:v>
                </c:pt>
                <c:pt idx="2632">
                  <c:v>43807</c:v>
                </c:pt>
                <c:pt idx="2633">
                  <c:v>43808</c:v>
                </c:pt>
                <c:pt idx="2634">
                  <c:v>43809</c:v>
                </c:pt>
                <c:pt idx="2635">
                  <c:v>43810</c:v>
                </c:pt>
                <c:pt idx="2636">
                  <c:v>43811</c:v>
                </c:pt>
                <c:pt idx="2637">
                  <c:v>43812</c:v>
                </c:pt>
                <c:pt idx="2638">
                  <c:v>43814</c:v>
                </c:pt>
                <c:pt idx="2639">
                  <c:v>43815</c:v>
                </c:pt>
                <c:pt idx="2640">
                  <c:v>43816</c:v>
                </c:pt>
                <c:pt idx="2641">
                  <c:v>43817</c:v>
                </c:pt>
                <c:pt idx="2642">
                  <c:v>43818</c:v>
                </c:pt>
                <c:pt idx="2643">
                  <c:v>43819</c:v>
                </c:pt>
                <c:pt idx="2644">
                  <c:v>43821</c:v>
                </c:pt>
                <c:pt idx="2645">
                  <c:v>43822</c:v>
                </c:pt>
                <c:pt idx="2646">
                  <c:v>43823</c:v>
                </c:pt>
                <c:pt idx="2647">
                  <c:v>43825</c:v>
                </c:pt>
                <c:pt idx="2648">
                  <c:v>43826</c:v>
                </c:pt>
                <c:pt idx="2649">
                  <c:v>43828</c:v>
                </c:pt>
                <c:pt idx="2650">
                  <c:v>43829</c:v>
                </c:pt>
                <c:pt idx="2651">
                  <c:v>43830</c:v>
                </c:pt>
                <c:pt idx="2652">
                  <c:v>43832</c:v>
                </c:pt>
                <c:pt idx="2653">
                  <c:v>43833</c:v>
                </c:pt>
                <c:pt idx="2654">
                  <c:v>43835</c:v>
                </c:pt>
                <c:pt idx="2655">
                  <c:v>43836</c:v>
                </c:pt>
                <c:pt idx="2656">
                  <c:v>43837</c:v>
                </c:pt>
                <c:pt idx="2657">
                  <c:v>43838</c:v>
                </c:pt>
                <c:pt idx="2658">
                  <c:v>43839</c:v>
                </c:pt>
                <c:pt idx="2659">
                  <c:v>43840</c:v>
                </c:pt>
                <c:pt idx="2660">
                  <c:v>43842</c:v>
                </c:pt>
                <c:pt idx="2661">
                  <c:v>43843</c:v>
                </c:pt>
                <c:pt idx="2662">
                  <c:v>43844</c:v>
                </c:pt>
                <c:pt idx="2663">
                  <c:v>43845</c:v>
                </c:pt>
                <c:pt idx="2664">
                  <c:v>43846</c:v>
                </c:pt>
                <c:pt idx="2665">
                  <c:v>43847</c:v>
                </c:pt>
                <c:pt idx="2666">
                  <c:v>43849</c:v>
                </c:pt>
                <c:pt idx="2667">
                  <c:v>43850</c:v>
                </c:pt>
                <c:pt idx="2668">
                  <c:v>43851</c:v>
                </c:pt>
                <c:pt idx="2669">
                  <c:v>43852</c:v>
                </c:pt>
                <c:pt idx="2670">
                  <c:v>43853</c:v>
                </c:pt>
                <c:pt idx="2671">
                  <c:v>43854</c:v>
                </c:pt>
                <c:pt idx="2672">
                  <c:v>43856</c:v>
                </c:pt>
                <c:pt idx="2673">
                  <c:v>43857</c:v>
                </c:pt>
                <c:pt idx="2674">
                  <c:v>43858</c:v>
                </c:pt>
                <c:pt idx="2675">
                  <c:v>43859</c:v>
                </c:pt>
                <c:pt idx="2676">
                  <c:v>43860</c:v>
                </c:pt>
                <c:pt idx="2677">
                  <c:v>43861</c:v>
                </c:pt>
                <c:pt idx="2678">
                  <c:v>43863</c:v>
                </c:pt>
                <c:pt idx="2679">
                  <c:v>43864</c:v>
                </c:pt>
                <c:pt idx="2680">
                  <c:v>43865</c:v>
                </c:pt>
                <c:pt idx="2681">
                  <c:v>43866</c:v>
                </c:pt>
                <c:pt idx="2682">
                  <c:v>43867</c:v>
                </c:pt>
                <c:pt idx="2683">
                  <c:v>43868</c:v>
                </c:pt>
                <c:pt idx="2684">
                  <c:v>43870</c:v>
                </c:pt>
                <c:pt idx="2685">
                  <c:v>43871</c:v>
                </c:pt>
                <c:pt idx="2686">
                  <c:v>43872</c:v>
                </c:pt>
                <c:pt idx="2687">
                  <c:v>43873</c:v>
                </c:pt>
                <c:pt idx="2688">
                  <c:v>43874</c:v>
                </c:pt>
                <c:pt idx="2689">
                  <c:v>43875</c:v>
                </c:pt>
                <c:pt idx="2690">
                  <c:v>43877</c:v>
                </c:pt>
                <c:pt idx="2691">
                  <c:v>43878</c:v>
                </c:pt>
                <c:pt idx="2692">
                  <c:v>43879</c:v>
                </c:pt>
                <c:pt idx="2693">
                  <c:v>43880</c:v>
                </c:pt>
                <c:pt idx="2694">
                  <c:v>43881</c:v>
                </c:pt>
                <c:pt idx="2695">
                  <c:v>43882</c:v>
                </c:pt>
                <c:pt idx="2696">
                  <c:v>43884</c:v>
                </c:pt>
                <c:pt idx="2697">
                  <c:v>43885</c:v>
                </c:pt>
                <c:pt idx="2698">
                  <c:v>43886</c:v>
                </c:pt>
                <c:pt idx="2699">
                  <c:v>43887</c:v>
                </c:pt>
                <c:pt idx="2700">
                  <c:v>43888</c:v>
                </c:pt>
                <c:pt idx="2701">
                  <c:v>43889</c:v>
                </c:pt>
                <c:pt idx="2702">
                  <c:v>43891</c:v>
                </c:pt>
                <c:pt idx="2703">
                  <c:v>43892</c:v>
                </c:pt>
                <c:pt idx="2704">
                  <c:v>43893</c:v>
                </c:pt>
                <c:pt idx="2705">
                  <c:v>43894</c:v>
                </c:pt>
                <c:pt idx="2706">
                  <c:v>43895</c:v>
                </c:pt>
                <c:pt idx="2707">
                  <c:v>43896</c:v>
                </c:pt>
                <c:pt idx="2708">
                  <c:v>43898</c:v>
                </c:pt>
                <c:pt idx="2709">
                  <c:v>43899</c:v>
                </c:pt>
                <c:pt idx="2710">
                  <c:v>43900</c:v>
                </c:pt>
                <c:pt idx="2711">
                  <c:v>43901</c:v>
                </c:pt>
                <c:pt idx="2712">
                  <c:v>43902</c:v>
                </c:pt>
                <c:pt idx="2713">
                  <c:v>43903</c:v>
                </c:pt>
                <c:pt idx="2714">
                  <c:v>43905</c:v>
                </c:pt>
                <c:pt idx="2715">
                  <c:v>43906</c:v>
                </c:pt>
                <c:pt idx="2716">
                  <c:v>43907</c:v>
                </c:pt>
                <c:pt idx="2717">
                  <c:v>43908</c:v>
                </c:pt>
                <c:pt idx="2718">
                  <c:v>43909</c:v>
                </c:pt>
                <c:pt idx="2719">
                  <c:v>43910</c:v>
                </c:pt>
                <c:pt idx="2720">
                  <c:v>43912</c:v>
                </c:pt>
                <c:pt idx="2721">
                  <c:v>43913</c:v>
                </c:pt>
                <c:pt idx="2722">
                  <c:v>43914</c:v>
                </c:pt>
                <c:pt idx="2723">
                  <c:v>43915</c:v>
                </c:pt>
                <c:pt idx="2724">
                  <c:v>43916</c:v>
                </c:pt>
                <c:pt idx="2725">
                  <c:v>43917</c:v>
                </c:pt>
                <c:pt idx="2726">
                  <c:v>43919</c:v>
                </c:pt>
                <c:pt idx="2727">
                  <c:v>43920</c:v>
                </c:pt>
                <c:pt idx="2728">
                  <c:v>43921</c:v>
                </c:pt>
                <c:pt idx="2729">
                  <c:v>43922</c:v>
                </c:pt>
                <c:pt idx="2730">
                  <c:v>43923</c:v>
                </c:pt>
                <c:pt idx="2731">
                  <c:v>43924</c:v>
                </c:pt>
                <c:pt idx="2732">
                  <c:v>43926</c:v>
                </c:pt>
                <c:pt idx="2733">
                  <c:v>43927</c:v>
                </c:pt>
                <c:pt idx="2734">
                  <c:v>43928</c:v>
                </c:pt>
                <c:pt idx="2735">
                  <c:v>43929</c:v>
                </c:pt>
                <c:pt idx="2736">
                  <c:v>43930</c:v>
                </c:pt>
                <c:pt idx="2737">
                  <c:v>43933</c:v>
                </c:pt>
                <c:pt idx="2738">
                  <c:v>43934</c:v>
                </c:pt>
                <c:pt idx="2739">
                  <c:v>43935</c:v>
                </c:pt>
                <c:pt idx="2740">
                  <c:v>43936</c:v>
                </c:pt>
                <c:pt idx="2741">
                  <c:v>43937</c:v>
                </c:pt>
                <c:pt idx="2742">
                  <c:v>43938</c:v>
                </c:pt>
                <c:pt idx="2743">
                  <c:v>43940</c:v>
                </c:pt>
                <c:pt idx="2744">
                  <c:v>43941</c:v>
                </c:pt>
                <c:pt idx="2745">
                  <c:v>43942</c:v>
                </c:pt>
                <c:pt idx="2746">
                  <c:v>43943</c:v>
                </c:pt>
                <c:pt idx="2747">
                  <c:v>43944</c:v>
                </c:pt>
                <c:pt idx="2748">
                  <c:v>43945</c:v>
                </c:pt>
                <c:pt idx="2749">
                  <c:v>43947</c:v>
                </c:pt>
                <c:pt idx="2750">
                  <c:v>43948</c:v>
                </c:pt>
                <c:pt idx="2751">
                  <c:v>43949</c:v>
                </c:pt>
                <c:pt idx="2752">
                  <c:v>43950</c:v>
                </c:pt>
                <c:pt idx="2753">
                  <c:v>43951</c:v>
                </c:pt>
                <c:pt idx="2754">
                  <c:v>43952</c:v>
                </c:pt>
                <c:pt idx="2755">
                  <c:v>43954</c:v>
                </c:pt>
                <c:pt idx="2756">
                  <c:v>43955</c:v>
                </c:pt>
                <c:pt idx="2757">
                  <c:v>43956</c:v>
                </c:pt>
                <c:pt idx="2758">
                  <c:v>43957</c:v>
                </c:pt>
                <c:pt idx="2759">
                  <c:v>43958</c:v>
                </c:pt>
                <c:pt idx="2760">
                  <c:v>43959</c:v>
                </c:pt>
                <c:pt idx="2761">
                  <c:v>43961</c:v>
                </c:pt>
                <c:pt idx="2762">
                  <c:v>43962</c:v>
                </c:pt>
                <c:pt idx="2763">
                  <c:v>43963</c:v>
                </c:pt>
                <c:pt idx="2764">
                  <c:v>43964</c:v>
                </c:pt>
                <c:pt idx="2765">
                  <c:v>43965</c:v>
                </c:pt>
                <c:pt idx="2766">
                  <c:v>43966</c:v>
                </c:pt>
                <c:pt idx="2767">
                  <c:v>43968</c:v>
                </c:pt>
                <c:pt idx="2768">
                  <c:v>43969</c:v>
                </c:pt>
                <c:pt idx="2769">
                  <c:v>43970</c:v>
                </c:pt>
                <c:pt idx="2770">
                  <c:v>43971</c:v>
                </c:pt>
                <c:pt idx="2771">
                  <c:v>43972</c:v>
                </c:pt>
                <c:pt idx="2772">
                  <c:v>43973</c:v>
                </c:pt>
                <c:pt idx="2773">
                  <c:v>43975</c:v>
                </c:pt>
                <c:pt idx="2774">
                  <c:v>43976</c:v>
                </c:pt>
                <c:pt idx="2775">
                  <c:v>43977</c:v>
                </c:pt>
                <c:pt idx="2776">
                  <c:v>43978</c:v>
                </c:pt>
                <c:pt idx="2777">
                  <c:v>43979</c:v>
                </c:pt>
                <c:pt idx="2778">
                  <c:v>43980</c:v>
                </c:pt>
                <c:pt idx="2779">
                  <c:v>43982</c:v>
                </c:pt>
                <c:pt idx="2780">
                  <c:v>43983</c:v>
                </c:pt>
                <c:pt idx="2781">
                  <c:v>43984</c:v>
                </c:pt>
                <c:pt idx="2782">
                  <c:v>43985</c:v>
                </c:pt>
                <c:pt idx="2783">
                  <c:v>43986</c:v>
                </c:pt>
                <c:pt idx="2784">
                  <c:v>43987</c:v>
                </c:pt>
                <c:pt idx="2785">
                  <c:v>43989</c:v>
                </c:pt>
                <c:pt idx="2786">
                  <c:v>43990</c:v>
                </c:pt>
                <c:pt idx="2787">
                  <c:v>43991</c:v>
                </c:pt>
                <c:pt idx="2788">
                  <c:v>43992</c:v>
                </c:pt>
                <c:pt idx="2789">
                  <c:v>43993</c:v>
                </c:pt>
                <c:pt idx="2790">
                  <c:v>43994</c:v>
                </c:pt>
                <c:pt idx="2791">
                  <c:v>43996</c:v>
                </c:pt>
                <c:pt idx="2792">
                  <c:v>43997</c:v>
                </c:pt>
                <c:pt idx="2793">
                  <c:v>43998</c:v>
                </c:pt>
                <c:pt idx="2794">
                  <c:v>43999</c:v>
                </c:pt>
                <c:pt idx="2795">
                  <c:v>44000</c:v>
                </c:pt>
                <c:pt idx="2796">
                  <c:v>44001</c:v>
                </c:pt>
                <c:pt idx="2797">
                  <c:v>44003</c:v>
                </c:pt>
                <c:pt idx="2798">
                  <c:v>44004</c:v>
                </c:pt>
                <c:pt idx="2799">
                  <c:v>44005</c:v>
                </c:pt>
                <c:pt idx="2800">
                  <c:v>44006</c:v>
                </c:pt>
                <c:pt idx="2801">
                  <c:v>44007</c:v>
                </c:pt>
                <c:pt idx="2802">
                  <c:v>44008</c:v>
                </c:pt>
                <c:pt idx="2803">
                  <c:v>44010</c:v>
                </c:pt>
                <c:pt idx="2804">
                  <c:v>44011</c:v>
                </c:pt>
                <c:pt idx="2805">
                  <c:v>44012</c:v>
                </c:pt>
                <c:pt idx="2806">
                  <c:v>44013</c:v>
                </c:pt>
                <c:pt idx="2807">
                  <c:v>44014</c:v>
                </c:pt>
                <c:pt idx="2808">
                  <c:v>44015</c:v>
                </c:pt>
                <c:pt idx="2809">
                  <c:v>44017</c:v>
                </c:pt>
                <c:pt idx="2810">
                  <c:v>44018</c:v>
                </c:pt>
                <c:pt idx="2811">
                  <c:v>44019</c:v>
                </c:pt>
                <c:pt idx="2812">
                  <c:v>44020</c:v>
                </c:pt>
                <c:pt idx="2813">
                  <c:v>44021</c:v>
                </c:pt>
                <c:pt idx="2814">
                  <c:v>44022</c:v>
                </c:pt>
                <c:pt idx="2815">
                  <c:v>44024</c:v>
                </c:pt>
                <c:pt idx="2816">
                  <c:v>44025</c:v>
                </c:pt>
                <c:pt idx="2817">
                  <c:v>44026</c:v>
                </c:pt>
                <c:pt idx="2818">
                  <c:v>44027</c:v>
                </c:pt>
                <c:pt idx="2819">
                  <c:v>44028</c:v>
                </c:pt>
                <c:pt idx="2820">
                  <c:v>44029</c:v>
                </c:pt>
                <c:pt idx="2821">
                  <c:v>44031</c:v>
                </c:pt>
                <c:pt idx="2822">
                  <c:v>44032</c:v>
                </c:pt>
                <c:pt idx="2823">
                  <c:v>44033</c:v>
                </c:pt>
                <c:pt idx="2824">
                  <c:v>44034</c:v>
                </c:pt>
                <c:pt idx="2825">
                  <c:v>44035</c:v>
                </c:pt>
                <c:pt idx="2826">
                  <c:v>44036</c:v>
                </c:pt>
                <c:pt idx="2827">
                  <c:v>44038</c:v>
                </c:pt>
                <c:pt idx="2828">
                  <c:v>44039</c:v>
                </c:pt>
                <c:pt idx="2829">
                  <c:v>44040</c:v>
                </c:pt>
                <c:pt idx="2830">
                  <c:v>44041</c:v>
                </c:pt>
                <c:pt idx="2831">
                  <c:v>44042</c:v>
                </c:pt>
                <c:pt idx="2832">
                  <c:v>44043</c:v>
                </c:pt>
                <c:pt idx="2833">
                  <c:v>44045</c:v>
                </c:pt>
                <c:pt idx="2834">
                  <c:v>44046</c:v>
                </c:pt>
                <c:pt idx="2835">
                  <c:v>44047</c:v>
                </c:pt>
                <c:pt idx="2836">
                  <c:v>44048</c:v>
                </c:pt>
                <c:pt idx="2837">
                  <c:v>44049</c:v>
                </c:pt>
                <c:pt idx="2838">
                  <c:v>44050</c:v>
                </c:pt>
                <c:pt idx="2839">
                  <c:v>44052</c:v>
                </c:pt>
                <c:pt idx="2840">
                  <c:v>44053</c:v>
                </c:pt>
                <c:pt idx="2841">
                  <c:v>44054</c:v>
                </c:pt>
                <c:pt idx="2842">
                  <c:v>44055</c:v>
                </c:pt>
                <c:pt idx="2843">
                  <c:v>44056</c:v>
                </c:pt>
                <c:pt idx="2844">
                  <c:v>44057</c:v>
                </c:pt>
                <c:pt idx="2845">
                  <c:v>44059</c:v>
                </c:pt>
                <c:pt idx="2846">
                  <c:v>44060</c:v>
                </c:pt>
                <c:pt idx="2847">
                  <c:v>44061</c:v>
                </c:pt>
                <c:pt idx="2848">
                  <c:v>44062</c:v>
                </c:pt>
                <c:pt idx="2849">
                  <c:v>44063</c:v>
                </c:pt>
                <c:pt idx="2850">
                  <c:v>44064</c:v>
                </c:pt>
                <c:pt idx="2851">
                  <c:v>44066</c:v>
                </c:pt>
                <c:pt idx="2852">
                  <c:v>44067</c:v>
                </c:pt>
                <c:pt idx="2853">
                  <c:v>44068</c:v>
                </c:pt>
                <c:pt idx="2854">
                  <c:v>44069</c:v>
                </c:pt>
                <c:pt idx="2855">
                  <c:v>44070</c:v>
                </c:pt>
                <c:pt idx="2856">
                  <c:v>44071</c:v>
                </c:pt>
                <c:pt idx="2857">
                  <c:v>44073</c:v>
                </c:pt>
                <c:pt idx="2858">
                  <c:v>44074</c:v>
                </c:pt>
                <c:pt idx="2859">
                  <c:v>44075</c:v>
                </c:pt>
                <c:pt idx="2860">
                  <c:v>44076</c:v>
                </c:pt>
                <c:pt idx="2861">
                  <c:v>44077</c:v>
                </c:pt>
                <c:pt idx="2862">
                  <c:v>44078</c:v>
                </c:pt>
                <c:pt idx="2863">
                  <c:v>44080</c:v>
                </c:pt>
                <c:pt idx="2864">
                  <c:v>44081</c:v>
                </c:pt>
                <c:pt idx="2865">
                  <c:v>44082</c:v>
                </c:pt>
                <c:pt idx="2866">
                  <c:v>44083</c:v>
                </c:pt>
                <c:pt idx="2867">
                  <c:v>44084</c:v>
                </c:pt>
                <c:pt idx="2868">
                  <c:v>44085</c:v>
                </c:pt>
                <c:pt idx="2869">
                  <c:v>44087</c:v>
                </c:pt>
                <c:pt idx="2870">
                  <c:v>44088</c:v>
                </c:pt>
                <c:pt idx="2871">
                  <c:v>44089</c:v>
                </c:pt>
                <c:pt idx="2872">
                  <c:v>44090</c:v>
                </c:pt>
                <c:pt idx="2873">
                  <c:v>44091</c:v>
                </c:pt>
                <c:pt idx="2874">
                  <c:v>44092</c:v>
                </c:pt>
                <c:pt idx="2875">
                  <c:v>44094</c:v>
                </c:pt>
                <c:pt idx="2876">
                  <c:v>44095</c:v>
                </c:pt>
                <c:pt idx="2877">
                  <c:v>44096</c:v>
                </c:pt>
                <c:pt idx="2878">
                  <c:v>44097</c:v>
                </c:pt>
                <c:pt idx="2879">
                  <c:v>44098</c:v>
                </c:pt>
                <c:pt idx="2880">
                  <c:v>44099</c:v>
                </c:pt>
                <c:pt idx="2881">
                  <c:v>44101</c:v>
                </c:pt>
                <c:pt idx="2882">
                  <c:v>44102</c:v>
                </c:pt>
                <c:pt idx="2883">
                  <c:v>44103</c:v>
                </c:pt>
                <c:pt idx="2884">
                  <c:v>44104</c:v>
                </c:pt>
                <c:pt idx="2885">
                  <c:v>44105</c:v>
                </c:pt>
                <c:pt idx="2886">
                  <c:v>44106</c:v>
                </c:pt>
                <c:pt idx="2887">
                  <c:v>44108</c:v>
                </c:pt>
                <c:pt idx="2888">
                  <c:v>44109</c:v>
                </c:pt>
                <c:pt idx="2889">
                  <c:v>44110</c:v>
                </c:pt>
                <c:pt idx="2890">
                  <c:v>44111</c:v>
                </c:pt>
                <c:pt idx="2891">
                  <c:v>44112</c:v>
                </c:pt>
                <c:pt idx="2892">
                  <c:v>44113</c:v>
                </c:pt>
                <c:pt idx="2893">
                  <c:v>44115</c:v>
                </c:pt>
                <c:pt idx="2894">
                  <c:v>44116</c:v>
                </c:pt>
                <c:pt idx="2895">
                  <c:v>44117</c:v>
                </c:pt>
                <c:pt idx="2896">
                  <c:v>44118</c:v>
                </c:pt>
                <c:pt idx="2897">
                  <c:v>44119</c:v>
                </c:pt>
                <c:pt idx="2898">
                  <c:v>44120</c:v>
                </c:pt>
                <c:pt idx="2899">
                  <c:v>44122</c:v>
                </c:pt>
                <c:pt idx="2900">
                  <c:v>44123</c:v>
                </c:pt>
                <c:pt idx="2901">
                  <c:v>44124</c:v>
                </c:pt>
                <c:pt idx="2902">
                  <c:v>44125</c:v>
                </c:pt>
                <c:pt idx="2903">
                  <c:v>44126</c:v>
                </c:pt>
                <c:pt idx="2904">
                  <c:v>44127</c:v>
                </c:pt>
                <c:pt idx="2905">
                  <c:v>44129</c:v>
                </c:pt>
                <c:pt idx="2906">
                  <c:v>44130</c:v>
                </c:pt>
                <c:pt idx="2907">
                  <c:v>44131</c:v>
                </c:pt>
                <c:pt idx="2908">
                  <c:v>44132</c:v>
                </c:pt>
                <c:pt idx="2909">
                  <c:v>44133</c:v>
                </c:pt>
                <c:pt idx="2910">
                  <c:v>44134</c:v>
                </c:pt>
                <c:pt idx="2911">
                  <c:v>44136</c:v>
                </c:pt>
                <c:pt idx="2912">
                  <c:v>44137</c:v>
                </c:pt>
                <c:pt idx="2913">
                  <c:v>44138</c:v>
                </c:pt>
                <c:pt idx="2914">
                  <c:v>44139</c:v>
                </c:pt>
                <c:pt idx="2915">
                  <c:v>44140</c:v>
                </c:pt>
                <c:pt idx="2916">
                  <c:v>44141</c:v>
                </c:pt>
                <c:pt idx="2917">
                  <c:v>44143</c:v>
                </c:pt>
                <c:pt idx="2918">
                  <c:v>44144</c:v>
                </c:pt>
                <c:pt idx="2919">
                  <c:v>44145</c:v>
                </c:pt>
                <c:pt idx="2920">
                  <c:v>44146</c:v>
                </c:pt>
                <c:pt idx="2921">
                  <c:v>44147</c:v>
                </c:pt>
                <c:pt idx="2922">
                  <c:v>44148</c:v>
                </c:pt>
                <c:pt idx="2923">
                  <c:v>44150</c:v>
                </c:pt>
                <c:pt idx="2924">
                  <c:v>44151</c:v>
                </c:pt>
                <c:pt idx="2925">
                  <c:v>44152</c:v>
                </c:pt>
                <c:pt idx="2926">
                  <c:v>44153</c:v>
                </c:pt>
                <c:pt idx="2927">
                  <c:v>44154</c:v>
                </c:pt>
                <c:pt idx="2928">
                  <c:v>44155</c:v>
                </c:pt>
                <c:pt idx="2929">
                  <c:v>44157</c:v>
                </c:pt>
                <c:pt idx="2930">
                  <c:v>44158</c:v>
                </c:pt>
                <c:pt idx="2931">
                  <c:v>44159</c:v>
                </c:pt>
                <c:pt idx="2932">
                  <c:v>44160</c:v>
                </c:pt>
                <c:pt idx="2933">
                  <c:v>44161</c:v>
                </c:pt>
                <c:pt idx="2934">
                  <c:v>44162</c:v>
                </c:pt>
                <c:pt idx="2935">
                  <c:v>44164</c:v>
                </c:pt>
                <c:pt idx="2936">
                  <c:v>44165</c:v>
                </c:pt>
                <c:pt idx="2937">
                  <c:v>44166</c:v>
                </c:pt>
                <c:pt idx="2938">
                  <c:v>44167</c:v>
                </c:pt>
                <c:pt idx="2939">
                  <c:v>44168</c:v>
                </c:pt>
                <c:pt idx="2940">
                  <c:v>44169</c:v>
                </c:pt>
                <c:pt idx="2941">
                  <c:v>44171</c:v>
                </c:pt>
                <c:pt idx="2942">
                  <c:v>44172</c:v>
                </c:pt>
                <c:pt idx="2943">
                  <c:v>44173</c:v>
                </c:pt>
                <c:pt idx="2944">
                  <c:v>44174</c:v>
                </c:pt>
                <c:pt idx="2945">
                  <c:v>44175</c:v>
                </c:pt>
                <c:pt idx="2946">
                  <c:v>44176</c:v>
                </c:pt>
                <c:pt idx="2947">
                  <c:v>44178</c:v>
                </c:pt>
                <c:pt idx="2948">
                  <c:v>44179</c:v>
                </c:pt>
                <c:pt idx="2949">
                  <c:v>44180</c:v>
                </c:pt>
                <c:pt idx="2950">
                  <c:v>44181</c:v>
                </c:pt>
                <c:pt idx="2951">
                  <c:v>44182</c:v>
                </c:pt>
                <c:pt idx="2952">
                  <c:v>44183</c:v>
                </c:pt>
                <c:pt idx="2953">
                  <c:v>44185</c:v>
                </c:pt>
                <c:pt idx="2954">
                  <c:v>44186</c:v>
                </c:pt>
                <c:pt idx="2955">
                  <c:v>44187</c:v>
                </c:pt>
                <c:pt idx="2956">
                  <c:v>44188</c:v>
                </c:pt>
                <c:pt idx="2957">
                  <c:v>44189</c:v>
                </c:pt>
                <c:pt idx="2958">
                  <c:v>44192</c:v>
                </c:pt>
                <c:pt idx="2959">
                  <c:v>44193</c:v>
                </c:pt>
                <c:pt idx="2960">
                  <c:v>44194</c:v>
                </c:pt>
                <c:pt idx="2961">
                  <c:v>44195</c:v>
                </c:pt>
                <c:pt idx="2962">
                  <c:v>44196</c:v>
                </c:pt>
                <c:pt idx="2963">
                  <c:v>44199</c:v>
                </c:pt>
                <c:pt idx="2964">
                  <c:v>44200</c:v>
                </c:pt>
                <c:pt idx="2965">
                  <c:v>44201</c:v>
                </c:pt>
                <c:pt idx="2966">
                  <c:v>44202</c:v>
                </c:pt>
                <c:pt idx="2967">
                  <c:v>44203</c:v>
                </c:pt>
                <c:pt idx="2968">
                  <c:v>44204</c:v>
                </c:pt>
                <c:pt idx="2969">
                  <c:v>44206</c:v>
                </c:pt>
                <c:pt idx="2970">
                  <c:v>44207</c:v>
                </c:pt>
                <c:pt idx="2971">
                  <c:v>44208</c:v>
                </c:pt>
                <c:pt idx="2972">
                  <c:v>44209</c:v>
                </c:pt>
                <c:pt idx="2973">
                  <c:v>44210</c:v>
                </c:pt>
                <c:pt idx="2974">
                  <c:v>44211</c:v>
                </c:pt>
                <c:pt idx="2975">
                  <c:v>44213</c:v>
                </c:pt>
                <c:pt idx="2976">
                  <c:v>44214</c:v>
                </c:pt>
                <c:pt idx="2977">
                  <c:v>44215</c:v>
                </c:pt>
                <c:pt idx="2978">
                  <c:v>44216</c:v>
                </c:pt>
                <c:pt idx="2979">
                  <c:v>44217</c:v>
                </c:pt>
                <c:pt idx="2980">
                  <c:v>44218</c:v>
                </c:pt>
                <c:pt idx="2981">
                  <c:v>44220</c:v>
                </c:pt>
                <c:pt idx="2982">
                  <c:v>44221</c:v>
                </c:pt>
                <c:pt idx="2983">
                  <c:v>44222</c:v>
                </c:pt>
                <c:pt idx="2984">
                  <c:v>44223</c:v>
                </c:pt>
                <c:pt idx="2985">
                  <c:v>44224</c:v>
                </c:pt>
                <c:pt idx="2986">
                  <c:v>44225</c:v>
                </c:pt>
                <c:pt idx="2987">
                  <c:v>44227</c:v>
                </c:pt>
                <c:pt idx="2988">
                  <c:v>44228</c:v>
                </c:pt>
                <c:pt idx="2989">
                  <c:v>44229</c:v>
                </c:pt>
                <c:pt idx="2990">
                  <c:v>44230</c:v>
                </c:pt>
                <c:pt idx="2991">
                  <c:v>44231</c:v>
                </c:pt>
                <c:pt idx="2992">
                  <c:v>44232</c:v>
                </c:pt>
                <c:pt idx="2993">
                  <c:v>44234</c:v>
                </c:pt>
                <c:pt idx="2994">
                  <c:v>44235</c:v>
                </c:pt>
                <c:pt idx="2995">
                  <c:v>44236</c:v>
                </c:pt>
                <c:pt idx="2996">
                  <c:v>44237</c:v>
                </c:pt>
                <c:pt idx="2997">
                  <c:v>44238</c:v>
                </c:pt>
                <c:pt idx="2998">
                  <c:v>44239</c:v>
                </c:pt>
                <c:pt idx="2999">
                  <c:v>44241</c:v>
                </c:pt>
                <c:pt idx="3000">
                  <c:v>44242</c:v>
                </c:pt>
                <c:pt idx="3001">
                  <c:v>44243</c:v>
                </c:pt>
                <c:pt idx="3002">
                  <c:v>44244</c:v>
                </c:pt>
                <c:pt idx="3003">
                  <c:v>44245</c:v>
                </c:pt>
                <c:pt idx="3004">
                  <c:v>44246</c:v>
                </c:pt>
                <c:pt idx="3005">
                  <c:v>44248</c:v>
                </c:pt>
                <c:pt idx="3006">
                  <c:v>44249</c:v>
                </c:pt>
                <c:pt idx="3007">
                  <c:v>44250</c:v>
                </c:pt>
                <c:pt idx="3008">
                  <c:v>44251</c:v>
                </c:pt>
                <c:pt idx="3009">
                  <c:v>44252</c:v>
                </c:pt>
                <c:pt idx="3010">
                  <c:v>44253</c:v>
                </c:pt>
                <c:pt idx="3011">
                  <c:v>44255</c:v>
                </c:pt>
                <c:pt idx="3012">
                  <c:v>44256</c:v>
                </c:pt>
                <c:pt idx="3013">
                  <c:v>44257</c:v>
                </c:pt>
                <c:pt idx="3014">
                  <c:v>44258</c:v>
                </c:pt>
                <c:pt idx="3015">
                  <c:v>44259</c:v>
                </c:pt>
                <c:pt idx="3016">
                  <c:v>44260</c:v>
                </c:pt>
                <c:pt idx="3017">
                  <c:v>44262</c:v>
                </c:pt>
                <c:pt idx="3018">
                  <c:v>44263</c:v>
                </c:pt>
                <c:pt idx="3019">
                  <c:v>44264</c:v>
                </c:pt>
                <c:pt idx="3020">
                  <c:v>44265</c:v>
                </c:pt>
                <c:pt idx="3021">
                  <c:v>44266</c:v>
                </c:pt>
                <c:pt idx="3022">
                  <c:v>44267</c:v>
                </c:pt>
                <c:pt idx="3023">
                  <c:v>44269</c:v>
                </c:pt>
                <c:pt idx="3024">
                  <c:v>44270</c:v>
                </c:pt>
                <c:pt idx="3025">
                  <c:v>44271</c:v>
                </c:pt>
                <c:pt idx="3026">
                  <c:v>44272</c:v>
                </c:pt>
                <c:pt idx="3027">
                  <c:v>44273</c:v>
                </c:pt>
                <c:pt idx="3028">
                  <c:v>44274</c:v>
                </c:pt>
                <c:pt idx="3029">
                  <c:v>44276</c:v>
                </c:pt>
                <c:pt idx="3030">
                  <c:v>44277</c:v>
                </c:pt>
                <c:pt idx="3031">
                  <c:v>44278</c:v>
                </c:pt>
                <c:pt idx="3032">
                  <c:v>44279</c:v>
                </c:pt>
                <c:pt idx="3033">
                  <c:v>44280</c:v>
                </c:pt>
                <c:pt idx="3034">
                  <c:v>44281</c:v>
                </c:pt>
                <c:pt idx="3035">
                  <c:v>44283</c:v>
                </c:pt>
                <c:pt idx="3036">
                  <c:v>44284</c:v>
                </c:pt>
                <c:pt idx="3037">
                  <c:v>44285</c:v>
                </c:pt>
                <c:pt idx="3038">
                  <c:v>44286</c:v>
                </c:pt>
                <c:pt idx="3039">
                  <c:v>44287</c:v>
                </c:pt>
                <c:pt idx="3040">
                  <c:v>44290</c:v>
                </c:pt>
                <c:pt idx="3041">
                  <c:v>44291</c:v>
                </c:pt>
                <c:pt idx="3042">
                  <c:v>44292</c:v>
                </c:pt>
                <c:pt idx="3043">
                  <c:v>44293</c:v>
                </c:pt>
                <c:pt idx="3044">
                  <c:v>44294</c:v>
                </c:pt>
                <c:pt idx="3045">
                  <c:v>44295</c:v>
                </c:pt>
                <c:pt idx="3046">
                  <c:v>44297</c:v>
                </c:pt>
                <c:pt idx="3047">
                  <c:v>44298</c:v>
                </c:pt>
                <c:pt idx="3048">
                  <c:v>44299</c:v>
                </c:pt>
                <c:pt idx="3049">
                  <c:v>44300</c:v>
                </c:pt>
                <c:pt idx="3050">
                  <c:v>44301</c:v>
                </c:pt>
                <c:pt idx="3051">
                  <c:v>44302</c:v>
                </c:pt>
                <c:pt idx="3052">
                  <c:v>44304</c:v>
                </c:pt>
                <c:pt idx="3053">
                  <c:v>44305</c:v>
                </c:pt>
                <c:pt idx="3054">
                  <c:v>44306</c:v>
                </c:pt>
                <c:pt idx="3055">
                  <c:v>44307</c:v>
                </c:pt>
                <c:pt idx="3056">
                  <c:v>44308</c:v>
                </c:pt>
                <c:pt idx="3057">
                  <c:v>44309</c:v>
                </c:pt>
                <c:pt idx="3058">
                  <c:v>44311</c:v>
                </c:pt>
                <c:pt idx="3059">
                  <c:v>44312</c:v>
                </c:pt>
                <c:pt idx="3060">
                  <c:v>44313</c:v>
                </c:pt>
                <c:pt idx="3061">
                  <c:v>44314</c:v>
                </c:pt>
                <c:pt idx="3062">
                  <c:v>44315</c:v>
                </c:pt>
                <c:pt idx="3063">
                  <c:v>44316</c:v>
                </c:pt>
                <c:pt idx="3064">
                  <c:v>44318</c:v>
                </c:pt>
                <c:pt idx="3065">
                  <c:v>44319</c:v>
                </c:pt>
                <c:pt idx="3066">
                  <c:v>44320</c:v>
                </c:pt>
                <c:pt idx="3067">
                  <c:v>44321</c:v>
                </c:pt>
                <c:pt idx="3068">
                  <c:v>44322</c:v>
                </c:pt>
                <c:pt idx="3069">
                  <c:v>44323</c:v>
                </c:pt>
                <c:pt idx="3070">
                  <c:v>44325</c:v>
                </c:pt>
                <c:pt idx="3071">
                  <c:v>44326</c:v>
                </c:pt>
                <c:pt idx="3072">
                  <c:v>44327</c:v>
                </c:pt>
                <c:pt idx="3073">
                  <c:v>44328</c:v>
                </c:pt>
                <c:pt idx="3074">
                  <c:v>44329</c:v>
                </c:pt>
                <c:pt idx="3075">
                  <c:v>44330</c:v>
                </c:pt>
                <c:pt idx="3076">
                  <c:v>44332</c:v>
                </c:pt>
                <c:pt idx="3077">
                  <c:v>44333</c:v>
                </c:pt>
                <c:pt idx="3078">
                  <c:v>44334</c:v>
                </c:pt>
                <c:pt idx="3079">
                  <c:v>44335</c:v>
                </c:pt>
                <c:pt idx="3080">
                  <c:v>44336</c:v>
                </c:pt>
                <c:pt idx="3081">
                  <c:v>44337</c:v>
                </c:pt>
                <c:pt idx="3082">
                  <c:v>44339</c:v>
                </c:pt>
                <c:pt idx="3083">
                  <c:v>44340</c:v>
                </c:pt>
                <c:pt idx="3084">
                  <c:v>44341</c:v>
                </c:pt>
                <c:pt idx="3085">
                  <c:v>44342</c:v>
                </c:pt>
                <c:pt idx="3086">
                  <c:v>44343</c:v>
                </c:pt>
                <c:pt idx="3087">
                  <c:v>44344</c:v>
                </c:pt>
                <c:pt idx="3088">
                  <c:v>44346</c:v>
                </c:pt>
                <c:pt idx="3089">
                  <c:v>44347</c:v>
                </c:pt>
                <c:pt idx="3090">
                  <c:v>44348</c:v>
                </c:pt>
                <c:pt idx="3091">
                  <c:v>44349</c:v>
                </c:pt>
                <c:pt idx="3092">
                  <c:v>44350</c:v>
                </c:pt>
                <c:pt idx="3093">
                  <c:v>44351</c:v>
                </c:pt>
                <c:pt idx="3094">
                  <c:v>44353</c:v>
                </c:pt>
                <c:pt idx="3095">
                  <c:v>44354</c:v>
                </c:pt>
                <c:pt idx="3096">
                  <c:v>44355</c:v>
                </c:pt>
                <c:pt idx="3097">
                  <c:v>44356</c:v>
                </c:pt>
                <c:pt idx="3098">
                  <c:v>44357</c:v>
                </c:pt>
                <c:pt idx="3099">
                  <c:v>44358</c:v>
                </c:pt>
                <c:pt idx="3100">
                  <c:v>44360</c:v>
                </c:pt>
                <c:pt idx="3101">
                  <c:v>44361</c:v>
                </c:pt>
                <c:pt idx="3102">
                  <c:v>44362</c:v>
                </c:pt>
                <c:pt idx="3103">
                  <c:v>44363</c:v>
                </c:pt>
                <c:pt idx="3104">
                  <c:v>44364</c:v>
                </c:pt>
                <c:pt idx="3105">
                  <c:v>44365</c:v>
                </c:pt>
                <c:pt idx="3106">
                  <c:v>44367</c:v>
                </c:pt>
                <c:pt idx="3107">
                  <c:v>44368</c:v>
                </c:pt>
                <c:pt idx="3108">
                  <c:v>44369</c:v>
                </c:pt>
                <c:pt idx="3109">
                  <c:v>44370</c:v>
                </c:pt>
                <c:pt idx="3110">
                  <c:v>44371</c:v>
                </c:pt>
                <c:pt idx="3111">
                  <c:v>44372</c:v>
                </c:pt>
                <c:pt idx="3112">
                  <c:v>44374</c:v>
                </c:pt>
                <c:pt idx="3113">
                  <c:v>44375</c:v>
                </c:pt>
                <c:pt idx="3114">
                  <c:v>44376</c:v>
                </c:pt>
                <c:pt idx="3115">
                  <c:v>44377</c:v>
                </c:pt>
                <c:pt idx="3116">
                  <c:v>44378</c:v>
                </c:pt>
                <c:pt idx="3117">
                  <c:v>44379</c:v>
                </c:pt>
                <c:pt idx="3118">
                  <c:v>44381</c:v>
                </c:pt>
                <c:pt idx="3119">
                  <c:v>44382</c:v>
                </c:pt>
                <c:pt idx="3120">
                  <c:v>44383</c:v>
                </c:pt>
                <c:pt idx="3121">
                  <c:v>44384</c:v>
                </c:pt>
                <c:pt idx="3122">
                  <c:v>44385</c:v>
                </c:pt>
                <c:pt idx="3123">
                  <c:v>44386</c:v>
                </c:pt>
                <c:pt idx="3124">
                  <c:v>44388</c:v>
                </c:pt>
                <c:pt idx="3125">
                  <c:v>44389</c:v>
                </c:pt>
                <c:pt idx="3126">
                  <c:v>44390</c:v>
                </c:pt>
                <c:pt idx="3127">
                  <c:v>44391</c:v>
                </c:pt>
                <c:pt idx="3128">
                  <c:v>44392</c:v>
                </c:pt>
                <c:pt idx="3129">
                  <c:v>44393</c:v>
                </c:pt>
                <c:pt idx="3130">
                  <c:v>44395</c:v>
                </c:pt>
                <c:pt idx="3131">
                  <c:v>44396</c:v>
                </c:pt>
                <c:pt idx="3132">
                  <c:v>44397</c:v>
                </c:pt>
                <c:pt idx="3133">
                  <c:v>44398</c:v>
                </c:pt>
                <c:pt idx="3134">
                  <c:v>44399</c:v>
                </c:pt>
                <c:pt idx="3135">
                  <c:v>44400</c:v>
                </c:pt>
                <c:pt idx="3136">
                  <c:v>44403</c:v>
                </c:pt>
                <c:pt idx="3137">
                  <c:v>44404</c:v>
                </c:pt>
                <c:pt idx="3138">
                  <c:v>44405</c:v>
                </c:pt>
                <c:pt idx="3139">
                  <c:v>44406</c:v>
                </c:pt>
                <c:pt idx="3140">
                  <c:v>44407</c:v>
                </c:pt>
                <c:pt idx="3141">
                  <c:v>44409</c:v>
                </c:pt>
                <c:pt idx="3142">
                  <c:v>44410</c:v>
                </c:pt>
                <c:pt idx="3143">
                  <c:v>44411</c:v>
                </c:pt>
                <c:pt idx="3144">
                  <c:v>44412</c:v>
                </c:pt>
                <c:pt idx="3145">
                  <c:v>44413</c:v>
                </c:pt>
                <c:pt idx="3146">
                  <c:v>44414</c:v>
                </c:pt>
                <c:pt idx="3147">
                  <c:v>44416</c:v>
                </c:pt>
                <c:pt idx="3148">
                  <c:v>44417</c:v>
                </c:pt>
                <c:pt idx="3149">
                  <c:v>44418</c:v>
                </c:pt>
                <c:pt idx="3150">
                  <c:v>44419</c:v>
                </c:pt>
                <c:pt idx="3151">
                  <c:v>44420</c:v>
                </c:pt>
                <c:pt idx="3152">
                  <c:v>44421</c:v>
                </c:pt>
                <c:pt idx="3153">
                  <c:v>44423</c:v>
                </c:pt>
                <c:pt idx="3154">
                  <c:v>44424</c:v>
                </c:pt>
                <c:pt idx="3155">
                  <c:v>44425</c:v>
                </c:pt>
                <c:pt idx="3156">
                  <c:v>44426</c:v>
                </c:pt>
                <c:pt idx="3157">
                  <c:v>44427</c:v>
                </c:pt>
                <c:pt idx="3158">
                  <c:v>44428</c:v>
                </c:pt>
                <c:pt idx="3159">
                  <c:v>44430</c:v>
                </c:pt>
                <c:pt idx="3160">
                  <c:v>44431</c:v>
                </c:pt>
                <c:pt idx="3161">
                  <c:v>44432</c:v>
                </c:pt>
                <c:pt idx="3162">
                  <c:v>44433</c:v>
                </c:pt>
                <c:pt idx="3163">
                  <c:v>44434</c:v>
                </c:pt>
                <c:pt idx="3164">
                  <c:v>44435</c:v>
                </c:pt>
                <c:pt idx="3165">
                  <c:v>44437</c:v>
                </c:pt>
                <c:pt idx="3166">
                  <c:v>44438</c:v>
                </c:pt>
                <c:pt idx="3167">
                  <c:v>44439</c:v>
                </c:pt>
                <c:pt idx="3168">
                  <c:v>44440</c:v>
                </c:pt>
                <c:pt idx="3169">
                  <c:v>44441</c:v>
                </c:pt>
                <c:pt idx="3170">
                  <c:v>44442</c:v>
                </c:pt>
                <c:pt idx="3171">
                  <c:v>44444</c:v>
                </c:pt>
                <c:pt idx="3172">
                  <c:v>44445</c:v>
                </c:pt>
                <c:pt idx="3173">
                  <c:v>44446</c:v>
                </c:pt>
                <c:pt idx="3174">
                  <c:v>44447</c:v>
                </c:pt>
                <c:pt idx="3175">
                  <c:v>44448</c:v>
                </c:pt>
                <c:pt idx="3176">
                  <c:v>44449</c:v>
                </c:pt>
                <c:pt idx="3177">
                  <c:v>44451</c:v>
                </c:pt>
                <c:pt idx="3178">
                  <c:v>44452</c:v>
                </c:pt>
                <c:pt idx="3179">
                  <c:v>44453</c:v>
                </c:pt>
                <c:pt idx="3180">
                  <c:v>44454</c:v>
                </c:pt>
                <c:pt idx="3181">
                  <c:v>44455</c:v>
                </c:pt>
                <c:pt idx="3182">
                  <c:v>44456</c:v>
                </c:pt>
                <c:pt idx="3183">
                  <c:v>44458</c:v>
                </c:pt>
                <c:pt idx="3184">
                  <c:v>44459</c:v>
                </c:pt>
                <c:pt idx="3185">
                  <c:v>44460</c:v>
                </c:pt>
                <c:pt idx="3186">
                  <c:v>44461</c:v>
                </c:pt>
                <c:pt idx="3187">
                  <c:v>44462</c:v>
                </c:pt>
                <c:pt idx="3188">
                  <c:v>44463</c:v>
                </c:pt>
                <c:pt idx="3189">
                  <c:v>44465</c:v>
                </c:pt>
                <c:pt idx="3190">
                  <c:v>44466</c:v>
                </c:pt>
                <c:pt idx="3191">
                  <c:v>44467</c:v>
                </c:pt>
                <c:pt idx="3192">
                  <c:v>44468</c:v>
                </c:pt>
                <c:pt idx="3193">
                  <c:v>44469</c:v>
                </c:pt>
                <c:pt idx="3194">
                  <c:v>44470</c:v>
                </c:pt>
                <c:pt idx="3195">
                  <c:v>44472</c:v>
                </c:pt>
                <c:pt idx="3196">
                  <c:v>44473</c:v>
                </c:pt>
                <c:pt idx="3197">
                  <c:v>44474</c:v>
                </c:pt>
                <c:pt idx="3198">
                  <c:v>44475</c:v>
                </c:pt>
                <c:pt idx="3199">
                  <c:v>44476</c:v>
                </c:pt>
                <c:pt idx="3200">
                  <c:v>44477</c:v>
                </c:pt>
                <c:pt idx="3201">
                  <c:v>44479</c:v>
                </c:pt>
                <c:pt idx="3202">
                  <c:v>44480</c:v>
                </c:pt>
                <c:pt idx="3203">
                  <c:v>44481</c:v>
                </c:pt>
                <c:pt idx="3204">
                  <c:v>44482</c:v>
                </c:pt>
                <c:pt idx="3205">
                  <c:v>44483</c:v>
                </c:pt>
                <c:pt idx="3206">
                  <c:v>44484</c:v>
                </c:pt>
                <c:pt idx="3207">
                  <c:v>44486</c:v>
                </c:pt>
                <c:pt idx="3208">
                  <c:v>44487</c:v>
                </c:pt>
                <c:pt idx="3209">
                  <c:v>44488</c:v>
                </c:pt>
                <c:pt idx="3210">
                  <c:v>44489</c:v>
                </c:pt>
                <c:pt idx="3211">
                  <c:v>44490</c:v>
                </c:pt>
                <c:pt idx="3212">
                  <c:v>44491</c:v>
                </c:pt>
                <c:pt idx="3213">
                  <c:v>44493</c:v>
                </c:pt>
                <c:pt idx="3214">
                  <c:v>44494</c:v>
                </c:pt>
                <c:pt idx="3215">
                  <c:v>44495</c:v>
                </c:pt>
                <c:pt idx="3216">
                  <c:v>44496</c:v>
                </c:pt>
                <c:pt idx="3217">
                  <c:v>44497</c:v>
                </c:pt>
                <c:pt idx="3218">
                  <c:v>44498</c:v>
                </c:pt>
                <c:pt idx="3219">
                  <c:v>44500</c:v>
                </c:pt>
                <c:pt idx="3220">
                  <c:v>44501</c:v>
                </c:pt>
                <c:pt idx="3221">
                  <c:v>44502</c:v>
                </c:pt>
                <c:pt idx="3222">
                  <c:v>44503</c:v>
                </c:pt>
                <c:pt idx="3223">
                  <c:v>44504</c:v>
                </c:pt>
                <c:pt idx="3224">
                  <c:v>44505</c:v>
                </c:pt>
                <c:pt idx="3225">
                  <c:v>44507</c:v>
                </c:pt>
                <c:pt idx="3226">
                  <c:v>44508</c:v>
                </c:pt>
                <c:pt idx="3227">
                  <c:v>44509</c:v>
                </c:pt>
                <c:pt idx="3228">
                  <c:v>44510</c:v>
                </c:pt>
                <c:pt idx="3229">
                  <c:v>44511</c:v>
                </c:pt>
                <c:pt idx="3230">
                  <c:v>44512</c:v>
                </c:pt>
                <c:pt idx="3231">
                  <c:v>44514</c:v>
                </c:pt>
                <c:pt idx="3232">
                  <c:v>44515</c:v>
                </c:pt>
                <c:pt idx="3233">
                  <c:v>44516</c:v>
                </c:pt>
                <c:pt idx="3234">
                  <c:v>44517</c:v>
                </c:pt>
                <c:pt idx="3235">
                  <c:v>44518</c:v>
                </c:pt>
                <c:pt idx="3236">
                  <c:v>44519</c:v>
                </c:pt>
                <c:pt idx="3237">
                  <c:v>44521</c:v>
                </c:pt>
                <c:pt idx="3238">
                  <c:v>44522</c:v>
                </c:pt>
                <c:pt idx="3239">
                  <c:v>44523</c:v>
                </c:pt>
                <c:pt idx="3240">
                  <c:v>44524</c:v>
                </c:pt>
                <c:pt idx="3241">
                  <c:v>44525</c:v>
                </c:pt>
                <c:pt idx="3242">
                  <c:v>44526</c:v>
                </c:pt>
                <c:pt idx="3243">
                  <c:v>44528</c:v>
                </c:pt>
                <c:pt idx="3244">
                  <c:v>44529</c:v>
                </c:pt>
                <c:pt idx="3245">
                  <c:v>44530</c:v>
                </c:pt>
                <c:pt idx="3246">
                  <c:v>44531</c:v>
                </c:pt>
                <c:pt idx="3247">
                  <c:v>44532</c:v>
                </c:pt>
                <c:pt idx="3248">
                  <c:v>44533</c:v>
                </c:pt>
                <c:pt idx="3249">
                  <c:v>44535</c:v>
                </c:pt>
                <c:pt idx="3250">
                  <c:v>44536</c:v>
                </c:pt>
                <c:pt idx="3251">
                  <c:v>44537</c:v>
                </c:pt>
                <c:pt idx="3252">
                  <c:v>44538</c:v>
                </c:pt>
                <c:pt idx="3253">
                  <c:v>44539</c:v>
                </c:pt>
                <c:pt idx="3254">
                  <c:v>44540</c:v>
                </c:pt>
                <c:pt idx="3255">
                  <c:v>44542</c:v>
                </c:pt>
                <c:pt idx="3256">
                  <c:v>44543</c:v>
                </c:pt>
                <c:pt idx="3257">
                  <c:v>44544</c:v>
                </c:pt>
                <c:pt idx="3258">
                  <c:v>44545</c:v>
                </c:pt>
                <c:pt idx="3259">
                  <c:v>44546</c:v>
                </c:pt>
                <c:pt idx="3260">
                  <c:v>44547</c:v>
                </c:pt>
                <c:pt idx="3261">
                  <c:v>44549</c:v>
                </c:pt>
                <c:pt idx="3262">
                  <c:v>44550</c:v>
                </c:pt>
                <c:pt idx="3263">
                  <c:v>44551</c:v>
                </c:pt>
                <c:pt idx="3264">
                  <c:v>44552</c:v>
                </c:pt>
                <c:pt idx="3265">
                  <c:v>44553</c:v>
                </c:pt>
                <c:pt idx="3266">
                  <c:v>44556</c:v>
                </c:pt>
                <c:pt idx="3267">
                  <c:v>44557</c:v>
                </c:pt>
                <c:pt idx="3268">
                  <c:v>44558</c:v>
                </c:pt>
                <c:pt idx="3269">
                  <c:v>44559</c:v>
                </c:pt>
                <c:pt idx="3270">
                  <c:v>44560</c:v>
                </c:pt>
                <c:pt idx="3271">
                  <c:v>44561</c:v>
                </c:pt>
                <c:pt idx="3272">
                  <c:v>44563</c:v>
                </c:pt>
                <c:pt idx="3273">
                  <c:v>44564</c:v>
                </c:pt>
                <c:pt idx="3274">
                  <c:v>44565</c:v>
                </c:pt>
                <c:pt idx="3275">
                  <c:v>44566</c:v>
                </c:pt>
                <c:pt idx="3276">
                  <c:v>44567</c:v>
                </c:pt>
                <c:pt idx="3277">
                  <c:v>44568</c:v>
                </c:pt>
                <c:pt idx="3278">
                  <c:v>44570</c:v>
                </c:pt>
                <c:pt idx="3279">
                  <c:v>44571</c:v>
                </c:pt>
                <c:pt idx="3280">
                  <c:v>44572</c:v>
                </c:pt>
                <c:pt idx="3281">
                  <c:v>44573</c:v>
                </c:pt>
                <c:pt idx="3282">
                  <c:v>44574</c:v>
                </c:pt>
                <c:pt idx="3283">
                  <c:v>44575</c:v>
                </c:pt>
                <c:pt idx="3284">
                  <c:v>44577</c:v>
                </c:pt>
                <c:pt idx="3285">
                  <c:v>44578</c:v>
                </c:pt>
                <c:pt idx="3286">
                  <c:v>44579</c:v>
                </c:pt>
                <c:pt idx="3287">
                  <c:v>44580</c:v>
                </c:pt>
                <c:pt idx="3288">
                  <c:v>44581</c:v>
                </c:pt>
                <c:pt idx="3289">
                  <c:v>44582</c:v>
                </c:pt>
                <c:pt idx="3290">
                  <c:v>44584</c:v>
                </c:pt>
                <c:pt idx="3291">
                  <c:v>44585</c:v>
                </c:pt>
                <c:pt idx="3292">
                  <c:v>44586</c:v>
                </c:pt>
                <c:pt idx="3293">
                  <c:v>44587</c:v>
                </c:pt>
                <c:pt idx="3294">
                  <c:v>44588</c:v>
                </c:pt>
                <c:pt idx="3295">
                  <c:v>44589</c:v>
                </c:pt>
                <c:pt idx="3296">
                  <c:v>44591</c:v>
                </c:pt>
                <c:pt idx="3297">
                  <c:v>44592</c:v>
                </c:pt>
                <c:pt idx="3298">
                  <c:v>44593</c:v>
                </c:pt>
                <c:pt idx="3299">
                  <c:v>44594</c:v>
                </c:pt>
                <c:pt idx="3300">
                  <c:v>44595</c:v>
                </c:pt>
                <c:pt idx="3301">
                  <c:v>44596</c:v>
                </c:pt>
                <c:pt idx="3302">
                  <c:v>44598</c:v>
                </c:pt>
                <c:pt idx="3303">
                  <c:v>44599</c:v>
                </c:pt>
                <c:pt idx="3304">
                  <c:v>44600</c:v>
                </c:pt>
                <c:pt idx="3305">
                  <c:v>44601</c:v>
                </c:pt>
                <c:pt idx="3306">
                  <c:v>44602</c:v>
                </c:pt>
                <c:pt idx="3307">
                  <c:v>44603</c:v>
                </c:pt>
                <c:pt idx="3308">
                  <c:v>44605</c:v>
                </c:pt>
                <c:pt idx="3309">
                  <c:v>44606</c:v>
                </c:pt>
                <c:pt idx="3310">
                  <c:v>44607</c:v>
                </c:pt>
                <c:pt idx="3311">
                  <c:v>44608</c:v>
                </c:pt>
                <c:pt idx="3312">
                  <c:v>44609</c:v>
                </c:pt>
                <c:pt idx="3313">
                  <c:v>44610</c:v>
                </c:pt>
                <c:pt idx="3314">
                  <c:v>44612</c:v>
                </c:pt>
                <c:pt idx="3315">
                  <c:v>44613</c:v>
                </c:pt>
                <c:pt idx="3316">
                  <c:v>44614</c:v>
                </c:pt>
                <c:pt idx="3317">
                  <c:v>44615</c:v>
                </c:pt>
                <c:pt idx="3318">
                  <c:v>44616</c:v>
                </c:pt>
                <c:pt idx="3319">
                  <c:v>44617</c:v>
                </c:pt>
                <c:pt idx="3320">
                  <c:v>44619</c:v>
                </c:pt>
                <c:pt idx="3321">
                  <c:v>44620</c:v>
                </c:pt>
                <c:pt idx="3322">
                  <c:v>44621</c:v>
                </c:pt>
                <c:pt idx="3323">
                  <c:v>44622</c:v>
                </c:pt>
                <c:pt idx="3324">
                  <c:v>44623</c:v>
                </c:pt>
                <c:pt idx="3325">
                  <c:v>44624</c:v>
                </c:pt>
                <c:pt idx="3326">
                  <c:v>44626</c:v>
                </c:pt>
                <c:pt idx="3327">
                  <c:v>44627</c:v>
                </c:pt>
                <c:pt idx="3328">
                  <c:v>44628</c:v>
                </c:pt>
                <c:pt idx="3329">
                  <c:v>44629</c:v>
                </c:pt>
                <c:pt idx="3330">
                  <c:v>44630</c:v>
                </c:pt>
                <c:pt idx="3331">
                  <c:v>44631</c:v>
                </c:pt>
                <c:pt idx="3332">
                  <c:v>44633</c:v>
                </c:pt>
                <c:pt idx="3333">
                  <c:v>44634</c:v>
                </c:pt>
                <c:pt idx="3334">
                  <c:v>44635</c:v>
                </c:pt>
                <c:pt idx="3335">
                  <c:v>44636</c:v>
                </c:pt>
                <c:pt idx="3336">
                  <c:v>44637</c:v>
                </c:pt>
                <c:pt idx="3337">
                  <c:v>44638</c:v>
                </c:pt>
                <c:pt idx="3338">
                  <c:v>44640</c:v>
                </c:pt>
                <c:pt idx="3339">
                  <c:v>44641</c:v>
                </c:pt>
                <c:pt idx="3340">
                  <c:v>44642</c:v>
                </c:pt>
                <c:pt idx="3341">
                  <c:v>44643</c:v>
                </c:pt>
                <c:pt idx="3342">
                  <c:v>44644</c:v>
                </c:pt>
                <c:pt idx="3343">
                  <c:v>44645</c:v>
                </c:pt>
                <c:pt idx="3344">
                  <c:v>44647</c:v>
                </c:pt>
                <c:pt idx="3345">
                  <c:v>44648</c:v>
                </c:pt>
                <c:pt idx="3346">
                  <c:v>44649</c:v>
                </c:pt>
                <c:pt idx="3347">
                  <c:v>44650</c:v>
                </c:pt>
                <c:pt idx="3348">
                  <c:v>44651</c:v>
                </c:pt>
                <c:pt idx="3349">
                  <c:v>44652</c:v>
                </c:pt>
                <c:pt idx="3350">
                  <c:v>44654</c:v>
                </c:pt>
                <c:pt idx="3351">
                  <c:v>44655</c:v>
                </c:pt>
                <c:pt idx="3352">
                  <c:v>44656</c:v>
                </c:pt>
                <c:pt idx="3353">
                  <c:v>44657</c:v>
                </c:pt>
                <c:pt idx="3354">
                  <c:v>44658</c:v>
                </c:pt>
                <c:pt idx="3355">
                  <c:v>44659</c:v>
                </c:pt>
                <c:pt idx="3356">
                  <c:v>44661</c:v>
                </c:pt>
                <c:pt idx="3357">
                  <c:v>44662</c:v>
                </c:pt>
                <c:pt idx="3358">
                  <c:v>44663</c:v>
                </c:pt>
                <c:pt idx="3359">
                  <c:v>44664</c:v>
                </c:pt>
                <c:pt idx="3360">
                  <c:v>44665</c:v>
                </c:pt>
                <c:pt idx="3361">
                  <c:v>44668</c:v>
                </c:pt>
                <c:pt idx="3362">
                  <c:v>44669</c:v>
                </c:pt>
                <c:pt idx="3363">
                  <c:v>44670</c:v>
                </c:pt>
                <c:pt idx="3364">
                  <c:v>44671</c:v>
                </c:pt>
                <c:pt idx="3365">
                  <c:v>44672</c:v>
                </c:pt>
                <c:pt idx="3366">
                  <c:v>44673</c:v>
                </c:pt>
                <c:pt idx="3367">
                  <c:v>44675</c:v>
                </c:pt>
                <c:pt idx="3368">
                  <c:v>44676</c:v>
                </c:pt>
                <c:pt idx="3369">
                  <c:v>44677</c:v>
                </c:pt>
                <c:pt idx="3370">
                  <c:v>44678</c:v>
                </c:pt>
                <c:pt idx="3371">
                  <c:v>44679</c:v>
                </c:pt>
                <c:pt idx="3372">
                  <c:v>44680</c:v>
                </c:pt>
                <c:pt idx="3373">
                  <c:v>44682</c:v>
                </c:pt>
                <c:pt idx="3374">
                  <c:v>44683</c:v>
                </c:pt>
                <c:pt idx="3375">
                  <c:v>44684</c:v>
                </c:pt>
                <c:pt idx="3376">
                  <c:v>44685</c:v>
                </c:pt>
                <c:pt idx="3377">
                  <c:v>44686</c:v>
                </c:pt>
                <c:pt idx="3378">
                  <c:v>44687</c:v>
                </c:pt>
                <c:pt idx="3379">
                  <c:v>44689</c:v>
                </c:pt>
                <c:pt idx="3380">
                  <c:v>44690</c:v>
                </c:pt>
                <c:pt idx="3381">
                  <c:v>44691</c:v>
                </c:pt>
                <c:pt idx="3382">
                  <c:v>44692</c:v>
                </c:pt>
                <c:pt idx="3383">
                  <c:v>44693</c:v>
                </c:pt>
                <c:pt idx="3384">
                  <c:v>44694</c:v>
                </c:pt>
                <c:pt idx="3385">
                  <c:v>44696</c:v>
                </c:pt>
                <c:pt idx="3386">
                  <c:v>44697</c:v>
                </c:pt>
                <c:pt idx="3387">
                  <c:v>44698</c:v>
                </c:pt>
                <c:pt idx="3388">
                  <c:v>44699</c:v>
                </c:pt>
                <c:pt idx="3389">
                  <c:v>44700</c:v>
                </c:pt>
                <c:pt idx="3390">
                  <c:v>44701</c:v>
                </c:pt>
                <c:pt idx="3391">
                  <c:v>44703</c:v>
                </c:pt>
                <c:pt idx="3392">
                  <c:v>44704</c:v>
                </c:pt>
                <c:pt idx="3393">
                  <c:v>44705</c:v>
                </c:pt>
                <c:pt idx="3394">
                  <c:v>44706</c:v>
                </c:pt>
                <c:pt idx="3395">
                  <c:v>44707</c:v>
                </c:pt>
                <c:pt idx="3396">
                  <c:v>44708</c:v>
                </c:pt>
                <c:pt idx="3397">
                  <c:v>44710</c:v>
                </c:pt>
                <c:pt idx="3398">
                  <c:v>44711</c:v>
                </c:pt>
                <c:pt idx="3399">
                  <c:v>44712</c:v>
                </c:pt>
                <c:pt idx="3400">
                  <c:v>44713</c:v>
                </c:pt>
                <c:pt idx="3401">
                  <c:v>44714</c:v>
                </c:pt>
                <c:pt idx="3402">
                  <c:v>44715</c:v>
                </c:pt>
                <c:pt idx="3403">
                  <c:v>44717</c:v>
                </c:pt>
                <c:pt idx="3404">
                  <c:v>44718</c:v>
                </c:pt>
                <c:pt idx="3405">
                  <c:v>44719</c:v>
                </c:pt>
                <c:pt idx="3406">
                  <c:v>44720</c:v>
                </c:pt>
                <c:pt idx="3407">
                  <c:v>44721</c:v>
                </c:pt>
                <c:pt idx="3408">
                  <c:v>44722</c:v>
                </c:pt>
                <c:pt idx="3409">
                  <c:v>44724</c:v>
                </c:pt>
                <c:pt idx="3410">
                  <c:v>44725</c:v>
                </c:pt>
                <c:pt idx="3411">
                  <c:v>44726</c:v>
                </c:pt>
                <c:pt idx="3412">
                  <c:v>44727</c:v>
                </c:pt>
                <c:pt idx="3413">
                  <c:v>44728</c:v>
                </c:pt>
                <c:pt idx="3414">
                  <c:v>44729</c:v>
                </c:pt>
                <c:pt idx="3415">
                  <c:v>44731</c:v>
                </c:pt>
                <c:pt idx="3416">
                  <c:v>44732</c:v>
                </c:pt>
                <c:pt idx="3417">
                  <c:v>44733</c:v>
                </c:pt>
                <c:pt idx="3418">
                  <c:v>44734</c:v>
                </c:pt>
                <c:pt idx="3419">
                  <c:v>44735</c:v>
                </c:pt>
                <c:pt idx="3420">
                  <c:v>44736</c:v>
                </c:pt>
                <c:pt idx="3421">
                  <c:v>44738</c:v>
                </c:pt>
                <c:pt idx="3422">
                  <c:v>44739</c:v>
                </c:pt>
                <c:pt idx="3423">
                  <c:v>44740</c:v>
                </c:pt>
                <c:pt idx="3424">
                  <c:v>44741</c:v>
                </c:pt>
                <c:pt idx="3425">
                  <c:v>44742</c:v>
                </c:pt>
                <c:pt idx="3426">
                  <c:v>44743</c:v>
                </c:pt>
                <c:pt idx="3427">
                  <c:v>44745</c:v>
                </c:pt>
                <c:pt idx="3428">
                  <c:v>44746</c:v>
                </c:pt>
                <c:pt idx="3429">
                  <c:v>44747</c:v>
                </c:pt>
                <c:pt idx="3430">
                  <c:v>44748</c:v>
                </c:pt>
                <c:pt idx="3431">
                  <c:v>44749</c:v>
                </c:pt>
                <c:pt idx="3432">
                  <c:v>44750</c:v>
                </c:pt>
                <c:pt idx="3433">
                  <c:v>44752</c:v>
                </c:pt>
                <c:pt idx="3434">
                  <c:v>44753</c:v>
                </c:pt>
                <c:pt idx="3435">
                  <c:v>44754</c:v>
                </c:pt>
                <c:pt idx="3436">
                  <c:v>44755</c:v>
                </c:pt>
                <c:pt idx="3437">
                  <c:v>44756</c:v>
                </c:pt>
                <c:pt idx="3438">
                  <c:v>44757</c:v>
                </c:pt>
                <c:pt idx="3439">
                  <c:v>44759</c:v>
                </c:pt>
                <c:pt idx="3440">
                  <c:v>44760</c:v>
                </c:pt>
                <c:pt idx="3441">
                  <c:v>44761</c:v>
                </c:pt>
                <c:pt idx="3442">
                  <c:v>44762</c:v>
                </c:pt>
                <c:pt idx="3443">
                  <c:v>44763</c:v>
                </c:pt>
                <c:pt idx="3444">
                  <c:v>44764</c:v>
                </c:pt>
                <c:pt idx="3445">
                  <c:v>44766</c:v>
                </c:pt>
                <c:pt idx="3446">
                  <c:v>44767</c:v>
                </c:pt>
                <c:pt idx="3447">
                  <c:v>44768</c:v>
                </c:pt>
                <c:pt idx="3448">
                  <c:v>44769</c:v>
                </c:pt>
                <c:pt idx="3449">
                  <c:v>44770</c:v>
                </c:pt>
                <c:pt idx="3450">
                  <c:v>44771</c:v>
                </c:pt>
                <c:pt idx="3451">
                  <c:v>44773</c:v>
                </c:pt>
                <c:pt idx="3452">
                  <c:v>44774</c:v>
                </c:pt>
                <c:pt idx="3453">
                  <c:v>44775</c:v>
                </c:pt>
                <c:pt idx="3454">
                  <c:v>44776</c:v>
                </c:pt>
                <c:pt idx="3455">
                  <c:v>44777</c:v>
                </c:pt>
                <c:pt idx="3456">
                  <c:v>44778</c:v>
                </c:pt>
                <c:pt idx="3457">
                  <c:v>44780</c:v>
                </c:pt>
                <c:pt idx="3458">
                  <c:v>44781</c:v>
                </c:pt>
                <c:pt idx="3459">
                  <c:v>44782</c:v>
                </c:pt>
                <c:pt idx="3460">
                  <c:v>44783</c:v>
                </c:pt>
                <c:pt idx="3461">
                  <c:v>44784</c:v>
                </c:pt>
                <c:pt idx="3462">
                  <c:v>44785</c:v>
                </c:pt>
                <c:pt idx="3463">
                  <c:v>44787</c:v>
                </c:pt>
                <c:pt idx="3464">
                  <c:v>44788</c:v>
                </c:pt>
                <c:pt idx="3465">
                  <c:v>44789</c:v>
                </c:pt>
                <c:pt idx="3466">
                  <c:v>44790</c:v>
                </c:pt>
                <c:pt idx="3467">
                  <c:v>44791</c:v>
                </c:pt>
                <c:pt idx="3468">
                  <c:v>44792</c:v>
                </c:pt>
                <c:pt idx="3469">
                  <c:v>44794</c:v>
                </c:pt>
                <c:pt idx="3470">
                  <c:v>44795</c:v>
                </c:pt>
                <c:pt idx="3471">
                  <c:v>44796</c:v>
                </c:pt>
                <c:pt idx="3472">
                  <c:v>44797</c:v>
                </c:pt>
                <c:pt idx="3473">
                  <c:v>44798</c:v>
                </c:pt>
                <c:pt idx="3474">
                  <c:v>44799</c:v>
                </c:pt>
                <c:pt idx="3475">
                  <c:v>44801</c:v>
                </c:pt>
                <c:pt idx="3476">
                  <c:v>44802</c:v>
                </c:pt>
                <c:pt idx="3477">
                  <c:v>44803</c:v>
                </c:pt>
                <c:pt idx="3478">
                  <c:v>44804</c:v>
                </c:pt>
                <c:pt idx="3479">
                  <c:v>44805</c:v>
                </c:pt>
                <c:pt idx="3480">
                  <c:v>44806</c:v>
                </c:pt>
                <c:pt idx="3481">
                  <c:v>44808</c:v>
                </c:pt>
                <c:pt idx="3482">
                  <c:v>44809</c:v>
                </c:pt>
                <c:pt idx="3483">
                  <c:v>44810</c:v>
                </c:pt>
                <c:pt idx="3484">
                  <c:v>44811</c:v>
                </c:pt>
                <c:pt idx="3485">
                  <c:v>44812</c:v>
                </c:pt>
                <c:pt idx="3486">
                  <c:v>44813</c:v>
                </c:pt>
                <c:pt idx="3487">
                  <c:v>44815</c:v>
                </c:pt>
                <c:pt idx="3488">
                  <c:v>44816</c:v>
                </c:pt>
                <c:pt idx="3489">
                  <c:v>44817</c:v>
                </c:pt>
                <c:pt idx="3490">
                  <c:v>44818</c:v>
                </c:pt>
                <c:pt idx="3491">
                  <c:v>44819</c:v>
                </c:pt>
                <c:pt idx="3492">
                  <c:v>44820</c:v>
                </c:pt>
                <c:pt idx="3493">
                  <c:v>44822</c:v>
                </c:pt>
                <c:pt idx="3494">
                  <c:v>44823</c:v>
                </c:pt>
                <c:pt idx="3495">
                  <c:v>44824</c:v>
                </c:pt>
                <c:pt idx="3496">
                  <c:v>44825</c:v>
                </c:pt>
                <c:pt idx="3497">
                  <c:v>44826</c:v>
                </c:pt>
                <c:pt idx="3498">
                  <c:v>44827</c:v>
                </c:pt>
                <c:pt idx="3499">
                  <c:v>44829</c:v>
                </c:pt>
                <c:pt idx="3500">
                  <c:v>44830</c:v>
                </c:pt>
                <c:pt idx="3501">
                  <c:v>44831</c:v>
                </c:pt>
                <c:pt idx="3502">
                  <c:v>44832</c:v>
                </c:pt>
                <c:pt idx="3503">
                  <c:v>44833</c:v>
                </c:pt>
                <c:pt idx="3504">
                  <c:v>44834</c:v>
                </c:pt>
                <c:pt idx="3505">
                  <c:v>44836</c:v>
                </c:pt>
                <c:pt idx="3506">
                  <c:v>44837</c:v>
                </c:pt>
                <c:pt idx="3507">
                  <c:v>44838</c:v>
                </c:pt>
                <c:pt idx="3508">
                  <c:v>44839</c:v>
                </c:pt>
                <c:pt idx="3509">
                  <c:v>44840</c:v>
                </c:pt>
                <c:pt idx="3510">
                  <c:v>44841</c:v>
                </c:pt>
                <c:pt idx="3511">
                  <c:v>44843</c:v>
                </c:pt>
                <c:pt idx="3512">
                  <c:v>44844</c:v>
                </c:pt>
                <c:pt idx="3513">
                  <c:v>44845</c:v>
                </c:pt>
                <c:pt idx="3514">
                  <c:v>44846</c:v>
                </c:pt>
                <c:pt idx="3515">
                  <c:v>44847</c:v>
                </c:pt>
                <c:pt idx="3516">
                  <c:v>44848</c:v>
                </c:pt>
                <c:pt idx="3517">
                  <c:v>44850</c:v>
                </c:pt>
                <c:pt idx="3518">
                  <c:v>44851</c:v>
                </c:pt>
                <c:pt idx="3519">
                  <c:v>44852</c:v>
                </c:pt>
                <c:pt idx="3520">
                  <c:v>44853</c:v>
                </c:pt>
                <c:pt idx="3521">
                  <c:v>44854</c:v>
                </c:pt>
                <c:pt idx="3522">
                  <c:v>44855</c:v>
                </c:pt>
                <c:pt idx="3523">
                  <c:v>44857</c:v>
                </c:pt>
                <c:pt idx="3524">
                  <c:v>44858</c:v>
                </c:pt>
                <c:pt idx="3525">
                  <c:v>44859</c:v>
                </c:pt>
                <c:pt idx="3526">
                  <c:v>44860</c:v>
                </c:pt>
                <c:pt idx="3527">
                  <c:v>44861</c:v>
                </c:pt>
                <c:pt idx="3528">
                  <c:v>44862</c:v>
                </c:pt>
                <c:pt idx="3529">
                  <c:v>44864</c:v>
                </c:pt>
                <c:pt idx="3530">
                  <c:v>44865</c:v>
                </c:pt>
                <c:pt idx="3531">
                  <c:v>44866</c:v>
                </c:pt>
                <c:pt idx="3532">
                  <c:v>44867</c:v>
                </c:pt>
                <c:pt idx="3533">
                  <c:v>44868</c:v>
                </c:pt>
                <c:pt idx="3534">
                  <c:v>44869</c:v>
                </c:pt>
                <c:pt idx="3535">
                  <c:v>44871</c:v>
                </c:pt>
                <c:pt idx="3536">
                  <c:v>44872</c:v>
                </c:pt>
                <c:pt idx="3537">
                  <c:v>44873</c:v>
                </c:pt>
                <c:pt idx="3538">
                  <c:v>44874</c:v>
                </c:pt>
                <c:pt idx="3539">
                  <c:v>44875</c:v>
                </c:pt>
                <c:pt idx="3540">
                  <c:v>44876</c:v>
                </c:pt>
                <c:pt idx="3541">
                  <c:v>44878</c:v>
                </c:pt>
                <c:pt idx="3542">
                  <c:v>44879</c:v>
                </c:pt>
                <c:pt idx="3543">
                  <c:v>44880</c:v>
                </c:pt>
                <c:pt idx="3544">
                  <c:v>44881</c:v>
                </c:pt>
                <c:pt idx="3545">
                  <c:v>44882</c:v>
                </c:pt>
                <c:pt idx="3546">
                  <c:v>44883</c:v>
                </c:pt>
                <c:pt idx="3547">
                  <c:v>44885</c:v>
                </c:pt>
                <c:pt idx="3548">
                  <c:v>44886</c:v>
                </c:pt>
                <c:pt idx="3549">
                  <c:v>44887</c:v>
                </c:pt>
                <c:pt idx="3550">
                  <c:v>44888</c:v>
                </c:pt>
                <c:pt idx="3551">
                  <c:v>44889</c:v>
                </c:pt>
                <c:pt idx="3552">
                  <c:v>44890</c:v>
                </c:pt>
                <c:pt idx="3553">
                  <c:v>44892</c:v>
                </c:pt>
                <c:pt idx="3554">
                  <c:v>44893</c:v>
                </c:pt>
                <c:pt idx="3555">
                  <c:v>44894</c:v>
                </c:pt>
                <c:pt idx="3556">
                  <c:v>44895</c:v>
                </c:pt>
                <c:pt idx="3557">
                  <c:v>44896</c:v>
                </c:pt>
                <c:pt idx="3558">
                  <c:v>44897</c:v>
                </c:pt>
                <c:pt idx="3559">
                  <c:v>44899</c:v>
                </c:pt>
                <c:pt idx="3560">
                  <c:v>44900</c:v>
                </c:pt>
                <c:pt idx="3561">
                  <c:v>44901</c:v>
                </c:pt>
                <c:pt idx="3562">
                  <c:v>44902</c:v>
                </c:pt>
                <c:pt idx="3563">
                  <c:v>44903</c:v>
                </c:pt>
                <c:pt idx="3564">
                  <c:v>44904</c:v>
                </c:pt>
                <c:pt idx="3565">
                  <c:v>44906</c:v>
                </c:pt>
                <c:pt idx="3566">
                  <c:v>44907</c:v>
                </c:pt>
                <c:pt idx="3567">
                  <c:v>44908</c:v>
                </c:pt>
                <c:pt idx="3568">
                  <c:v>44909</c:v>
                </c:pt>
                <c:pt idx="3569">
                  <c:v>44910</c:v>
                </c:pt>
                <c:pt idx="3570">
                  <c:v>44911</c:v>
                </c:pt>
                <c:pt idx="3571">
                  <c:v>44913</c:v>
                </c:pt>
                <c:pt idx="3572">
                  <c:v>44914</c:v>
                </c:pt>
                <c:pt idx="3573">
                  <c:v>44915</c:v>
                </c:pt>
                <c:pt idx="3574">
                  <c:v>44916</c:v>
                </c:pt>
                <c:pt idx="3575">
                  <c:v>44917</c:v>
                </c:pt>
                <c:pt idx="3576">
                  <c:v>44918</c:v>
                </c:pt>
                <c:pt idx="3577">
                  <c:v>44921</c:v>
                </c:pt>
                <c:pt idx="3578">
                  <c:v>44922</c:v>
                </c:pt>
                <c:pt idx="3579">
                  <c:v>44923</c:v>
                </c:pt>
                <c:pt idx="3580">
                  <c:v>44924</c:v>
                </c:pt>
                <c:pt idx="3581">
                  <c:v>44925</c:v>
                </c:pt>
                <c:pt idx="3582">
                  <c:v>44928</c:v>
                </c:pt>
                <c:pt idx="3583">
                  <c:v>44929</c:v>
                </c:pt>
                <c:pt idx="3584">
                  <c:v>44930</c:v>
                </c:pt>
                <c:pt idx="3585">
                  <c:v>44931</c:v>
                </c:pt>
                <c:pt idx="3586">
                  <c:v>44932</c:v>
                </c:pt>
                <c:pt idx="3587">
                  <c:v>44934</c:v>
                </c:pt>
                <c:pt idx="3588">
                  <c:v>44935</c:v>
                </c:pt>
                <c:pt idx="3589">
                  <c:v>44936</c:v>
                </c:pt>
                <c:pt idx="3590">
                  <c:v>44937</c:v>
                </c:pt>
                <c:pt idx="3591">
                  <c:v>44938</c:v>
                </c:pt>
                <c:pt idx="3592">
                  <c:v>44939</c:v>
                </c:pt>
                <c:pt idx="3593">
                  <c:v>44941</c:v>
                </c:pt>
                <c:pt idx="3594">
                  <c:v>44942</c:v>
                </c:pt>
                <c:pt idx="3595">
                  <c:v>44943</c:v>
                </c:pt>
                <c:pt idx="3596">
                  <c:v>44944</c:v>
                </c:pt>
                <c:pt idx="3597">
                  <c:v>44945</c:v>
                </c:pt>
                <c:pt idx="3598">
                  <c:v>44946</c:v>
                </c:pt>
                <c:pt idx="3599">
                  <c:v>44948</c:v>
                </c:pt>
                <c:pt idx="3600">
                  <c:v>44949</c:v>
                </c:pt>
                <c:pt idx="3601">
                  <c:v>44950</c:v>
                </c:pt>
                <c:pt idx="3602">
                  <c:v>44951</c:v>
                </c:pt>
                <c:pt idx="3603">
                  <c:v>44952</c:v>
                </c:pt>
                <c:pt idx="3604">
                  <c:v>44953</c:v>
                </c:pt>
                <c:pt idx="3605">
                  <c:v>44955</c:v>
                </c:pt>
                <c:pt idx="3606">
                  <c:v>44956</c:v>
                </c:pt>
                <c:pt idx="3607">
                  <c:v>44957</c:v>
                </c:pt>
                <c:pt idx="3608">
                  <c:v>44958</c:v>
                </c:pt>
                <c:pt idx="3609">
                  <c:v>44959</c:v>
                </c:pt>
                <c:pt idx="3610">
                  <c:v>44960</c:v>
                </c:pt>
                <c:pt idx="3611">
                  <c:v>44962</c:v>
                </c:pt>
                <c:pt idx="3612">
                  <c:v>44963</c:v>
                </c:pt>
                <c:pt idx="3613">
                  <c:v>44964</c:v>
                </c:pt>
                <c:pt idx="3614">
                  <c:v>44965</c:v>
                </c:pt>
                <c:pt idx="3615">
                  <c:v>44966</c:v>
                </c:pt>
                <c:pt idx="3616">
                  <c:v>44967</c:v>
                </c:pt>
                <c:pt idx="3617">
                  <c:v>44969</c:v>
                </c:pt>
                <c:pt idx="3618">
                  <c:v>44970</c:v>
                </c:pt>
                <c:pt idx="3619">
                  <c:v>44971</c:v>
                </c:pt>
                <c:pt idx="3620">
                  <c:v>44972</c:v>
                </c:pt>
                <c:pt idx="3621">
                  <c:v>44973</c:v>
                </c:pt>
                <c:pt idx="3622">
                  <c:v>44974</c:v>
                </c:pt>
                <c:pt idx="3623">
                  <c:v>44976</c:v>
                </c:pt>
                <c:pt idx="3624">
                  <c:v>44977</c:v>
                </c:pt>
                <c:pt idx="3625">
                  <c:v>44978</c:v>
                </c:pt>
                <c:pt idx="3626">
                  <c:v>44979</c:v>
                </c:pt>
                <c:pt idx="3627">
                  <c:v>44980</c:v>
                </c:pt>
                <c:pt idx="3628">
                  <c:v>44981</c:v>
                </c:pt>
                <c:pt idx="3629">
                  <c:v>44983</c:v>
                </c:pt>
                <c:pt idx="3630">
                  <c:v>44984</c:v>
                </c:pt>
                <c:pt idx="3631">
                  <c:v>44985</c:v>
                </c:pt>
                <c:pt idx="3632">
                  <c:v>44986</c:v>
                </c:pt>
                <c:pt idx="3633">
                  <c:v>44987</c:v>
                </c:pt>
                <c:pt idx="3634">
                  <c:v>44988</c:v>
                </c:pt>
                <c:pt idx="3635">
                  <c:v>44990</c:v>
                </c:pt>
                <c:pt idx="3636">
                  <c:v>44991</c:v>
                </c:pt>
                <c:pt idx="3637">
                  <c:v>44992</c:v>
                </c:pt>
                <c:pt idx="3638">
                  <c:v>44993</c:v>
                </c:pt>
                <c:pt idx="3639">
                  <c:v>44994</c:v>
                </c:pt>
                <c:pt idx="3640">
                  <c:v>44995</c:v>
                </c:pt>
                <c:pt idx="3641">
                  <c:v>44997</c:v>
                </c:pt>
                <c:pt idx="3642">
                  <c:v>44998</c:v>
                </c:pt>
                <c:pt idx="3643">
                  <c:v>44999</c:v>
                </c:pt>
                <c:pt idx="3644">
                  <c:v>45000</c:v>
                </c:pt>
                <c:pt idx="3645">
                  <c:v>45001</c:v>
                </c:pt>
                <c:pt idx="3646">
                  <c:v>45002</c:v>
                </c:pt>
                <c:pt idx="3647">
                  <c:v>45005</c:v>
                </c:pt>
                <c:pt idx="3648">
                  <c:v>45006</c:v>
                </c:pt>
                <c:pt idx="3649">
                  <c:v>45007</c:v>
                </c:pt>
                <c:pt idx="3650">
                  <c:v>45008</c:v>
                </c:pt>
                <c:pt idx="3651">
                  <c:v>45009</c:v>
                </c:pt>
                <c:pt idx="3652">
                  <c:v>45011</c:v>
                </c:pt>
                <c:pt idx="3653">
                  <c:v>45012</c:v>
                </c:pt>
                <c:pt idx="3654">
                  <c:v>45013</c:v>
                </c:pt>
                <c:pt idx="3655">
                  <c:v>45014</c:v>
                </c:pt>
                <c:pt idx="3656">
                  <c:v>45015</c:v>
                </c:pt>
                <c:pt idx="3657">
                  <c:v>45016</c:v>
                </c:pt>
                <c:pt idx="3658">
                  <c:v>45018</c:v>
                </c:pt>
                <c:pt idx="3659">
                  <c:v>45019</c:v>
                </c:pt>
                <c:pt idx="3660">
                  <c:v>45020</c:v>
                </c:pt>
                <c:pt idx="3661">
                  <c:v>45021</c:v>
                </c:pt>
                <c:pt idx="3662">
                  <c:v>45022</c:v>
                </c:pt>
                <c:pt idx="3663">
                  <c:v>45025</c:v>
                </c:pt>
                <c:pt idx="3664">
                  <c:v>45026</c:v>
                </c:pt>
                <c:pt idx="3665">
                  <c:v>45027</c:v>
                </c:pt>
                <c:pt idx="3666">
                  <c:v>45028</c:v>
                </c:pt>
                <c:pt idx="3667">
                  <c:v>45029</c:v>
                </c:pt>
                <c:pt idx="3668">
                  <c:v>45030</c:v>
                </c:pt>
                <c:pt idx="3669">
                  <c:v>45032</c:v>
                </c:pt>
                <c:pt idx="3670">
                  <c:v>45033</c:v>
                </c:pt>
                <c:pt idx="3671">
                  <c:v>45034</c:v>
                </c:pt>
                <c:pt idx="3672">
                  <c:v>45035</c:v>
                </c:pt>
                <c:pt idx="3673">
                  <c:v>45036</c:v>
                </c:pt>
                <c:pt idx="3674">
                  <c:v>45037</c:v>
                </c:pt>
                <c:pt idx="3675">
                  <c:v>45039</c:v>
                </c:pt>
                <c:pt idx="3676">
                  <c:v>45040</c:v>
                </c:pt>
                <c:pt idx="3677">
                  <c:v>45041</c:v>
                </c:pt>
                <c:pt idx="3678">
                  <c:v>45042</c:v>
                </c:pt>
                <c:pt idx="3679">
                  <c:v>45043</c:v>
                </c:pt>
                <c:pt idx="3680">
                  <c:v>45044</c:v>
                </c:pt>
                <c:pt idx="3681">
                  <c:v>45046</c:v>
                </c:pt>
                <c:pt idx="3682">
                  <c:v>45047</c:v>
                </c:pt>
                <c:pt idx="3683">
                  <c:v>45048</c:v>
                </c:pt>
                <c:pt idx="3684">
                  <c:v>45049</c:v>
                </c:pt>
                <c:pt idx="3685">
                  <c:v>45050</c:v>
                </c:pt>
                <c:pt idx="3686">
                  <c:v>45051</c:v>
                </c:pt>
                <c:pt idx="3687">
                  <c:v>45053</c:v>
                </c:pt>
                <c:pt idx="3688">
                  <c:v>45054</c:v>
                </c:pt>
                <c:pt idx="3689">
                  <c:v>45055</c:v>
                </c:pt>
                <c:pt idx="3690">
                  <c:v>45056</c:v>
                </c:pt>
                <c:pt idx="3691">
                  <c:v>45057</c:v>
                </c:pt>
                <c:pt idx="3692">
                  <c:v>45058</c:v>
                </c:pt>
                <c:pt idx="3693">
                  <c:v>45060</c:v>
                </c:pt>
                <c:pt idx="3694">
                  <c:v>45061</c:v>
                </c:pt>
                <c:pt idx="3695">
                  <c:v>45062</c:v>
                </c:pt>
                <c:pt idx="3696">
                  <c:v>45063</c:v>
                </c:pt>
                <c:pt idx="3697">
                  <c:v>45064</c:v>
                </c:pt>
                <c:pt idx="3698">
                  <c:v>45065</c:v>
                </c:pt>
                <c:pt idx="3699">
                  <c:v>45067</c:v>
                </c:pt>
                <c:pt idx="3700">
                  <c:v>45068</c:v>
                </c:pt>
                <c:pt idx="3701">
                  <c:v>45069</c:v>
                </c:pt>
                <c:pt idx="3702">
                  <c:v>45070</c:v>
                </c:pt>
                <c:pt idx="3703">
                  <c:v>45071</c:v>
                </c:pt>
                <c:pt idx="3704">
                  <c:v>45072</c:v>
                </c:pt>
                <c:pt idx="3705">
                  <c:v>45074</c:v>
                </c:pt>
                <c:pt idx="3706">
                  <c:v>45075</c:v>
                </c:pt>
                <c:pt idx="3707">
                  <c:v>45076</c:v>
                </c:pt>
                <c:pt idx="3708">
                  <c:v>45077</c:v>
                </c:pt>
                <c:pt idx="3709">
                  <c:v>45078</c:v>
                </c:pt>
              </c:numCache>
            </c:numRef>
          </c:cat>
          <c:val>
            <c:numRef>
              <c:f>WTI!$B$2:$B$3711</c:f>
              <c:numCache>
                <c:formatCode>0.0</c:formatCode>
                <c:ptCount val="3710"/>
                <c:pt idx="0">
                  <c:v>81.64</c:v>
                </c:pt>
                <c:pt idx="1">
                  <c:v>81.47</c:v>
                </c:pt>
                <c:pt idx="2">
                  <c:v>83.25</c:v>
                </c:pt>
                <c:pt idx="3">
                  <c:v>82.69</c:v>
                </c:pt>
                <c:pt idx="4">
                  <c:v>82.91</c:v>
                </c:pt>
                <c:pt idx="5">
                  <c:v>82.04</c:v>
                </c:pt>
                <c:pt idx="6">
                  <c:v>80.11</c:v>
                </c:pt>
                <c:pt idx="7">
                  <c:v>79.66</c:v>
                </c:pt>
                <c:pt idx="8">
                  <c:v>79.19</c:v>
                </c:pt>
                <c:pt idx="9">
                  <c:v>77.95</c:v>
                </c:pt>
                <c:pt idx="10">
                  <c:v>78.83</c:v>
                </c:pt>
                <c:pt idx="11">
                  <c:v>78.349999999999994</c:v>
                </c:pt>
                <c:pt idx="12">
                  <c:v>75.84</c:v>
                </c:pt>
                <c:pt idx="13">
                  <c:v>74.069999999999993</c:v>
                </c:pt>
                <c:pt idx="14">
                  <c:v>75.22</c:v>
                </c:pt>
                <c:pt idx="15">
                  <c:v>74.66</c:v>
                </c:pt>
                <c:pt idx="16">
                  <c:v>73.75</c:v>
                </c:pt>
                <c:pt idx="17">
                  <c:v>73.89</c:v>
                </c:pt>
                <c:pt idx="18">
                  <c:v>72.67</c:v>
                </c:pt>
                <c:pt idx="19">
                  <c:v>74.97</c:v>
                </c:pt>
                <c:pt idx="20">
                  <c:v>77</c:v>
                </c:pt>
                <c:pt idx="21">
                  <c:v>77.099999999999994</c:v>
                </c:pt>
                <c:pt idx="22">
                  <c:v>73</c:v>
                </c:pt>
                <c:pt idx="23">
                  <c:v>71.91</c:v>
                </c:pt>
                <c:pt idx="24">
                  <c:v>71.69</c:v>
                </c:pt>
                <c:pt idx="25">
                  <c:v>73.78</c:v>
                </c:pt>
                <c:pt idx="26">
                  <c:v>74.67</c:v>
                </c:pt>
                <c:pt idx="27">
                  <c:v>75.33</c:v>
                </c:pt>
                <c:pt idx="28">
                  <c:v>74.2</c:v>
                </c:pt>
                <c:pt idx="29">
                  <c:v>77.38</c:v>
                </c:pt>
                <c:pt idx="30">
                  <c:v>77.349999999999994</c:v>
                </c:pt>
                <c:pt idx="31">
                  <c:v>78.39</c:v>
                </c:pt>
                <c:pt idx="32">
                  <c:v>80.09</c:v>
                </c:pt>
                <c:pt idx="33">
                  <c:v>79.19</c:v>
                </c:pt>
                <c:pt idx="34">
                  <c:v>79.13</c:v>
                </c:pt>
                <c:pt idx="35">
                  <c:v>80.33</c:v>
                </c:pt>
                <c:pt idx="36">
                  <c:v>78.34</c:v>
                </c:pt>
                <c:pt idx="37">
                  <c:v>79.63</c:v>
                </c:pt>
                <c:pt idx="38">
                  <c:v>78.84</c:v>
                </c:pt>
                <c:pt idx="39">
                  <c:v>79.650000000000006</c:v>
                </c:pt>
                <c:pt idx="40">
                  <c:v>81.03</c:v>
                </c:pt>
                <c:pt idx="41">
                  <c:v>80.599999999999994</c:v>
                </c:pt>
                <c:pt idx="42">
                  <c:v>81.790000000000006</c:v>
                </c:pt>
                <c:pt idx="43">
                  <c:v>81.8</c:v>
                </c:pt>
                <c:pt idx="44">
                  <c:v>81.38</c:v>
                </c:pt>
                <c:pt idx="45">
                  <c:v>81.98</c:v>
                </c:pt>
                <c:pt idx="46">
                  <c:v>82.27</c:v>
                </c:pt>
                <c:pt idx="47">
                  <c:v>81.099999999999994</c:v>
                </c:pt>
                <c:pt idx="48">
                  <c:v>79.86</c:v>
                </c:pt>
                <c:pt idx="49">
                  <c:v>82.06</c:v>
                </c:pt>
                <c:pt idx="50">
                  <c:v>82.87</c:v>
                </c:pt>
                <c:pt idx="51">
                  <c:v>82.21</c:v>
                </c:pt>
                <c:pt idx="52">
                  <c:v>80.680000000000007</c:v>
                </c:pt>
                <c:pt idx="53">
                  <c:v>80.69</c:v>
                </c:pt>
                <c:pt idx="54">
                  <c:v>81.64</c:v>
                </c:pt>
                <c:pt idx="55">
                  <c:v>80.23</c:v>
                </c:pt>
                <c:pt idx="56">
                  <c:v>80.16</c:v>
                </c:pt>
                <c:pt idx="57">
                  <c:v>80.14</c:v>
                </c:pt>
                <c:pt idx="58">
                  <c:v>82.52</c:v>
                </c:pt>
                <c:pt idx="59">
                  <c:v>82.55</c:v>
                </c:pt>
                <c:pt idx="60">
                  <c:v>83.38</c:v>
                </c:pt>
                <c:pt idx="61">
                  <c:v>85.27</c:v>
                </c:pt>
                <c:pt idx="62">
                  <c:v>86.83</c:v>
                </c:pt>
                <c:pt idx="63">
                  <c:v>86.78</c:v>
                </c:pt>
                <c:pt idx="64">
                  <c:v>85.64</c:v>
                </c:pt>
                <c:pt idx="65">
                  <c:v>85.64</c:v>
                </c:pt>
                <c:pt idx="66">
                  <c:v>84.87</c:v>
                </c:pt>
                <c:pt idx="67">
                  <c:v>84.31</c:v>
                </c:pt>
                <c:pt idx="68">
                  <c:v>83.81</c:v>
                </c:pt>
                <c:pt idx="69">
                  <c:v>85.94</c:v>
                </c:pt>
                <c:pt idx="70">
                  <c:v>85.31</c:v>
                </c:pt>
                <c:pt idx="71">
                  <c:v>82.95</c:v>
                </c:pt>
                <c:pt idx="72">
                  <c:v>81.91</c:v>
                </c:pt>
                <c:pt idx="73">
                  <c:v>83.44</c:v>
                </c:pt>
                <c:pt idx="74">
                  <c:v>83.44</c:v>
                </c:pt>
                <c:pt idx="75">
                  <c:v>83.75</c:v>
                </c:pt>
                <c:pt idx="76">
                  <c:v>85.06</c:v>
                </c:pt>
                <c:pt idx="77">
                  <c:v>83.88</c:v>
                </c:pt>
                <c:pt idx="78">
                  <c:v>81.84</c:v>
                </c:pt>
                <c:pt idx="79">
                  <c:v>83.32</c:v>
                </c:pt>
                <c:pt idx="80">
                  <c:v>85.6</c:v>
                </c:pt>
                <c:pt idx="81">
                  <c:v>86.19</c:v>
                </c:pt>
                <c:pt idx="82">
                  <c:v>85.99</c:v>
                </c:pt>
                <c:pt idx="83">
                  <c:v>82.08</c:v>
                </c:pt>
                <c:pt idx="84">
                  <c:v>79.56</c:v>
                </c:pt>
                <c:pt idx="85">
                  <c:v>76.849999999999994</c:v>
                </c:pt>
                <c:pt idx="86">
                  <c:v>75.44</c:v>
                </c:pt>
                <c:pt idx="87">
                  <c:v>77.28</c:v>
                </c:pt>
                <c:pt idx="88">
                  <c:v>76.03</c:v>
                </c:pt>
                <c:pt idx="89">
                  <c:v>75.510000000000005</c:v>
                </c:pt>
                <c:pt idx="90">
                  <c:v>73.87</c:v>
                </c:pt>
                <c:pt idx="91">
                  <c:v>72.03</c:v>
                </c:pt>
                <c:pt idx="92">
                  <c:v>70.48</c:v>
                </c:pt>
                <c:pt idx="93">
                  <c:v>69.09</c:v>
                </c:pt>
                <c:pt idx="94">
                  <c:v>71.099999999999994</c:v>
                </c:pt>
                <c:pt idx="95">
                  <c:v>68.67</c:v>
                </c:pt>
                <c:pt idx="96">
                  <c:v>70.42</c:v>
                </c:pt>
                <c:pt idx="97">
                  <c:v>70.010000000000005</c:v>
                </c:pt>
                <c:pt idx="98">
                  <c:v>69.95</c:v>
                </c:pt>
                <c:pt idx="99">
                  <c:v>70.88</c:v>
                </c:pt>
                <c:pt idx="100">
                  <c:v>74.92</c:v>
                </c:pt>
                <c:pt idx="101">
                  <c:v>74.19</c:v>
                </c:pt>
                <c:pt idx="102">
                  <c:v>71.94</c:v>
                </c:pt>
                <c:pt idx="103">
                  <c:v>73.69</c:v>
                </c:pt>
                <c:pt idx="104">
                  <c:v>74.62</c:v>
                </c:pt>
                <c:pt idx="105">
                  <c:v>70.92</c:v>
                </c:pt>
                <c:pt idx="106">
                  <c:v>71.14</c:v>
                </c:pt>
                <c:pt idx="107">
                  <c:v>72.510000000000005</c:v>
                </c:pt>
                <c:pt idx="108">
                  <c:v>73.89</c:v>
                </c:pt>
                <c:pt idx="109">
                  <c:v>75.45</c:v>
                </c:pt>
                <c:pt idx="110">
                  <c:v>74.23</c:v>
                </c:pt>
                <c:pt idx="111">
                  <c:v>74.77</c:v>
                </c:pt>
                <c:pt idx="112">
                  <c:v>77.069999999999993</c:v>
                </c:pt>
                <c:pt idx="113">
                  <c:v>77.5</c:v>
                </c:pt>
                <c:pt idx="114">
                  <c:v>76.59</c:v>
                </c:pt>
                <c:pt idx="115">
                  <c:v>77.34</c:v>
                </c:pt>
                <c:pt idx="116">
                  <c:v>77.08</c:v>
                </c:pt>
                <c:pt idx="117">
                  <c:v>76.94</c:v>
                </c:pt>
                <c:pt idx="118">
                  <c:v>76.06</c:v>
                </c:pt>
                <c:pt idx="119">
                  <c:v>76.56</c:v>
                </c:pt>
                <c:pt idx="120">
                  <c:v>79.16</c:v>
                </c:pt>
                <c:pt idx="121">
                  <c:v>78.150000000000006</c:v>
                </c:pt>
                <c:pt idx="122">
                  <c:v>75.44</c:v>
                </c:pt>
                <c:pt idx="123">
                  <c:v>75.349999999999994</c:v>
                </c:pt>
                <c:pt idx="124">
                  <c:v>72.599999999999994</c:v>
                </c:pt>
                <c:pt idx="125">
                  <c:v>72.290000000000006</c:v>
                </c:pt>
                <c:pt idx="126">
                  <c:v>72.03</c:v>
                </c:pt>
                <c:pt idx="127">
                  <c:v>74.89</c:v>
                </c:pt>
                <c:pt idx="128">
                  <c:v>75.92</c:v>
                </c:pt>
                <c:pt idx="129">
                  <c:v>76.45</c:v>
                </c:pt>
                <c:pt idx="130">
                  <c:v>75.02</c:v>
                </c:pt>
                <c:pt idx="131">
                  <c:v>77.23</c:v>
                </c:pt>
                <c:pt idx="132">
                  <c:v>76.77</c:v>
                </c:pt>
                <c:pt idx="133">
                  <c:v>76.88</c:v>
                </c:pt>
                <c:pt idx="134">
                  <c:v>75.78</c:v>
                </c:pt>
                <c:pt idx="135">
                  <c:v>76.459999999999994</c:v>
                </c:pt>
                <c:pt idx="136">
                  <c:v>76.95</c:v>
                </c:pt>
                <c:pt idx="137">
                  <c:v>76.459999999999994</c:v>
                </c:pt>
                <c:pt idx="138">
                  <c:v>79.23</c:v>
                </c:pt>
                <c:pt idx="139">
                  <c:v>78.87</c:v>
                </c:pt>
                <c:pt idx="140">
                  <c:v>78.87</c:v>
                </c:pt>
                <c:pt idx="141">
                  <c:v>77.069999999999993</c:v>
                </c:pt>
                <c:pt idx="142">
                  <c:v>76.84</c:v>
                </c:pt>
                <c:pt idx="143">
                  <c:v>78.25</c:v>
                </c:pt>
                <c:pt idx="144">
                  <c:v>78.97</c:v>
                </c:pt>
                <c:pt idx="145">
                  <c:v>81.459999999999994</c:v>
                </c:pt>
                <c:pt idx="146">
                  <c:v>82.5</c:v>
                </c:pt>
                <c:pt idx="147">
                  <c:v>82.47</c:v>
                </c:pt>
                <c:pt idx="148">
                  <c:v>82.19</c:v>
                </c:pt>
                <c:pt idx="149">
                  <c:v>80.88</c:v>
                </c:pt>
                <c:pt idx="150">
                  <c:v>81.430000000000007</c:v>
                </c:pt>
                <c:pt idx="151">
                  <c:v>80.28</c:v>
                </c:pt>
                <c:pt idx="152">
                  <c:v>77.34</c:v>
                </c:pt>
                <c:pt idx="153">
                  <c:v>75.739999999999995</c:v>
                </c:pt>
                <c:pt idx="154">
                  <c:v>75.56</c:v>
                </c:pt>
                <c:pt idx="155">
                  <c:v>75.06</c:v>
                </c:pt>
                <c:pt idx="156">
                  <c:v>75.5</c:v>
                </c:pt>
                <c:pt idx="157">
                  <c:v>75.239999999999995</c:v>
                </c:pt>
                <c:pt idx="158">
                  <c:v>74.44</c:v>
                </c:pt>
                <c:pt idx="159">
                  <c:v>73.44</c:v>
                </c:pt>
                <c:pt idx="160">
                  <c:v>72.89</c:v>
                </c:pt>
                <c:pt idx="161">
                  <c:v>71.5</c:v>
                </c:pt>
                <c:pt idx="162">
                  <c:v>72.91</c:v>
                </c:pt>
                <c:pt idx="163">
                  <c:v>73.069999999999993</c:v>
                </c:pt>
                <c:pt idx="164">
                  <c:v>75.56</c:v>
                </c:pt>
                <c:pt idx="165">
                  <c:v>74.06</c:v>
                </c:pt>
                <c:pt idx="166">
                  <c:v>71.66</c:v>
                </c:pt>
                <c:pt idx="167">
                  <c:v>73.91</c:v>
                </c:pt>
                <c:pt idx="168">
                  <c:v>74.92</c:v>
                </c:pt>
                <c:pt idx="169">
                  <c:v>74.33</c:v>
                </c:pt>
                <c:pt idx="170">
                  <c:v>73.81</c:v>
                </c:pt>
                <c:pt idx="171">
                  <c:v>74.95</c:v>
                </c:pt>
                <c:pt idx="172">
                  <c:v>74.25</c:v>
                </c:pt>
                <c:pt idx="173">
                  <c:v>76.38</c:v>
                </c:pt>
                <c:pt idx="174">
                  <c:v>77.14</c:v>
                </c:pt>
                <c:pt idx="175">
                  <c:v>76.67</c:v>
                </c:pt>
                <c:pt idx="176">
                  <c:v>75.81</c:v>
                </c:pt>
                <c:pt idx="177">
                  <c:v>74.5</c:v>
                </c:pt>
                <c:pt idx="178">
                  <c:v>73.5</c:v>
                </c:pt>
                <c:pt idx="179">
                  <c:v>74.69</c:v>
                </c:pt>
                <c:pt idx="180">
                  <c:v>72.84</c:v>
                </c:pt>
                <c:pt idx="181">
                  <c:v>74.87</c:v>
                </c:pt>
                <c:pt idx="182">
                  <c:v>74.95</c:v>
                </c:pt>
                <c:pt idx="183">
                  <c:v>76.47</c:v>
                </c:pt>
                <c:pt idx="184">
                  <c:v>76.22</c:v>
                </c:pt>
                <c:pt idx="185">
                  <c:v>76.25</c:v>
                </c:pt>
                <c:pt idx="186">
                  <c:v>77.92</c:v>
                </c:pt>
                <c:pt idx="187">
                  <c:v>79.8</c:v>
                </c:pt>
                <c:pt idx="188">
                  <c:v>81.73</c:v>
                </c:pt>
                <c:pt idx="189">
                  <c:v>81.319999999999993</c:v>
                </c:pt>
                <c:pt idx="190">
                  <c:v>82.61</c:v>
                </c:pt>
                <c:pt idx="191">
                  <c:v>83.34</c:v>
                </c:pt>
                <c:pt idx="192">
                  <c:v>81.41</c:v>
                </c:pt>
                <c:pt idx="193">
                  <c:v>82.84</c:v>
                </c:pt>
                <c:pt idx="194">
                  <c:v>81.95</c:v>
                </c:pt>
                <c:pt idx="195">
                  <c:v>81.680000000000007</c:v>
                </c:pt>
                <c:pt idx="196">
                  <c:v>83.19</c:v>
                </c:pt>
                <c:pt idx="197">
                  <c:v>82.81</c:v>
                </c:pt>
                <c:pt idx="198">
                  <c:v>81.45</c:v>
                </c:pt>
                <c:pt idx="199">
                  <c:v>83</c:v>
                </c:pt>
                <c:pt idx="200">
                  <c:v>79.349999999999994</c:v>
                </c:pt>
                <c:pt idx="201">
                  <c:v>81.92</c:v>
                </c:pt>
                <c:pt idx="202">
                  <c:v>80.73</c:v>
                </c:pt>
                <c:pt idx="203">
                  <c:v>81.900000000000006</c:v>
                </c:pt>
                <c:pt idx="204">
                  <c:v>82.39</c:v>
                </c:pt>
                <c:pt idx="205">
                  <c:v>82.45</c:v>
                </c:pt>
                <c:pt idx="206">
                  <c:v>81.97</c:v>
                </c:pt>
                <c:pt idx="207">
                  <c:v>81.92</c:v>
                </c:pt>
                <c:pt idx="208">
                  <c:v>81.430000000000007</c:v>
                </c:pt>
                <c:pt idx="209">
                  <c:v>82.96</c:v>
                </c:pt>
                <c:pt idx="210">
                  <c:v>84.44</c:v>
                </c:pt>
                <c:pt idx="211">
                  <c:v>85.06</c:v>
                </c:pt>
                <c:pt idx="212">
                  <c:v>86.61</c:v>
                </c:pt>
                <c:pt idx="213">
                  <c:v>87.42</c:v>
                </c:pt>
                <c:pt idx="214">
                  <c:v>86.7</c:v>
                </c:pt>
                <c:pt idx="215">
                  <c:v>86.4</c:v>
                </c:pt>
                <c:pt idx="216">
                  <c:v>87.89</c:v>
                </c:pt>
                <c:pt idx="217">
                  <c:v>87.72</c:v>
                </c:pt>
                <c:pt idx="218">
                  <c:v>84.75</c:v>
                </c:pt>
                <c:pt idx="219">
                  <c:v>84.53</c:v>
                </c:pt>
                <c:pt idx="220">
                  <c:v>82.3</c:v>
                </c:pt>
                <c:pt idx="221">
                  <c:v>80.39</c:v>
                </c:pt>
                <c:pt idx="222">
                  <c:v>82.25</c:v>
                </c:pt>
                <c:pt idx="223">
                  <c:v>81.62</c:v>
                </c:pt>
                <c:pt idx="224">
                  <c:v>81.569999999999993</c:v>
                </c:pt>
                <c:pt idx="225">
                  <c:v>80.98</c:v>
                </c:pt>
                <c:pt idx="226">
                  <c:v>84.23</c:v>
                </c:pt>
                <c:pt idx="227">
                  <c:v>83.89</c:v>
                </c:pt>
                <c:pt idx="228">
                  <c:v>85.89</c:v>
                </c:pt>
                <c:pt idx="229">
                  <c:v>83.6</c:v>
                </c:pt>
                <c:pt idx="230">
                  <c:v>86.83</c:v>
                </c:pt>
                <c:pt idx="231">
                  <c:v>87.95</c:v>
                </c:pt>
                <c:pt idx="232">
                  <c:v>89.44</c:v>
                </c:pt>
                <c:pt idx="233">
                  <c:v>88.85</c:v>
                </c:pt>
                <c:pt idx="234">
                  <c:v>88.25</c:v>
                </c:pt>
                <c:pt idx="235">
                  <c:v>88.5</c:v>
                </c:pt>
                <c:pt idx="236">
                  <c:v>88.53</c:v>
                </c:pt>
                <c:pt idx="237">
                  <c:v>87.81</c:v>
                </c:pt>
                <c:pt idx="238">
                  <c:v>88.19</c:v>
                </c:pt>
                <c:pt idx="239">
                  <c:v>88.27</c:v>
                </c:pt>
                <c:pt idx="240">
                  <c:v>88.32</c:v>
                </c:pt>
                <c:pt idx="241">
                  <c:v>87.81</c:v>
                </c:pt>
                <c:pt idx="242">
                  <c:v>88.22</c:v>
                </c:pt>
                <c:pt idx="243">
                  <c:v>89.27</c:v>
                </c:pt>
                <c:pt idx="244">
                  <c:v>90.03</c:v>
                </c:pt>
                <c:pt idx="245">
                  <c:v>90.62</c:v>
                </c:pt>
                <c:pt idx="246">
                  <c:v>91.47</c:v>
                </c:pt>
                <c:pt idx="247">
                  <c:v>90.73</c:v>
                </c:pt>
                <c:pt idx="248">
                  <c:v>91.25</c:v>
                </c:pt>
                <c:pt idx="249">
                  <c:v>90.97</c:v>
                </c:pt>
                <c:pt idx="250">
                  <c:v>89.6</c:v>
                </c:pt>
                <c:pt idx="251">
                  <c:v>91.4</c:v>
                </c:pt>
                <c:pt idx="252">
                  <c:v>91.56</c:v>
                </c:pt>
                <c:pt idx="253">
                  <c:v>89.23</c:v>
                </c:pt>
                <c:pt idx="254">
                  <c:v>90.38</c:v>
                </c:pt>
                <c:pt idx="255">
                  <c:v>88.12</c:v>
                </c:pt>
                <c:pt idx="256">
                  <c:v>88.48</c:v>
                </c:pt>
                <c:pt idx="257">
                  <c:v>89.36</c:v>
                </c:pt>
                <c:pt idx="258">
                  <c:v>91.22</c:v>
                </c:pt>
                <c:pt idx="259">
                  <c:v>91.97</c:v>
                </c:pt>
                <c:pt idx="260">
                  <c:v>90.95</c:v>
                </c:pt>
                <c:pt idx="261">
                  <c:v>91.66</c:v>
                </c:pt>
                <c:pt idx="262">
                  <c:v>91.26</c:v>
                </c:pt>
                <c:pt idx="263">
                  <c:v>90.6</c:v>
                </c:pt>
                <c:pt idx="264">
                  <c:v>89.9</c:v>
                </c:pt>
                <c:pt idx="265">
                  <c:v>89.13</c:v>
                </c:pt>
                <c:pt idx="266">
                  <c:v>87.73</c:v>
                </c:pt>
                <c:pt idx="267">
                  <c:v>86.2</c:v>
                </c:pt>
                <c:pt idx="268">
                  <c:v>87.61</c:v>
                </c:pt>
                <c:pt idx="269">
                  <c:v>85.23</c:v>
                </c:pt>
                <c:pt idx="270">
                  <c:v>89.49</c:v>
                </c:pt>
                <c:pt idx="271">
                  <c:v>92.22</c:v>
                </c:pt>
                <c:pt idx="272">
                  <c:v>90.47</c:v>
                </c:pt>
                <c:pt idx="273">
                  <c:v>90.92</c:v>
                </c:pt>
                <c:pt idx="274">
                  <c:v>90.55</c:v>
                </c:pt>
                <c:pt idx="275">
                  <c:v>89.13</c:v>
                </c:pt>
                <c:pt idx="276">
                  <c:v>87.44</c:v>
                </c:pt>
                <c:pt idx="277">
                  <c:v>87.43</c:v>
                </c:pt>
                <c:pt idx="278">
                  <c:v>86.8</c:v>
                </c:pt>
                <c:pt idx="279">
                  <c:v>87.56</c:v>
                </c:pt>
                <c:pt idx="280">
                  <c:v>85.31</c:v>
                </c:pt>
                <c:pt idx="281">
                  <c:v>84.82</c:v>
                </c:pt>
                <c:pt idx="282">
                  <c:v>84.36</c:v>
                </c:pt>
                <c:pt idx="283">
                  <c:v>85.2</c:v>
                </c:pt>
                <c:pt idx="284">
                  <c:v>86.39</c:v>
                </c:pt>
                <c:pt idx="285">
                  <c:v>86.15</c:v>
                </c:pt>
                <c:pt idx="286">
                  <c:v>93.36</c:v>
                </c:pt>
                <c:pt idx="287">
                  <c:v>98.98</c:v>
                </c:pt>
                <c:pt idx="288">
                  <c:v>96.81</c:v>
                </c:pt>
                <c:pt idx="289">
                  <c:v>98.22</c:v>
                </c:pt>
                <c:pt idx="290">
                  <c:v>96.88</c:v>
                </c:pt>
                <c:pt idx="291">
                  <c:v>100.59</c:v>
                </c:pt>
                <c:pt idx="292">
                  <c:v>102.44</c:v>
                </c:pt>
                <c:pt idx="293">
                  <c:v>101.69</c:v>
                </c:pt>
                <c:pt idx="294">
                  <c:v>104.91</c:v>
                </c:pt>
                <c:pt idx="295">
                  <c:v>104.75</c:v>
                </c:pt>
                <c:pt idx="296">
                  <c:v>105.03</c:v>
                </c:pt>
                <c:pt idx="297">
                  <c:v>104.45</c:v>
                </c:pt>
                <c:pt idx="298">
                  <c:v>102.58</c:v>
                </c:pt>
                <c:pt idx="299">
                  <c:v>100.59</c:v>
                </c:pt>
                <c:pt idx="300">
                  <c:v>101.7</c:v>
                </c:pt>
                <c:pt idx="301">
                  <c:v>97.38</c:v>
                </c:pt>
                <c:pt idx="302">
                  <c:v>98.14</c:v>
                </c:pt>
                <c:pt idx="303">
                  <c:v>101.73</c:v>
                </c:pt>
                <c:pt idx="304">
                  <c:v>101.61</c:v>
                </c:pt>
                <c:pt idx="305">
                  <c:v>102.02</c:v>
                </c:pt>
                <c:pt idx="306">
                  <c:v>102.57</c:v>
                </c:pt>
                <c:pt idx="307">
                  <c:v>105.56</c:v>
                </c:pt>
                <c:pt idx="308">
                  <c:v>105.41</c:v>
                </c:pt>
                <c:pt idx="309">
                  <c:v>105.55</c:v>
                </c:pt>
                <c:pt idx="310">
                  <c:v>103.86</c:v>
                </c:pt>
                <c:pt idx="311">
                  <c:v>104.55</c:v>
                </c:pt>
                <c:pt idx="312">
                  <c:v>104.35</c:v>
                </c:pt>
                <c:pt idx="313">
                  <c:v>106.78</c:v>
                </c:pt>
                <c:pt idx="314">
                  <c:v>108.31</c:v>
                </c:pt>
                <c:pt idx="315">
                  <c:v>108.22</c:v>
                </c:pt>
                <c:pt idx="316">
                  <c:v>107.97</c:v>
                </c:pt>
                <c:pt idx="317">
                  <c:v>108.63</c:v>
                </c:pt>
                <c:pt idx="318">
                  <c:v>110.39</c:v>
                </c:pt>
                <c:pt idx="319">
                  <c:v>113.06</c:v>
                </c:pt>
                <c:pt idx="320">
                  <c:v>108.88</c:v>
                </c:pt>
                <c:pt idx="321">
                  <c:v>106.05</c:v>
                </c:pt>
                <c:pt idx="322">
                  <c:v>107.38</c:v>
                </c:pt>
                <c:pt idx="323">
                  <c:v>108.47</c:v>
                </c:pt>
                <c:pt idx="324">
                  <c:v>109.39</c:v>
                </c:pt>
                <c:pt idx="325">
                  <c:v>107.58</c:v>
                </c:pt>
                <c:pt idx="326">
                  <c:v>108</c:v>
                </c:pt>
                <c:pt idx="327">
                  <c:v>111.38</c:v>
                </c:pt>
                <c:pt idx="328">
                  <c:v>112.35</c:v>
                </c:pt>
                <c:pt idx="329">
                  <c:v>112.19</c:v>
                </c:pt>
                <c:pt idx="330">
                  <c:v>111.94</c:v>
                </c:pt>
                <c:pt idx="331">
                  <c:v>113.16</c:v>
                </c:pt>
                <c:pt idx="332">
                  <c:v>112.76</c:v>
                </c:pt>
                <c:pt idx="333">
                  <c:v>113.73</c:v>
                </c:pt>
                <c:pt idx="334">
                  <c:v>112.98</c:v>
                </c:pt>
                <c:pt idx="335">
                  <c:v>110.81</c:v>
                </c:pt>
                <c:pt idx="336">
                  <c:v>108.82</c:v>
                </c:pt>
                <c:pt idx="337">
                  <c:v>99.84</c:v>
                </c:pt>
                <c:pt idx="338">
                  <c:v>98.05</c:v>
                </c:pt>
                <c:pt idx="339">
                  <c:v>102.65</c:v>
                </c:pt>
                <c:pt idx="340">
                  <c:v>103.63</c:v>
                </c:pt>
                <c:pt idx="341">
                  <c:v>98.59</c:v>
                </c:pt>
                <c:pt idx="342">
                  <c:v>98.78</c:v>
                </c:pt>
                <c:pt idx="343">
                  <c:v>99.35</c:v>
                </c:pt>
                <c:pt idx="344">
                  <c:v>97.01</c:v>
                </c:pt>
                <c:pt idx="345">
                  <c:v>97.56</c:v>
                </c:pt>
                <c:pt idx="346">
                  <c:v>99.81</c:v>
                </c:pt>
                <c:pt idx="347">
                  <c:v>98.56</c:v>
                </c:pt>
                <c:pt idx="348">
                  <c:v>98.76</c:v>
                </c:pt>
                <c:pt idx="349">
                  <c:v>97.47</c:v>
                </c:pt>
                <c:pt idx="350">
                  <c:v>99.38</c:v>
                </c:pt>
                <c:pt idx="351">
                  <c:v>101.19</c:v>
                </c:pt>
                <c:pt idx="352">
                  <c:v>100.11</c:v>
                </c:pt>
                <c:pt idx="353">
                  <c:v>100.75</c:v>
                </c:pt>
                <c:pt idx="354">
                  <c:v>102.58</c:v>
                </c:pt>
                <c:pt idx="355">
                  <c:v>99.72</c:v>
                </c:pt>
                <c:pt idx="356">
                  <c:v>100.87</c:v>
                </c:pt>
                <c:pt idx="357">
                  <c:v>100.57</c:v>
                </c:pt>
                <c:pt idx="358">
                  <c:v>98.78</c:v>
                </c:pt>
                <c:pt idx="359">
                  <c:v>99.52</c:v>
                </c:pt>
                <c:pt idx="360">
                  <c:v>100.8</c:v>
                </c:pt>
                <c:pt idx="361">
                  <c:v>101.87</c:v>
                </c:pt>
                <c:pt idx="362">
                  <c:v>98.94</c:v>
                </c:pt>
                <c:pt idx="363">
                  <c:v>96.96</c:v>
                </c:pt>
                <c:pt idx="364">
                  <c:v>99.64</c:v>
                </c:pt>
                <c:pt idx="365">
                  <c:v>95.36</c:v>
                </c:pt>
                <c:pt idx="366">
                  <c:v>95.15</c:v>
                </c:pt>
                <c:pt idx="367">
                  <c:v>92.92</c:v>
                </c:pt>
                <c:pt idx="368">
                  <c:v>93.33</c:v>
                </c:pt>
                <c:pt idx="369">
                  <c:v>93.25</c:v>
                </c:pt>
                <c:pt idx="370">
                  <c:v>94.44</c:v>
                </c:pt>
                <c:pt idx="371">
                  <c:v>92.35</c:v>
                </c:pt>
                <c:pt idx="372">
                  <c:v>91.22</c:v>
                </c:pt>
                <c:pt idx="373">
                  <c:v>90.83</c:v>
                </c:pt>
                <c:pt idx="374">
                  <c:v>93.36</c:v>
                </c:pt>
                <c:pt idx="375">
                  <c:v>95.05</c:v>
                </c:pt>
                <c:pt idx="376">
                  <c:v>95.11</c:v>
                </c:pt>
                <c:pt idx="377">
                  <c:v>94.73</c:v>
                </c:pt>
                <c:pt idx="378">
                  <c:v>97.02</c:v>
                </c:pt>
                <c:pt idx="379">
                  <c:v>97.01</c:v>
                </c:pt>
                <c:pt idx="380">
                  <c:v>98.77</c:v>
                </c:pt>
                <c:pt idx="381">
                  <c:v>96.47</c:v>
                </c:pt>
                <c:pt idx="382">
                  <c:v>95.13</c:v>
                </c:pt>
                <c:pt idx="383">
                  <c:v>96.64</c:v>
                </c:pt>
                <c:pt idx="384">
                  <c:v>97.62</c:v>
                </c:pt>
                <c:pt idx="385">
                  <c:v>96.04</c:v>
                </c:pt>
                <c:pt idx="386">
                  <c:v>97.48</c:v>
                </c:pt>
                <c:pt idx="387">
                  <c:v>96.15</c:v>
                </c:pt>
                <c:pt idx="388">
                  <c:v>97.97</c:v>
                </c:pt>
                <c:pt idx="389">
                  <c:v>98.03</c:v>
                </c:pt>
                <c:pt idx="390">
                  <c:v>99.12</c:v>
                </c:pt>
                <c:pt idx="391">
                  <c:v>99.81</c:v>
                </c:pt>
                <c:pt idx="392">
                  <c:v>99.08</c:v>
                </c:pt>
                <c:pt idx="393">
                  <c:v>99.22</c:v>
                </c:pt>
                <c:pt idx="394">
                  <c:v>97.24</c:v>
                </c:pt>
                <c:pt idx="395">
                  <c:v>97.16</c:v>
                </c:pt>
                <c:pt idx="396">
                  <c:v>95.87</c:v>
                </c:pt>
                <c:pt idx="397">
                  <c:v>94.97</c:v>
                </c:pt>
                <c:pt idx="398">
                  <c:v>93.27</c:v>
                </c:pt>
                <c:pt idx="399">
                  <c:v>91.91</c:v>
                </c:pt>
                <c:pt idx="400">
                  <c:v>86.43</c:v>
                </c:pt>
                <c:pt idx="401">
                  <c:v>87.22</c:v>
                </c:pt>
                <c:pt idx="402">
                  <c:v>81.069999999999993</c:v>
                </c:pt>
                <c:pt idx="403">
                  <c:v>82.12</c:v>
                </c:pt>
                <c:pt idx="404">
                  <c:v>82.08</c:v>
                </c:pt>
                <c:pt idx="405">
                  <c:v>85.67</c:v>
                </c:pt>
                <c:pt idx="406">
                  <c:v>85.32</c:v>
                </c:pt>
                <c:pt idx="407">
                  <c:v>87.69</c:v>
                </c:pt>
                <c:pt idx="408">
                  <c:v>87.17</c:v>
                </c:pt>
                <c:pt idx="409">
                  <c:v>87.38</c:v>
                </c:pt>
                <c:pt idx="410">
                  <c:v>81.31</c:v>
                </c:pt>
                <c:pt idx="411">
                  <c:v>82.75</c:v>
                </c:pt>
                <c:pt idx="412">
                  <c:v>82.31</c:v>
                </c:pt>
                <c:pt idx="413">
                  <c:v>85.69</c:v>
                </c:pt>
                <c:pt idx="414">
                  <c:v>85.24</c:v>
                </c:pt>
                <c:pt idx="415">
                  <c:v>84.98</c:v>
                </c:pt>
                <c:pt idx="416">
                  <c:v>85.56</c:v>
                </c:pt>
                <c:pt idx="417">
                  <c:v>87.56</c:v>
                </c:pt>
                <c:pt idx="418">
                  <c:v>88.73</c:v>
                </c:pt>
                <c:pt idx="419">
                  <c:v>88.73</c:v>
                </c:pt>
                <c:pt idx="420">
                  <c:v>88.77</c:v>
                </c:pt>
                <c:pt idx="421">
                  <c:v>86.65</c:v>
                </c:pt>
                <c:pt idx="422">
                  <c:v>86.53</c:v>
                </c:pt>
                <c:pt idx="423">
                  <c:v>90.1</c:v>
                </c:pt>
                <c:pt idx="424">
                  <c:v>88.64</c:v>
                </c:pt>
                <c:pt idx="425">
                  <c:v>87</c:v>
                </c:pt>
                <c:pt idx="426">
                  <c:v>88.91</c:v>
                </c:pt>
                <c:pt idx="427">
                  <c:v>89.8</c:v>
                </c:pt>
                <c:pt idx="428">
                  <c:v>88.56</c:v>
                </c:pt>
                <c:pt idx="429">
                  <c:v>89.03</c:v>
                </c:pt>
                <c:pt idx="430">
                  <c:v>87.88</c:v>
                </c:pt>
                <c:pt idx="431">
                  <c:v>85.94</c:v>
                </c:pt>
                <c:pt idx="432">
                  <c:v>86.29</c:v>
                </c:pt>
                <c:pt idx="433">
                  <c:v>84.81</c:v>
                </c:pt>
                <c:pt idx="434">
                  <c:v>80.53</c:v>
                </c:pt>
                <c:pt idx="435">
                  <c:v>79.94</c:v>
                </c:pt>
                <c:pt idx="436">
                  <c:v>81.48</c:v>
                </c:pt>
                <c:pt idx="437">
                  <c:v>83.73</c:v>
                </c:pt>
                <c:pt idx="438">
                  <c:v>80.64</c:v>
                </c:pt>
                <c:pt idx="439">
                  <c:v>83.11</c:v>
                </c:pt>
                <c:pt idx="440">
                  <c:v>78.75</c:v>
                </c:pt>
                <c:pt idx="441">
                  <c:v>76.400000000000006</c:v>
                </c:pt>
                <c:pt idx="442">
                  <c:v>78.23</c:v>
                </c:pt>
                <c:pt idx="443">
                  <c:v>79.77</c:v>
                </c:pt>
                <c:pt idx="444">
                  <c:v>82.55</c:v>
                </c:pt>
                <c:pt idx="445">
                  <c:v>82.86</c:v>
                </c:pt>
                <c:pt idx="446">
                  <c:v>85.79</c:v>
                </c:pt>
                <c:pt idx="447">
                  <c:v>85.16</c:v>
                </c:pt>
                <c:pt idx="448">
                  <c:v>84.92</c:v>
                </c:pt>
                <c:pt idx="449">
                  <c:v>84.56</c:v>
                </c:pt>
                <c:pt idx="450">
                  <c:v>87.27</c:v>
                </c:pt>
                <c:pt idx="451">
                  <c:v>86.27</c:v>
                </c:pt>
                <c:pt idx="452">
                  <c:v>88.42</c:v>
                </c:pt>
                <c:pt idx="453">
                  <c:v>86.06</c:v>
                </c:pt>
                <c:pt idx="454">
                  <c:v>86.66</c:v>
                </c:pt>
                <c:pt idx="455">
                  <c:v>87.54</c:v>
                </c:pt>
                <c:pt idx="456">
                  <c:v>91.62</c:v>
                </c:pt>
                <c:pt idx="457">
                  <c:v>92.53</c:v>
                </c:pt>
                <c:pt idx="458">
                  <c:v>90.9</c:v>
                </c:pt>
                <c:pt idx="459">
                  <c:v>93.98</c:v>
                </c:pt>
                <c:pt idx="460">
                  <c:v>93.48</c:v>
                </c:pt>
                <c:pt idx="461">
                  <c:v>92.59</c:v>
                </c:pt>
                <c:pt idx="462">
                  <c:v>91.56</c:v>
                </c:pt>
                <c:pt idx="463">
                  <c:v>92.87</c:v>
                </c:pt>
                <c:pt idx="464">
                  <c:v>94.28</c:v>
                </c:pt>
                <c:pt idx="465">
                  <c:v>94.45</c:v>
                </c:pt>
                <c:pt idx="466">
                  <c:v>95.94</c:v>
                </c:pt>
                <c:pt idx="467">
                  <c:v>97.01</c:v>
                </c:pt>
                <c:pt idx="468">
                  <c:v>95.78</c:v>
                </c:pt>
                <c:pt idx="469">
                  <c:v>97.58</c:v>
                </c:pt>
                <c:pt idx="470">
                  <c:v>99.22</c:v>
                </c:pt>
                <c:pt idx="471">
                  <c:v>98</c:v>
                </c:pt>
                <c:pt idx="472">
                  <c:v>99.3</c:v>
                </c:pt>
                <c:pt idx="473">
                  <c:v>101.74</c:v>
                </c:pt>
                <c:pt idx="474">
                  <c:v>98.62</c:v>
                </c:pt>
                <c:pt idx="475">
                  <c:v>98</c:v>
                </c:pt>
                <c:pt idx="476">
                  <c:v>97.07</c:v>
                </c:pt>
                <c:pt idx="477">
                  <c:v>97.73</c:v>
                </c:pt>
                <c:pt idx="478">
                  <c:v>95.83</c:v>
                </c:pt>
                <c:pt idx="479">
                  <c:v>97.38</c:v>
                </c:pt>
                <c:pt idx="480">
                  <c:v>97.75</c:v>
                </c:pt>
                <c:pt idx="481">
                  <c:v>99.5</c:v>
                </c:pt>
                <c:pt idx="482">
                  <c:v>100.51</c:v>
                </c:pt>
                <c:pt idx="483">
                  <c:v>100.01</c:v>
                </c:pt>
                <c:pt idx="484">
                  <c:v>101.11</c:v>
                </c:pt>
                <c:pt idx="485">
                  <c:v>100.56</c:v>
                </c:pt>
                <c:pt idx="486">
                  <c:v>101.18</c:v>
                </c:pt>
                <c:pt idx="487">
                  <c:v>100.55</c:v>
                </c:pt>
                <c:pt idx="488">
                  <c:v>97.97</c:v>
                </c:pt>
                <c:pt idx="489">
                  <c:v>99.81</c:v>
                </c:pt>
                <c:pt idx="490">
                  <c:v>97.92</c:v>
                </c:pt>
                <c:pt idx="491">
                  <c:v>100.37</c:v>
                </c:pt>
                <c:pt idx="492">
                  <c:v>94.81</c:v>
                </c:pt>
                <c:pt idx="493">
                  <c:v>93.42</c:v>
                </c:pt>
                <c:pt idx="494">
                  <c:v>93.79</c:v>
                </c:pt>
                <c:pt idx="495">
                  <c:v>94.09</c:v>
                </c:pt>
                <c:pt idx="496">
                  <c:v>95.55</c:v>
                </c:pt>
                <c:pt idx="497">
                  <c:v>99.01</c:v>
                </c:pt>
                <c:pt idx="498">
                  <c:v>99.47</c:v>
                </c:pt>
                <c:pt idx="499">
                  <c:v>99.85</c:v>
                </c:pt>
                <c:pt idx="500">
                  <c:v>101.28</c:v>
                </c:pt>
                <c:pt idx="501">
                  <c:v>99.59</c:v>
                </c:pt>
                <c:pt idx="502">
                  <c:v>99.82</c:v>
                </c:pt>
                <c:pt idx="503">
                  <c:v>99.06</c:v>
                </c:pt>
                <c:pt idx="504">
                  <c:v>102.91</c:v>
                </c:pt>
                <c:pt idx="505">
                  <c:v>103.29</c:v>
                </c:pt>
                <c:pt idx="506">
                  <c:v>101.34</c:v>
                </c:pt>
                <c:pt idx="507">
                  <c:v>101.92</c:v>
                </c:pt>
                <c:pt idx="508">
                  <c:v>101.31</c:v>
                </c:pt>
                <c:pt idx="509">
                  <c:v>102.17</c:v>
                </c:pt>
                <c:pt idx="510">
                  <c:v>100.98</c:v>
                </c:pt>
                <c:pt idx="511">
                  <c:v>99.25</c:v>
                </c:pt>
                <c:pt idx="512">
                  <c:v>99.05</c:v>
                </c:pt>
                <c:pt idx="513">
                  <c:v>101</c:v>
                </c:pt>
                <c:pt idx="514">
                  <c:v>101.14</c:v>
                </c:pt>
                <c:pt idx="515">
                  <c:v>100.36</c:v>
                </c:pt>
                <c:pt idx="516">
                  <c:v>98.14</c:v>
                </c:pt>
                <c:pt idx="517">
                  <c:v>99.93</c:v>
                </c:pt>
                <c:pt idx="518">
                  <c:v>99.23</c:v>
                </c:pt>
                <c:pt idx="519">
                  <c:v>99.75</c:v>
                </c:pt>
                <c:pt idx="520">
                  <c:v>99.88</c:v>
                </c:pt>
                <c:pt idx="521">
                  <c:v>99.78</c:v>
                </c:pt>
                <c:pt idx="522">
                  <c:v>98.95</c:v>
                </c:pt>
                <c:pt idx="523">
                  <c:v>98.28</c:v>
                </c:pt>
                <c:pt idx="524">
                  <c:v>97.16</c:v>
                </c:pt>
                <c:pt idx="525">
                  <c:v>96.59</c:v>
                </c:pt>
                <c:pt idx="526">
                  <c:v>97.77</c:v>
                </c:pt>
                <c:pt idx="527">
                  <c:v>97.08</c:v>
                </c:pt>
                <c:pt idx="528">
                  <c:v>98.75</c:v>
                </c:pt>
                <c:pt idx="529">
                  <c:v>99.05</c:v>
                </c:pt>
                <c:pt idx="530">
                  <c:v>99.8</c:v>
                </c:pt>
                <c:pt idx="531">
                  <c:v>99.05</c:v>
                </c:pt>
                <c:pt idx="532">
                  <c:v>100.79</c:v>
                </c:pt>
                <c:pt idx="533">
                  <c:v>101</c:v>
                </c:pt>
                <c:pt idx="534">
                  <c:v>101.87</c:v>
                </c:pt>
                <c:pt idx="535">
                  <c:v>102.33</c:v>
                </c:pt>
                <c:pt idx="536">
                  <c:v>104.03</c:v>
                </c:pt>
                <c:pt idx="537">
                  <c:v>105.82</c:v>
                </c:pt>
                <c:pt idx="538">
                  <c:v>105.95</c:v>
                </c:pt>
                <c:pt idx="539">
                  <c:v>108.68</c:v>
                </c:pt>
                <c:pt idx="540">
                  <c:v>109.62</c:v>
                </c:pt>
                <c:pt idx="541">
                  <c:v>107.88</c:v>
                </c:pt>
                <c:pt idx="542">
                  <c:v>106.49</c:v>
                </c:pt>
                <c:pt idx="543">
                  <c:v>106.91</c:v>
                </c:pt>
                <c:pt idx="544">
                  <c:v>108.6</c:v>
                </c:pt>
                <c:pt idx="545">
                  <c:v>106.51</c:v>
                </c:pt>
                <c:pt idx="546">
                  <c:v>107.13</c:v>
                </c:pt>
                <c:pt idx="547">
                  <c:v>104.98</c:v>
                </c:pt>
                <c:pt idx="548">
                  <c:v>106.16</c:v>
                </c:pt>
                <c:pt idx="549">
                  <c:v>106.84</c:v>
                </c:pt>
                <c:pt idx="550">
                  <c:v>107.43</c:v>
                </c:pt>
                <c:pt idx="551">
                  <c:v>106.57</c:v>
                </c:pt>
                <c:pt idx="552">
                  <c:v>106.71</c:v>
                </c:pt>
                <c:pt idx="553">
                  <c:v>105.55</c:v>
                </c:pt>
                <c:pt idx="554">
                  <c:v>105.45</c:v>
                </c:pt>
                <c:pt idx="555">
                  <c:v>107.17</c:v>
                </c:pt>
                <c:pt idx="556">
                  <c:v>107.86</c:v>
                </c:pt>
                <c:pt idx="557">
                  <c:v>105.67</c:v>
                </c:pt>
                <c:pt idx="558">
                  <c:v>106.91</c:v>
                </c:pt>
                <c:pt idx="559">
                  <c:v>105.59</c:v>
                </c:pt>
                <c:pt idx="560">
                  <c:v>106.75</c:v>
                </c:pt>
                <c:pt idx="561">
                  <c:v>107.11</c:v>
                </c:pt>
                <c:pt idx="562">
                  <c:v>106.77</c:v>
                </c:pt>
                <c:pt idx="563">
                  <c:v>105.55</c:v>
                </c:pt>
                <c:pt idx="564">
                  <c:v>103.28</c:v>
                </c:pt>
                <c:pt idx="565">
                  <c:v>102.93</c:v>
                </c:pt>
                <c:pt idx="566">
                  <c:v>105.05</c:v>
                </c:pt>
                <c:pt idx="567">
                  <c:v>104.06</c:v>
                </c:pt>
                <c:pt idx="568">
                  <c:v>102.04</c:v>
                </c:pt>
                <c:pt idx="569">
                  <c:v>103.24</c:v>
                </c:pt>
                <c:pt idx="570">
                  <c:v>102.17</c:v>
                </c:pt>
                <c:pt idx="571">
                  <c:v>100.94</c:v>
                </c:pt>
                <c:pt idx="572">
                  <c:v>102.56</c:v>
                </c:pt>
                <c:pt idx="573">
                  <c:v>103.63</c:v>
                </c:pt>
                <c:pt idx="574">
                  <c:v>102.84</c:v>
                </c:pt>
                <c:pt idx="575">
                  <c:v>103.17</c:v>
                </c:pt>
                <c:pt idx="576">
                  <c:v>104.27</c:v>
                </c:pt>
                <c:pt idx="577">
                  <c:v>102.77</c:v>
                </c:pt>
                <c:pt idx="578">
                  <c:v>102.64</c:v>
                </c:pt>
                <c:pt idx="579">
                  <c:v>102.94</c:v>
                </c:pt>
                <c:pt idx="580">
                  <c:v>103.07</c:v>
                </c:pt>
                <c:pt idx="581">
                  <c:v>103.79</c:v>
                </c:pt>
                <c:pt idx="582">
                  <c:v>103.95</c:v>
                </c:pt>
                <c:pt idx="583">
                  <c:v>104.16</c:v>
                </c:pt>
                <c:pt idx="584">
                  <c:v>104.78</c:v>
                </c:pt>
                <c:pt idx="585">
                  <c:v>104.88</c:v>
                </c:pt>
                <c:pt idx="586">
                  <c:v>105.98</c:v>
                </c:pt>
                <c:pt idx="587">
                  <c:v>105.38</c:v>
                </c:pt>
                <c:pt idx="588">
                  <c:v>102.44</c:v>
                </c:pt>
                <c:pt idx="589">
                  <c:v>98.59</c:v>
                </c:pt>
                <c:pt idx="590">
                  <c:v>97.98</c:v>
                </c:pt>
                <c:pt idx="591">
                  <c:v>97.39</c:v>
                </c:pt>
                <c:pt idx="592">
                  <c:v>96.38</c:v>
                </c:pt>
                <c:pt idx="593">
                  <c:v>96.55</c:v>
                </c:pt>
                <c:pt idx="594">
                  <c:v>95.57</c:v>
                </c:pt>
                <c:pt idx="595">
                  <c:v>94.09</c:v>
                </c:pt>
                <c:pt idx="596">
                  <c:v>93.09</c:v>
                </c:pt>
                <c:pt idx="597">
                  <c:v>92.81</c:v>
                </c:pt>
                <c:pt idx="598">
                  <c:v>92.91</c:v>
                </c:pt>
                <c:pt idx="599">
                  <c:v>91.34</c:v>
                </c:pt>
                <c:pt idx="600">
                  <c:v>92.58</c:v>
                </c:pt>
                <c:pt idx="601">
                  <c:v>92.2</c:v>
                </c:pt>
                <c:pt idx="602">
                  <c:v>90.57</c:v>
                </c:pt>
                <c:pt idx="603">
                  <c:v>90.8</c:v>
                </c:pt>
                <c:pt idx="604">
                  <c:v>90.72</c:v>
                </c:pt>
                <c:pt idx="605">
                  <c:v>90.91</c:v>
                </c:pt>
                <c:pt idx="606">
                  <c:v>87.47</c:v>
                </c:pt>
                <c:pt idx="607">
                  <c:v>86.5</c:v>
                </c:pt>
                <c:pt idx="608">
                  <c:v>83.28</c:v>
                </c:pt>
                <c:pt idx="609">
                  <c:v>84.11</c:v>
                </c:pt>
                <c:pt idx="610">
                  <c:v>84.06</c:v>
                </c:pt>
                <c:pt idx="611">
                  <c:v>85.53</c:v>
                </c:pt>
                <c:pt idx="612">
                  <c:v>83.62</c:v>
                </c:pt>
                <c:pt idx="613">
                  <c:v>84.32</c:v>
                </c:pt>
                <c:pt idx="614">
                  <c:v>81.12</c:v>
                </c:pt>
                <c:pt idx="615">
                  <c:v>83.47</c:v>
                </c:pt>
                <c:pt idx="616">
                  <c:v>82.39</c:v>
                </c:pt>
                <c:pt idx="617">
                  <c:v>84.36</c:v>
                </c:pt>
                <c:pt idx="618">
                  <c:v>84.19</c:v>
                </c:pt>
                <c:pt idx="619">
                  <c:v>83.04</c:v>
                </c:pt>
                <c:pt idx="620">
                  <c:v>83.98</c:v>
                </c:pt>
                <c:pt idx="621">
                  <c:v>82.5</c:v>
                </c:pt>
                <c:pt idx="622">
                  <c:v>78.25</c:v>
                </c:pt>
                <c:pt idx="623">
                  <c:v>80.12</c:v>
                </c:pt>
                <c:pt idx="624">
                  <c:v>79.17</c:v>
                </c:pt>
                <c:pt idx="625">
                  <c:v>79.48</c:v>
                </c:pt>
                <c:pt idx="626">
                  <c:v>80.53</c:v>
                </c:pt>
                <c:pt idx="627">
                  <c:v>78.44</c:v>
                </c:pt>
                <c:pt idx="628">
                  <c:v>84.88</c:v>
                </c:pt>
                <c:pt idx="629">
                  <c:v>83.65</c:v>
                </c:pt>
                <c:pt idx="630">
                  <c:v>87.72</c:v>
                </c:pt>
                <c:pt idx="631">
                  <c:v>86.8</c:v>
                </c:pt>
                <c:pt idx="632">
                  <c:v>84.12</c:v>
                </c:pt>
                <c:pt idx="633">
                  <c:v>85.71</c:v>
                </c:pt>
                <c:pt idx="634">
                  <c:v>83.98</c:v>
                </c:pt>
                <c:pt idx="635">
                  <c:v>86.16</c:v>
                </c:pt>
                <c:pt idx="636">
                  <c:v>85.76</c:v>
                </c:pt>
                <c:pt idx="637">
                  <c:v>86.98</c:v>
                </c:pt>
                <c:pt idx="638">
                  <c:v>88.23</c:v>
                </c:pt>
                <c:pt idx="639">
                  <c:v>89.12</c:v>
                </c:pt>
                <c:pt idx="640">
                  <c:v>89.97</c:v>
                </c:pt>
                <c:pt idx="641">
                  <c:v>92.56</c:v>
                </c:pt>
                <c:pt idx="642">
                  <c:v>88.9</c:v>
                </c:pt>
                <c:pt idx="643">
                  <c:v>88.02</c:v>
                </c:pt>
                <c:pt idx="644">
                  <c:v>88.19</c:v>
                </c:pt>
                <c:pt idx="645">
                  <c:v>89</c:v>
                </c:pt>
                <c:pt idx="646">
                  <c:v>89.34</c:v>
                </c:pt>
                <c:pt idx="647">
                  <c:v>90.18</c:v>
                </c:pt>
                <c:pt idx="648">
                  <c:v>89.55</c:v>
                </c:pt>
                <c:pt idx="649">
                  <c:v>87.84</c:v>
                </c:pt>
                <c:pt idx="650">
                  <c:v>88.8</c:v>
                </c:pt>
                <c:pt idx="651">
                  <c:v>87.31</c:v>
                </c:pt>
                <c:pt idx="652">
                  <c:v>91.34</c:v>
                </c:pt>
                <c:pt idx="653">
                  <c:v>92.08</c:v>
                </c:pt>
                <c:pt idx="654">
                  <c:v>93.62</c:v>
                </c:pt>
                <c:pt idx="655">
                  <c:v>93.38</c:v>
                </c:pt>
                <c:pt idx="656">
                  <c:v>93.65</c:v>
                </c:pt>
                <c:pt idx="657">
                  <c:v>93.41</c:v>
                </c:pt>
                <c:pt idx="658">
                  <c:v>92.81</c:v>
                </c:pt>
                <c:pt idx="659">
                  <c:v>93.35</c:v>
                </c:pt>
                <c:pt idx="660">
                  <c:v>94.28</c:v>
                </c:pt>
                <c:pt idx="661">
                  <c:v>95.34</c:v>
                </c:pt>
                <c:pt idx="662">
                  <c:v>96.03</c:v>
                </c:pt>
                <c:pt idx="663">
                  <c:v>95.8</c:v>
                </c:pt>
                <c:pt idx="664">
                  <c:v>96.44</c:v>
                </c:pt>
                <c:pt idx="665">
                  <c:v>97.32</c:v>
                </c:pt>
                <c:pt idx="666">
                  <c:v>95.97</c:v>
                </c:pt>
                <c:pt idx="667">
                  <c:v>96.06</c:v>
                </c:pt>
                <c:pt idx="668">
                  <c:v>95.67</c:v>
                </c:pt>
                <c:pt idx="669">
                  <c:v>96.14</c:v>
                </c:pt>
                <c:pt idx="670">
                  <c:v>95.19</c:v>
                </c:pt>
                <c:pt idx="671">
                  <c:v>94.79</c:v>
                </c:pt>
                <c:pt idx="672">
                  <c:v>96.54</c:v>
                </c:pt>
                <c:pt idx="673">
                  <c:v>95.62</c:v>
                </c:pt>
                <c:pt idx="674">
                  <c:v>96.03</c:v>
                </c:pt>
                <c:pt idx="675">
                  <c:v>94.77</c:v>
                </c:pt>
                <c:pt idx="676">
                  <c:v>96.28</c:v>
                </c:pt>
                <c:pt idx="677">
                  <c:v>96.26</c:v>
                </c:pt>
                <c:pt idx="678">
                  <c:v>96.91</c:v>
                </c:pt>
                <c:pt idx="679">
                  <c:v>96.86</c:v>
                </c:pt>
                <c:pt idx="680">
                  <c:v>98.06</c:v>
                </c:pt>
                <c:pt idx="681">
                  <c:v>99.05</c:v>
                </c:pt>
                <c:pt idx="682">
                  <c:v>96.52</c:v>
                </c:pt>
                <c:pt idx="683">
                  <c:v>95.47</c:v>
                </c:pt>
                <c:pt idx="684">
                  <c:v>91.56</c:v>
                </c:pt>
                <c:pt idx="685">
                  <c:v>91.81</c:v>
                </c:pt>
                <c:pt idx="686">
                  <c:v>92.98</c:v>
                </c:pt>
                <c:pt idx="687">
                  <c:v>92.05</c:v>
                </c:pt>
                <c:pt idx="688">
                  <c:v>90.78</c:v>
                </c:pt>
                <c:pt idx="689">
                  <c:v>90.14</c:v>
                </c:pt>
                <c:pt idx="690">
                  <c:v>92.3</c:v>
                </c:pt>
                <c:pt idx="691">
                  <c:v>92.09</c:v>
                </c:pt>
                <c:pt idx="692">
                  <c:v>92.41</c:v>
                </c:pt>
                <c:pt idx="693">
                  <c:v>91.66</c:v>
                </c:pt>
                <c:pt idx="694">
                  <c:v>88.02</c:v>
                </c:pt>
                <c:pt idx="695">
                  <c:v>91.55</c:v>
                </c:pt>
                <c:pt idx="696">
                  <c:v>89.89</c:v>
                </c:pt>
                <c:pt idx="697">
                  <c:v>89.72</c:v>
                </c:pt>
                <c:pt idx="698">
                  <c:v>92.25</c:v>
                </c:pt>
                <c:pt idx="699">
                  <c:v>91.28</c:v>
                </c:pt>
                <c:pt idx="700">
                  <c:v>92.42</c:v>
                </c:pt>
                <c:pt idx="701">
                  <c:v>91.64</c:v>
                </c:pt>
                <c:pt idx="702">
                  <c:v>91.81</c:v>
                </c:pt>
                <c:pt idx="703">
                  <c:v>92.03</c:v>
                </c:pt>
                <c:pt idx="704">
                  <c:v>92.03</c:v>
                </c:pt>
                <c:pt idx="705">
                  <c:v>92.16</c:v>
                </c:pt>
                <c:pt idx="706">
                  <c:v>89.9</c:v>
                </c:pt>
                <c:pt idx="707">
                  <c:v>87.12</c:v>
                </c:pt>
                <c:pt idx="708">
                  <c:v>86.49</c:v>
                </c:pt>
                <c:pt idx="709">
                  <c:v>85.63</c:v>
                </c:pt>
                <c:pt idx="710">
                  <c:v>85.99</c:v>
                </c:pt>
                <c:pt idx="711">
                  <c:v>86.12</c:v>
                </c:pt>
                <c:pt idx="712">
                  <c:v>85.25</c:v>
                </c:pt>
                <c:pt idx="713">
                  <c:v>85.67</c:v>
                </c:pt>
                <c:pt idx="714">
                  <c:v>86.06</c:v>
                </c:pt>
                <c:pt idx="715">
                  <c:v>86.91</c:v>
                </c:pt>
                <c:pt idx="716">
                  <c:v>84.76</c:v>
                </c:pt>
                <c:pt idx="717">
                  <c:v>85.72</c:v>
                </c:pt>
                <c:pt idx="718">
                  <c:v>88.41</c:v>
                </c:pt>
                <c:pt idx="719">
                  <c:v>84.5</c:v>
                </c:pt>
                <c:pt idx="720">
                  <c:v>84.97</c:v>
                </c:pt>
                <c:pt idx="721">
                  <c:v>86.14</c:v>
                </c:pt>
                <c:pt idx="722">
                  <c:v>85.59</c:v>
                </c:pt>
                <c:pt idx="723">
                  <c:v>85.33</c:v>
                </c:pt>
                <c:pt idx="724">
                  <c:v>86.41</c:v>
                </c:pt>
                <c:pt idx="725">
                  <c:v>85.25</c:v>
                </c:pt>
                <c:pt idx="726">
                  <c:v>86.6</c:v>
                </c:pt>
                <c:pt idx="727">
                  <c:v>89.19</c:v>
                </c:pt>
                <c:pt idx="728">
                  <c:v>87.27</c:v>
                </c:pt>
                <c:pt idx="729">
                  <c:v>87.69</c:v>
                </c:pt>
                <c:pt idx="730">
                  <c:v>88.27</c:v>
                </c:pt>
                <c:pt idx="731">
                  <c:v>87.77</c:v>
                </c:pt>
                <c:pt idx="732">
                  <c:v>87.34</c:v>
                </c:pt>
                <c:pt idx="733">
                  <c:v>86.59</c:v>
                </c:pt>
                <c:pt idx="734">
                  <c:v>87.71</c:v>
                </c:pt>
                <c:pt idx="735">
                  <c:v>88.83</c:v>
                </c:pt>
                <c:pt idx="736">
                  <c:v>88.89</c:v>
                </c:pt>
                <c:pt idx="737">
                  <c:v>88.4</c:v>
                </c:pt>
                <c:pt idx="738">
                  <c:v>87.89</c:v>
                </c:pt>
                <c:pt idx="739">
                  <c:v>86.35</c:v>
                </c:pt>
                <c:pt idx="740">
                  <c:v>85.92</c:v>
                </c:pt>
                <c:pt idx="741">
                  <c:v>85.69</c:v>
                </c:pt>
                <c:pt idx="742">
                  <c:v>85.71</c:v>
                </c:pt>
                <c:pt idx="743">
                  <c:v>86.78</c:v>
                </c:pt>
                <c:pt idx="744">
                  <c:v>86.14</c:v>
                </c:pt>
                <c:pt idx="745">
                  <c:v>86.82</c:v>
                </c:pt>
                <c:pt idx="746">
                  <c:v>87.45</c:v>
                </c:pt>
                <c:pt idx="747">
                  <c:v>87.96</c:v>
                </c:pt>
                <c:pt idx="748">
                  <c:v>89.91</c:v>
                </c:pt>
                <c:pt idx="749">
                  <c:v>89.92</c:v>
                </c:pt>
                <c:pt idx="750">
                  <c:v>88.91</c:v>
                </c:pt>
                <c:pt idx="751">
                  <c:v>88.79</c:v>
                </c:pt>
                <c:pt idx="752">
                  <c:v>91.14</c:v>
                </c:pt>
                <c:pt idx="753">
                  <c:v>91.09</c:v>
                </c:pt>
                <c:pt idx="754">
                  <c:v>90.76</c:v>
                </c:pt>
                <c:pt idx="755">
                  <c:v>91.77</c:v>
                </c:pt>
                <c:pt idx="756">
                  <c:v>92.94</c:v>
                </c:pt>
                <c:pt idx="757">
                  <c:v>92.84</c:v>
                </c:pt>
                <c:pt idx="758">
                  <c:v>93.17</c:v>
                </c:pt>
                <c:pt idx="759">
                  <c:v>93.31</c:v>
                </c:pt>
                <c:pt idx="760">
                  <c:v>93.16</c:v>
                </c:pt>
                <c:pt idx="761">
                  <c:v>93.25</c:v>
                </c:pt>
                <c:pt idx="762">
                  <c:v>93.88</c:v>
                </c:pt>
                <c:pt idx="763">
                  <c:v>93.76</c:v>
                </c:pt>
                <c:pt idx="764">
                  <c:v>94.19</c:v>
                </c:pt>
                <c:pt idx="765">
                  <c:v>93.42</c:v>
                </c:pt>
                <c:pt idx="766">
                  <c:v>94.16</c:v>
                </c:pt>
                <c:pt idx="767">
                  <c:v>95.2</c:v>
                </c:pt>
                <c:pt idx="768">
                  <c:v>95.31</c:v>
                </c:pt>
                <c:pt idx="769">
                  <c:v>96.24</c:v>
                </c:pt>
                <c:pt idx="770">
                  <c:v>95.56</c:v>
                </c:pt>
                <c:pt idx="771">
                  <c:v>95.97</c:v>
                </c:pt>
                <c:pt idx="772">
                  <c:v>96.09</c:v>
                </c:pt>
                <c:pt idx="773">
                  <c:v>96.55</c:v>
                </c:pt>
                <c:pt idx="774">
                  <c:v>97.34</c:v>
                </c:pt>
                <c:pt idx="775">
                  <c:v>98.03</c:v>
                </c:pt>
                <c:pt idx="776">
                  <c:v>97.42</c:v>
                </c:pt>
                <c:pt idx="777">
                  <c:v>97.62</c:v>
                </c:pt>
                <c:pt idx="778">
                  <c:v>96.12</c:v>
                </c:pt>
                <c:pt idx="779">
                  <c:v>96.67</c:v>
                </c:pt>
                <c:pt idx="780">
                  <c:v>96.81</c:v>
                </c:pt>
                <c:pt idx="781">
                  <c:v>95.9</c:v>
                </c:pt>
                <c:pt idx="782">
                  <c:v>95.75</c:v>
                </c:pt>
                <c:pt idx="783">
                  <c:v>97</c:v>
                </c:pt>
                <c:pt idx="784">
                  <c:v>97.57</c:v>
                </c:pt>
                <c:pt idx="785">
                  <c:v>97.17</c:v>
                </c:pt>
                <c:pt idx="786">
                  <c:v>97.33</c:v>
                </c:pt>
                <c:pt idx="787">
                  <c:v>96.12</c:v>
                </c:pt>
                <c:pt idx="788">
                  <c:v>96.67</c:v>
                </c:pt>
                <c:pt idx="789">
                  <c:v>95.56</c:v>
                </c:pt>
                <c:pt idx="790">
                  <c:v>92.92</c:v>
                </c:pt>
                <c:pt idx="791">
                  <c:v>93.35</c:v>
                </c:pt>
                <c:pt idx="792">
                  <c:v>92.1</c:v>
                </c:pt>
                <c:pt idx="793">
                  <c:v>92.72</c:v>
                </c:pt>
                <c:pt idx="794">
                  <c:v>92.84</c:v>
                </c:pt>
                <c:pt idx="795">
                  <c:v>91.84</c:v>
                </c:pt>
                <c:pt idx="796">
                  <c:v>90.97</c:v>
                </c:pt>
                <c:pt idx="797">
                  <c:v>90.22</c:v>
                </c:pt>
                <c:pt idx="798">
                  <c:v>90.83</c:v>
                </c:pt>
                <c:pt idx="799">
                  <c:v>90.43</c:v>
                </c:pt>
                <c:pt idx="800">
                  <c:v>91.41</c:v>
                </c:pt>
                <c:pt idx="801">
                  <c:v>91.88</c:v>
                </c:pt>
                <c:pt idx="802">
                  <c:v>91.97</c:v>
                </c:pt>
                <c:pt idx="803">
                  <c:v>92.61</c:v>
                </c:pt>
                <c:pt idx="804">
                  <c:v>92.48</c:v>
                </c:pt>
                <c:pt idx="805">
                  <c:v>93.18</c:v>
                </c:pt>
                <c:pt idx="806">
                  <c:v>93.5</c:v>
                </c:pt>
                <c:pt idx="807">
                  <c:v>93.83</c:v>
                </c:pt>
                <c:pt idx="808">
                  <c:v>92.2</c:v>
                </c:pt>
                <c:pt idx="809">
                  <c:v>92.96</c:v>
                </c:pt>
                <c:pt idx="810">
                  <c:v>92.38</c:v>
                </c:pt>
                <c:pt idx="811">
                  <c:v>93.87</c:v>
                </c:pt>
                <c:pt idx="812">
                  <c:v>94.65</c:v>
                </c:pt>
                <c:pt idx="813">
                  <c:v>96.18</c:v>
                </c:pt>
                <c:pt idx="814">
                  <c:v>96.72</c:v>
                </c:pt>
                <c:pt idx="815">
                  <c:v>97.19</c:v>
                </c:pt>
                <c:pt idx="816">
                  <c:v>96.95</c:v>
                </c:pt>
                <c:pt idx="817">
                  <c:v>96.92</c:v>
                </c:pt>
                <c:pt idx="818">
                  <c:v>94.5</c:v>
                </c:pt>
                <c:pt idx="819">
                  <c:v>93.36</c:v>
                </c:pt>
                <c:pt idx="820">
                  <c:v>93.01</c:v>
                </c:pt>
                <c:pt idx="821">
                  <c:v>93.55</c:v>
                </c:pt>
                <c:pt idx="822">
                  <c:v>93.97</c:v>
                </c:pt>
                <c:pt idx="823">
                  <c:v>94.54</c:v>
                </c:pt>
                <c:pt idx="824">
                  <c:v>93.5</c:v>
                </c:pt>
                <c:pt idx="825">
                  <c:v>90.66</c:v>
                </c:pt>
                <c:pt idx="826">
                  <c:v>87.44</c:v>
                </c:pt>
                <c:pt idx="827">
                  <c:v>88.84</c:v>
                </c:pt>
                <c:pt idx="828">
                  <c:v>86.4</c:v>
                </c:pt>
                <c:pt idx="829">
                  <c:v>88.4</c:v>
                </c:pt>
                <c:pt idx="830">
                  <c:v>87.98</c:v>
                </c:pt>
                <c:pt idx="831">
                  <c:v>88.76</c:v>
                </c:pt>
                <c:pt idx="832">
                  <c:v>89.5</c:v>
                </c:pt>
                <c:pt idx="833">
                  <c:v>91.65</c:v>
                </c:pt>
                <c:pt idx="834">
                  <c:v>93.28</c:v>
                </c:pt>
                <c:pt idx="835">
                  <c:v>92.8</c:v>
                </c:pt>
                <c:pt idx="836">
                  <c:v>94.45</c:v>
                </c:pt>
                <c:pt idx="837">
                  <c:v>93.06</c:v>
                </c:pt>
                <c:pt idx="838">
                  <c:v>90.97</c:v>
                </c:pt>
                <c:pt idx="839">
                  <c:v>94.03</c:v>
                </c:pt>
                <c:pt idx="840">
                  <c:v>95.58</c:v>
                </c:pt>
                <c:pt idx="841">
                  <c:v>95.78</c:v>
                </c:pt>
                <c:pt idx="842">
                  <c:v>95.47</c:v>
                </c:pt>
                <c:pt idx="843">
                  <c:v>96.64</c:v>
                </c:pt>
                <c:pt idx="844">
                  <c:v>96.18</c:v>
                </c:pt>
                <c:pt idx="845">
                  <c:v>95.9</c:v>
                </c:pt>
                <c:pt idx="846">
                  <c:v>94.95</c:v>
                </c:pt>
                <c:pt idx="847">
                  <c:v>94.17</c:v>
                </c:pt>
                <c:pt idx="848">
                  <c:v>94.38</c:v>
                </c:pt>
                <c:pt idx="849">
                  <c:v>95.19</c:v>
                </c:pt>
                <c:pt idx="850">
                  <c:v>96.02</c:v>
                </c:pt>
                <c:pt idx="851">
                  <c:v>96.58</c:v>
                </c:pt>
                <c:pt idx="852">
                  <c:v>96.16</c:v>
                </c:pt>
                <c:pt idx="853">
                  <c:v>94.09</c:v>
                </c:pt>
                <c:pt idx="854">
                  <c:v>94.41</c:v>
                </c:pt>
                <c:pt idx="855">
                  <c:v>93.85</c:v>
                </c:pt>
                <c:pt idx="856">
                  <c:v>95.1</c:v>
                </c:pt>
                <c:pt idx="857">
                  <c:v>92.89</c:v>
                </c:pt>
                <c:pt idx="858">
                  <c:v>93.59</c:v>
                </c:pt>
                <c:pt idx="859">
                  <c:v>91.67</c:v>
                </c:pt>
                <c:pt idx="860">
                  <c:v>93.34</c:v>
                </c:pt>
                <c:pt idx="861">
                  <c:v>93.84</c:v>
                </c:pt>
                <c:pt idx="862">
                  <c:v>93.78</c:v>
                </c:pt>
                <c:pt idx="863">
                  <c:v>94.75</c:v>
                </c:pt>
                <c:pt idx="864">
                  <c:v>96.27</c:v>
                </c:pt>
                <c:pt idx="865">
                  <c:v>95.75</c:v>
                </c:pt>
                <c:pt idx="866">
                  <c:v>94.89</c:v>
                </c:pt>
                <c:pt idx="867">
                  <c:v>95.8</c:v>
                </c:pt>
                <c:pt idx="868">
                  <c:v>96.69</c:v>
                </c:pt>
                <c:pt idx="869">
                  <c:v>97.81</c:v>
                </c:pt>
                <c:pt idx="870">
                  <c:v>97.91</c:v>
                </c:pt>
                <c:pt idx="871">
                  <c:v>98.59</c:v>
                </c:pt>
                <c:pt idx="872">
                  <c:v>97.92</c:v>
                </c:pt>
                <c:pt idx="873">
                  <c:v>95.4</c:v>
                </c:pt>
                <c:pt idx="874">
                  <c:v>93.87</c:v>
                </c:pt>
                <c:pt idx="875">
                  <c:v>94.94</c:v>
                </c:pt>
                <c:pt idx="876">
                  <c:v>95.2</c:v>
                </c:pt>
                <c:pt idx="877">
                  <c:v>95.43</c:v>
                </c:pt>
                <c:pt idx="878">
                  <c:v>96.82</c:v>
                </c:pt>
                <c:pt idx="879">
                  <c:v>96.49</c:v>
                </c:pt>
                <c:pt idx="880">
                  <c:v>98.06</c:v>
                </c:pt>
                <c:pt idx="881">
                  <c:v>99.61</c:v>
                </c:pt>
                <c:pt idx="882">
                  <c:v>101.16</c:v>
                </c:pt>
                <c:pt idx="883">
                  <c:v>103.56</c:v>
                </c:pt>
                <c:pt idx="884">
                  <c:v>103.05</c:v>
                </c:pt>
                <c:pt idx="885">
                  <c:v>104.53</c:v>
                </c:pt>
                <c:pt idx="886">
                  <c:v>106.12</c:v>
                </c:pt>
                <c:pt idx="887">
                  <c:v>104.62</c:v>
                </c:pt>
                <c:pt idx="888">
                  <c:v>106.22</c:v>
                </c:pt>
                <c:pt idx="889">
                  <c:v>106.47</c:v>
                </c:pt>
                <c:pt idx="890">
                  <c:v>105.86</c:v>
                </c:pt>
                <c:pt idx="891">
                  <c:v>106.54</c:v>
                </c:pt>
                <c:pt idx="892">
                  <c:v>108.14</c:v>
                </c:pt>
                <c:pt idx="893">
                  <c:v>108.22</c:v>
                </c:pt>
                <c:pt idx="894">
                  <c:v>106.91</c:v>
                </c:pt>
                <c:pt idx="895">
                  <c:v>107.42</c:v>
                </c:pt>
                <c:pt idx="896">
                  <c:v>105.29</c:v>
                </c:pt>
                <c:pt idx="897">
                  <c:v>105.59</c:v>
                </c:pt>
                <c:pt idx="898">
                  <c:v>104.56</c:v>
                </c:pt>
                <c:pt idx="899">
                  <c:v>104.55</c:v>
                </c:pt>
                <c:pt idx="900">
                  <c:v>103.1</c:v>
                </c:pt>
                <c:pt idx="901">
                  <c:v>105.35</c:v>
                </c:pt>
                <c:pt idx="902">
                  <c:v>107.8</c:v>
                </c:pt>
                <c:pt idx="903">
                  <c:v>106.81</c:v>
                </c:pt>
                <c:pt idx="904">
                  <c:v>106.45</c:v>
                </c:pt>
                <c:pt idx="905">
                  <c:v>105.72</c:v>
                </c:pt>
                <c:pt idx="906">
                  <c:v>104.22</c:v>
                </c:pt>
                <c:pt idx="907">
                  <c:v>103.83</c:v>
                </c:pt>
                <c:pt idx="908">
                  <c:v>106.09</c:v>
                </c:pt>
                <c:pt idx="909">
                  <c:v>106.14</c:v>
                </c:pt>
                <c:pt idx="910">
                  <c:v>106.56</c:v>
                </c:pt>
                <c:pt idx="911">
                  <c:v>106.98</c:v>
                </c:pt>
                <c:pt idx="912">
                  <c:v>107.28</c:v>
                </c:pt>
                <c:pt idx="913">
                  <c:v>107.64</c:v>
                </c:pt>
                <c:pt idx="914">
                  <c:v>106.94</c:v>
                </c:pt>
                <c:pt idx="915">
                  <c:v>104.97</c:v>
                </c:pt>
                <c:pt idx="916">
                  <c:v>103.88</c:v>
                </c:pt>
                <c:pt idx="917">
                  <c:v>105.19</c:v>
                </c:pt>
                <c:pt idx="918">
                  <c:v>106.36</c:v>
                </c:pt>
                <c:pt idx="919">
                  <c:v>106.12</c:v>
                </c:pt>
                <c:pt idx="920">
                  <c:v>109.05</c:v>
                </c:pt>
                <c:pt idx="921">
                  <c:v>109.5</c:v>
                </c:pt>
                <c:pt idx="922">
                  <c:v>108.19</c:v>
                </c:pt>
                <c:pt idx="923">
                  <c:v>107.77</c:v>
                </c:pt>
                <c:pt idx="924">
                  <c:v>108.47</c:v>
                </c:pt>
                <c:pt idx="925">
                  <c:v>107.34</c:v>
                </c:pt>
                <c:pt idx="926">
                  <c:v>108.5</c:v>
                </c:pt>
                <c:pt idx="927">
                  <c:v>110.3</c:v>
                </c:pt>
                <c:pt idx="928">
                  <c:v>108.96</c:v>
                </c:pt>
                <c:pt idx="929">
                  <c:v>107.31</c:v>
                </c:pt>
                <c:pt idx="930">
                  <c:v>107.72</c:v>
                </c:pt>
                <c:pt idx="931">
                  <c:v>108.74</c:v>
                </c:pt>
                <c:pt idx="932">
                  <c:v>108.58</c:v>
                </c:pt>
                <c:pt idx="933">
                  <c:v>106.16</c:v>
                </c:pt>
                <c:pt idx="934">
                  <c:v>105.5</c:v>
                </c:pt>
                <c:pt idx="935">
                  <c:v>108.18</c:v>
                </c:pt>
                <c:pt idx="936">
                  <c:v>106.16</c:v>
                </c:pt>
                <c:pt idx="937">
                  <c:v>104.68</c:v>
                </c:pt>
                <c:pt idx="938">
                  <c:v>103.38</c:v>
                </c:pt>
                <c:pt idx="939">
                  <c:v>103.37</c:v>
                </c:pt>
                <c:pt idx="940">
                  <c:v>102.3</c:v>
                </c:pt>
                <c:pt idx="941">
                  <c:v>102.88</c:v>
                </c:pt>
                <c:pt idx="942">
                  <c:v>102.83</c:v>
                </c:pt>
                <c:pt idx="943">
                  <c:v>102.31</c:v>
                </c:pt>
                <c:pt idx="944">
                  <c:v>101.64</c:v>
                </c:pt>
                <c:pt idx="945">
                  <c:v>103.81</c:v>
                </c:pt>
                <c:pt idx="946">
                  <c:v>102.94</c:v>
                </c:pt>
                <c:pt idx="947">
                  <c:v>103.66</c:v>
                </c:pt>
                <c:pt idx="948">
                  <c:v>103.18</c:v>
                </c:pt>
                <c:pt idx="949">
                  <c:v>103.53</c:v>
                </c:pt>
                <c:pt idx="950">
                  <c:v>101.44</c:v>
                </c:pt>
                <c:pt idx="951">
                  <c:v>102.88</c:v>
                </c:pt>
                <c:pt idx="952">
                  <c:v>101.81</c:v>
                </c:pt>
                <c:pt idx="953">
                  <c:v>102.14</c:v>
                </c:pt>
                <c:pt idx="954">
                  <c:v>100.95</c:v>
                </c:pt>
                <c:pt idx="955">
                  <c:v>102.12</c:v>
                </c:pt>
                <c:pt idx="956">
                  <c:v>100.72</c:v>
                </c:pt>
                <c:pt idx="957">
                  <c:v>100.75</c:v>
                </c:pt>
                <c:pt idx="958">
                  <c:v>99.27</c:v>
                </c:pt>
                <c:pt idx="959">
                  <c:v>97.8</c:v>
                </c:pt>
                <c:pt idx="960">
                  <c:v>97.13</c:v>
                </c:pt>
                <c:pt idx="961">
                  <c:v>97.17</c:v>
                </c:pt>
                <c:pt idx="962">
                  <c:v>97.97</c:v>
                </c:pt>
                <c:pt idx="963">
                  <c:v>98.54</c:v>
                </c:pt>
                <c:pt idx="964">
                  <c:v>97.77</c:v>
                </c:pt>
                <c:pt idx="965">
                  <c:v>96.58</c:v>
                </c:pt>
                <c:pt idx="966">
                  <c:v>96.27</c:v>
                </c:pt>
                <c:pt idx="967">
                  <c:v>94.61</c:v>
                </c:pt>
                <c:pt idx="968">
                  <c:v>94.47</c:v>
                </c:pt>
                <c:pt idx="969">
                  <c:v>93.69</c:v>
                </c:pt>
                <c:pt idx="970">
                  <c:v>94.93</c:v>
                </c:pt>
                <c:pt idx="971">
                  <c:v>94.37</c:v>
                </c:pt>
                <c:pt idx="972">
                  <c:v>94.34</c:v>
                </c:pt>
                <c:pt idx="973">
                  <c:v>95.01</c:v>
                </c:pt>
                <c:pt idx="974">
                  <c:v>93.05</c:v>
                </c:pt>
                <c:pt idx="975">
                  <c:v>93.48</c:v>
                </c:pt>
                <c:pt idx="976">
                  <c:v>93.96</c:v>
                </c:pt>
                <c:pt idx="977">
                  <c:v>93.66</c:v>
                </c:pt>
                <c:pt idx="978">
                  <c:v>93.03</c:v>
                </c:pt>
                <c:pt idx="979">
                  <c:v>93.3</c:v>
                </c:pt>
                <c:pt idx="980">
                  <c:v>93.33</c:v>
                </c:pt>
                <c:pt idx="981">
                  <c:v>95.28</c:v>
                </c:pt>
                <c:pt idx="982">
                  <c:v>94.79</c:v>
                </c:pt>
                <c:pt idx="983">
                  <c:v>94.18</c:v>
                </c:pt>
                <c:pt idx="984">
                  <c:v>93.5</c:v>
                </c:pt>
                <c:pt idx="985">
                  <c:v>92.37</c:v>
                </c:pt>
                <c:pt idx="986">
                  <c:v>92.79</c:v>
                </c:pt>
                <c:pt idx="987">
                  <c:v>93.9</c:v>
                </c:pt>
                <c:pt idx="988">
                  <c:v>96.9</c:v>
                </c:pt>
                <c:pt idx="989">
                  <c:v>97.29</c:v>
                </c:pt>
                <c:pt idx="990">
                  <c:v>97.43</c:v>
                </c:pt>
                <c:pt idx="991">
                  <c:v>97.75</c:v>
                </c:pt>
                <c:pt idx="992">
                  <c:v>97.19</c:v>
                </c:pt>
                <c:pt idx="993">
                  <c:v>98.65</c:v>
                </c:pt>
                <c:pt idx="994">
                  <c:v>97.43</c:v>
                </c:pt>
                <c:pt idx="995">
                  <c:v>97.52</c:v>
                </c:pt>
                <c:pt idx="996">
                  <c:v>96.46</c:v>
                </c:pt>
                <c:pt idx="997">
                  <c:v>97.35</c:v>
                </c:pt>
                <c:pt idx="998">
                  <c:v>97.19</c:v>
                </c:pt>
                <c:pt idx="999">
                  <c:v>97.58</c:v>
                </c:pt>
                <c:pt idx="1000">
                  <c:v>98.77</c:v>
                </c:pt>
                <c:pt idx="1001">
                  <c:v>99.15</c:v>
                </c:pt>
                <c:pt idx="1002">
                  <c:v>98.72</c:v>
                </c:pt>
                <c:pt idx="1003">
                  <c:v>99.24</c:v>
                </c:pt>
                <c:pt idx="1004">
                  <c:v>99.64</c:v>
                </c:pt>
                <c:pt idx="1005">
                  <c:v>100.16</c:v>
                </c:pt>
                <c:pt idx="1006">
                  <c:v>99.17</c:v>
                </c:pt>
                <c:pt idx="1007">
                  <c:v>98.69</c:v>
                </c:pt>
                <c:pt idx="1008">
                  <c:v>95.41</c:v>
                </c:pt>
                <c:pt idx="1009">
                  <c:v>94.17</c:v>
                </c:pt>
                <c:pt idx="1010">
                  <c:v>93.65</c:v>
                </c:pt>
                <c:pt idx="1011">
                  <c:v>93.94</c:v>
                </c:pt>
                <c:pt idx="1012">
                  <c:v>92.52</c:v>
                </c:pt>
                <c:pt idx="1013">
                  <c:v>92.32</c:v>
                </c:pt>
                <c:pt idx="1014">
                  <c:v>92.85</c:v>
                </c:pt>
                <c:pt idx="1015">
                  <c:v>91.53</c:v>
                </c:pt>
                <c:pt idx="1016">
                  <c:v>92.62</c:v>
                </c:pt>
                <c:pt idx="1017">
                  <c:v>94.35</c:v>
                </c:pt>
                <c:pt idx="1018">
                  <c:v>94.12</c:v>
                </c:pt>
                <c:pt idx="1019">
                  <c:v>94.1</c:v>
                </c:pt>
                <c:pt idx="1020">
                  <c:v>94.99</c:v>
                </c:pt>
                <c:pt idx="1021">
                  <c:v>96.67</c:v>
                </c:pt>
                <c:pt idx="1022">
                  <c:v>97.35</c:v>
                </c:pt>
                <c:pt idx="1023">
                  <c:v>96.91</c:v>
                </c:pt>
                <c:pt idx="1024">
                  <c:v>95.66</c:v>
                </c:pt>
                <c:pt idx="1025">
                  <c:v>97.17</c:v>
                </c:pt>
                <c:pt idx="1026">
                  <c:v>97.45</c:v>
                </c:pt>
                <c:pt idx="1027">
                  <c:v>98.03</c:v>
                </c:pt>
                <c:pt idx="1028">
                  <c:v>97.47</c:v>
                </c:pt>
                <c:pt idx="1029">
                  <c:v>96.66</c:v>
                </c:pt>
                <c:pt idx="1030">
                  <c:v>97.73</c:v>
                </c:pt>
                <c:pt idx="1031">
                  <c:v>97.3</c:v>
                </c:pt>
                <c:pt idx="1032">
                  <c:v>97.95</c:v>
                </c:pt>
                <c:pt idx="1033">
                  <c:v>100.17</c:v>
                </c:pt>
                <c:pt idx="1034">
                  <c:v>99.97</c:v>
                </c:pt>
                <c:pt idx="1035">
                  <c:v>100.39</c:v>
                </c:pt>
                <c:pt idx="1036">
                  <c:v>100.28</c:v>
                </c:pt>
                <c:pt idx="1037">
                  <c:v>100.37</c:v>
                </c:pt>
                <c:pt idx="1038">
                  <c:v>100.38</c:v>
                </c:pt>
                <c:pt idx="1039">
                  <c:v>103.16</c:v>
                </c:pt>
                <c:pt idx="1040">
                  <c:v>103.38</c:v>
                </c:pt>
                <c:pt idx="1041">
                  <c:v>102.92</c:v>
                </c:pt>
                <c:pt idx="1042">
                  <c:v>102.31</c:v>
                </c:pt>
                <c:pt idx="1043">
                  <c:v>102.85</c:v>
                </c:pt>
                <c:pt idx="1044">
                  <c:v>102.03</c:v>
                </c:pt>
                <c:pt idx="1045">
                  <c:v>102.62</c:v>
                </c:pt>
                <c:pt idx="1046">
                  <c:v>102.11</c:v>
                </c:pt>
                <c:pt idx="1047">
                  <c:v>102.71</c:v>
                </c:pt>
                <c:pt idx="1048">
                  <c:v>104.86</c:v>
                </c:pt>
                <c:pt idx="1049">
                  <c:v>103.34</c:v>
                </c:pt>
                <c:pt idx="1050">
                  <c:v>100.95</c:v>
                </c:pt>
                <c:pt idx="1051">
                  <c:v>101.99</c:v>
                </c:pt>
                <c:pt idx="1052">
                  <c:v>102.69</c:v>
                </c:pt>
                <c:pt idx="1053">
                  <c:v>100.93</c:v>
                </c:pt>
                <c:pt idx="1054">
                  <c:v>99.51</c:v>
                </c:pt>
                <c:pt idx="1055">
                  <c:v>98.09</c:v>
                </c:pt>
                <c:pt idx="1056">
                  <c:v>98.25</c:v>
                </c:pt>
                <c:pt idx="1057">
                  <c:v>99.01</c:v>
                </c:pt>
                <c:pt idx="1058">
                  <c:v>97.99</c:v>
                </c:pt>
                <c:pt idx="1059">
                  <c:v>99.55</c:v>
                </c:pt>
                <c:pt idx="1060">
                  <c:v>100.31</c:v>
                </c:pt>
                <c:pt idx="1061">
                  <c:v>99.43</c:v>
                </c:pt>
                <c:pt idx="1062">
                  <c:v>99.62</c:v>
                </c:pt>
                <c:pt idx="1063">
                  <c:v>99.43</c:v>
                </c:pt>
                <c:pt idx="1064">
                  <c:v>99.19</c:v>
                </c:pt>
                <c:pt idx="1065">
                  <c:v>100.28</c:v>
                </c:pt>
                <c:pt idx="1066">
                  <c:v>101.38</c:v>
                </c:pt>
                <c:pt idx="1067">
                  <c:v>101.61</c:v>
                </c:pt>
                <c:pt idx="1068">
                  <c:v>101.53</c:v>
                </c:pt>
                <c:pt idx="1069">
                  <c:v>99.69</c:v>
                </c:pt>
                <c:pt idx="1070">
                  <c:v>99.3</c:v>
                </c:pt>
                <c:pt idx="1071">
                  <c:v>100.45</c:v>
                </c:pt>
                <c:pt idx="1072">
                  <c:v>101.1</c:v>
                </c:pt>
                <c:pt idx="1073">
                  <c:v>100.76</c:v>
                </c:pt>
                <c:pt idx="1074">
                  <c:v>102.34</c:v>
                </c:pt>
                <c:pt idx="1075">
                  <c:v>103.44</c:v>
                </c:pt>
                <c:pt idx="1076">
                  <c:v>103.38</c:v>
                </c:pt>
                <c:pt idx="1077">
                  <c:v>103.35</c:v>
                </c:pt>
                <c:pt idx="1078">
                  <c:v>103.6</c:v>
                </c:pt>
                <c:pt idx="1079">
                  <c:v>103.83</c:v>
                </c:pt>
                <c:pt idx="1080">
                  <c:v>103.81</c:v>
                </c:pt>
                <c:pt idx="1081">
                  <c:v>104.59</c:v>
                </c:pt>
                <c:pt idx="1082">
                  <c:v>104.17</c:v>
                </c:pt>
                <c:pt idx="1083">
                  <c:v>102.13</c:v>
                </c:pt>
                <c:pt idx="1084">
                  <c:v>101.57</c:v>
                </c:pt>
                <c:pt idx="1085">
                  <c:v>101.89</c:v>
                </c:pt>
                <c:pt idx="1086">
                  <c:v>100.69</c:v>
                </c:pt>
                <c:pt idx="1087">
                  <c:v>100.88</c:v>
                </c:pt>
                <c:pt idx="1088">
                  <c:v>100.73</c:v>
                </c:pt>
                <c:pt idx="1089">
                  <c:v>99.7</c:v>
                </c:pt>
                <c:pt idx="1090">
                  <c:v>99.23</c:v>
                </c:pt>
                <c:pt idx="1091">
                  <c:v>99.93</c:v>
                </c:pt>
                <c:pt idx="1092">
                  <c:v>99.38</c:v>
                </c:pt>
                <c:pt idx="1093">
                  <c:v>99.9</c:v>
                </c:pt>
                <c:pt idx="1094">
                  <c:v>100.84</c:v>
                </c:pt>
                <c:pt idx="1095">
                  <c:v>100.29</c:v>
                </c:pt>
                <c:pt idx="1096">
                  <c:v>100.04</c:v>
                </c:pt>
                <c:pt idx="1097">
                  <c:v>100.61</c:v>
                </c:pt>
                <c:pt idx="1098">
                  <c:v>101.95</c:v>
                </c:pt>
                <c:pt idx="1099">
                  <c:v>102.03</c:v>
                </c:pt>
                <c:pt idx="1100">
                  <c:v>101.55</c:v>
                </c:pt>
                <c:pt idx="1101">
                  <c:v>102.16</c:v>
                </c:pt>
                <c:pt idx="1102">
                  <c:v>102.77</c:v>
                </c:pt>
                <c:pt idx="1103">
                  <c:v>102.44</c:v>
                </c:pt>
                <c:pt idx="1104">
                  <c:v>103.85</c:v>
                </c:pt>
                <c:pt idx="1105">
                  <c:v>103.75</c:v>
                </c:pt>
                <c:pt idx="1106">
                  <c:v>104.39</c:v>
                </c:pt>
                <c:pt idx="1107">
                  <c:v>104.16</c:v>
                </c:pt>
                <c:pt idx="1108">
                  <c:v>103.08</c:v>
                </c:pt>
                <c:pt idx="1109">
                  <c:v>103.53</c:v>
                </c:pt>
                <c:pt idx="1110">
                  <c:v>102.89</c:v>
                </c:pt>
                <c:pt idx="1111">
                  <c:v>102.44</c:v>
                </c:pt>
                <c:pt idx="1112">
                  <c:v>102.81</c:v>
                </c:pt>
                <c:pt idx="1113">
                  <c:v>102.4</c:v>
                </c:pt>
                <c:pt idx="1114">
                  <c:v>102.45</c:v>
                </c:pt>
                <c:pt idx="1115">
                  <c:v>102.77</c:v>
                </c:pt>
                <c:pt idx="1116">
                  <c:v>104.51</c:v>
                </c:pt>
                <c:pt idx="1117">
                  <c:v>104.29</c:v>
                </c:pt>
                <c:pt idx="1118">
                  <c:v>104.48</c:v>
                </c:pt>
                <c:pt idx="1119">
                  <c:v>106.86</c:v>
                </c:pt>
                <c:pt idx="1120">
                  <c:v>106.67</c:v>
                </c:pt>
                <c:pt idx="1121">
                  <c:v>106.62</c:v>
                </c:pt>
                <c:pt idx="1122">
                  <c:v>106.62</c:v>
                </c:pt>
                <c:pt idx="1123">
                  <c:v>106.15</c:v>
                </c:pt>
                <c:pt idx="1124">
                  <c:v>106.6</c:v>
                </c:pt>
                <c:pt idx="1125">
                  <c:v>107.26</c:v>
                </c:pt>
                <c:pt idx="1126">
                  <c:v>106.03</c:v>
                </c:pt>
                <c:pt idx="1127">
                  <c:v>105.93</c:v>
                </c:pt>
                <c:pt idx="1128">
                  <c:v>106.81</c:v>
                </c:pt>
                <c:pt idx="1129">
                  <c:v>105.66</c:v>
                </c:pt>
                <c:pt idx="1130">
                  <c:v>105.75</c:v>
                </c:pt>
                <c:pt idx="1131">
                  <c:v>105.53</c:v>
                </c:pt>
                <c:pt idx="1132">
                  <c:v>105.22</c:v>
                </c:pt>
                <c:pt idx="1133">
                  <c:v>104.22</c:v>
                </c:pt>
                <c:pt idx="1134">
                  <c:v>104.02</c:v>
                </c:pt>
                <c:pt idx="1135">
                  <c:v>103.38</c:v>
                </c:pt>
                <c:pt idx="1136">
                  <c:v>103.47</c:v>
                </c:pt>
                <c:pt idx="1137">
                  <c:v>101.95</c:v>
                </c:pt>
                <c:pt idx="1138">
                  <c:v>102.87</c:v>
                </c:pt>
                <c:pt idx="1139">
                  <c:v>100.53</c:v>
                </c:pt>
                <c:pt idx="1140">
                  <c:v>101.02</c:v>
                </c:pt>
                <c:pt idx="1141">
                  <c:v>100.19</c:v>
                </c:pt>
                <c:pt idx="1142">
                  <c:v>101.52</c:v>
                </c:pt>
                <c:pt idx="1143">
                  <c:v>103.75</c:v>
                </c:pt>
                <c:pt idx="1144">
                  <c:v>102.94</c:v>
                </c:pt>
                <c:pt idx="1145">
                  <c:v>104.66</c:v>
                </c:pt>
                <c:pt idx="1146">
                  <c:v>104.42</c:v>
                </c:pt>
                <c:pt idx="1147">
                  <c:v>103.25</c:v>
                </c:pt>
                <c:pt idx="1148">
                  <c:v>102.02</c:v>
                </c:pt>
                <c:pt idx="1149">
                  <c:v>101.91</c:v>
                </c:pt>
                <c:pt idx="1150">
                  <c:v>101.62</c:v>
                </c:pt>
                <c:pt idx="1151">
                  <c:v>100.97</c:v>
                </c:pt>
                <c:pt idx="1152">
                  <c:v>99.45</c:v>
                </c:pt>
                <c:pt idx="1153">
                  <c:v>97.64</c:v>
                </c:pt>
                <c:pt idx="1154">
                  <c:v>97.59</c:v>
                </c:pt>
                <c:pt idx="1155">
                  <c:v>98.4</c:v>
                </c:pt>
                <c:pt idx="1156">
                  <c:v>97.58</c:v>
                </c:pt>
                <c:pt idx="1157">
                  <c:v>96.84</c:v>
                </c:pt>
                <c:pt idx="1158">
                  <c:v>97.63</c:v>
                </c:pt>
                <c:pt idx="1159">
                  <c:v>97.41</c:v>
                </c:pt>
                <c:pt idx="1160">
                  <c:v>97.84</c:v>
                </c:pt>
                <c:pt idx="1161">
                  <c:v>97.19</c:v>
                </c:pt>
                <c:pt idx="1162">
                  <c:v>97.36</c:v>
                </c:pt>
                <c:pt idx="1163">
                  <c:v>95.51</c:v>
                </c:pt>
                <c:pt idx="1164">
                  <c:v>97.19</c:v>
                </c:pt>
                <c:pt idx="1165">
                  <c:v>96.61</c:v>
                </c:pt>
                <c:pt idx="1166">
                  <c:v>94.66</c:v>
                </c:pt>
                <c:pt idx="1167">
                  <c:v>96.07</c:v>
                </c:pt>
                <c:pt idx="1168">
                  <c:v>93.91</c:v>
                </c:pt>
                <c:pt idx="1169">
                  <c:v>93.45</c:v>
                </c:pt>
                <c:pt idx="1170">
                  <c:v>93.38</c:v>
                </c:pt>
                <c:pt idx="1171">
                  <c:v>93.83</c:v>
                </c:pt>
                <c:pt idx="1172">
                  <c:v>93.69</c:v>
                </c:pt>
                <c:pt idx="1173">
                  <c:v>94.6</c:v>
                </c:pt>
                <c:pt idx="1174">
                  <c:v>95.86</c:v>
                </c:pt>
                <c:pt idx="1175">
                  <c:v>93.28</c:v>
                </c:pt>
                <c:pt idx="1176">
                  <c:v>95.09</c:v>
                </c:pt>
                <c:pt idx="1177">
                  <c:v>94.56</c:v>
                </c:pt>
                <c:pt idx="1178">
                  <c:v>93.42</c:v>
                </c:pt>
                <c:pt idx="1179">
                  <c:v>93.16</c:v>
                </c:pt>
                <c:pt idx="1180">
                  <c:v>92.75</c:v>
                </c:pt>
                <c:pt idx="1181">
                  <c:v>91.7</c:v>
                </c:pt>
                <c:pt idx="1182">
                  <c:v>93.06</c:v>
                </c:pt>
                <c:pt idx="1183">
                  <c:v>92.16</c:v>
                </c:pt>
                <c:pt idx="1184">
                  <c:v>92.81</c:v>
                </c:pt>
                <c:pt idx="1185">
                  <c:v>94.71</c:v>
                </c:pt>
                <c:pt idx="1186">
                  <c:v>94</c:v>
                </c:pt>
                <c:pt idx="1187">
                  <c:v>93.05</c:v>
                </c:pt>
                <c:pt idx="1188">
                  <c:v>92.42</c:v>
                </c:pt>
                <c:pt idx="1189">
                  <c:v>91.52</c:v>
                </c:pt>
                <c:pt idx="1190">
                  <c:v>91.74</c:v>
                </c:pt>
                <c:pt idx="1191">
                  <c:v>92.87</c:v>
                </c:pt>
                <c:pt idx="1192">
                  <c:v>92.47</c:v>
                </c:pt>
                <c:pt idx="1193">
                  <c:v>93.41</c:v>
                </c:pt>
                <c:pt idx="1194">
                  <c:v>94.31</c:v>
                </c:pt>
                <c:pt idx="1195">
                  <c:v>91.35</c:v>
                </c:pt>
                <c:pt idx="1196">
                  <c:v>90.77</c:v>
                </c:pt>
                <c:pt idx="1197">
                  <c:v>91.39</c:v>
                </c:pt>
                <c:pt idx="1198">
                  <c:v>89.72</c:v>
                </c:pt>
                <c:pt idx="1199">
                  <c:v>90.47</c:v>
                </c:pt>
                <c:pt idx="1200">
                  <c:v>88.44</c:v>
                </c:pt>
                <c:pt idx="1201">
                  <c:v>87.7</c:v>
                </c:pt>
                <c:pt idx="1202">
                  <c:v>84.33</c:v>
                </c:pt>
                <c:pt idx="1203">
                  <c:v>85.52</c:v>
                </c:pt>
                <c:pt idx="1204">
                  <c:v>85.01</c:v>
                </c:pt>
                <c:pt idx="1205">
                  <c:v>82.3</c:v>
                </c:pt>
                <c:pt idx="1206">
                  <c:v>80.92</c:v>
                </c:pt>
                <c:pt idx="1207">
                  <c:v>83.09</c:v>
                </c:pt>
                <c:pt idx="1208">
                  <c:v>83</c:v>
                </c:pt>
                <c:pt idx="1209">
                  <c:v>82.72</c:v>
                </c:pt>
                <c:pt idx="1210">
                  <c:v>82.81</c:v>
                </c:pt>
                <c:pt idx="1211">
                  <c:v>80.36</c:v>
                </c:pt>
                <c:pt idx="1212">
                  <c:v>81.91</c:v>
                </c:pt>
                <c:pt idx="1213">
                  <c:v>81.31</c:v>
                </c:pt>
                <c:pt idx="1214">
                  <c:v>80.650000000000006</c:v>
                </c:pt>
                <c:pt idx="1215">
                  <c:v>81.61</c:v>
                </c:pt>
                <c:pt idx="1216">
                  <c:v>81.95</c:v>
                </c:pt>
                <c:pt idx="1217">
                  <c:v>80.989999999999995</c:v>
                </c:pt>
                <c:pt idx="1218">
                  <c:v>80.650000000000006</c:v>
                </c:pt>
                <c:pt idx="1219">
                  <c:v>78.22</c:v>
                </c:pt>
                <c:pt idx="1220">
                  <c:v>77.36</c:v>
                </c:pt>
                <c:pt idx="1221">
                  <c:v>78.95</c:v>
                </c:pt>
                <c:pt idx="1222">
                  <c:v>77.84</c:v>
                </c:pt>
                <c:pt idx="1223">
                  <c:v>78.44</c:v>
                </c:pt>
                <c:pt idx="1224">
                  <c:v>77.19</c:v>
                </c:pt>
                <c:pt idx="1225">
                  <c:v>77.53</c:v>
                </c:pt>
                <c:pt idx="1226">
                  <c:v>76.89</c:v>
                </c:pt>
                <c:pt idx="1227">
                  <c:v>74.25</c:v>
                </c:pt>
                <c:pt idx="1228">
                  <c:v>75.959999999999994</c:v>
                </c:pt>
                <c:pt idx="1229">
                  <c:v>75.459999999999994</c:v>
                </c:pt>
                <c:pt idx="1230">
                  <c:v>74.25</c:v>
                </c:pt>
                <c:pt idx="1231">
                  <c:v>74.319999999999993</c:v>
                </c:pt>
                <c:pt idx="1232">
                  <c:v>75.58</c:v>
                </c:pt>
                <c:pt idx="1233">
                  <c:v>76.650000000000006</c:v>
                </c:pt>
                <c:pt idx="1234">
                  <c:v>75.489999999999995</c:v>
                </c:pt>
                <c:pt idx="1235">
                  <c:v>73.87</c:v>
                </c:pt>
                <c:pt idx="1236">
                  <c:v>73.47</c:v>
                </c:pt>
                <c:pt idx="1237">
                  <c:v>66.05</c:v>
                </c:pt>
                <c:pt idx="1238">
                  <c:v>69.239999999999995</c:v>
                </c:pt>
                <c:pt idx="1239">
                  <c:v>67.59</c:v>
                </c:pt>
                <c:pt idx="1240">
                  <c:v>67.37</c:v>
                </c:pt>
                <c:pt idx="1241">
                  <c:v>66.75</c:v>
                </c:pt>
                <c:pt idx="1242">
                  <c:v>65.680000000000007</c:v>
                </c:pt>
                <c:pt idx="1243">
                  <c:v>63.03</c:v>
                </c:pt>
                <c:pt idx="1244">
                  <c:v>63.36</c:v>
                </c:pt>
                <c:pt idx="1245">
                  <c:v>61.19</c:v>
                </c:pt>
                <c:pt idx="1246">
                  <c:v>59.11</c:v>
                </c:pt>
                <c:pt idx="1247">
                  <c:v>57.51</c:v>
                </c:pt>
                <c:pt idx="1248">
                  <c:v>55.4</c:v>
                </c:pt>
                <c:pt idx="1249">
                  <c:v>55.62</c:v>
                </c:pt>
                <c:pt idx="1250">
                  <c:v>55.81</c:v>
                </c:pt>
                <c:pt idx="1251">
                  <c:v>55.55</c:v>
                </c:pt>
                <c:pt idx="1252">
                  <c:v>56.52</c:v>
                </c:pt>
                <c:pt idx="1253">
                  <c:v>55.31</c:v>
                </c:pt>
                <c:pt idx="1254">
                  <c:v>56.77</c:v>
                </c:pt>
                <c:pt idx="1255">
                  <c:v>55.89</c:v>
                </c:pt>
                <c:pt idx="1256">
                  <c:v>55.13</c:v>
                </c:pt>
                <c:pt idx="1257">
                  <c:v>53.72</c:v>
                </c:pt>
                <c:pt idx="1258">
                  <c:v>53.89</c:v>
                </c:pt>
                <c:pt idx="1259">
                  <c:v>53.78</c:v>
                </c:pt>
                <c:pt idx="1260">
                  <c:v>52.69</c:v>
                </c:pt>
                <c:pt idx="1261">
                  <c:v>49.91</c:v>
                </c:pt>
                <c:pt idx="1262">
                  <c:v>48.03</c:v>
                </c:pt>
                <c:pt idx="1263">
                  <c:v>48.78</c:v>
                </c:pt>
                <c:pt idx="1264">
                  <c:v>48.97</c:v>
                </c:pt>
                <c:pt idx="1265">
                  <c:v>48.2</c:v>
                </c:pt>
                <c:pt idx="1266">
                  <c:v>45.7</c:v>
                </c:pt>
                <c:pt idx="1267">
                  <c:v>46.13</c:v>
                </c:pt>
                <c:pt idx="1268">
                  <c:v>48.62</c:v>
                </c:pt>
                <c:pt idx="1269">
                  <c:v>46.24</c:v>
                </c:pt>
                <c:pt idx="1270">
                  <c:v>48.47</c:v>
                </c:pt>
                <c:pt idx="1271">
                  <c:v>46.39</c:v>
                </c:pt>
                <c:pt idx="1272">
                  <c:v>47.35</c:v>
                </c:pt>
                <c:pt idx="1273">
                  <c:v>46.51</c:v>
                </c:pt>
                <c:pt idx="1274">
                  <c:v>45.33</c:v>
                </c:pt>
                <c:pt idx="1275">
                  <c:v>45.09</c:v>
                </c:pt>
                <c:pt idx="1276">
                  <c:v>45.78</c:v>
                </c:pt>
                <c:pt idx="1277">
                  <c:v>44.4</c:v>
                </c:pt>
                <c:pt idx="1278">
                  <c:v>44.6</c:v>
                </c:pt>
                <c:pt idx="1279">
                  <c:v>47.77</c:v>
                </c:pt>
                <c:pt idx="1280">
                  <c:v>49.84</c:v>
                </c:pt>
                <c:pt idx="1281">
                  <c:v>51.62</c:v>
                </c:pt>
                <c:pt idx="1282">
                  <c:v>48.7</c:v>
                </c:pt>
                <c:pt idx="1283">
                  <c:v>50.78</c:v>
                </c:pt>
                <c:pt idx="1284">
                  <c:v>52.2</c:v>
                </c:pt>
                <c:pt idx="1285">
                  <c:v>52.44</c:v>
                </c:pt>
                <c:pt idx="1286">
                  <c:v>50.97</c:v>
                </c:pt>
                <c:pt idx="1287">
                  <c:v>49.37</c:v>
                </c:pt>
                <c:pt idx="1288">
                  <c:v>51.25</c:v>
                </c:pt>
                <c:pt idx="1289">
                  <c:v>52.53</c:v>
                </c:pt>
                <c:pt idx="1290">
                  <c:v>53.23</c:v>
                </c:pt>
                <c:pt idx="1291">
                  <c:v>50.54</c:v>
                </c:pt>
                <c:pt idx="1292">
                  <c:v>51.7</c:v>
                </c:pt>
                <c:pt idx="1293">
                  <c:v>50.97</c:v>
                </c:pt>
                <c:pt idx="1294">
                  <c:v>49.41</c:v>
                </c:pt>
                <c:pt idx="1295">
                  <c:v>49.11</c:v>
                </c:pt>
                <c:pt idx="1296">
                  <c:v>51.07</c:v>
                </c:pt>
                <c:pt idx="1297">
                  <c:v>48.92</c:v>
                </c:pt>
                <c:pt idx="1298">
                  <c:v>49.41</c:v>
                </c:pt>
                <c:pt idx="1299">
                  <c:v>49.76</c:v>
                </c:pt>
                <c:pt idx="1300">
                  <c:v>50.63</c:v>
                </c:pt>
                <c:pt idx="1301">
                  <c:v>51.64</c:v>
                </c:pt>
                <c:pt idx="1302">
                  <c:v>50.92</c:v>
                </c:pt>
                <c:pt idx="1303">
                  <c:v>49.81</c:v>
                </c:pt>
                <c:pt idx="1304">
                  <c:v>50.03</c:v>
                </c:pt>
                <c:pt idx="1305">
                  <c:v>48.71</c:v>
                </c:pt>
                <c:pt idx="1306">
                  <c:v>48.4</c:v>
                </c:pt>
                <c:pt idx="1307">
                  <c:v>46.94</c:v>
                </c:pt>
                <c:pt idx="1308">
                  <c:v>44.98</c:v>
                </c:pt>
                <c:pt idx="1309">
                  <c:v>43.86</c:v>
                </c:pt>
                <c:pt idx="1310">
                  <c:v>42.44</c:v>
                </c:pt>
                <c:pt idx="1311">
                  <c:v>44.7</c:v>
                </c:pt>
                <c:pt idx="1312">
                  <c:v>44.3</c:v>
                </c:pt>
                <c:pt idx="1313">
                  <c:v>45.72</c:v>
                </c:pt>
                <c:pt idx="1314">
                  <c:v>47.41</c:v>
                </c:pt>
                <c:pt idx="1315">
                  <c:v>47.65</c:v>
                </c:pt>
                <c:pt idx="1316">
                  <c:v>48.98</c:v>
                </c:pt>
                <c:pt idx="1317">
                  <c:v>50.97</c:v>
                </c:pt>
                <c:pt idx="1318">
                  <c:v>48.34</c:v>
                </c:pt>
                <c:pt idx="1319">
                  <c:v>48.73</c:v>
                </c:pt>
                <c:pt idx="1320">
                  <c:v>47.52</c:v>
                </c:pt>
                <c:pt idx="1321">
                  <c:v>49.61</c:v>
                </c:pt>
                <c:pt idx="1322">
                  <c:v>49.52</c:v>
                </c:pt>
                <c:pt idx="1323">
                  <c:v>51.97</c:v>
                </c:pt>
                <c:pt idx="1324">
                  <c:v>53.27</c:v>
                </c:pt>
                <c:pt idx="1325">
                  <c:v>50.94</c:v>
                </c:pt>
                <c:pt idx="1326">
                  <c:v>50.73</c:v>
                </c:pt>
                <c:pt idx="1327">
                  <c:v>51.79</c:v>
                </c:pt>
                <c:pt idx="1328">
                  <c:v>52</c:v>
                </c:pt>
                <c:pt idx="1329">
                  <c:v>53.49</c:v>
                </c:pt>
                <c:pt idx="1330">
                  <c:v>55.96</c:v>
                </c:pt>
                <c:pt idx="1331">
                  <c:v>56.55</c:v>
                </c:pt>
                <c:pt idx="1332">
                  <c:v>56.12</c:v>
                </c:pt>
                <c:pt idx="1333">
                  <c:v>56.66</c:v>
                </c:pt>
                <c:pt idx="1334">
                  <c:v>55.26</c:v>
                </c:pt>
                <c:pt idx="1335">
                  <c:v>56.25</c:v>
                </c:pt>
                <c:pt idx="1336">
                  <c:v>57.47</c:v>
                </c:pt>
                <c:pt idx="1337">
                  <c:v>57.45</c:v>
                </c:pt>
                <c:pt idx="1338">
                  <c:v>56.68</c:v>
                </c:pt>
                <c:pt idx="1339">
                  <c:v>56.96</c:v>
                </c:pt>
                <c:pt idx="1340">
                  <c:v>58.6</c:v>
                </c:pt>
                <c:pt idx="1341">
                  <c:v>59.74</c:v>
                </c:pt>
                <c:pt idx="1342">
                  <c:v>59.24</c:v>
                </c:pt>
                <c:pt idx="1343">
                  <c:v>58.98</c:v>
                </c:pt>
                <c:pt idx="1344">
                  <c:v>60.67</c:v>
                </c:pt>
                <c:pt idx="1345">
                  <c:v>60.62</c:v>
                </c:pt>
                <c:pt idx="1346">
                  <c:v>58.98</c:v>
                </c:pt>
                <c:pt idx="1347">
                  <c:v>59.45</c:v>
                </c:pt>
                <c:pt idx="1348">
                  <c:v>59.3</c:v>
                </c:pt>
                <c:pt idx="1349">
                  <c:v>61.17</c:v>
                </c:pt>
                <c:pt idx="1350">
                  <c:v>60.11</c:v>
                </c:pt>
                <c:pt idx="1351">
                  <c:v>59.7</c:v>
                </c:pt>
                <c:pt idx="1352">
                  <c:v>59.84</c:v>
                </c:pt>
                <c:pt idx="1353">
                  <c:v>59.7</c:v>
                </c:pt>
                <c:pt idx="1354">
                  <c:v>57.26</c:v>
                </c:pt>
                <c:pt idx="1355">
                  <c:v>58.76</c:v>
                </c:pt>
                <c:pt idx="1356">
                  <c:v>60.67</c:v>
                </c:pt>
                <c:pt idx="1357">
                  <c:v>59.97</c:v>
                </c:pt>
                <c:pt idx="1358">
                  <c:v>58.33</c:v>
                </c:pt>
                <c:pt idx="1359">
                  <c:v>57.59</c:v>
                </c:pt>
                <c:pt idx="1360">
                  <c:v>57.98</c:v>
                </c:pt>
                <c:pt idx="1361">
                  <c:v>60.3</c:v>
                </c:pt>
                <c:pt idx="1362">
                  <c:v>60.21</c:v>
                </c:pt>
                <c:pt idx="1363">
                  <c:v>61.05</c:v>
                </c:pt>
                <c:pt idx="1364">
                  <c:v>59.62</c:v>
                </c:pt>
                <c:pt idx="1365">
                  <c:v>57.99</c:v>
                </c:pt>
                <c:pt idx="1366">
                  <c:v>58.92</c:v>
                </c:pt>
                <c:pt idx="1367">
                  <c:v>58.31</c:v>
                </c:pt>
                <c:pt idx="1368">
                  <c:v>60.53</c:v>
                </c:pt>
                <c:pt idx="1369">
                  <c:v>61.11</c:v>
                </c:pt>
                <c:pt idx="1370">
                  <c:v>60.53</c:v>
                </c:pt>
                <c:pt idx="1371">
                  <c:v>59.97</c:v>
                </c:pt>
                <c:pt idx="1372">
                  <c:v>59.61</c:v>
                </c:pt>
                <c:pt idx="1373">
                  <c:v>60.05</c:v>
                </c:pt>
                <c:pt idx="1374">
                  <c:v>59.8</c:v>
                </c:pt>
                <c:pt idx="1375">
                  <c:v>60.51</c:v>
                </c:pt>
                <c:pt idx="1376">
                  <c:v>59.28</c:v>
                </c:pt>
                <c:pt idx="1377">
                  <c:v>59.68</c:v>
                </c:pt>
                <c:pt idx="1378">
                  <c:v>61.11</c:v>
                </c:pt>
                <c:pt idx="1379">
                  <c:v>60.22</c:v>
                </c:pt>
                <c:pt idx="1380">
                  <c:v>59.65</c:v>
                </c:pt>
                <c:pt idx="1381">
                  <c:v>59.58</c:v>
                </c:pt>
                <c:pt idx="1382">
                  <c:v>58.25</c:v>
                </c:pt>
                <c:pt idx="1383">
                  <c:v>59</c:v>
                </c:pt>
                <c:pt idx="1384">
                  <c:v>56.84</c:v>
                </c:pt>
                <c:pt idx="1385">
                  <c:v>56.5</c:v>
                </c:pt>
                <c:pt idx="1386">
                  <c:v>52.68</c:v>
                </c:pt>
                <c:pt idx="1387">
                  <c:v>52.91</c:v>
                </c:pt>
                <c:pt idx="1388">
                  <c:v>51.86</c:v>
                </c:pt>
                <c:pt idx="1389">
                  <c:v>52.55</c:v>
                </c:pt>
                <c:pt idx="1390">
                  <c:v>52.81</c:v>
                </c:pt>
                <c:pt idx="1391">
                  <c:v>52.03</c:v>
                </c:pt>
                <c:pt idx="1392">
                  <c:v>53.37</c:v>
                </c:pt>
                <c:pt idx="1393">
                  <c:v>51.62</c:v>
                </c:pt>
                <c:pt idx="1394">
                  <c:v>50.98</c:v>
                </c:pt>
                <c:pt idx="1395">
                  <c:v>50.8</c:v>
                </c:pt>
                <c:pt idx="1396">
                  <c:v>49.88</c:v>
                </c:pt>
                <c:pt idx="1397">
                  <c:v>50.36</c:v>
                </c:pt>
                <c:pt idx="1398">
                  <c:v>49.19</c:v>
                </c:pt>
                <c:pt idx="1399">
                  <c:v>48.81</c:v>
                </c:pt>
                <c:pt idx="1400">
                  <c:v>47.97</c:v>
                </c:pt>
                <c:pt idx="1401">
                  <c:v>47</c:v>
                </c:pt>
                <c:pt idx="1402">
                  <c:v>47.8</c:v>
                </c:pt>
                <c:pt idx="1403">
                  <c:v>48.89</c:v>
                </c:pt>
                <c:pt idx="1404">
                  <c:v>48.45</c:v>
                </c:pt>
                <c:pt idx="1405">
                  <c:v>46.77</c:v>
                </c:pt>
                <c:pt idx="1406">
                  <c:v>45.31</c:v>
                </c:pt>
                <c:pt idx="1407">
                  <c:v>45.98</c:v>
                </c:pt>
                <c:pt idx="1408">
                  <c:v>45.16</c:v>
                </c:pt>
                <c:pt idx="1409">
                  <c:v>44.83</c:v>
                </c:pt>
                <c:pt idx="1410">
                  <c:v>43.79</c:v>
                </c:pt>
                <c:pt idx="1411">
                  <c:v>44.8</c:v>
                </c:pt>
                <c:pt idx="1412">
                  <c:v>43.23</c:v>
                </c:pt>
                <c:pt idx="1413">
                  <c:v>43.36</c:v>
                </c:pt>
                <c:pt idx="1414">
                  <c:v>42.22</c:v>
                </c:pt>
                <c:pt idx="1415">
                  <c:v>42.16</c:v>
                </c:pt>
                <c:pt idx="1416">
                  <c:v>41.86</c:v>
                </c:pt>
                <c:pt idx="1417">
                  <c:v>42.42</c:v>
                </c:pt>
                <c:pt idx="1418">
                  <c:v>40.5</c:v>
                </c:pt>
                <c:pt idx="1419">
                  <c:v>41.14</c:v>
                </c:pt>
                <c:pt idx="1420">
                  <c:v>40.35</c:v>
                </c:pt>
                <c:pt idx="1421">
                  <c:v>38.130000000000003</c:v>
                </c:pt>
                <c:pt idx="1422">
                  <c:v>39.58</c:v>
                </c:pt>
                <c:pt idx="1423">
                  <c:v>38.89</c:v>
                </c:pt>
                <c:pt idx="1424">
                  <c:v>42.81</c:v>
                </c:pt>
                <c:pt idx="1425">
                  <c:v>45.4</c:v>
                </c:pt>
                <c:pt idx="1426">
                  <c:v>48.16</c:v>
                </c:pt>
                <c:pt idx="1427">
                  <c:v>44.17</c:v>
                </c:pt>
                <c:pt idx="1428">
                  <c:v>46.06</c:v>
                </c:pt>
                <c:pt idx="1429">
                  <c:v>46.67</c:v>
                </c:pt>
                <c:pt idx="1430">
                  <c:v>45.7</c:v>
                </c:pt>
                <c:pt idx="1431">
                  <c:v>45.75</c:v>
                </c:pt>
                <c:pt idx="1432">
                  <c:v>44.09</c:v>
                </c:pt>
                <c:pt idx="1433">
                  <c:v>45.7</c:v>
                </c:pt>
                <c:pt idx="1434">
                  <c:v>44.78</c:v>
                </c:pt>
                <c:pt idx="1435">
                  <c:v>44.16</c:v>
                </c:pt>
                <c:pt idx="1436">
                  <c:v>45.16</c:v>
                </c:pt>
                <c:pt idx="1437">
                  <c:v>47.18</c:v>
                </c:pt>
                <c:pt idx="1438">
                  <c:v>46.86</c:v>
                </c:pt>
                <c:pt idx="1439">
                  <c:v>44.77</c:v>
                </c:pt>
                <c:pt idx="1440">
                  <c:v>45.57</c:v>
                </c:pt>
                <c:pt idx="1441">
                  <c:v>45.83</c:v>
                </c:pt>
                <c:pt idx="1442">
                  <c:v>44.62</c:v>
                </c:pt>
                <c:pt idx="1443">
                  <c:v>45.1</c:v>
                </c:pt>
                <c:pt idx="1444">
                  <c:v>45.44</c:v>
                </c:pt>
                <c:pt idx="1445">
                  <c:v>44.45</c:v>
                </c:pt>
                <c:pt idx="1446">
                  <c:v>44.86</c:v>
                </c:pt>
                <c:pt idx="1447">
                  <c:v>45.41</c:v>
                </c:pt>
                <c:pt idx="1448">
                  <c:v>45.05</c:v>
                </c:pt>
                <c:pt idx="1449">
                  <c:v>45.66</c:v>
                </c:pt>
                <c:pt idx="1450">
                  <c:v>46.25</c:v>
                </c:pt>
                <c:pt idx="1451">
                  <c:v>49.05</c:v>
                </c:pt>
                <c:pt idx="1452">
                  <c:v>48.13</c:v>
                </c:pt>
                <c:pt idx="1453">
                  <c:v>49.65</c:v>
                </c:pt>
                <c:pt idx="1454">
                  <c:v>49.53</c:v>
                </c:pt>
                <c:pt idx="1455">
                  <c:v>47.44</c:v>
                </c:pt>
                <c:pt idx="1456">
                  <c:v>46.6</c:v>
                </c:pt>
                <c:pt idx="1457">
                  <c:v>46.3</c:v>
                </c:pt>
                <c:pt idx="1458">
                  <c:v>46.95</c:v>
                </c:pt>
                <c:pt idx="1459">
                  <c:v>47.27</c:v>
                </c:pt>
                <c:pt idx="1460">
                  <c:v>46.08</c:v>
                </c:pt>
                <c:pt idx="1461">
                  <c:v>45.55</c:v>
                </c:pt>
                <c:pt idx="1462">
                  <c:v>45.2</c:v>
                </c:pt>
                <c:pt idx="1463">
                  <c:v>45.42</c:v>
                </c:pt>
                <c:pt idx="1464">
                  <c:v>44.72</c:v>
                </c:pt>
                <c:pt idx="1465">
                  <c:v>43.77</c:v>
                </c:pt>
                <c:pt idx="1466">
                  <c:v>43.42</c:v>
                </c:pt>
                <c:pt idx="1467">
                  <c:v>46.19</c:v>
                </c:pt>
                <c:pt idx="1468">
                  <c:v>45.72</c:v>
                </c:pt>
                <c:pt idx="1469">
                  <c:v>46.42</c:v>
                </c:pt>
                <c:pt idx="1470">
                  <c:v>46.08</c:v>
                </c:pt>
                <c:pt idx="1471">
                  <c:v>47.7</c:v>
                </c:pt>
                <c:pt idx="1472">
                  <c:v>46.54</c:v>
                </c:pt>
                <c:pt idx="1473">
                  <c:v>45.32</c:v>
                </c:pt>
                <c:pt idx="1474">
                  <c:v>44.55</c:v>
                </c:pt>
                <c:pt idx="1475">
                  <c:v>44.1</c:v>
                </c:pt>
                <c:pt idx="1476">
                  <c:v>43.65</c:v>
                </c:pt>
                <c:pt idx="1477">
                  <c:v>42.99</c:v>
                </c:pt>
                <c:pt idx="1478">
                  <c:v>41.61</c:v>
                </c:pt>
                <c:pt idx="1479">
                  <c:v>40.75</c:v>
                </c:pt>
                <c:pt idx="1480">
                  <c:v>42.04</c:v>
                </c:pt>
                <c:pt idx="1481">
                  <c:v>41.06</c:v>
                </c:pt>
                <c:pt idx="1482">
                  <c:v>40.590000000000003</c:v>
                </c:pt>
                <c:pt idx="1483">
                  <c:v>40.53</c:v>
                </c:pt>
                <c:pt idx="1484">
                  <c:v>40.39</c:v>
                </c:pt>
                <c:pt idx="1485">
                  <c:v>42.03</c:v>
                </c:pt>
                <c:pt idx="1486">
                  <c:v>42.64</c:v>
                </c:pt>
                <c:pt idx="1487">
                  <c:v>43.2</c:v>
                </c:pt>
                <c:pt idx="1488">
                  <c:v>41.76</c:v>
                </c:pt>
                <c:pt idx="1489">
                  <c:v>41.69</c:v>
                </c:pt>
                <c:pt idx="1490">
                  <c:v>41.66</c:v>
                </c:pt>
                <c:pt idx="1491">
                  <c:v>40.1</c:v>
                </c:pt>
                <c:pt idx="1492">
                  <c:v>41.28</c:v>
                </c:pt>
                <c:pt idx="1493">
                  <c:v>40.15</c:v>
                </c:pt>
                <c:pt idx="1494">
                  <c:v>37.64</c:v>
                </c:pt>
                <c:pt idx="1495">
                  <c:v>37.840000000000003</c:v>
                </c:pt>
                <c:pt idx="1496">
                  <c:v>37.229999999999997</c:v>
                </c:pt>
                <c:pt idx="1497">
                  <c:v>36.56</c:v>
                </c:pt>
                <c:pt idx="1498">
                  <c:v>35.36</c:v>
                </c:pt>
                <c:pt idx="1499">
                  <c:v>36.25</c:v>
                </c:pt>
                <c:pt idx="1500">
                  <c:v>36.74</c:v>
                </c:pt>
                <c:pt idx="1501">
                  <c:v>35.72</c:v>
                </c:pt>
                <c:pt idx="1502">
                  <c:v>34.72</c:v>
                </c:pt>
                <c:pt idx="1503">
                  <c:v>34.49</c:v>
                </c:pt>
                <c:pt idx="1504">
                  <c:v>34.74</c:v>
                </c:pt>
                <c:pt idx="1505">
                  <c:v>36.450000000000003</c:v>
                </c:pt>
                <c:pt idx="1506">
                  <c:v>37.89</c:v>
                </c:pt>
                <c:pt idx="1507">
                  <c:v>38.11</c:v>
                </c:pt>
                <c:pt idx="1508">
                  <c:v>36.69</c:v>
                </c:pt>
                <c:pt idx="1509">
                  <c:v>37.36</c:v>
                </c:pt>
                <c:pt idx="1510">
                  <c:v>36.799999999999997</c:v>
                </c:pt>
                <c:pt idx="1511">
                  <c:v>37.11</c:v>
                </c:pt>
                <c:pt idx="1512">
                  <c:v>36.89</c:v>
                </c:pt>
                <c:pt idx="1513">
                  <c:v>36.119999999999997</c:v>
                </c:pt>
                <c:pt idx="1514">
                  <c:v>34.04</c:v>
                </c:pt>
                <c:pt idx="1515">
                  <c:v>33.270000000000003</c:v>
                </c:pt>
                <c:pt idx="1516">
                  <c:v>32.909999999999997</c:v>
                </c:pt>
                <c:pt idx="1517">
                  <c:v>31.12</c:v>
                </c:pt>
                <c:pt idx="1518">
                  <c:v>30.57</c:v>
                </c:pt>
                <c:pt idx="1519">
                  <c:v>30.55</c:v>
                </c:pt>
                <c:pt idx="1520">
                  <c:v>31.22</c:v>
                </c:pt>
                <c:pt idx="1521">
                  <c:v>29.71</c:v>
                </c:pt>
                <c:pt idx="1522">
                  <c:v>28.38</c:v>
                </c:pt>
                <c:pt idx="1523">
                  <c:v>26.55</c:v>
                </c:pt>
                <c:pt idx="1524">
                  <c:v>29.85</c:v>
                </c:pt>
                <c:pt idx="1525">
                  <c:v>32.25</c:v>
                </c:pt>
                <c:pt idx="1526">
                  <c:v>29.8</c:v>
                </c:pt>
                <c:pt idx="1527">
                  <c:v>30.52</c:v>
                </c:pt>
                <c:pt idx="1528">
                  <c:v>32.17</c:v>
                </c:pt>
                <c:pt idx="1529">
                  <c:v>33.75</c:v>
                </c:pt>
                <c:pt idx="1530">
                  <c:v>33.75</c:v>
                </c:pt>
                <c:pt idx="1531">
                  <c:v>31.33</c:v>
                </c:pt>
                <c:pt idx="1532">
                  <c:v>29.66</c:v>
                </c:pt>
                <c:pt idx="1533">
                  <c:v>32.72</c:v>
                </c:pt>
                <c:pt idx="1534">
                  <c:v>31.66</c:v>
                </c:pt>
                <c:pt idx="1535">
                  <c:v>30.99</c:v>
                </c:pt>
                <c:pt idx="1536">
                  <c:v>30.16</c:v>
                </c:pt>
                <c:pt idx="1537">
                  <c:v>28.3</c:v>
                </c:pt>
                <c:pt idx="1538">
                  <c:v>27.3</c:v>
                </c:pt>
                <c:pt idx="1539">
                  <c:v>27.22</c:v>
                </c:pt>
                <c:pt idx="1540">
                  <c:v>29.12</c:v>
                </c:pt>
                <c:pt idx="1541">
                  <c:v>29.12</c:v>
                </c:pt>
                <c:pt idx="1542">
                  <c:v>31.43</c:v>
                </c:pt>
                <c:pt idx="1543">
                  <c:v>30.7</c:v>
                </c:pt>
                <c:pt idx="1544">
                  <c:v>29.87</c:v>
                </c:pt>
                <c:pt idx="1545">
                  <c:v>31.48</c:v>
                </c:pt>
                <c:pt idx="1546">
                  <c:v>31.4</c:v>
                </c:pt>
                <c:pt idx="1547">
                  <c:v>32.21</c:v>
                </c:pt>
                <c:pt idx="1548">
                  <c:v>33.07</c:v>
                </c:pt>
                <c:pt idx="1549">
                  <c:v>32.79</c:v>
                </c:pt>
                <c:pt idx="1550">
                  <c:v>33.909999999999997</c:v>
                </c:pt>
                <c:pt idx="1551">
                  <c:v>33.85</c:v>
                </c:pt>
                <c:pt idx="1552">
                  <c:v>34.74</c:v>
                </c:pt>
                <c:pt idx="1553">
                  <c:v>34.69</c:v>
                </c:pt>
                <c:pt idx="1554">
                  <c:v>36.31</c:v>
                </c:pt>
                <c:pt idx="1555">
                  <c:v>37.97</c:v>
                </c:pt>
                <c:pt idx="1556">
                  <c:v>36.36</c:v>
                </c:pt>
                <c:pt idx="1557">
                  <c:v>38.200000000000003</c:v>
                </c:pt>
                <c:pt idx="1558">
                  <c:v>38.020000000000003</c:v>
                </c:pt>
                <c:pt idx="1559">
                  <c:v>38.479999999999997</c:v>
                </c:pt>
                <c:pt idx="1560">
                  <c:v>37.36</c:v>
                </c:pt>
                <c:pt idx="1561">
                  <c:v>36.770000000000003</c:v>
                </c:pt>
                <c:pt idx="1562">
                  <c:v>38.549999999999997</c:v>
                </c:pt>
                <c:pt idx="1563">
                  <c:v>40.340000000000003</c:v>
                </c:pt>
                <c:pt idx="1564">
                  <c:v>40.53</c:v>
                </c:pt>
                <c:pt idx="1565">
                  <c:v>39.909999999999997</c:v>
                </c:pt>
                <c:pt idx="1566">
                  <c:v>41.24</c:v>
                </c:pt>
                <c:pt idx="1567">
                  <c:v>39.770000000000003</c:v>
                </c:pt>
                <c:pt idx="1568">
                  <c:v>39.520000000000003</c:v>
                </c:pt>
                <c:pt idx="1569">
                  <c:v>39.33</c:v>
                </c:pt>
                <c:pt idx="1570">
                  <c:v>38.49</c:v>
                </c:pt>
                <c:pt idx="1571">
                  <c:v>38.29</c:v>
                </c:pt>
                <c:pt idx="1572">
                  <c:v>38.119999999999997</c:v>
                </c:pt>
                <c:pt idx="1573">
                  <c:v>36.700000000000003</c:v>
                </c:pt>
                <c:pt idx="1574">
                  <c:v>35.479999999999997</c:v>
                </c:pt>
                <c:pt idx="1575">
                  <c:v>36.57</c:v>
                </c:pt>
                <c:pt idx="1576">
                  <c:v>37.729999999999997</c:v>
                </c:pt>
                <c:pt idx="1577">
                  <c:v>37.479999999999997</c:v>
                </c:pt>
                <c:pt idx="1578">
                  <c:v>39.67</c:v>
                </c:pt>
                <c:pt idx="1579">
                  <c:v>40.35</c:v>
                </c:pt>
                <c:pt idx="1580">
                  <c:v>41.66</c:v>
                </c:pt>
                <c:pt idx="1581">
                  <c:v>41.55</c:v>
                </c:pt>
                <c:pt idx="1582">
                  <c:v>41.45</c:v>
                </c:pt>
                <c:pt idx="1583">
                  <c:v>40.409999999999997</c:v>
                </c:pt>
                <c:pt idx="1584">
                  <c:v>40.049999999999997</c:v>
                </c:pt>
                <c:pt idx="1585">
                  <c:v>41.26</c:v>
                </c:pt>
                <c:pt idx="1586">
                  <c:v>42.63</c:v>
                </c:pt>
                <c:pt idx="1587">
                  <c:v>43.43</c:v>
                </c:pt>
                <c:pt idx="1588">
                  <c:v>43.72</c:v>
                </c:pt>
                <c:pt idx="1589">
                  <c:v>42.98</c:v>
                </c:pt>
                <c:pt idx="1590">
                  <c:v>44.67</c:v>
                </c:pt>
                <c:pt idx="1591">
                  <c:v>45.32</c:v>
                </c:pt>
                <c:pt idx="1592">
                  <c:v>45.87</c:v>
                </c:pt>
                <c:pt idx="1593">
                  <c:v>46</c:v>
                </c:pt>
                <c:pt idx="1594">
                  <c:v>44.92</c:v>
                </c:pt>
                <c:pt idx="1595">
                  <c:v>43.86</c:v>
                </c:pt>
                <c:pt idx="1596">
                  <c:v>44.05</c:v>
                </c:pt>
                <c:pt idx="1597">
                  <c:v>44.47</c:v>
                </c:pt>
                <c:pt idx="1598">
                  <c:v>44.61</c:v>
                </c:pt>
                <c:pt idx="1599">
                  <c:v>43.26</c:v>
                </c:pt>
                <c:pt idx="1600">
                  <c:v>44.55</c:v>
                </c:pt>
                <c:pt idx="1601">
                  <c:v>46.01</c:v>
                </c:pt>
                <c:pt idx="1602">
                  <c:v>46.43</c:v>
                </c:pt>
                <c:pt idx="1603">
                  <c:v>46.35</c:v>
                </c:pt>
                <c:pt idx="1604">
                  <c:v>47.89</c:v>
                </c:pt>
                <c:pt idx="1605">
                  <c:v>48.56</c:v>
                </c:pt>
                <c:pt idx="1606">
                  <c:v>47.98</c:v>
                </c:pt>
                <c:pt idx="1607">
                  <c:v>48.49</c:v>
                </c:pt>
                <c:pt idx="1608">
                  <c:v>47.47</c:v>
                </c:pt>
                <c:pt idx="1609">
                  <c:v>48.11</c:v>
                </c:pt>
                <c:pt idx="1610">
                  <c:v>49.14</c:v>
                </c:pt>
                <c:pt idx="1611">
                  <c:v>49.7</c:v>
                </c:pt>
                <c:pt idx="1612">
                  <c:v>49.37</c:v>
                </c:pt>
                <c:pt idx="1613">
                  <c:v>49.55</c:v>
                </c:pt>
                <c:pt idx="1614">
                  <c:v>48.87</c:v>
                </c:pt>
                <c:pt idx="1615">
                  <c:v>48.92</c:v>
                </c:pt>
                <c:pt idx="1616">
                  <c:v>49.02</c:v>
                </c:pt>
                <c:pt idx="1617">
                  <c:v>48.85</c:v>
                </c:pt>
                <c:pt idx="1618">
                  <c:v>49.73</c:v>
                </c:pt>
                <c:pt idx="1619">
                  <c:v>50.42</c:v>
                </c:pt>
                <c:pt idx="1620">
                  <c:v>51.5</c:v>
                </c:pt>
                <c:pt idx="1621">
                  <c:v>50.44</c:v>
                </c:pt>
                <c:pt idx="1622">
                  <c:v>48.92</c:v>
                </c:pt>
                <c:pt idx="1623">
                  <c:v>48.57</c:v>
                </c:pt>
                <c:pt idx="1624">
                  <c:v>47.88</c:v>
                </c:pt>
                <c:pt idx="1625">
                  <c:v>47.46</c:v>
                </c:pt>
                <c:pt idx="1626">
                  <c:v>46.01</c:v>
                </c:pt>
                <c:pt idx="1627">
                  <c:v>48.22</c:v>
                </c:pt>
                <c:pt idx="1628">
                  <c:v>49.3</c:v>
                </c:pt>
                <c:pt idx="1629">
                  <c:v>48.85</c:v>
                </c:pt>
                <c:pt idx="1630">
                  <c:v>48.98</c:v>
                </c:pt>
                <c:pt idx="1631">
                  <c:v>50.18</c:v>
                </c:pt>
                <c:pt idx="1632">
                  <c:v>47.61</c:v>
                </c:pt>
                <c:pt idx="1633">
                  <c:v>46.62</c:v>
                </c:pt>
                <c:pt idx="1634">
                  <c:v>48.08</c:v>
                </c:pt>
                <c:pt idx="1635">
                  <c:v>49.53</c:v>
                </c:pt>
                <c:pt idx="1636">
                  <c:v>48.38</c:v>
                </c:pt>
                <c:pt idx="1637">
                  <c:v>49.26</c:v>
                </c:pt>
                <c:pt idx="1638">
                  <c:v>46.85</c:v>
                </c:pt>
                <c:pt idx="1639">
                  <c:v>47.87</c:v>
                </c:pt>
                <c:pt idx="1640">
                  <c:v>45.2</c:v>
                </c:pt>
                <c:pt idx="1641">
                  <c:v>45.16</c:v>
                </c:pt>
                <c:pt idx="1642">
                  <c:v>44.54</c:v>
                </c:pt>
                <c:pt idx="1643">
                  <c:v>46.62</c:v>
                </c:pt>
                <c:pt idx="1644">
                  <c:v>45.11</c:v>
                </c:pt>
                <c:pt idx="1645">
                  <c:v>45.49</c:v>
                </c:pt>
                <c:pt idx="1646">
                  <c:v>46.26</c:v>
                </c:pt>
                <c:pt idx="1647">
                  <c:v>45.22</c:v>
                </c:pt>
                <c:pt idx="1648">
                  <c:v>44.47</c:v>
                </c:pt>
                <c:pt idx="1649">
                  <c:v>44.94</c:v>
                </c:pt>
                <c:pt idx="1650">
                  <c:v>44.53</c:v>
                </c:pt>
                <c:pt idx="1651">
                  <c:v>44.27</c:v>
                </c:pt>
                <c:pt idx="1652">
                  <c:v>43.05</c:v>
                </c:pt>
                <c:pt idx="1653">
                  <c:v>42.65</c:v>
                </c:pt>
                <c:pt idx="1654">
                  <c:v>41.89</c:v>
                </c:pt>
                <c:pt idx="1655">
                  <c:v>41.11</c:v>
                </c:pt>
                <c:pt idx="1656">
                  <c:v>41.38</c:v>
                </c:pt>
                <c:pt idx="1657">
                  <c:v>40.049999999999997</c:v>
                </c:pt>
                <c:pt idx="1658">
                  <c:v>39.72</c:v>
                </c:pt>
                <c:pt idx="1659">
                  <c:v>41.19</c:v>
                </c:pt>
                <c:pt idx="1660">
                  <c:v>41.78</c:v>
                </c:pt>
                <c:pt idx="1661">
                  <c:v>41.98</c:v>
                </c:pt>
                <c:pt idx="1662">
                  <c:v>42.87</c:v>
                </c:pt>
                <c:pt idx="1663">
                  <c:v>42.73</c:v>
                </c:pt>
                <c:pt idx="1664">
                  <c:v>41.48</c:v>
                </c:pt>
                <c:pt idx="1665">
                  <c:v>43.41</c:v>
                </c:pt>
                <c:pt idx="1666">
                  <c:v>44.73</c:v>
                </c:pt>
                <c:pt idx="1667">
                  <c:v>45.68</c:v>
                </c:pt>
                <c:pt idx="1668">
                  <c:v>46.39</c:v>
                </c:pt>
                <c:pt idx="1669">
                  <c:v>46.9</c:v>
                </c:pt>
                <c:pt idx="1670">
                  <c:v>48.34</c:v>
                </c:pt>
                <c:pt idx="1671">
                  <c:v>48.48</c:v>
                </c:pt>
                <c:pt idx="1672">
                  <c:v>47.05</c:v>
                </c:pt>
                <c:pt idx="1673">
                  <c:v>47.57</c:v>
                </c:pt>
                <c:pt idx="1674">
                  <c:v>46.78</c:v>
                </c:pt>
                <c:pt idx="1675">
                  <c:v>47.38</c:v>
                </c:pt>
                <c:pt idx="1676">
                  <c:v>47.3</c:v>
                </c:pt>
                <c:pt idx="1677">
                  <c:v>46.95</c:v>
                </c:pt>
                <c:pt idx="1678">
                  <c:v>46.27</c:v>
                </c:pt>
                <c:pt idx="1679">
                  <c:v>44.84</c:v>
                </c:pt>
                <c:pt idx="1680">
                  <c:v>43.51</c:v>
                </c:pt>
                <c:pt idx="1681">
                  <c:v>44.24</c:v>
                </c:pt>
                <c:pt idx="1682">
                  <c:v>44.88</c:v>
                </c:pt>
                <c:pt idx="1683">
                  <c:v>46.14</c:v>
                </c:pt>
                <c:pt idx="1684">
                  <c:v>47.31</c:v>
                </c:pt>
                <c:pt idx="1685">
                  <c:v>45.72</c:v>
                </c:pt>
                <c:pt idx="1686">
                  <c:v>46.05</c:v>
                </c:pt>
                <c:pt idx="1687">
                  <c:v>44.97</c:v>
                </c:pt>
                <c:pt idx="1688">
                  <c:v>43.62</c:v>
                </c:pt>
                <c:pt idx="1689">
                  <c:v>43.72</c:v>
                </c:pt>
                <c:pt idx="1690">
                  <c:v>43.14</c:v>
                </c:pt>
                <c:pt idx="1691">
                  <c:v>43.25</c:v>
                </c:pt>
                <c:pt idx="1692">
                  <c:v>43.44</c:v>
                </c:pt>
                <c:pt idx="1693">
                  <c:v>45.63</c:v>
                </c:pt>
                <c:pt idx="1694">
                  <c:v>46.09</c:v>
                </c:pt>
                <c:pt idx="1695">
                  <c:v>44.61</c:v>
                </c:pt>
                <c:pt idx="1696">
                  <c:v>45.64</c:v>
                </c:pt>
                <c:pt idx="1697">
                  <c:v>44.92</c:v>
                </c:pt>
                <c:pt idx="1698">
                  <c:v>47.17</c:v>
                </c:pt>
                <c:pt idx="1699">
                  <c:v>47.73</c:v>
                </c:pt>
                <c:pt idx="1700">
                  <c:v>48.05</c:v>
                </c:pt>
                <c:pt idx="1701">
                  <c:v>48.66</c:v>
                </c:pt>
                <c:pt idx="1702">
                  <c:v>49.2</c:v>
                </c:pt>
                <c:pt idx="1703">
                  <c:v>49.69</c:v>
                </c:pt>
                <c:pt idx="1704">
                  <c:v>50.59</c:v>
                </c:pt>
                <c:pt idx="1705">
                  <c:v>49.62</c:v>
                </c:pt>
                <c:pt idx="1706">
                  <c:v>51.14</c:v>
                </c:pt>
                <c:pt idx="1707">
                  <c:v>50.84</c:v>
                </c:pt>
                <c:pt idx="1708">
                  <c:v>50.03</c:v>
                </c:pt>
                <c:pt idx="1709">
                  <c:v>50.52</c:v>
                </c:pt>
                <c:pt idx="1710">
                  <c:v>50.33</c:v>
                </c:pt>
                <c:pt idx="1711">
                  <c:v>50.06</c:v>
                </c:pt>
                <c:pt idx="1712">
                  <c:v>50.75</c:v>
                </c:pt>
                <c:pt idx="1713">
                  <c:v>51.72</c:v>
                </c:pt>
                <c:pt idx="1714">
                  <c:v>50.43</c:v>
                </c:pt>
                <c:pt idx="1715">
                  <c:v>50.95</c:v>
                </c:pt>
                <c:pt idx="1716">
                  <c:v>50.46</c:v>
                </c:pt>
                <c:pt idx="1717">
                  <c:v>49.33</c:v>
                </c:pt>
                <c:pt idx="1718">
                  <c:v>49.19</c:v>
                </c:pt>
                <c:pt idx="1719">
                  <c:v>49.61</c:v>
                </c:pt>
                <c:pt idx="1720">
                  <c:v>48.66</c:v>
                </c:pt>
                <c:pt idx="1721">
                  <c:v>46.72</c:v>
                </c:pt>
                <c:pt idx="1722">
                  <c:v>46.39</c:v>
                </c:pt>
                <c:pt idx="1723">
                  <c:v>45.49</c:v>
                </c:pt>
                <c:pt idx="1724">
                  <c:v>44.65</c:v>
                </c:pt>
                <c:pt idx="1725">
                  <c:v>44.14</c:v>
                </c:pt>
                <c:pt idx="1726">
                  <c:v>44.95</c:v>
                </c:pt>
                <c:pt idx="1727">
                  <c:v>44.83</c:v>
                </c:pt>
                <c:pt idx="1728">
                  <c:v>45.34</c:v>
                </c:pt>
                <c:pt idx="1729">
                  <c:v>44.32</c:v>
                </c:pt>
                <c:pt idx="1730">
                  <c:v>43.16</c:v>
                </c:pt>
                <c:pt idx="1731">
                  <c:v>43.71</c:v>
                </c:pt>
                <c:pt idx="1732">
                  <c:v>45.77</c:v>
                </c:pt>
                <c:pt idx="1733">
                  <c:v>45.36</c:v>
                </c:pt>
                <c:pt idx="1734">
                  <c:v>44.94</c:v>
                </c:pt>
                <c:pt idx="1735">
                  <c:v>45.5</c:v>
                </c:pt>
                <c:pt idx="1736">
                  <c:v>47.49</c:v>
                </c:pt>
                <c:pt idx="1737">
                  <c:v>47.87</c:v>
                </c:pt>
                <c:pt idx="1738">
                  <c:v>47.94</c:v>
                </c:pt>
                <c:pt idx="1739">
                  <c:v>45.96</c:v>
                </c:pt>
                <c:pt idx="1740">
                  <c:v>46.92</c:v>
                </c:pt>
                <c:pt idx="1741">
                  <c:v>45.27</c:v>
                </c:pt>
                <c:pt idx="1742">
                  <c:v>49</c:v>
                </c:pt>
                <c:pt idx="1743">
                  <c:v>50.87</c:v>
                </c:pt>
                <c:pt idx="1744">
                  <c:v>51.67</c:v>
                </c:pt>
                <c:pt idx="1745">
                  <c:v>50.96</c:v>
                </c:pt>
                <c:pt idx="1746">
                  <c:v>50.91</c:v>
                </c:pt>
                <c:pt idx="1747">
                  <c:v>49.85</c:v>
                </c:pt>
                <c:pt idx="1748">
                  <c:v>50.93</c:v>
                </c:pt>
                <c:pt idx="1749">
                  <c:v>51.48</c:v>
                </c:pt>
                <c:pt idx="1750">
                  <c:v>52.42</c:v>
                </c:pt>
                <c:pt idx="1751">
                  <c:v>52.45</c:v>
                </c:pt>
                <c:pt idx="1752">
                  <c:v>50.78</c:v>
                </c:pt>
                <c:pt idx="1753">
                  <c:v>51.06</c:v>
                </c:pt>
                <c:pt idx="1754">
                  <c:v>52.03</c:v>
                </c:pt>
                <c:pt idx="1755">
                  <c:v>52.03</c:v>
                </c:pt>
                <c:pt idx="1756">
                  <c:v>52.23</c:v>
                </c:pt>
                <c:pt idx="1757">
                  <c:v>52.5</c:v>
                </c:pt>
                <c:pt idx="1758">
                  <c:v>52.64</c:v>
                </c:pt>
                <c:pt idx="1759">
                  <c:v>53.24</c:v>
                </c:pt>
                <c:pt idx="1760">
                  <c:v>53.85</c:v>
                </c:pt>
                <c:pt idx="1761">
                  <c:v>53.66</c:v>
                </c:pt>
                <c:pt idx="1762">
                  <c:v>53.86</c:v>
                </c:pt>
                <c:pt idx="1763">
                  <c:v>53.89</c:v>
                </c:pt>
                <c:pt idx="1764">
                  <c:v>52.48</c:v>
                </c:pt>
                <c:pt idx="1765">
                  <c:v>53.35</c:v>
                </c:pt>
                <c:pt idx="1766">
                  <c:v>53.76</c:v>
                </c:pt>
                <c:pt idx="1767">
                  <c:v>53.69</c:v>
                </c:pt>
                <c:pt idx="1768">
                  <c:v>51.77</c:v>
                </c:pt>
                <c:pt idx="1769">
                  <c:v>50.77</c:v>
                </c:pt>
                <c:pt idx="1770">
                  <c:v>52.39</c:v>
                </c:pt>
                <c:pt idx="1771">
                  <c:v>53.05</c:v>
                </c:pt>
                <c:pt idx="1772">
                  <c:v>52.53</c:v>
                </c:pt>
                <c:pt idx="1773">
                  <c:v>52.53</c:v>
                </c:pt>
                <c:pt idx="1774">
                  <c:v>51.44</c:v>
                </c:pt>
                <c:pt idx="1775">
                  <c:v>51.47</c:v>
                </c:pt>
                <c:pt idx="1776">
                  <c:v>52.48</c:v>
                </c:pt>
                <c:pt idx="1777">
                  <c:v>52.84</c:v>
                </c:pt>
                <c:pt idx="1778">
                  <c:v>52.92</c:v>
                </c:pt>
                <c:pt idx="1779">
                  <c:v>52.94</c:v>
                </c:pt>
                <c:pt idx="1780">
                  <c:v>53.73</c:v>
                </c:pt>
                <c:pt idx="1781">
                  <c:v>53.17</c:v>
                </c:pt>
                <c:pt idx="1782">
                  <c:v>52.6</c:v>
                </c:pt>
                <c:pt idx="1783">
                  <c:v>52.8</c:v>
                </c:pt>
                <c:pt idx="1784">
                  <c:v>53.55</c:v>
                </c:pt>
                <c:pt idx="1785">
                  <c:v>53.7</c:v>
                </c:pt>
                <c:pt idx="1786">
                  <c:v>53.84</c:v>
                </c:pt>
                <c:pt idx="1787">
                  <c:v>53.12</c:v>
                </c:pt>
                <c:pt idx="1788">
                  <c:v>51.69</c:v>
                </c:pt>
                <c:pt idx="1789">
                  <c:v>52.39</c:v>
                </c:pt>
                <c:pt idx="1790">
                  <c:v>53.16</c:v>
                </c:pt>
                <c:pt idx="1791">
                  <c:v>53.84</c:v>
                </c:pt>
                <c:pt idx="1792">
                  <c:v>52.88</c:v>
                </c:pt>
                <c:pt idx="1793">
                  <c:v>53.03</c:v>
                </c:pt>
                <c:pt idx="1794">
                  <c:v>53.01</c:v>
                </c:pt>
                <c:pt idx="1795">
                  <c:v>53.43</c:v>
                </c:pt>
                <c:pt idx="1796">
                  <c:v>53.38</c:v>
                </c:pt>
                <c:pt idx="1797">
                  <c:v>54.06</c:v>
                </c:pt>
                <c:pt idx="1798">
                  <c:v>53.88</c:v>
                </c:pt>
                <c:pt idx="1799">
                  <c:v>54.39</c:v>
                </c:pt>
                <c:pt idx="1800">
                  <c:v>54</c:v>
                </c:pt>
                <c:pt idx="1801">
                  <c:v>54.03</c:v>
                </c:pt>
                <c:pt idx="1802">
                  <c:v>53.99</c:v>
                </c:pt>
                <c:pt idx="1803">
                  <c:v>53.67</c:v>
                </c:pt>
                <c:pt idx="1804">
                  <c:v>52.59</c:v>
                </c:pt>
                <c:pt idx="1805">
                  <c:v>53.2</c:v>
                </c:pt>
                <c:pt idx="1806">
                  <c:v>53.18</c:v>
                </c:pt>
                <c:pt idx="1807">
                  <c:v>52.77</c:v>
                </c:pt>
                <c:pt idx="1808">
                  <c:v>50.19</c:v>
                </c:pt>
                <c:pt idx="1809">
                  <c:v>49.62</c:v>
                </c:pt>
                <c:pt idx="1810">
                  <c:v>48.38</c:v>
                </c:pt>
                <c:pt idx="1811">
                  <c:v>48.44</c:v>
                </c:pt>
                <c:pt idx="1812">
                  <c:v>48.48</c:v>
                </c:pt>
                <c:pt idx="1813">
                  <c:v>48.98</c:v>
                </c:pt>
                <c:pt idx="1814">
                  <c:v>48.8</c:v>
                </c:pt>
                <c:pt idx="1815">
                  <c:v>48.68</c:v>
                </c:pt>
                <c:pt idx="1816">
                  <c:v>48.2</c:v>
                </c:pt>
                <c:pt idx="1817">
                  <c:v>47.34</c:v>
                </c:pt>
                <c:pt idx="1818">
                  <c:v>48.12</c:v>
                </c:pt>
                <c:pt idx="1819">
                  <c:v>47.67</c:v>
                </c:pt>
                <c:pt idx="1820">
                  <c:v>48.13</c:v>
                </c:pt>
                <c:pt idx="1821">
                  <c:v>47.84</c:v>
                </c:pt>
                <c:pt idx="1822">
                  <c:v>48.45</c:v>
                </c:pt>
                <c:pt idx="1823">
                  <c:v>49.6</c:v>
                </c:pt>
                <c:pt idx="1824">
                  <c:v>50.36</c:v>
                </c:pt>
                <c:pt idx="1825">
                  <c:v>50.79</c:v>
                </c:pt>
                <c:pt idx="1826">
                  <c:v>50.24</c:v>
                </c:pt>
                <c:pt idx="1827">
                  <c:v>51.1</c:v>
                </c:pt>
                <c:pt idx="1828">
                  <c:v>50.84</c:v>
                </c:pt>
                <c:pt idx="1829">
                  <c:v>51.74</c:v>
                </c:pt>
                <c:pt idx="1830">
                  <c:v>52.33</c:v>
                </c:pt>
                <c:pt idx="1831">
                  <c:v>53.15</c:v>
                </c:pt>
                <c:pt idx="1832">
                  <c:v>53.41</c:v>
                </c:pt>
                <c:pt idx="1833">
                  <c:v>52.84</c:v>
                </c:pt>
                <c:pt idx="1834">
                  <c:v>52.93</c:v>
                </c:pt>
                <c:pt idx="1835">
                  <c:v>52.73</c:v>
                </c:pt>
                <c:pt idx="1836">
                  <c:v>52.33</c:v>
                </c:pt>
                <c:pt idx="1837">
                  <c:v>50.62</c:v>
                </c:pt>
                <c:pt idx="1838">
                  <c:v>50.27</c:v>
                </c:pt>
                <c:pt idx="1839">
                  <c:v>49.63</c:v>
                </c:pt>
                <c:pt idx="1840">
                  <c:v>49.2</c:v>
                </c:pt>
                <c:pt idx="1841">
                  <c:v>49.38</c:v>
                </c:pt>
                <c:pt idx="1842">
                  <c:v>49.18</c:v>
                </c:pt>
                <c:pt idx="1843">
                  <c:v>49.23</c:v>
                </c:pt>
                <c:pt idx="1844">
                  <c:v>49.2</c:v>
                </c:pt>
                <c:pt idx="1845">
                  <c:v>48.73</c:v>
                </c:pt>
                <c:pt idx="1846">
                  <c:v>48.06</c:v>
                </c:pt>
                <c:pt idx="1847">
                  <c:v>47.56</c:v>
                </c:pt>
                <c:pt idx="1848">
                  <c:v>45.48</c:v>
                </c:pt>
                <c:pt idx="1849">
                  <c:v>46.47</c:v>
                </c:pt>
                <c:pt idx="1850">
                  <c:v>46.5</c:v>
                </c:pt>
                <c:pt idx="1851">
                  <c:v>46.18</c:v>
                </c:pt>
                <c:pt idx="1852">
                  <c:v>47.34</c:v>
                </c:pt>
                <c:pt idx="1853">
                  <c:v>47.81</c:v>
                </c:pt>
                <c:pt idx="1854">
                  <c:v>47.86</c:v>
                </c:pt>
                <c:pt idx="1855">
                  <c:v>48.82</c:v>
                </c:pt>
                <c:pt idx="1856">
                  <c:v>48.25</c:v>
                </c:pt>
                <c:pt idx="1857">
                  <c:v>48.94</c:v>
                </c:pt>
                <c:pt idx="1858">
                  <c:v>49.36</c:v>
                </c:pt>
                <c:pt idx="1859">
                  <c:v>50.49</c:v>
                </c:pt>
                <c:pt idx="1860">
                  <c:v>50.73</c:v>
                </c:pt>
                <c:pt idx="1861">
                  <c:v>51.51</c:v>
                </c:pt>
                <c:pt idx="1862">
                  <c:v>51.3</c:v>
                </c:pt>
                <c:pt idx="1863">
                  <c:v>48.67</c:v>
                </c:pt>
                <c:pt idx="1864">
                  <c:v>49.84</c:v>
                </c:pt>
                <c:pt idx="1865">
                  <c:v>49.61</c:v>
                </c:pt>
                <c:pt idx="1866">
                  <c:v>48.63</c:v>
                </c:pt>
                <c:pt idx="1867">
                  <c:v>48.01</c:v>
                </c:pt>
                <c:pt idx="1868">
                  <c:v>47.77</c:v>
                </c:pt>
                <c:pt idx="1869">
                  <c:v>47.4</c:v>
                </c:pt>
                <c:pt idx="1870">
                  <c:v>47.98</c:v>
                </c:pt>
                <c:pt idx="1871">
                  <c:v>45.77</c:v>
                </c:pt>
                <c:pt idx="1872">
                  <c:v>45.69</c:v>
                </c:pt>
                <c:pt idx="1873">
                  <c:v>45.94</c:v>
                </c:pt>
                <c:pt idx="1874">
                  <c:v>46</c:v>
                </c:pt>
                <c:pt idx="1875">
                  <c:v>45.95</c:v>
                </c:pt>
                <c:pt idx="1876">
                  <c:v>44.66</c:v>
                </c:pt>
                <c:pt idx="1877">
                  <c:v>44.25</c:v>
                </c:pt>
                <c:pt idx="1878">
                  <c:v>44.7</c:v>
                </c:pt>
                <c:pt idx="1879">
                  <c:v>44.1</c:v>
                </c:pt>
                <c:pt idx="1880">
                  <c:v>43.23</c:v>
                </c:pt>
                <c:pt idx="1881">
                  <c:v>42.5</c:v>
                </c:pt>
                <c:pt idx="1882">
                  <c:v>42.77</c:v>
                </c:pt>
                <c:pt idx="1883">
                  <c:v>43.12</c:v>
                </c:pt>
                <c:pt idx="1884">
                  <c:v>43.48</c:v>
                </c:pt>
                <c:pt idx="1885">
                  <c:v>43.73</c:v>
                </c:pt>
                <c:pt idx="1886">
                  <c:v>44.87</c:v>
                </c:pt>
                <c:pt idx="1887">
                  <c:v>44.86</c:v>
                </c:pt>
                <c:pt idx="1888">
                  <c:v>46.34</c:v>
                </c:pt>
                <c:pt idx="1889">
                  <c:v>47.05</c:v>
                </c:pt>
                <c:pt idx="1890">
                  <c:v>45.62</c:v>
                </c:pt>
                <c:pt idx="1891">
                  <c:v>45.33</c:v>
                </c:pt>
                <c:pt idx="1892">
                  <c:v>44.33</c:v>
                </c:pt>
                <c:pt idx="1893">
                  <c:v>44.55</c:v>
                </c:pt>
                <c:pt idx="1894">
                  <c:v>45.76</c:v>
                </c:pt>
                <c:pt idx="1895">
                  <c:v>45.42</c:v>
                </c:pt>
                <c:pt idx="1896">
                  <c:v>46.08</c:v>
                </c:pt>
                <c:pt idx="1897">
                  <c:v>46.64</c:v>
                </c:pt>
                <c:pt idx="1898">
                  <c:v>45.98</c:v>
                </c:pt>
                <c:pt idx="1899">
                  <c:v>46.25</c:v>
                </c:pt>
                <c:pt idx="1900">
                  <c:v>47.16</c:v>
                </c:pt>
                <c:pt idx="1901">
                  <c:v>46.79</c:v>
                </c:pt>
                <c:pt idx="1902">
                  <c:v>45.59</c:v>
                </c:pt>
                <c:pt idx="1903">
                  <c:v>46.45</c:v>
                </c:pt>
                <c:pt idx="1904">
                  <c:v>48.58</c:v>
                </c:pt>
                <c:pt idx="1905">
                  <c:v>48.72</c:v>
                </c:pt>
                <c:pt idx="1906">
                  <c:v>49.14</c:v>
                </c:pt>
                <c:pt idx="1907">
                  <c:v>49.77</c:v>
                </c:pt>
                <c:pt idx="1908">
                  <c:v>50.19</c:v>
                </c:pt>
                <c:pt idx="1909">
                  <c:v>48.78</c:v>
                </c:pt>
                <c:pt idx="1910">
                  <c:v>49.58</c:v>
                </c:pt>
                <c:pt idx="1911">
                  <c:v>48.93</c:v>
                </c:pt>
                <c:pt idx="1912">
                  <c:v>49.52</c:v>
                </c:pt>
                <c:pt idx="1913">
                  <c:v>49.33</c:v>
                </c:pt>
                <c:pt idx="1914">
                  <c:v>48.97</c:v>
                </c:pt>
                <c:pt idx="1915">
                  <c:v>49.69</c:v>
                </c:pt>
                <c:pt idx="1916">
                  <c:v>48.52</c:v>
                </c:pt>
                <c:pt idx="1917">
                  <c:v>48.8</c:v>
                </c:pt>
                <c:pt idx="1918">
                  <c:v>47.52</c:v>
                </c:pt>
                <c:pt idx="1919">
                  <c:v>47.7</c:v>
                </c:pt>
                <c:pt idx="1920">
                  <c:v>46.78</c:v>
                </c:pt>
                <c:pt idx="1921">
                  <c:v>46.95</c:v>
                </c:pt>
                <c:pt idx="1922">
                  <c:v>48.63</c:v>
                </c:pt>
                <c:pt idx="1923">
                  <c:v>47.63</c:v>
                </c:pt>
                <c:pt idx="1924">
                  <c:v>47.64</c:v>
                </c:pt>
                <c:pt idx="1925">
                  <c:v>48.39</c:v>
                </c:pt>
                <c:pt idx="1926">
                  <c:v>47.59</c:v>
                </c:pt>
                <c:pt idx="1927">
                  <c:v>47.83</c:v>
                </c:pt>
                <c:pt idx="1928">
                  <c:v>46.78</c:v>
                </c:pt>
                <c:pt idx="1929">
                  <c:v>46.31</c:v>
                </c:pt>
                <c:pt idx="1930">
                  <c:v>45.94</c:v>
                </c:pt>
                <c:pt idx="1931">
                  <c:v>47.08</c:v>
                </c:pt>
                <c:pt idx="1932">
                  <c:v>47.33</c:v>
                </c:pt>
                <c:pt idx="1933">
                  <c:v>47.32</c:v>
                </c:pt>
                <c:pt idx="1934">
                  <c:v>48.5</c:v>
                </c:pt>
                <c:pt idx="1935">
                  <c:v>49.09</c:v>
                </c:pt>
                <c:pt idx="1936">
                  <c:v>49.04</c:v>
                </c:pt>
                <c:pt idx="1937">
                  <c:v>47.49</c:v>
                </c:pt>
                <c:pt idx="1938">
                  <c:v>47.62</c:v>
                </c:pt>
                <c:pt idx="1939">
                  <c:v>48.02</c:v>
                </c:pt>
                <c:pt idx="1940">
                  <c:v>48.25</c:v>
                </c:pt>
                <c:pt idx="1941">
                  <c:v>49.19</c:v>
                </c:pt>
                <c:pt idx="1942">
                  <c:v>49.72</c:v>
                </c:pt>
                <c:pt idx="1943">
                  <c:v>49.8</c:v>
                </c:pt>
                <c:pt idx="1944">
                  <c:v>49.79</c:v>
                </c:pt>
                <c:pt idx="1945">
                  <c:v>49.95</c:v>
                </c:pt>
                <c:pt idx="1946">
                  <c:v>49.79</c:v>
                </c:pt>
                <c:pt idx="1947">
                  <c:v>50.3</c:v>
                </c:pt>
                <c:pt idx="1948">
                  <c:v>50.31</c:v>
                </c:pt>
                <c:pt idx="1949">
                  <c:v>50.27</c:v>
                </c:pt>
                <c:pt idx="1950">
                  <c:v>50.27</c:v>
                </c:pt>
                <c:pt idx="1951">
                  <c:v>51.73</c:v>
                </c:pt>
                <c:pt idx="1952">
                  <c:v>51.74</c:v>
                </c:pt>
                <c:pt idx="1953">
                  <c:v>51.75</c:v>
                </c:pt>
                <c:pt idx="1954">
                  <c:v>51.28</c:v>
                </c:pt>
                <c:pt idx="1955">
                  <c:v>51.34</c:v>
                </c:pt>
                <c:pt idx="1956">
                  <c:v>51.36</c:v>
                </c:pt>
                <c:pt idx="1957">
                  <c:v>50.3</c:v>
                </c:pt>
                <c:pt idx="1958">
                  <c:v>49.83</c:v>
                </c:pt>
                <c:pt idx="1959">
                  <c:v>49.66</c:v>
                </c:pt>
                <c:pt idx="1960">
                  <c:v>50.56</c:v>
                </c:pt>
                <c:pt idx="1961">
                  <c:v>49.03</c:v>
                </c:pt>
                <c:pt idx="1962">
                  <c:v>49.28</c:v>
                </c:pt>
                <c:pt idx="1963">
                  <c:v>49.43</c:v>
                </c:pt>
                <c:pt idx="1964">
                  <c:v>50.74</c:v>
                </c:pt>
                <c:pt idx="1965">
                  <c:v>50.97</c:v>
                </c:pt>
                <c:pt idx="1966">
                  <c:v>50.6</c:v>
                </c:pt>
                <c:pt idx="1967">
                  <c:v>51.31</c:v>
                </c:pt>
                <c:pt idx="1968">
                  <c:v>51.82</c:v>
                </c:pt>
                <c:pt idx="1969">
                  <c:v>51.79</c:v>
                </c:pt>
                <c:pt idx="1970">
                  <c:v>51.98</c:v>
                </c:pt>
                <c:pt idx="1971">
                  <c:v>52.08</c:v>
                </c:pt>
                <c:pt idx="1972">
                  <c:v>51.39</c:v>
                </c:pt>
                <c:pt idx="1973">
                  <c:v>51.84</c:v>
                </c:pt>
                <c:pt idx="1974">
                  <c:v>51.91</c:v>
                </c:pt>
                <c:pt idx="1975">
                  <c:v>51.72</c:v>
                </c:pt>
                <c:pt idx="1976">
                  <c:v>52.27</c:v>
                </c:pt>
                <c:pt idx="1977">
                  <c:v>51.95</c:v>
                </c:pt>
                <c:pt idx="1978">
                  <c:v>52.5</c:v>
                </c:pt>
                <c:pt idx="1979">
                  <c:v>54</c:v>
                </c:pt>
                <c:pt idx="1980">
                  <c:v>53.91</c:v>
                </c:pt>
                <c:pt idx="1981">
                  <c:v>53.91</c:v>
                </c:pt>
                <c:pt idx="1982">
                  <c:v>54.43</c:v>
                </c:pt>
                <c:pt idx="1983">
                  <c:v>54.11</c:v>
                </c:pt>
                <c:pt idx="1984">
                  <c:v>54.79</c:v>
                </c:pt>
                <c:pt idx="1985">
                  <c:v>55.59</c:v>
                </c:pt>
                <c:pt idx="1986">
                  <c:v>55.72</c:v>
                </c:pt>
                <c:pt idx="1987">
                  <c:v>57.12</c:v>
                </c:pt>
                <c:pt idx="1988">
                  <c:v>56.91</c:v>
                </c:pt>
                <c:pt idx="1989">
                  <c:v>56.77</c:v>
                </c:pt>
                <c:pt idx="1990">
                  <c:v>56.96</c:v>
                </c:pt>
                <c:pt idx="1991">
                  <c:v>56.81</c:v>
                </c:pt>
                <c:pt idx="1992">
                  <c:v>56.84</c:v>
                </c:pt>
                <c:pt idx="1993">
                  <c:v>56.67</c:v>
                </c:pt>
                <c:pt idx="1994">
                  <c:v>55.02</c:v>
                </c:pt>
                <c:pt idx="1995">
                  <c:v>55.25</c:v>
                </c:pt>
                <c:pt idx="1996">
                  <c:v>55.17</c:v>
                </c:pt>
                <c:pt idx="1997">
                  <c:v>56.61</c:v>
                </c:pt>
                <c:pt idx="1998">
                  <c:v>56.58</c:v>
                </c:pt>
                <c:pt idx="1999">
                  <c:v>56.16</c:v>
                </c:pt>
                <c:pt idx="2000">
                  <c:v>56.88</c:v>
                </c:pt>
                <c:pt idx="2001">
                  <c:v>57.79</c:v>
                </c:pt>
                <c:pt idx="2002">
                  <c:v>58.22</c:v>
                </c:pt>
                <c:pt idx="2003">
                  <c:v>58.68</c:v>
                </c:pt>
                <c:pt idx="2004">
                  <c:v>58.71</c:v>
                </c:pt>
                <c:pt idx="2005">
                  <c:v>57.71</c:v>
                </c:pt>
                <c:pt idx="2006">
                  <c:v>57.56</c:v>
                </c:pt>
                <c:pt idx="2007">
                  <c:v>57.23</c:v>
                </c:pt>
                <c:pt idx="2008">
                  <c:v>57.24</c:v>
                </c:pt>
                <c:pt idx="2009">
                  <c:v>58.17</c:v>
                </c:pt>
                <c:pt idx="2010">
                  <c:v>58.09</c:v>
                </c:pt>
                <c:pt idx="2011">
                  <c:v>57.35</c:v>
                </c:pt>
                <c:pt idx="2012">
                  <c:v>57.34</c:v>
                </c:pt>
                <c:pt idx="2013">
                  <c:v>55.99</c:v>
                </c:pt>
                <c:pt idx="2014">
                  <c:v>56.5</c:v>
                </c:pt>
                <c:pt idx="2015">
                  <c:v>57.25</c:v>
                </c:pt>
                <c:pt idx="2016">
                  <c:v>57.12</c:v>
                </c:pt>
                <c:pt idx="2017">
                  <c:v>57.88</c:v>
                </c:pt>
                <c:pt idx="2018">
                  <c:v>57.41</c:v>
                </c:pt>
                <c:pt idx="2019">
                  <c:v>56.74</c:v>
                </c:pt>
                <c:pt idx="2020">
                  <c:v>57.05</c:v>
                </c:pt>
                <c:pt idx="2021">
                  <c:v>57.31</c:v>
                </c:pt>
                <c:pt idx="2022">
                  <c:v>57.38</c:v>
                </c:pt>
                <c:pt idx="2023">
                  <c:v>57.28</c:v>
                </c:pt>
                <c:pt idx="2024">
                  <c:v>57.65</c:v>
                </c:pt>
                <c:pt idx="2025">
                  <c:v>58</c:v>
                </c:pt>
                <c:pt idx="2026">
                  <c:v>58.14</c:v>
                </c:pt>
                <c:pt idx="2027">
                  <c:v>58.44</c:v>
                </c:pt>
                <c:pt idx="2028">
                  <c:v>59.78</c:v>
                </c:pt>
                <c:pt idx="2029">
                  <c:v>59.54</c:v>
                </c:pt>
                <c:pt idx="2030">
                  <c:v>59.81</c:v>
                </c:pt>
                <c:pt idx="2031">
                  <c:v>60.23</c:v>
                </c:pt>
                <c:pt idx="2032">
                  <c:v>60.4</c:v>
                </c:pt>
                <c:pt idx="2033">
                  <c:v>61.81</c:v>
                </c:pt>
                <c:pt idx="2034">
                  <c:v>61.92</c:v>
                </c:pt>
                <c:pt idx="2035">
                  <c:v>61.55</c:v>
                </c:pt>
                <c:pt idx="2036">
                  <c:v>61.64</c:v>
                </c:pt>
                <c:pt idx="2037">
                  <c:v>62.23</c:v>
                </c:pt>
                <c:pt idx="2038">
                  <c:v>63.34</c:v>
                </c:pt>
                <c:pt idx="2039">
                  <c:v>63.44</c:v>
                </c:pt>
                <c:pt idx="2040">
                  <c:v>63.51</c:v>
                </c:pt>
                <c:pt idx="2041">
                  <c:v>64.38</c:v>
                </c:pt>
                <c:pt idx="2042">
                  <c:v>64.28</c:v>
                </c:pt>
                <c:pt idx="2043">
                  <c:v>64.72</c:v>
                </c:pt>
                <c:pt idx="2044">
                  <c:v>63.87</c:v>
                </c:pt>
                <c:pt idx="2045">
                  <c:v>64.209999999999994</c:v>
                </c:pt>
                <c:pt idx="2046">
                  <c:v>63.66</c:v>
                </c:pt>
                <c:pt idx="2047">
                  <c:v>63.56</c:v>
                </c:pt>
                <c:pt idx="2048">
                  <c:v>63.49</c:v>
                </c:pt>
                <c:pt idx="2049">
                  <c:v>63.94</c:v>
                </c:pt>
                <c:pt idx="2050">
                  <c:v>64.510000000000005</c:v>
                </c:pt>
                <c:pt idx="2051">
                  <c:v>65.849999999999994</c:v>
                </c:pt>
                <c:pt idx="2052">
                  <c:v>65.22</c:v>
                </c:pt>
                <c:pt idx="2053">
                  <c:v>66.31</c:v>
                </c:pt>
                <c:pt idx="2054">
                  <c:v>66.31</c:v>
                </c:pt>
                <c:pt idx="2055">
                  <c:v>65.56</c:v>
                </c:pt>
                <c:pt idx="2056">
                  <c:v>63.83</c:v>
                </c:pt>
                <c:pt idx="2057">
                  <c:v>64.930000000000007</c:v>
                </c:pt>
                <c:pt idx="2058">
                  <c:v>66.11</c:v>
                </c:pt>
                <c:pt idx="2059">
                  <c:v>65.12</c:v>
                </c:pt>
                <c:pt idx="2060">
                  <c:v>65.06</c:v>
                </c:pt>
                <c:pt idx="2061">
                  <c:v>63.62</c:v>
                </c:pt>
                <c:pt idx="2062">
                  <c:v>63.91</c:v>
                </c:pt>
                <c:pt idx="2063">
                  <c:v>61.71</c:v>
                </c:pt>
                <c:pt idx="2064">
                  <c:v>60.52</c:v>
                </c:pt>
                <c:pt idx="2065">
                  <c:v>59.09</c:v>
                </c:pt>
                <c:pt idx="2066">
                  <c:v>59.39</c:v>
                </c:pt>
                <c:pt idx="2067">
                  <c:v>59.55</c:v>
                </c:pt>
                <c:pt idx="2068">
                  <c:v>58.97</c:v>
                </c:pt>
                <c:pt idx="2069">
                  <c:v>60.83</c:v>
                </c:pt>
                <c:pt idx="2070">
                  <c:v>61.49</c:v>
                </c:pt>
                <c:pt idx="2071">
                  <c:v>61.65</c:v>
                </c:pt>
                <c:pt idx="2072">
                  <c:v>61.83</c:v>
                </c:pt>
                <c:pt idx="2073">
                  <c:v>62.47</c:v>
                </c:pt>
                <c:pt idx="2074">
                  <c:v>61.73</c:v>
                </c:pt>
                <c:pt idx="2075">
                  <c:v>61.33</c:v>
                </c:pt>
                <c:pt idx="2076">
                  <c:v>62.73</c:v>
                </c:pt>
                <c:pt idx="2077">
                  <c:v>63.65</c:v>
                </c:pt>
                <c:pt idx="2078">
                  <c:v>63.64</c:v>
                </c:pt>
                <c:pt idx="2079">
                  <c:v>64.05</c:v>
                </c:pt>
                <c:pt idx="2080">
                  <c:v>62.89</c:v>
                </c:pt>
                <c:pt idx="2081">
                  <c:v>61.52</c:v>
                </c:pt>
                <c:pt idx="2082">
                  <c:v>61.3</c:v>
                </c:pt>
                <c:pt idx="2083">
                  <c:v>61.52</c:v>
                </c:pt>
                <c:pt idx="2084">
                  <c:v>61.62</c:v>
                </c:pt>
                <c:pt idx="2085">
                  <c:v>62.65</c:v>
                </c:pt>
                <c:pt idx="2086">
                  <c:v>62.08</c:v>
                </c:pt>
                <c:pt idx="2087">
                  <c:v>61.34</c:v>
                </c:pt>
                <c:pt idx="2088">
                  <c:v>60.32</c:v>
                </c:pt>
                <c:pt idx="2089">
                  <c:v>62.18</c:v>
                </c:pt>
                <c:pt idx="2090">
                  <c:v>62.18</c:v>
                </c:pt>
                <c:pt idx="2091">
                  <c:v>61.31</c:v>
                </c:pt>
                <c:pt idx="2092">
                  <c:v>60.89</c:v>
                </c:pt>
                <c:pt idx="2093">
                  <c:v>60.95</c:v>
                </c:pt>
                <c:pt idx="2094">
                  <c:v>61.26</c:v>
                </c:pt>
                <c:pt idx="2095">
                  <c:v>62.26</c:v>
                </c:pt>
                <c:pt idx="2096">
                  <c:v>62.12</c:v>
                </c:pt>
                <c:pt idx="2097">
                  <c:v>62.14</c:v>
                </c:pt>
                <c:pt idx="2098">
                  <c:v>63.66</c:v>
                </c:pt>
                <c:pt idx="2099">
                  <c:v>65.3</c:v>
                </c:pt>
                <c:pt idx="2100">
                  <c:v>64.47</c:v>
                </c:pt>
                <c:pt idx="2101">
                  <c:v>65.75</c:v>
                </c:pt>
                <c:pt idx="2102">
                  <c:v>66.33</c:v>
                </c:pt>
                <c:pt idx="2103">
                  <c:v>65.5</c:v>
                </c:pt>
                <c:pt idx="2104">
                  <c:v>64.75</c:v>
                </c:pt>
                <c:pt idx="2105">
                  <c:v>64.61</c:v>
                </c:pt>
                <c:pt idx="2106">
                  <c:v>64.86</c:v>
                </c:pt>
                <c:pt idx="2107">
                  <c:v>65.03</c:v>
                </c:pt>
                <c:pt idx="2108">
                  <c:v>63.02</c:v>
                </c:pt>
                <c:pt idx="2109">
                  <c:v>63.48</c:v>
                </c:pt>
                <c:pt idx="2110">
                  <c:v>63.61</c:v>
                </c:pt>
                <c:pt idx="2111">
                  <c:v>63.12</c:v>
                </c:pt>
                <c:pt idx="2112">
                  <c:v>61.89</c:v>
                </c:pt>
                <c:pt idx="2113">
                  <c:v>62.13</c:v>
                </c:pt>
                <c:pt idx="2114">
                  <c:v>63.26</c:v>
                </c:pt>
                <c:pt idx="2115">
                  <c:v>65.62</c:v>
                </c:pt>
                <c:pt idx="2116">
                  <c:v>66.8</c:v>
                </c:pt>
                <c:pt idx="2117">
                  <c:v>66.83</c:v>
                </c:pt>
                <c:pt idx="2118">
                  <c:v>67.31</c:v>
                </c:pt>
                <c:pt idx="2119">
                  <c:v>67.14</c:v>
                </c:pt>
                <c:pt idx="2120">
                  <c:v>66.42</c:v>
                </c:pt>
                <c:pt idx="2121">
                  <c:v>66.59</c:v>
                </c:pt>
                <c:pt idx="2122">
                  <c:v>68.75</c:v>
                </c:pt>
                <c:pt idx="2123">
                  <c:v>68.39</c:v>
                </c:pt>
                <c:pt idx="2124">
                  <c:v>68.09</c:v>
                </c:pt>
                <c:pt idx="2125">
                  <c:v>68.23</c:v>
                </c:pt>
                <c:pt idx="2126">
                  <c:v>68.98</c:v>
                </c:pt>
                <c:pt idx="2127">
                  <c:v>67.83</c:v>
                </c:pt>
                <c:pt idx="2128">
                  <c:v>68.22</c:v>
                </c:pt>
                <c:pt idx="2129">
                  <c:v>68.11</c:v>
                </c:pt>
                <c:pt idx="2130">
                  <c:v>67.98</c:v>
                </c:pt>
                <c:pt idx="2131">
                  <c:v>67.989999999999995</c:v>
                </c:pt>
                <c:pt idx="2132">
                  <c:v>68.53</c:v>
                </c:pt>
                <c:pt idx="2133">
                  <c:v>67.45</c:v>
                </c:pt>
                <c:pt idx="2134">
                  <c:v>67.66</c:v>
                </c:pt>
                <c:pt idx="2135">
                  <c:v>68.510000000000005</c:v>
                </c:pt>
                <c:pt idx="2136">
                  <c:v>69.78</c:v>
                </c:pt>
                <c:pt idx="2137">
                  <c:v>69.78</c:v>
                </c:pt>
                <c:pt idx="2138">
                  <c:v>70.02</c:v>
                </c:pt>
                <c:pt idx="2139">
                  <c:v>70.209999999999994</c:v>
                </c:pt>
                <c:pt idx="2140">
                  <c:v>71.42</c:v>
                </c:pt>
                <c:pt idx="2141">
                  <c:v>71.5</c:v>
                </c:pt>
                <c:pt idx="2142">
                  <c:v>70.52</c:v>
                </c:pt>
                <c:pt idx="2143">
                  <c:v>70.64</c:v>
                </c:pt>
                <c:pt idx="2144">
                  <c:v>71.06</c:v>
                </c:pt>
                <c:pt idx="2145">
                  <c:v>70.97</c:v>
                </c:pt>
                <c:pt idx="2146">
                  <c:v>71.55</c:v>
                </c:pt>
                <c:pt idx="2147">
                  <c:v>71.58</c:v>
                </c:pt>
                <c:pt idx="2148">
                  <c:v>71.39</c:v>
                </c:pt>
                <c:pt idx="2149">
                  <c:v>71.67</c:v>
                </c:pt>
                <c:pt idx="2150">
                  <c:v>72.44</c:v>
                </c:pt>
                <c:pt idx="2151">
                  <c:v>72.08</c:v>
                </c:pt>
                <c:pt idx="2152">
                  <c:v>71.75</c:v>
                </c:pt>
                <c:pt idx="2153">
                  <c:v>70.59</c:v>
                </c:pt>
                <c:pt idx="2154">
                  <c:v>67.42</c:v>
                </c:pt>
                <c:pt idx="2155">
                  <c:v>67.290000000000006</c:v>
                </c:pt>
                <c:pt idx="2156">
                  <c:v>66.97</c:v>
                </c:pt>
                <c:pt idx="2157">
                  <c:v>66.73</c:v>
                </c:pt>
                <c:pt idx="2158">
                  <c:v>68.040000000000006</c:v>
                </c:pt>
                <c:pt idx="2159">
                  <c:v>67.02</c:v>
                </c:pt>
                <c:pt idx="2160">
                  <c:v>65.709999999999994</c:v>
                </c:pt>
                <c:pt idx="2161">
                  <c:v>65.72</c:v>
                </c:pt>
                <c:pt idx="2162">
                  <c:v>64.92</c:v>
                </c:pt>
                <c:pt idx="2163">
                  <c:v>65.510000000000005</c:v>
                </c:pt>
                <c:pt idx="2164">
                  <c:v>65.11</c:v>
                </c:pt>
                <c:pt idx="2165">
                  <c:v>66.09</c:v>
                </c:pt>
                <c:pt idx="2166">
                  <c:v>65.55</c:v>
                </c:pt>
                <c:pt idx="2167">
                  <c:v>65.52</c:v>
                </c:pt>
                <c:pt idx="2168">
                  <c:v>66.11</c:v>
                </c:pt>
                <c:pt idx="2169">
                  <c:v>65.83</c:v>
                </c:pt>
                <c:pt idx="2170">
                  <c:v>66.62</c:v>
                </c:pt>
                <c:pt idx="2171">
                  <c:v>66.94</c:v>
                </c:pt>
                <c:pt idx="2172">
                  <c:v>64.349999999999994</c:v>
                </c:pt>
                <c:pt idx="2173">
                  <c:v>64.39</c:v>
                </c:pt>
                <c:pt idx="2174">
                  <c:v>65.61</c:v>
                </c:pt>
                <c:pt idx="2175">
                  <c:v>65.25</c:v>
                </c:pt>
                <c:pt idx="2176">
                  <c:v>65.67</c:v>
                </c:pt>
                <c:pt idx="2177">
                  <c:v>65.97</c:v>
                </c:pt>
                <c:pt idx="2178">
                  <c:v>69.349999999999994</c:v>
                </c:pt>
                <c:pt idx="2179">
                  <c:v>68.89</c:v>
                </c:pt>
                <c:pt idx="2180">
                  <c:v>68.16</c:v>
                </c:pt>
                <c:pt idx="2181">
                  <c:v>70.75</c:v>
                </c:pt>
                <c:pt idx="2182">
                  <c:v>72.61</c:v>
                </c:pt>
                <c:pt idx="2183">
                  <c:v>73.45</c:v>
                </c:pt>
                <c:pt idx="2184">
                  <c:v>74.39</c:v>
                </c:pt>
                <c:pt idx="2185">
                  <c:v>73.59</c:v>
                </c:pt>
                <c:pt idx="2186">
                  <c:v>74.06</c:v>
                </c:pt>
                <c:pt idx="2187">
                  <c:v>74.72</c:v>
                </c:pt>
                <c:pt idx="2188">
                  <c:v>74.22</c:v>
                </c:pt>
                <c:pt idx="2189">
                  <c:v>73.150000000000006</c:v>
                </c:pt>
                <c:pt idx="2190">
                  <c:v>74</c:v>
                </c:pt>
                <c:pt idx="2191">
                  <c:v>73.94</c:v>
                </c:pt>
                <c:pt idx="2192">
                  <c:v>74.03</c:v>
                </c:pt>
                <c:pt idx="2193">
                  <c:v>74.08</c:v>
                </c:pt>
                <c:pt idx="2194">
                  <c:v>70.64</c:v>
                </c:pt>
                <c:pt idx="2195">
                  <c:v>70.36</c:v>
                </c:pt>
                <c:pt idx="2196">
                  <c:v>70.59</c:v>
                </c:pt>
                <c:pt idx="2197">
                  <c:v>70.709999999999994</c:v>
                </c:pt>
                <c:pt idx="2198">
                  <c:v>68.08</c:v>
                </c:pt>
                <c:pt idx="2199">
                  <c:v>67.81</c:v>
                </c:pt>
                <c:pt idx="2200">
                  <c:v>68.94</c:v>
                </c:pt>
                <c:pt idx="2201">
                  <c:v>69.52</c:v>
                </c:pt>
                <c:pt idx="2202">
                  <c:v>69.47</c:v>
                </c:pt>
                <c:pt idx="2203">
                  <c:v>69.53</c:v>
                </c:pt>
                <c:pt idx="2204">
                  <c:v>69.02</c:v>
                </c:pt>
                <c:pt idx="2205">
                  <c:v>69.91</c:v>
                </c:pt>
                <c:pt idx="2206">
                  <c:v>70.58</c:v>
                </c:pt>
                <c:pt idx="2207">
                  <c:v>70.64</c:v>
                </c:pt>
                <c:pt idx="2208">
                  <c:v>70.069999999999993</c:v>
                </c:pt>
                <c:pt idx="2209">
                  <c:v>69.92</c:v>
                </c:pt>
                <c:pt idx="2210">
                  <c:v>71.040000000000006</c:v>
                </c:pt>
                <c:pt idx="2211">
                  <c:v>69.28</c:v>
                </c:pt>
                <c:pt idx="2212">
                  <c:v>68.64</c:v>
                </c:pt>
                <c:pt idx="2213">
                  <c:v>69.72</c:v>
                </c:pt>
                <c:pt idx="2214">
                  <c:v>69.42</c:v>
                </c:pt>
                <c:pt idx="2215">
                  <c:v>69.25</c:v>
                </c:pt>
                <c:pt idx="2216">
                  <c:v>69.5</c:v>
                </c:pt>
                <c:pt idx="2217">
                  <c:v>69.78</c:v>
                </c:pt>
                <c:pt idx="2218">
                  <c:v>67.31</c:v>
                </c:pt>
                <c:pt idx="2219">
                  <c:v>67.25</c:v>
                </c:pt>
                <c:pt idx="2220">
                  <c:v>68.23</c:v>
                </c:pt>
                <c:pt idx="2221">
                  <c:v>68.17</c:v>
                </c:pt>
                <c:pt idx="2222">
                  <c:v>67.72</c:v>
                </c:pt>
                <c:pt idx="2223">
                  <c:v>67.02</c:v>
                </c:pt>
                <c:pt idx="2224">
                  <c:v>65.11</c:v>
                </c:pt>
                <c:pt idx="2225">
                  <c:v>65.61</c:v>
                </c:pt>
                <c:pt idx="2226">
                  <c:v>66.08</c:v>
                </c:pt>
                <c:pt idx="2227">
                  <c:v>65.86</c:v>
                </c:pt>
                <c:pt idx="2228">
                  <c:v>66.31</c:v>
                </c:pt>
                <c:pt idx="2229">
                  <c:v>66.88</c:v>
                </c:pt>
                <c:pt idx="2230">
                  <c:v>68.81</c:v>
                </c:pt>
                <c:pt idx="2231">
                  <c:v>68.650000000000006</c:v>
                </c:pt>
                <c:pt idx="2232">
                  <c:v>69.34</c:v>
                </c:pt>
                <c:pt idx="2233">
                  <c:v>69.38</c:v>
                </c:pt>
                <c:pt idx="2234">
                  <c:v>69.67</c:v>
                </c:pt>
                <c:pt idx="2235">
                  <c:v>69.22</c:v>
                </c:pt>
                <c:pt idx="2236">
                  <c:v>70.3</c:v>
                </c:pt>
                <c:pt idx="2237">
                  <c:v>70.64</c:v>
                </c:pt>
                <c:pt idx="2238">
                  <c:v>70.489999999999995</c:v>
                </c:pt>
                <c:pt idx="2239">
                  <c:v>70.44</c:v>
                </c:pt>
                <c:pt idx="2240">
                  <c:v>70.61</c:v>
                </c:pt>
                <c:pt idx="2241">
                  <c:v>69.86</c:v>
                </c:pt>
                <c:pt idx="2242">
                  <c:v>69.02</c:v>
                </c:pt>
                <c:pt idx="2243">
                  <c:v>68.33</c:v>
                </c:pt>
                <c:pt idx="2244">
                  <c:v>68.17</c:v>
                </c:pt>
                <c:pt idx="2245">
                  <c:v>68.42</c:v>
                </c:pt>
                <c:pt idx="2246">
                  <c:v>67.86</c:v>
                </c:pt>
                <c:pt idx="2247">
                  <c:v>70.09</c:v>
                </c:pt>
                <c:pt idx="2248">
                  <c:v>70.39</c:v>
                </c:pt>
                <c:pt idx="2249">
                  <c:v>69.040000000000006</c:v>
                </c:pt>
                <c:pt idx="2250">
                  <c:v>69.17</c:v>
                </c:pt>
                <c:pt idx="2251">
                  <c:v>68.89</c:v>
                </c:pt>
                <c:pt idx="2252">
                  <c:v>68.61</c:v>
                </c:pt>
                <c:pt idx="2253">
                  <c:v>69.86</c:v>
                </c:pt>
                <c:pt idx="2254">
                  <c:v>71.42</c:v>
                </c:pt>
                <c:pt idx="2255">
                  <c:v>70.55</c:v>
                </c:pt>
                <c:pt idx="2256">
                  <c:v>71.09</c:v>
                </c:pt>
                <c:pt idx="2257">
                  <c:v>71.81</c:v>
                </c:pt>
                <c:pt idx="2258">
                  <c:v>72.5</c:v>
                </c:pt>
                <c:pt idx="2259">
                  <c:v>72.23</c:v>
                </c:pt>
                <c:pt idx="2260">
                  <c:v>72.42</c:v>
                </c:pt>
                <c:pt idx="2261">
                  <c:v>72.42</c:v>
                </c:pt>
                <c:pt idx="2262">
                  <c:v>73.78</c:v>
                </c:pt>
                <c:pt idx="2263">
                  <c:v>73.75</c:v>
                </c:pt>
                <c:pt idx="2264">
                  <c:v>75.77</c:v>
                </c:pt>
                <c:pt idx="2265">
                  <c:v>75.42</c:v>
                </c:pt>
                <c:pt idx="2266">
                  <c:v>76.39</c:v>
                </c:pt>
                <c:pt idx="2267">
                  <c:v>74.97</c:v>
                </c:pt>
                <c:pt idx="2268">
                  <c:v>74.5</c:v>
                </c:pt>
                <c:pt idx="2269">
                  <c:v>74.05</c:v>
                </c:pt>
                <c:pt idx="2270">
                  <c:v>74.42</c:v>
                </c:pt>
                <c:pt idx="2271">
                  <c:v>74.91</c:v>
                </c:pt>
                <c:pt idx="2272">
                  <c:v>72.8</c:v>
                </c:pt>
                <c:pt idx="2273">
                  <c:v>71.2</c:v>
                </c:pt>
                <c:pt idx="2274">
                  <c:v>71.56</c:v>
                </c:pt>
                <c:pt idx="2275">
                  <c:v>72.39</c:v>
                </c:pt>
                <c:pt idx="2276">
                  <c:v>71.92</c:v>
                </c:pt>
                <c:pt idx="2277">
                  <c:v>72.319999999999993</c:v>
                </c:pt>
                <c:pt idx="2278">
                  <c:v>69.95</c:v>
                </c:pt>
                <c:pt idx="2279">
                  <c:v>68.83</c:v>
                </c:pt>
                <c:pt idx="2280">
                  <c:v>69.39</c:v>
                </c:pt>
                <c:pt idx="2281">
                  <c:v>69.34</c:v>
                </c:pt>
                <c:pt idx="2282">
                  <c:v>69.47</c:v>
                </c:pt>
                <c:pt idx="2283">
                  <c:v>66.27</c:v>
                </c:pt>
                <c:pt idx="2284">
                  <c:v>66.06</c:v>
                </c:pt>
                <c:pt idx="2285">
                  <c:v>66.81</c:v>
                </c:pt>
                <c:pt idx="2286">
                  <c:v>67.5</c:v>
                </c:pt>
                <c:pt idx="2287">
                  <c:v>67.59</c:v>
                </c:pt>
                <c:pt idx="2288">
                  <c:v>66.61</c:v>
                </c:pt>
                <c:pt idx="2289">
                  <c:v>66.400000000000006</c:v>
                </c:pt>
                <c:pt idx="2290">
                  <c:v>64.95</c:v>
                </c:pt>
                <c:pt idx="2291">
                  <c:v>63.52</c:v>
                </c:pt>
                <c:pt idx="2292">
                  <c:v>62.77</c:v>
                </c:pt>
                <c:pt idx="2293">
                  <c:v>62.91</c:v>
                </c:pt>
                <c:pt idx="2294">
                  <c:v>62.8</c:v>
                </c:pt>
                <c:pt idx="2295">
                  <c:v>61.74</c:v>
                </c:pt>
                <c:pt idx="2296">
                  <c:v>61.62</c:v>
                </c:pt>
                <c:pt idx="2297">
                  <c:v>60.68</c:v>
                </c:pt>
                <c:pt idx="2298">
                  <c:v>59.8</c:v>
                </c:pt>
                <c:pt idx="2299">
                  <c:v>60.76</c:v>
                </c:pt>
                <c:pt idx="2300">
                  <c:v>58.94</c:v>
                </c:pt>
                <c:pt idx="2301">
                  <c:v>55.7</c:v>
                </c:pt>
                <c:pt idx="2302">
                  <c:v>55.89</c:v>
                </c:pt>
                <c:pt idx="2303">
                  <c:v>56.47</c:v>
                </c:pt>
                <c:pt idx="2304">
                  <c:v>56.81</c:v>
                </c:pt>
                <c:pt idx="2305">
                  <c:v>57.09</c:v>
                </c:pt>
                <c:pt idx="2306">
                  <c:v>57.19</c:v>
                </c:pt>
                <c:pt idx="2307">
                  <c:v>53.3</c:v>
                </c:pt>
                <c:pt idx="2308">
                  <c:v>54.47</c:v>
                </c:pt>
                <c:pt idx="2309">
                  <c:v>53.84</c:v>
                </c:pt>
                <c:pt idx="2310">
                  <c:v>50.89</c:v>
                </c:pt>
                <c:pt idx="2311">
                  <c:v>50.45</c:v>
                </c:pt>
                <c:pt idx="2312">
                  <c:v>51.45</c:v>
                </c:pt>
                <c:pt idx="2313">
                  <c:v>51.93</c:v>
                </c:pt>
                <c:pt idx="2314">
                  <c:v>50.47</c:v>
                </c:pt>
                <c:pt idx="2315">
                  <c:v>51.27</c:v>
                </c:pt>
                <c:pt idx="2316">
                  <c:v>50.6</c:v>
                </c:pt>
                <c:pt idx="2317">
                  <c:v>52.21</c:v>
                </c:pt>
                <c:pt idx="2318">
                  <c:v>53.16</c:v>
                </c:pt>
                <c:pt idx="2319">
                  <c:v>52.68</c:v>
                </c:pt>
                <c:pt idx="2320">
                  <c:v>52.59</c:v>
                </c:pt>
                <c:pt idx="2321">
                  <c:v>51.42</c:v>
                </c:pt>
                <c:pt idx="2322">
                  <c:v>52.05</c:v>
                </c:pt>
                <c:pt idx="2323">
                  <c:v>52.33</c:v>
                </c:pt>
                <c:pt idx="2324">
                  <c:v>50.89</c:v>
                </c:pt>
                <c:pt idx="2325">
                  <c:v>51.98</c:v>
                </c:pt>
                <c:pt idx="2326">
                  <c:v>51.31</c:v>
                </c:pt>
                <c:pt idx="2327">
                  <c:v>52.78</c:v>
                </c:pt>
                <c:pt idx="2328">
                  <c:v>51.17</c:v>
                </c:pt>
                <c:pt idx="2329">
                  <c:v>51.3</c:v>
                </c:pt>
                <c:pt idx="2330">
                  <c:v>49.32</c:v>
                </c:pt>
                <c:pt idx="2331">
                  <c:v>46.3</c:v>
                </c:pt>
                <c:pt idx="2332">
                  <c:v>47.08</c:v>
                </c:pt>
                <c:pt idx="2333">
                  <c:v>46.06</c:v>
                </c:pt>
                <c:pt idx="2334">
                  <c:v>45.08</c:v>
                </c:pt>
                <c:pt idx="2335">
                  <c:v>45.33</c:v>
                </c:pt>
                <c:pt idx="2336">
                  <c:v>42.27</c:v>
                </c:pt>
                <c:pt idx="2337">
                  <c:v>46.39</c:v>
                </c:pt>
                <c:pt idx="2338">
                  <c:v>45.23</c:v>
                </c:pt>
                <c:pt idx="2339">
                  <c:v>44.92</c:v>
                </c:pt>
                <c:pt idx="2340">
                  <c:v>45.34</c:v>
                </c:pt>
                <c:pt idx="2341">
                  <c:v>45</c:v>
                </c:pt>
                <c:pt idx="2342">
                  <c:v>45.66</c:v>
                </c:pt>
                <c:pt idx="2343">
                  <c:v>46.78</c:v>
                </c:pt>
                <c:pt idx="2344">
                  <c:v>48.18</c:v>
                </c:pt>
                <c:pt idx="2345">
                  <c:v>48.49</c:v>
                </c:pt>
                <c:pt idx="2346">
                  <c:v>48.66</c:v>
                </c:pt>
                <c:pt idx="2347">
                  <c:v>49.89</c:v>
                </c:pt>
                <c:pt idx="2348">
                  <c:v>52.08</c:v>
                </c:pt>
                <c:pt idx="2349">
                  <c:v>52.2</c:v>
                </c:pt>
                <c:pt idx="2350">
                  <c:v>51.64</c:v>
                </c:pt>
                <c:pt idx="2351">
                  <c:v>51.78</c:v>
                </c:pt>
                <c:pt idx="2352">
                  <c:v>50.64</c:v>
                </c:pt>
                <c:pt idx="2353">
                  <c:v>51.87</c:v>
                </c:pt>
                <c:pt idx="2354">
                  <c:v>52.23</c:v>
                </c:pt>
                <c:pt idx="2355">
                  <c:v>52.17</c:v>
                </c:pt>
                <c:pt idx="2356">
                  <c:v>53.67</c:v>
                </c:pt>
                <c:pt idx="2357">
                  <c:v>53.36</c:v>
                </c:pt>
                <c:pt idx="2358">
                  <c:v>53.95</c:v>
                </c:pt>
                <c:pt idx="2359">
                  <c:v>52.62</c:v>
                </c:pt>
                <c:pt idx="2360">
                  <c:v>52.2</c:v>
                </c:pt>
                <c:pt idx="2361">
                  <c:v>52.84</c:v>
                </c:pt>
                <c:pt idx="2362">
                  <c:v>53.3</c:v>
                </c:pt>
                <c:pt idx="2363">
                  <c:v>53.05</c:v>
                </c:pt>
                <c:pt idx="2364">
                  <c:v>51.86</c:v>
                </c:pt>
                <c:pt idx="2365">
                  <c:v>53.12</c:v>
                </c:pt>
                <c:pt idx="2366">
                  <c:v>54.28</c:v>
                </c:pt>
                <c:pt idx="2367">
                  <c:v>53.71</c:v>
                </c:pt>
                <c:pt idx="2368">
                  <c:v>55.17</c:v>
                </c:pt>
                <c:pt idx="2369">
                  <c:v>55.06</c:v>
                </c:pt>
                <c:pt idx="2370">
                  <c:v>54.59</c:v>
                </c:pt>
                <c:pt idx="2371">
                  <c:v>53.64</c:v>
                </c:pt>
                <c:pt idx="2372">
                  <c:v>53.83</c:v>
                </c:pt>
                <c:pt idx="2373">
                  <c:v>52.38</c:v>
                </c:pt>
                <c:pt idx="2374">
                  <c:v>52.6</c:v>
                </c:pt>
                <c:pt idx="2375">
                  <c:v>52.41</c:v>
                </c:pt>
                <c:pt idx="2376">
                  <c:v>52.34</c:v>
                </c:pt>
                <c:pt idx="2377">
                  <c:v>53.41</c:v>
                </c:pt>
                <c:pt idx="2378">
                  <c:v>53.92</c:v>
                </c:pt>
                <c:pt idx="2379">
                  <c:v>54.52</c:v>
                </c:pt>
                <c:pt idx="2380">
                  <c:v>55.76</c:v>
                </c:pt>
                <c:pt idx="2381">
                  <c:v>55.91</c:v>
                </c:pt>
                <c:pt idx="2382">
                  <c:v>55.86</c:v>
                </c:pt>
                <c:pt idx="2383">
                  <c:v>55.91</c:v>
                </c:pt>
                <c:pt idx="2384">
                  <c:v>56.83</c:v>
                </c:pt>
                <c:pt idx="2385">
                  <c:v>56.49</c:v>
                </c:pt>
                <c:pt idx="2386">
                  <c:v>56.74</c:v>
                </c:pt>
                <c:pt idx="2387">
                  <c:v>57.02</c:v>
                </c:pt>
                <c:pt idx="2388">
                  <c:v>55.15</c:v>
                </c:pt>
                <c:pt idx="2389">
                  <c:v>55.73</c:v>
                </c:pt>
                <c:pt idx="2390">
                  <c:v>56.7</c:v>
                </c:pt>
                <c:pt idx="2391">
                  <c:v>56.94</c:v>
                </c:pt>
                <c:pt idx="2392">
                  <c:v>55.5</c:v>
                </c:pt>
                <c:pt idx="2393">
                  <c:v>55.78</c:v>
                </c:pt>
                <c:pt idx="2394">
                  <c:v>56.22</c:v>
                </c:pt>
                <c:pt idx="2395">
                  <c:v>55.98</c:v>
                </c:pt>
                <c:pt idx="2396">
                  <c:v>55.95</c:v>
                </c:pt>
                <c:pt idx="2397">
                  <c:v>56.28</c:v>
                </c:pt>
                <c:pt idx="2398">
                  <c:v>55.86</c:v>
                </c:pt>
                <c:pt idx="2399">
                  <c:v>56.02</c:v>
                </c:pt>
                <c:pt idx="2400">
                  <c:v>56.87</c:v>
                </c:pt>
                <c:pt idx="2401">
                  <c:v>57.06</c:v>
                </c:pt>
                <c:pt idx="2402">
                  <c:v>58.23</c:v>
                </c:pt>
                <c:pt idx="2403">
                  <c:v>58.48</c:v>
                </c:pt>
                <c:pt idx="2404">
                  <c:v>58.34</c:v>
                </c:pt>
                <c:pt idx="2405">
                  <c:v>58.41</c:v>
                </c:pt>
                <c:pt idx="2406">
                  <c:v>59.05</c:v>
                </c:pt>
                <c:pt idx="2407">
                  <c:v>58.92</c:v>
                </c:pt>
                <c:pt idx="2408">
                  <c:v>59.8</c:v>
                </c:pt>
                <c:pt idx="2409">
                  <c:v>59.64</c:v>
                </c:pt>
                <c:pt idx="2410">
                  <c:v>58.69</c:v>
                </c:pt>
                <c:pt idx="2411">
                  <c:v>58.56</c:v>
                </c:pt>
                <c:pt idx="2412">
                  <c:v>58.92</c:v>
                </c:pt>
                <c:pt idx="2413">
                  <c:v>59.62</c:v>
                </c:pt>
                <c:pt idx="2414">
                  <c:v>59.12</c:v>
                </c:pt>
                <c:pt idx="2415">
                  <c:v>59.3</c:v>
                </c:pt>
                <c:pt idx="2416">
                  <c:v>59.98</c:v>
                </c:pt>
                <c:pt idx="2417">
                  <c:v>60.17</c:v>
                </c:pt>
                <c:pt idx="2418">
                  <c:v>61.58</c:v>
                </c:pt>
                <c:pt idx="2419">
                  <c:v>62.36</c:v>
                </c:pt>
                <c:pt idx="2420">
                  <c:v>62.26</c:v>
                </c:pt>
                <c:pt idx="2421">
                  <c:v>61.84</c:v>
                </c:pt>
                <c:pt idx="2422">
                  <c:v>63.16</c:v>
                </c:pt>
                <c:pt idx="2423">
                  <c:v>63.31</c:v>
                </c:pt>
                <c:pt idx="2424">
                  <c:v>64.349999999999994</c:v>
                </c:pt>
                <c:pt idx="2425">
                  <c:v>64.09</c:v>
                </c:pt>
                <c:pt idx="2426">
                  <c:v>64.27</c:v>
                </c:pt>
                <c:pt idx="2427">
                  <c:v>63.71</c:v>
                </c:pt>
                <c:pt idx="2428">
                  <c:v>63.73</c:v>
                </c:pt>
                <c:pt idx="2429">
                  <c:v>63.61</c:v>
                </c:pt>
                <c:pt idx="2430">
                  <c:v>63.46</c:v>
                </c:pt>
                <c:pt idx="2431">
                  <c:v>64.33</c:v>
                </c:pt>
                <c:pt idx="2432">
                  <c:v>63.71</c:v>
                </c:pt>
                <c:pt idx="2433">
                  <c:v>63.96</c:v>
                </c:pt>
                <c:pt idx="2434">
                  <c:v>64.39</c:v>
                </c:pt>
                <c:pt idx="2435">
                  <c:v>65.67</c:v>
                </c:pt>
                <c:pt idx="2436">
                  <c:v>65.94</c:v>
                </c:pt>
                <c:pt idx="2437">
                  <c:v>65.66</c:v>
                </c:pt>
                <c:pt idx="2438">
                  <c:v>64.89</c:v>
                </c:pt>
                <c:pt idx="2439">
                  <c:v>62.77</c:v>
                </c:pt>
                <c:pt idx="2440">
                  <c:v>62.78</c:v>
                </c:pt>
                <c:pt idx="2441">
                  <c:v>63.47</c:v>
                </c:pt>
                <c:pt idx="2442">
                  <c:v>63.48</c:v>
                </c:pt>
                <c:pt idx="2443">
                  <c:v>63.41</c:v>
                </c:pt>
                <c:pt idx="2444">
                  <c:v>61.62</c:v>
                </c:pt>
                <c:pt idx="2445">
                  <c:v>61.8</c:v>
                </c:pt>
                <c:pt idx="2446">
                  <c:v>60.45</c:v>
                </c:pt>
                <c:pt idx="2447">
                  <c:v>62.26</c:v>
                </c:pt>
                <c:pt idx="2448">
                  <c:v>61.51</c:v>
                </c:pt>
                <c:pt idx="2449">
                  <c:v>61.91</c:v>
                </c:pt>
                <c:pt idx="2450">
                  <c:v>61.84</c:v>
                </c:pt>
                <c:pt idx="2451">
                  <c:v>61.71</c:v>
                </c:pt>
                <c:pt idx="2452">
                  <c:v>61.3</c:v>
                </c:pt>
                <c:pt idx="2453">
                  <c:v>60.92</c:v>
                </c:pt>
                <c:pt idx="2454">
                  <c:v>61.27</c:v>
                </c:pt>
                <c:pt idx="2455">
                  <c:v>62.2</c:v>
                </c:pt>
                <c:pt idx="2456">
                  <c:v>63.16</c:v>
                </c:pt>
                <c:pt idx="2457">
                  <c:v>62.74</c:v>
                </c:pt>
                <c:pt idx="2458">
                  <c:v>63.41</c:v>
                </c:pt>
                <c:pt idx="2459">
                  <c:v>63.24</c:v>
                </c:pt>
                <c:pt idx="2460">
                  <c:v>62.63</c:v>
                </c:pt>
                <c:pt idx="2461">
                  <c:v>61.2</c:v>
                </c:pt>
                <c:pt idx="2462">
                  <c:v>58.05</c:v>
                </c:pt>
                <c:pt idx="2463">
                  <c:v>58.88</c:v>
                </c:pt>
                <c:pt idx="2464">
                  <c:v>58.66</c:v>
                </c:pt>
                <c:pt idx="2465">
                  <c:v>59.04</c:v>
                </c:pt>
                <c:pt idx="2466">
                  <c:v>58.8</c:v>
                </c:pt>
                <c:pt idx="2467">
                  <c:v>58.95</c:v>
                </c:pt>
                <c:pt idx="2468">
                  <c:v>55.79</c:v>
                </c:pt>
                <c:pt idx="2469">
                  <c:v>53.25</c:v>
                </c:pt>
                <c:pt idx="2470">
                  <c:v>52.74</c:v>
                </c:pt>
                <c:pt idx="2471">
                  <c:v>53.02</c:v>
                </c:pt>
                <c:pt idx="2472">
                  <c:v>52.98</c:v>
                </c:pt>
                <c:pt idx="2473">
                  <c:v>51.55</c:v>
                </c:pt>
                <c:pt idx="2474">
                  <c:v>53.2</c:v>
                </c:pt>
                <c:pt idx="2475">
                  <c:v>53.98</c:v>
                </c:pt>
                <c:pt idx="2476">
                  <c:v>54.38</c:v>
                </c:pt>
                <c:pt idx="2477">
                  <c:v>53.28</c:v>
                </c:pt>
                <c:pt idx="2478">
                  <c:v>52.77</c:v>
                </c:pt>
                <c:pt idx="2479">
                  <c:v>51.2</c:v>
                </c:pt>
                <c:pt idx="2480">
                  <c:v>52.05</c:v>
                </c:pt>
                <c:pt idx="2481">
                  <c:v>52.47</c:v>
                </c:pt>
                <c:pt idx="2482">
                  <c:v>52.66</c:v>
                </c:pt>
                <c:pt idx="2483">
                  <c:v>51.84</c:v>
                </c:pt>
                <c:pt idx="2484">
                  <c:v>54.2</c:v>
                </c:pt>
                <c:pt idx="2485">
                  <c:v>54.41</c:v>
                </c:pt>
                <c:pt idx="2486">
                  <c:v>57.18</c:v>
                </c:pt>
                <c:pt idx="2487">
                  <c:v>57.36</c:v>
                </c:pt>
                <c:pt idx="2488">
                  <c:v>57.61</c:v>
                </c:pt>
                <c:pt idx="2489">
                  <c:v>57.6</c:v>
                </c:pt>
                <c:pt idx="2490">
                  <c:v>58.59</c:v>
                </c:pt>
                <c:pt idx="2491">
                  <c:v>58.77</c:v>
                </c:pt>
                <c:pt idx="2492">
                  <c:v>59.17</c:v>
                </c:pt>
                <c:pt idx="2493">
                  <c:v>58.02</c:v>
                </c:pt>
                <c:pt idx="2494">
                  <c:v>59.38</c:v>
                </c:pt>
                <c:pt idx="2495">
                  <c:v>58.58</c:v>
                </c:pt>
                <c:pt idx="2496">
                  <c:v>56.4</c:v>
                </c:pt>
                <c:pt idx="2497">
                  <c:v>57.27</c:v>
                </c:pt>
                <c:pt idx="2498">
                  <c:v>56.66</c:v>
                </c:pt>
                <c:pt idx="2499">
                  <c:v>57.61</c:v>
                </c:pt>
                <c:pt idx="2500">
                  <c:v>57.55</c:v>
                </c:pt>
                <c:pt idx="2501">
                  <c:v>57.34</c:v>
                </c:pt>
                <c:pt idx="2502">
                  <c:v>58.57</c:v>
                </c:pt>
                <c:pt idx="2503">
                  <c:v>60.38</c:v>
                </c:pt>
                <c:pt idx="2504">
                  <c:v>60.34</c:v>
                </c:pt>
                <c:pt idx="2505">
                  <c:v>60.28</c:v>
                </c:pt>
                <c:pt idx="2506">
                  <c:v>60.06</c:v>
                </c:pt>
                <c:pt idx="2507">
                  <c:v>59.41</c:v>
                </c:pt>
                <c:pt idx="2508">
                  <c:v>57.56</c:v>
                </c:pt>
                <c:pt idx="2509">
                  <c:v>56.53</c:v>
                </c:pt>
                <c:pt idx="2510">
                  <c:v>55.66</c:v>
                </c:pt>
                <c:pt idx="2511">
                  <c:v>55.74</c:v>
                </c:pt>
                <c:pt idx="2512">
                  <c:v>56.09</c:v>
                </c:pt>
                <c:pt idx="2513">
                  <c:v>55.95</c:v>
                </c:pt>
                <c:pt idx="2514">
                  <c:v>56.91</c:v>
                </c:pt>
                <c:pt idx="2515">
                  <c:v>55.86</c:v>
                </c:pt>
                <c:pt idx="2516">
                  <c:v>55.95</c:v>
                </c:pt>
                <c:pt idx="2517">
                  <c:v>56.05</c:v>
                </c:pt>
                <c:pt idx="2518">
                  <c:v>55.88</c:v>
                </c:pt>
                <c:pt idx="2519">
                  <c:v>57.01</c:v>
                </c:pt>
                <c:pt idx="2520">
                  <c:v>58.16</c:v>
                </c:pt>
                <c:pt idx="2521">
                  <c:v>57.54</c:v>
                </c:pt>
                <c:pt idx="2522">
                  <c:v>54.34</c:v>
                </c:pt>
                <c:pt idx="2523">
                  <c:v>55.12</c:v>
                </c:pt>
                <c:pt idx="2524">
                  <c:v>55.27</c:v>
                </c:pt>
                <c:pt idx="2525">
                  <c:v>53.98</c:v>
                </c:pt>
                <c:pt idx="2526">
                  <c:v>53.31</c:v>
                </c:pt>
                <c:pt idx="2527">
                  <c:v>52.23</c:v>
                </c:pt>
                <c:pt idx="2528">
                  <c:v>52.77</c:v>
                </c:pt>
                <c:pt idx="2529">
                  <c:v>54.22</c:v>
                </c:pt>
                <c:pt idx="2530">
                  <c:v>54.2</c:v>
                </c:pt>
                <c:pt idx="2531">
                  <c:v>54.8</c:v>
                </c:pt>
                <c:pt idx="2532">
                  <c:v>56.76</c:v>
                </c:pt>
                <c:pt idx="2533">
                  <c:v>54.92</c:v>
                </c:pt>
                <c:pt idx="2534">
                  <c:v>54.76</c:v>
                </c:pt>
                <c:pt idx="2535">
                  <c:v>54.88</c:v>
                </c:pt>
                <c:pt idx="2536">
                  <c:v>55.22</c:v>
                </c:pt>
                <c:pt idx="2537">
                  <c:v>56.01</c:v>
                </c:pt>
                <c:pt idx="2538">
                  <c:v>56.23</c:v>
                </c:pt>
                <c:pt idx="2539">
                  <c:v>56.02</c:v>
                </c:pt>
                <c:pt idx="2540">
                  <c:v>55.55</c:v>
                </c:pt>
                <c:pt idx="2541">
                  <c:v>53.96</c:v>
                </c:pt>
                <c:pt idx="2542">
                  <c:v>53.15</c:v>
                </c:pt>
                <c:pt idx="2543">
                  <c:v>53.82</c:v>
                </c:pt>
                <c:pt idx="2544">
                  <c:v>55.63</c:v>
                </c:pt>
                <c:pt idx="2545">
                  <c:v>55.88</c:v>
                </c:pt>
                <c:pt idx="2546">
                  <c:v>56.61</c:v>
                </c:pt>
                <c:pt idx="2547">
                  <c:v>55.17</c:v>
                </c:pt>
                <c:pt idx="2548">
                  <c:v>54.83</c:v>
                </c:pt>
                <c:pt idx="2549">
                  <c:v>54.69</c:v>
                </c:pt>
                <c:pt idx="2550">
                  <c:v>53.88</c:v>
                </c:pt>
                <c:pt idx="2551">
                  <c:v>56.05</c:v>
                </c:pt>
                <c:pt idx="2552">
                  <c:v>56.28</c:v>
                </c:pt>
                <c:pt idx="2553">
                  <c:v>56.66</c:v>
                </c:pt>
                <c:pt idx="2554">
                  <c:v>56.88</c:v>
                </c:pt>
                <c:pt idx="2555">
                  <c:v>58.19</c:v>
                </c:pt>
                <c:pt idx="2556">
                  <c:v>57.97</c:v>
                </c:pt>
                <c:pt idx="2557">
                  <c:v>56.22</c:v>
                </c:pt>
                <c:pt idx="2558">
                  <c:v>55.17</c:v>
                </c:pt>
                <c:pt idx="2559">
                  <c:v>54.84</c:v>
                </c:pt>
                <c:pt idx="2560">
                  <c:v>61.34</c:v>
                </c:pt>
                <c:pt idx="2561">
                  <c:v>61.88</c:v>
                </c:pt>
                <c:pt idx="2562">
                  <c:v>58.91</c:v>
                </c:pt>
                <c:pt idx="2563">
                  <c:v>58.11</c:v>
                </c:pt>
                <c:pt idx="2564">
                  <c:v>58.87</c:v>
                </c:pt>
                <c:pt idx="2565">
                  <c:v>58.41</c:v>
                </c:pt>
                <c:pt idx="2566">
                  <c:v>58.72</c:v>
                </c:pt>
                <c:pt idx="2567">
                  <c:v>58.38</c:v>
                </c:pt>
                <c:pt idx="2568">
                  <c:v>56.83</c:v>
                </c:pt>
                <c:pt idx="2569">
                  <c:v>56.74</c:v>
                </c:pt>
                <c:pt idx="2570">
                  <c:v>56.3</c:v>
                </c:pt>
                <c:pt idx="2571">
                  <c:v>56.17</c:v>
                </c:pt>
                <c:pt idx="2572">
                  <c:v>56.08</c:v>
                </c:pt>
                <c:pt idx="2573">
                  <c:v>54.26</c:v>
                </c:pt>
                <c:pt idx="2574">
                  <c:v>54.05</c:v>
                </c:pt>
                <c:pt idx="2575">
                  <c:v>52.52</c:v>
                </c:pt>
                <c:pt idx="2576">
                  <c:v>52.38</c:v>
                </c:pt>
                <c:pt idx="2577">
                  <c:v>53</c:v>
                </c:pt>
                <c:pt idx="2578">
                  <c:v>52.64</c:v>
                </c:pt>
                <c:pt idx="2579">
                  <c:v>52.95</c:v>
                </c:pt>
                <c:pt idx="2580">
                  <c:v>52.41</c:v>
                </c:pt>
                <c:pt idx="2581">
                  <c:v>52.2</c:v>
                </c:pt>
                <c:pt idx="2582">
                  <c:v>53.92</c:v>
                </c:pt>
                <c:pt idx="2583">
                  <c:v>54.89</c:v>
                </c:pt>
                <c:pt idx="2584">
                  <c:v>54.8</c:v>
                </c:pt>
                <c:pt idx="2585">
                  <c:v>53.55</c:v>
                </c:pt>
                <c:pt idx="2586">
                  <c:v>52.99</c:v>
                </c:pt>
                <c:pt idx="2587">
                  <c:v>52.81</c:v>
                </c:pt>
                <c:pt idx="2588">
                  <c:v>53.95</c:v>
                </c:pt>
                <c:pt idx="2589">
                  <c:v>53.73</c:v>
                </c:pt>
                <c:pt idx="2590">
                  <c:v>53.56</c:v>
                </c:pt>
                <c:pt idx="2591">
                  <c:v>53.39</c:v>
                </c:pt>
                <c:pt idx="2592">
                  <c:v>54.05</c:v>
                </c:pt>
                <c:pt idx="2593">
                  <c:v>55.59</c:v>
                </c:pt>
                <c:pt idx="2594">
                  <c:v>55.95</c:v>
                </c:pt>
                <c:pt idx="2595">
                  <c:v>56.49</c:v>
                </c:pt>
                <c:pt idx="2596">
                  <c:v>56.56</c:v>
                </c:pt>
                <c:pt idx="2597">
                  <c:v>55.7</c:v>
                </c:pt>
                <c:pt idx="2598">
                  <c:v>55.36</c:v>
                </c:pt>
                <c:pt idx="2599">
                  <c:v>54.76</c:v>
                </c:pt>
                <c:pt idx="2600">
                  <c:v>53.97</c:v>
                </c:pt>
                <c:pt idx="2601">
                  <c:v>56.05</c:v>
                </c:pt>
                <c:pt idx="2602">
                  <c:v>56.11</c:v>
                </c:pt>
                <c:pt idx="2603">
                  <c:v>56.48</c:v>
                </c:pt>
                <c:pt idx="2604">
                  <c:v>57.01</c:v>
                </c:pt>
                <c:pt idx="2605">
                  <c:v>56.24</c:v>
                </c:pt>
                <c:pt idx="2606">
                  <c:v>56.88</c:v>
                </c:pt>
                <c:pt idx="2607">
                  <c:v>57.36</c:v>
                </c:pt>
                <c:pt idx="2608">
                  <c:v>57.06</c:v>
                </c:pt>
                <c:pt idx="2609">
                  <c:v>56.59</c:v>
                </c:pt>
                <c:pt idx="2610">
                  <c:v>56.62</c:v>
                </c:pt>
                <c:pt idx="2611">
                  <c:v>57.38</c:v>
                </c:pt>
                <c:pt idx="2612">
                  <c:v>56.95</c:v>
                </c:pt>
                <c:pt idx="2613">
                  <c:v>57.86</c:v>
                </c:pt>
                <c:pt idx="2614">
                  <c:v>57.73</c:v>
                </c:pt>
                <c:pt idx="2615">
                  <c:v>56.91</c:v>
                </c:pt>
                <c:pt idx="2616">
                  <c:v>55.26</c:v>
                </c:pt>
                <c:pt idx="2617">
                  <c:v>56.88</c:v>
                </c:pt>
                <c:pt idx="2618">
                  <c:v>58.26</c:v>
                </c:pt>
                <c:pt idx="2619">
                  <c:v>57.84</c:v>
                </c:pt>
                <c:pt idx="2620">
                  <c:v>57.92</c:v>
                </c:pt>
                <c:pt idx="2621">
                  <c:v>57.87</c:v>
                </c:pt>
                <c:pt idx="2622">
                  <c:v>58.2</c:v>
                </c:pt>
                <c:pt idx="2623">
                  <c:v>57.91</c:v>
                </c:pt>
                <c:pt idx="2624">
                  <c:v>58.01</c:v>
                </c:pt>
                <c:pt idx="2625">
                  <c:v>55.36</c:v>
                </c:pt>
                <c:pt idx="2626">
                  <c:v>55.76</c:v>
                </c:pt>
                <c:pt idx="2627">
                  <c:v>55.99</c:v>
                </c:pt>
                <c:pt idx="2628">
                  <c:v>56.37</c:v>
                </c:pt>
                <c:pt idx="2629">
                  <c:v>58.38</c:v>
                </c:pt>
                <c:pt idx="2630">
                  <c:v>58.31</c:v>
                </c:pt>
                <c:pt idx="2631">
                  <c:v>59.11</c:v>
                </c:pt>
                <c:pt idx="2632">
                  <c:v>58.94</c:v>
                </c:pt>
                <c:pt idx="2633">
                  <c:v>58.84</c:v>
                </c:pt>
                <c:pt idx="2634">
                  <c:v>59.06</c:v>
                </c:pt>
                <c:pt idx="2635">
                  <c:v>58.91</c:v>
                </c:pt>
                <c:pt idx="2636">
                  <c:v>59.56</c:v>
                </c:pt>
                <c:pt idx="2637">
                  <c:v>59.78</c:v>
                </c:pt>
                <c:pt idx="2638">
                  <c:v>59.76</c:v>
                </c:pt>
                <c:pt idx="2639">
                  <c:v>60.12</c:v>
                </c:pt>
                <c:pt idx="2640">
                  <c:v>60.55</c:v>
                </c:pt>
                <c:pt idx="2641">
                  <c:v>60.88</c:v>
                </c:pt>
                <c:pt idx="2642">
                  <c:v>61.14</c:v>
                </c:pt>
                <c:pt idx="2643">
                  <c:v>60.44</c:v>
                </c:pt>
                <c:pt idx="2644">
                  <c:v>60.51</c:v>
                </c:pt>
                <c:pt idx="2645">
                  <c:v>60.64</c:v>
                </c:pt>
                <c:pt idx="2646">
                  <c:v>61.16</c:v>
                </c:pt>
                <c:pt idx="2647">
                  <c:v>61.73</c:v>
                </c:pt>
                <c:pt idx="2648">
                  <c:v>61.74</c:v>
                </c:pt>
                <c:pt idx="2649">
                  <c:v>61.77</c:v>
                </c:pt>
                <c:pt idx="2650">
                  <c:v>61.69</c:v>
                </c:pt>
                <c:pt idx="2651">
                  <c:v>61.22</c:v>
                </c:pt>
                <c:pt idx="2652">
                  <c:v>61.19</c:v>
                </c:pt>
                <c:pt idx="2653">
                  <c:v>63.1</c:v>
                </c:pt>
                <c:pt idx="2654">
                  <c:v>63.89</c:v>
                </c:pt>
                <c:pt idx="2655">
                  <c:v>62.99</c:v>
                </c:pt>
                <c:pt idx="2656">
                  <c:v>64.92</c:v>
                </c:pt>
                <c:pt idx="2657">
                  <c:v>59.97</c:v>
                </c:pt>
                <c:pt idx="2658">
                  <c:v>59.55</c:v>
                </c:pt>
                <c:pt idx="2659">
                  <c:v>59.17</c:v>
                </c:pt>
                <c:pt idx="2660">
                  <c:v>58.94</c:v>
                </c:pt>
                <c:pt idx="2661">
                  <c:v>58.12</c:v>
                </c:pt>
                <c:pt idx="2662">
                  <c:v>58.09</c:v>
                </c:pt>
                <c:pt idx="2663">
                  <c:v>58.12</c:v>
                </c:pt>
                <c:pt idx="2664">
                  <c:v>58.61</c:v>
                </c:pt>
                <c:pt idx="2665">
                  <c:v>58.77</c:v>
                </c:pt>
                <c:pt idx="2666">
                  <c:v>59.22</c:v>
                </c:pt>
                <c:pt idx="2667">
                  <c:v>58.67</c:v>
                </c:pt>
                <c:pt idx="2668">
                  <c:v>58.26</c:v>
                </c:pt>
                <c:pt idx="2669">
                  <c:v>56.09</c:v>
                </c:pt>
                <c:pt idx="2670">
                  <c:v>55.62</c:v>
                </c:pt>
                <c:pt idx="2671">
                  <c:v>54.13</c:v>
                </c:pt>
                <c:pt idx="2672">
                  <c:v>52.56</c:v>
                </c:pt>
                <c:pt idx="2673">
                  <c:v>52.91</c:v>
                </c:pt>
                <c:pt idx="2674">
                  <c:v>53.74</c:v>
                </c:pt>
                <c:pt idx="2675">
                  <c:v>53.09</c:v>
                </c:pt>
                <c:pt idx="2676">
                  <c:v>52.84</c:v>
                </c:pt>
                <c:pt idx="2677">
                  <c:v>51.57</c:v>
                </c:pt>
                <c:pt idx="2678">
                  <c:v>51.02</c:v>
                </c:pt>
                <c:pt idx="2679">
                  <c:v>49.88</c:v>
                </c:pt>
                <c:pt idx="2680">
                  <c:v>49.58</c:v>
                </c:pt>
                <c:pt idx="2681">
                  <c:v>51.2</c:v>
                </c:pt>
                <c:pt idx="2682">
                  <c:v>51.41</c:v>
                </c:pt>
                <c:pt idx="2683">
                  <c:v>50.34</c:v>
                </c:pt>
                <c:pt idx="2684">
                  <c:v>49.74</c:v>
                </c:pt>
                <c:pt idx="2685">
                  <c:v>49.78</c:v>
                </c:pt>
                <c:pt idx="2686">
                  <c:v>50.12</c:v>
                </c:pt>
                <c:pt idx="2687">
                  <c:v>51.45</c:v>
                </c:pt>
                <c:pt idx="2688">
                  <c:v>51.39</c:v>
                </c:pt>
                <c:pt idx="2689">
                  <c:v>52.2</c:v>
                </c:pt>
                <c:pt idx="2690">
                  <c:v>52.11</c:v>
                </c:pt>
                <c:pt idx="2691">
                  <c:v>51.95</c:v>
                </c:pt>
                <c:pt idx="2692">
                  <c:v>52.16</c:v>
                </c:pt>
                <c:pt idx="2693">
                  <c:v>53.53</c:v>
                </c:pt>
                <c:pt idx="2694">
                  <c:v>53.26</c:v>
                </c:pt>
                <c:pt idx="2695">
                  <c:v>53.22</c:v>
                </c:pt>
                <c:pt idx="2696">
                  <c:v>51.87</c:v>
                </c:pt>
                <c:pt idx="2697">
                  <c:v>51.27</c:v>
                </c:pt>
                <c:pt idx="2698">
                  <c:v>50.01</c:v>
                </c:pt>
                <c:pt idx="2699">
                  <c:v>48.26</c:v>
                </c:pt>
                <c:pt idx="2700">
                  <c:v>46.66</c:v>
                </c:pt>
                <c:pt idx="2701">
                  <c:v>45.13</c:v>
                </c:pt>
                <c:pt idx="2702">
                  <c:v>44.45</c:v>
                </c:pt>
                <c:pt idx="2703">
                  <c:v>47.8</c:v>
                </c:pt>
                <c:pt idx="2704">
                  <c:v>46.91</c:v>
                </c:pt>
                <c:pt idx="2705">
                  <c:v>47.23</c:v>
                </c:pt>
                <c:pt idx="2706">
                  <c:v>46.12</c:v>
                </c:pt>
                <c:pt idx="2707">
                  <c:v>41.53</c:v>
                </c:pt>
                <c:pt idx="2708">
                  <c:v>32.450000000000003</c:v>
                </c:pt>
                <c:pt idx="2709">
                  <c:v>32.380000000000003</c:v>
                </c:pt>
                <c:pt idx="2710">
                  <c:v>34.01</c:v>
                </c:pt>
                <c:pt idx="2711">
                  <c:v>33.090000000000003</c:v>
                </c:pt>
                <c:pt idx="2712">
                  <c:v>31.02</c:v>
                </c:pt>
                <c:pt idx="2713">
                  <c:v>32.979999999999997</c:v>
                </c:pt>
                <c:pt idx="2714">
                  <c:v>30.45</c:v>
                </c:pt>
                <c:pt idx="2715">
                  <c:v>29.13</c:v>
                </c:pt>
                <c:pt idx="2716">
                  <c:v>26.48</c:v>
                </c:pt>
                <c:pt idx="2717">
                  <c:v>23.57</c:v>
                </c:pt>
                <c:pt idx="2718">
                  <c:v>26</c:v>
                </c:pt>
                <c:pt idx="2719">
                  <c:v>23.2</c:v>
                </c:pt>
                <c:pt idx="2720">
                  <c:v>21.23</c:v>
                </c:pt>
                <c:pt idx="2721">
                  <c:v>24.05</c:v>
                </c:pt>
                <c:pt idx="2722">
                  <c:v>24.25</c:v>
                </c:pt>
                <c:pt idx="2723">
                  <c:v>23.89</c:v>
                </c:pt>
                <c:pt idx="2724">
                  <c:v>22.77</c:v>
                </c:pt>
                <c:pt idx="2725">
                  <c:v>21.53</c:v>
                </c:pt>
                <c:pt idx="2726">
                  <c:v>20.05</c:v>
                </c:pt>
                <c:pt idx="2727">
                  <c:v>20.27</c:v>
                </c:pt>
                <c:pt idx="2728">
                  <c:v>20.05</c:v>
                </c:pt>
                <c:pt idx="2729">
                  <c:v>21.02</c:v>
                </c:pt>
                <c:pt idx="2730">
                  <c:v>24.46</c:v>
                </c:pt>
                <c:pt idx="2731">
                  <c:v>28.5</c:v>
                </c:pt>
                <c:pt idx="2732">
                  <c:v>26.13</c:v>
                </c:pt>
                <c:pt idx="2733">
                  <c:v>26.75</c:v>
                </c:pt>
                <c:pt idx="2734">
                  <c:v>24.45</c:v>
                </c:pt>
                <c:pt idx="2735">
                  <c:v>26.23</c:v>
                </c:pt>
                <c:pt idx="2736">
                  <c:v>23.05</c:v>
                </c:pt>
                <c:pt idx="2737">
                  <c:v>23.12</c:v>
                </c:pt>
                <c:pt idx="2738">
                  <c:v>22.8</c:v>
                </c:pt>
                <c:pt idx="2739">
                  <c:v>20.79</c:v>
                </c:pt>
                <c:pt idx="2740">
                  <c:v>20.25</c:v>
                </c:pt>
                <c:pt idx="2741">
                  <c:v>19.88</c:v>
                </c:pt>
                <c:pt idx="2742">
                  <c:v>18.16</c:v>
                </c:pt>
                <c:pt idx="2743">
                  <c:v>17.05</c:v>
                </c:pt>
                <c:pt idx="2744">
                  <c:v>11.96</c:v>
                </c:pt>
                <c:pt idx="2745">
                  <c:v>7.98</c:v>
                </c:pt>
                <c:pt idx="2746">
                  <c:v>8.0500000000000007</c:v>
                </c:pt>
                <c:pt idx="2747">
                  <c:v>8.2100000000000009</c:v>
                </c:pt>
                <c:pt idx="2748">
                  <c:v>7.99</c:v>
                </c:pt>
                <c:pt idx="2749">
                  <c:v>8.07</c:v>
                </c:pt>
                <c:pt idx="2750">
                  <c:v>7.79</c:v>
                </c:pt>
                <c:pt idx="2751">
                  <c:v>7.79</c:v>
                </c:pt>
                <c:pt idx="2752">
                  <c:v>8.16</c:v>
                </c:pt>
                <c:pt idx="2753">
                  <c:v>8.6199999999999992</c:v>
                </c:pt>
                <c:pt idx="2754">
                  <c:v>8.31</c:v>
                </c:pt>
                <c:pt idx="2755">
                  <c:v>8.27</c:v>
                </c:pt>
                <c:pt idx="2756">
                  <c:v>8.73</c:v>
                </c:pt>
                <c:pt idx="2757">
                  <c:v>9.68</c:v>
                </c:pt>
                <c:pt idx="2758">
                  <c:v>9.11</c:v>
                </c:pt>
                <c:pt idx="2759">
                  <c:v>9.1199999999999992</c:v>
                </c:pt>
                <c:pt idx="2760">
                  <c:v>9.61</c:v>
                </c:pt>
                <c:pt idx="2761">
                  <c:v>9.7100000000000009</c:v>
                </c:pt>
                <c:pt idx="2762">
                  <c:v>9.4600000000000009</c:v>
                </c:pt>
                <c:pt idx="2763">
                  <c:v>9.3800000000000008</c:v>
                </c:pt>
                <c:pt idx="2764">
                  <c:v>9.41</c:v>
                </c:pt>
                <c:pt idx="2765">
                  <c:v>9.7899999999999991</c:v>
                </c:pt>
                <c:pt idx="2766">
                  <c:v>10.17</c:v>
                </c:pt>
                <c:pt idx="2767">
                  <c:v>10.46</c:v>
                </c:pt>
                <c:pt idx="2768">
                  <c:v>11.21</c:v>
                </c:pt>
                <c:pt idx="2769">
                  <c:v>11</c:v>
                </c:pt>
                <c:pt idx="2770">
                  <c:v>11.5</c:v>
                </c:pt>
                <c:pt idx="2771">
                  <c:v>11.75</c:v>
                </c:pt>
                <c:pt idx="2772">
                  <c:v>11.63</c:v>
                </c:pt>
                <c:pt idx="2773">
                  <c:v>11.66</c:v>
                </c:pt>
                <c:pt idx="2774">
                  <c:v>12.02</c:v>
                </c:pt>
                <c:pt idx="2775">
                  <c:v>12.18</c:v>
                </c:pt>
                <c:pt idx="2776">
                  <c:v>11.59</c:v>
                </c:pt>
                <c:pt idx="2777">
                  <c:v>12.07</c:v>
                </c:pt>
                <c:pt idx="2778">
                  <c:v>12.67</c:v>
                </c:pt>
                <c:pt idx="2779">
                  <c:v>12.77</c:v>
                </c:pt>
                <c:pt idx="2780">
                  <c:v>12.93</c:v>
                </c:pt>
                <c:pt idx="2781">
                  <c:v>13.48</c:v>
                </c:pt>
                <c:pt idx="2782">
                  <c:v>13.59</c:v>
                </c:pt>
                <c:pt idx="2783">
                  <c:v>13.77</c:v>
                </c:pt>
                <c:pt idx="2784">
                  <c:v>14.33</c:v>
                </c:pt>
                <c:pt idx="2785">
                  <c:v>14.98</c:v>
                </c:pt>
                <c:pt idx="2786">
                  <c:v>14.46</c:v>
                </c:pt>
                <c:pt idx="2787">
                  <c:v>14.45</c:v>
                </c:pt>
                <c:pt idx="2788">
                  <c:v>14.62</c:v>
                </c:pt>
                <c:pt idx="2789">
                  <c:v>13.71</c:v>
                </c:pt>
                <c:pt idx="2790">
                  <c:v>14.12</c:v>
                </c:pt>
                <c:pt idx="2791">
                  <c:v>13.96</c:v>
                </c:pt>
                <c:pt idx="2792">
                  <c:v>14.7</c:v>
                </c:pt>
                <c:pt idx="2793">
                  <c:v>14.96</c:v>
                </c:pt>
                <c:pt idx="2794">
                  <c:v>14.93</c:v>
                </c:pt>
                <c:pt idx="2795">
                  <c:v>15.54</c:v>
                </c:pt>
                <c:pt idx="2796">
                  <c:v>15.61</c:v>
                </c:pt>
                <c:pt idx="2797">
                  <c:v>15.91</c:v>
                </c:pt>
                <c:pt idx="2798">
                  <c:v>16.46</c:v>
                </c:pt>
                <c:pt idx="2799">
                  <c:v>16.28</c:v>
                </c:pt>
                <c:pt idx="2800">
                  <c:v>15.62</c:v>
                </c:pt>
                <c:pt idx="2801">
                  <c:v>16.09</c:v>
                </c:pt>
                <c:pt idx="2802">
                  <c:v>15.87</c:v>
                </c:pt>
                <c:pt idx="2803">
                  <c:v>15.96</c:v>
                </c:pt>
                <c:pt idx="2804">
                  <c:v>16.64</c:v>
                </c:pt>
                <c:pt idx="2805">
                  <c:v>16.73</c:v>
                </c:pt>
                <c:pt idx="2806">
                  <c:v>16.86</c:v>
                </c:pt>
                <c:pt idx="2807">
                  <c:v>17.25</c:v>
                </c:pt>
                <c:pt idx="2808">
                  <c:v>17.38</c:v>
                </c:pt>
                <c:pt idx="2809">
                  <c:v>17.68</c:v>
                </c:pt>
                <c:pt idx="2810">
                  <c:v>17.89</c:v>
                </c:pt>
                <c:pt idx="2811">
                  <c:v>17.86</c:v>
                </c:pt>
                <c:pt idx="2812">
                  <c:v>18.190000000000001</c:v>
                </c:pt>
                <c:pt idx="2813">
                  <c:v>17.88</c:v>
                </c:pt>
                <c:pt idx="2814">
                  <c:v>18.37</c:v>
                </c:pt>
                <c:pt idx="2815">
                  <c:v>18.41</c:v>
                </c:pt>
                <c:pt idx="2816">
                  <c:v>18.27</c:v>
                </c:pt>
                <c:pt idx="2817">
                  <c:v>18.77</c:v>
                </c:pt>
                <c:pt idx="2818">
                  <c:v>19.07</c:v>
                </c:pt>
                <c:pt idx="2819">
                  <c:v>19.09</c:v>
                </c:pt>
                <c:pt idx="2820">
                  <c:v>19.14</c:v>
                </c:pt>
                <c:pt idx="2821">
                  <c:v>19.41</c:v>
                </c:pt>
                <c:pt idx="2822">
                  <c:v>19.54</c:v>
                </c:pt>
                <c:pt idx="2823">
                  <c:v>19.96</c:v>
                </c:pt>
                <c:pt idx="2824">
                  <c:v>20.13</c:v>
                </c:pt>
                <c:pt idx="2825">
                  <c:v>20</c:v>
                </c:pt>
                <c:pt idx="2826">
                  <c:v>20.27</c:v>
                </c:pt>
                <c:pt idx="2827">
                  <c:v>20.43</c:v>
                </c:pt>
                <c:pt idx="2828">
                  <c:v>20.87</c:v>
                </c:pt>
                <c:pt idx="2829">
                  <c:v>20.77</c:v>
                </c:pt>
                <c:pt idx="2830">
                  <c:v>21</c:v>
                </c:pt>
                <c:pt idx="2831">
                  <c:v>20.73</c:v>
                </c:pt>
                <c:pt idx="2832">
                  <c:v>20.9</c:v>
                </c:pt>
                <c:pt idx="2833">
                  <c:v>21.05</c:v>
                </c:pt>
                <c:pt idx="2834">
                  <c:v>21.41</c:v>
                </c:pt>
                <c:pt idx="2835">
                  <c:v>21.88</c:v>
                </c:pt>
                <c:pt idx="2836">
                  <c:v>22.45</c:v>
                </c:pt>
                <c:pt idx="2837">
                  <c:v>22.55</c:v>
                </c:pt>
                <c:pt idx="2838">
                  <c:v>22.42</c:v>
                </c:pt>
                <c:pt idx="2839">
                  <c:v>22.73</c:v>
                </c:pt>
                <c:pt idx="2840">
                  <c:v>23.04</c:v>
                </c:pt>
                <c:pt idx="2841">
                  <c:v>22.98</c:v>
                </c:pt>
                <c:pt idx="2842">
                  <c:v>23.62</c:v>
                </c:pt>
                <c:pt idx="2843">
                  <c:v>23.75</c:v>
                </c:pt>
                <c:pt idx="2844">
                  <c:v>23.76</c:v>
                </c:pt>
                <c:pt idx="2845">
                  <c:v>24.12</c:v>
                </c:pt>
                <c:pt idx="2846">
                  <c:v>24.5</c:v>
                </c:pt>
                <c:pt idx="2847">
                  <c:v>24.59</c:v>
                </c:pt>
                <c:pt idx="2848">
                  <c:v>24.69</c:v>
                </c:pt>
                <c:pt idx="2849">
                  <c:v>24.84</c:v>
                </c:pt>
                <c:pt idx="2850">
                  <c:v>24.62</c:v>
                </c:pt>
                <c:pt idx="2851">
                  <c:v>25.02</c:v>
                </c:pt>
                <c:pt idx="2852">
                  <c:v>25.27</c:v>
                </c:pt>
                <c:pt idx="2853">
                  <c:v>25.91</c:v>
                </c:pt>
                <c:pt idx="2854">
                  <c:v>26.11</c:v>
                </c:pt>
                <c:pt idx="2855">
                  <c:v>25.95</c:v>
                </c:pt>
                <c:pt idx="2856">
                  <c:v>26.14</c:v>
                </c:pt>
                <c:pt idx="2857">
                  <c:v>26.52</c:v>
                </c:pt>
                <c:pt idx="2858">
                  <c:v>26.57</c:v>
                </c:pt>
                <c:pt idx="2859">
                  <c:v>26.87</c:v>
                </c:pt>
                <c:pt idx="2860">
                  <c:v>26.29</c:v>
                </c:pt>
                <c:pt idx="2861">
                  <c:v>25.95</c:v>
                </c:pt>
                <c:pt idx="2862">
                  <c:v>25.22</c:v>
                </c:pt>
                <c:pt idx="2863">
                  <c:v>25.07</c:v>
                </c:pt>
                <c:pt idx="2864">
                  <c:v>25.52</c:v>
                </c:pt>
                <c:pt idx="2865">
                  <c:v>24.07</c:v>
                </c:pt>
                <c:pt idx="2866">
                  <c:v>24.91</c:v>
                </c:pt>
                <c:pt idx="2867">
                  <c:v>24.73</c:v>
                </c:pt>
                <c:pt idx="2868">
                  <c:v>24.88</c:v>
                </c:pt>
                <c:pt idx="2869">
                  <c:v>25.23</c:v>
                </c:pt>
                <c:pt idx="2870">
                  <c:v>25.32</c:v>
                </c:pt>
                <c:pt idx="2871">
                  <c:v>26.21</c:v>
                </c:pt>
                <c:pt idx="2872">
                  <c:v>27.48</c:v>
                </c:pt>
                <c:pt idx="2873">
                  <c:v>41.14</c:v>
                </c:pt>
                <c:pt idx="2874">
                  <c:v>41.19</c:v>
                </c:pt>
                <c:pt idx="2875">
                  <c:v>41.07</c:v>
                </c:pt>
                <c:pt idx="2876">
                  <c:v>39.979999999999997</c:v>
                </c:pt>
                <c:pt idx="2877">
                  <c:v>39.770000000000003</c:v>
                </c:pt>
                <c:pt idx="2878">
                  <c:v>39.409999999999997</c:v>
                </c:pt>
                <c:pt idx="2879">
                  <c:v>40.4</c:v>
                </c:pt>
                <c:pt idx="2880">
                  <c:v>40.159999999999997</c:v>
                </c:pt>
                <c:pt idx="2881">
                  <c:v>40.200000000000003</c:v>
                </c:pt>
                <c:pt idx="2882">
                  <c:v>40.700000000000003</c:v>
                </c:pt>
                <c:pt idx="2883">
                  <c:v>39.270000000000003</c:v>
                </c:pt>
                <c:pt idx="2884">
                  <c:v>40.17</c:v>
                </c:pt>
                <c:pt idx="2885">
                  <c:v>38.659999999999997</c:v>
                </c:pt>
                <c:pt idx="2886">
                  <c:v>37.200000000000003</c:v>
                </c:pt>
                <c:pt idx="2887">
                  <c:v>37.479999999999997</c:v>
                </c:pt>
                <c:pt idx="2888">
                  <c:v>39.39</c:v>
                </c:pt>
                <c:pt idx="2889">
                  <c:v>40.01</c:v>
                </c:pt>
                <c:pt idx="2890">
                  <c:v>40.270000000000003</c:v>
                </c:pt>
                <c:pt idx="2891">
                  <c:v>41.45</c:v>
                </c:pt>
                <c:pt idx="2892">
                  <c:v>40.799999999999997</c:v>
                </c:pt>
                <c:pt idx="2893">
                  <c:v>40.479999999999997</c:v>
                </c:pt>
                <c:pt idx="2894">
                  <c:v>39.86</c:v>
                </c:pt>
                <c:pt idx="2895">
                  <c:v>40.409999999999997</c:v>
                </c:pt>
                <c:pt idx="2896">
                  <c:v>41.48</c:v>
                </c:pt>
                <c:pt idx="2897">
                  <c:v>41.19</c:v>
                </c:pt>
                <c:pt idx="2898">
                  <c:v>41.01</c:v>
                </c:pt>
                <c:pt idx="2899">
                  <c:v>41.23</c:v>
                </c:pt>
                <c:pt idx="2900">
                  <c:v>40.950000000000003</c:v>
                </c:pt>
                <c:pt idx="2901">
                  <c:v>41.47</c:v>
                </c:pt>
                <c:pt idx="2902">
                  <c:v>39.950000000000003</c:v>
                </c:pt>
                <c:pt idx="2903">
                  <c:v>40.67</c:v>
                </c:pt>
                <c:pt idx="2904">
                  <c:v>39.799999999999997</c:v>
                </c:pt>
                <c:pt idx="2905">
                  <c:v>39.31</c:v>
                </c:pt>
                <c:pt idx="2906">
                  <c:v>38.75</c:v>
                </c:pt>
                <c:pt idx="2907">
                  <c:v>38.99</c:v>
                </c:pt>
                <c:pt idx="2908">
                  <c:v>37.880000000000003</c:v>
                </c:pt>
                <c:pt idx="2909">
                  <c:v>36.340000000000003</c:v>
                </c:pt>
                <c:pt idx="2910">
                  <c:v>35.92</c:v>
                </c:pt>
                <c:pt idx="2911">
                  <c:v>34.19</c:v>
                </c:pt>
                <c:pt idx="2912">
                  <c:v>37.270000000000003</c:v>
                </c:pt>
                <c:pt idx="2913">
                  <c:v>38.619999999999997</c:v>
                </c:pt>
                <c:pt idx="2914">
                  <c:v>39.229999999999997</c:v>
                </c:pt>
                <c:pt idx="2915">
                  <c:v>38.659999999999997</c:v>
                </c:pt>
                <c:pt idx="2916">
                  <c:v>37.700000000000003</c:v>
                </c:pt>
                <c:pt idx="2917">
                  <c:v>38.049999999999997</c:v>
                </c:pt>
                <c:pt idx="2918">
                  <c:v>39.93</c:v>
                </c:pt>
                <c:pt idx="2919">
                  <c:v>41.88</c:v>
                </c:pt>
                <c:pt idx="2920">
                  <c:v>41.78</c:v>
                </c:pt>
                <c:pt idx="2921">
                  <c:v>41</c:v>
                </c:pt>
                <c:pt idx="2922">
                  <c:v>40.380000000000003</c:v>
                </c:pt>
                <c:pt idx="2923">
                  <c:v>40.729999999999997</c:v>
                </c:pt>
                <c:pt idx="2924">
                  <c:v>41.62</c:v>
                </c:pt>
                <c:pt idx="2925">
                  <c:v>41.52</c:v>
                </c:pt>
                <c:pt idx="2926">
                  <c:v>41.8</c:v>
                </c:pt>
                <c:pt idx="2927">
                  <c:v>41.69</c:v>
                </c:pt>
                <c:pt idx="2928">
                  <c:v>42.48</c:v>
                </c:pt>
                <c:pt idx="2929">
                  <c:v>42.52</c:v>
                </c:pt>
                <c:pt idx="2930">
                  <c:v>43.22</c:v>
                </c:pt>
                <c:pt idx="2931">
                  <c:v>44.88</c:v>
                </c:pt>
                <c:pt idx="2932">
                  <c:v>45.86</c:v>
                </c:pt>
                <c:pt idx="2933">
                  <c:v>45.05</c:v>
                </c:pt>
                <c:pt idx="2934">
                  <c:v>45.74</c:v>
                </c:pt>
                <c:pt idx="2935">
                  <c:v>45.24</c:v>
                </c:pt>
                <c:pt idx="2936">
                  <c:v>45.29</c:v>
                </c:pt>
                <c:pt idx="2937">
                  <c:v>44.25</c:v>
                </c:pt>
                <c:pt idx="2938">
                  <c:v>45</c:v>
                </c:pt>
                <c:pt idx="2939">
                  <c:v>45.79</c:v>
                </c:pt>
                <c:pt idx="2940">
                  <c:v>46.19</c:v>
                </c:pt>
                <c:pt idx="2941">
                  <c:v>46.17</c:v>
                </c:pt>
                <c:pt idx="2942">
                  <c:v>45.75</c:v>
                </c:pt>
                <c:pt idx="2943">
                  <c:v>45.66</c:v>
                </c:pt>
                <c:pt idx="2944">
                  <c:v>45.84</c:v>
                </c:pt>
                <c:pt idx="2945">
                  <c:v>47.23</c:v>
                </c:pt>
                <c:pt idx="2946">
                  <c:v>46.7</c:v>
                </c:pt>
                <c:pt idx="2947">
                  <c:v>46.82</c:v>
                </c:pt>
                <c:pt idx="2948">
                  <c:v>47.12</c:v>
                </c:pt>
                <c:pt idx="2949">
                  <c:v>47.71</c:v>
                </c:pt>
                <c:pt idx="2950">
                  <c:v>48.02</c:v>
                </c:pt>
                <c:pt idx="2951">
                  <c:v>48.55</c:v>
                </c:pt>
                <c:pt idx="2952">
                  <c:v>49.26</c:v>
                </c:pt>
                <c:pt idx="2953">
                  <c:v>48.6</c:v>
                </c:pt>
                <c:pt idx="2954">
                  <c:v>47.83</c:v>
                </c:pt>
                <c:pt idx="2955">
                  <c:v>46.89</c:v>
                </c:pt>
                <c:pt idx="2956">
                  <c:v>48.09</c:v>
                </c:pt>
                <c:pt idx="2957">
                  <c:v>48.28</c:v>
                </c:pt>
                <c:pt idx="2958">
                  <c:v>47.93</c:v>
                </c:pt>
                <c:pt idx="2959">
                  <c:v>47.87</c:v>
                </c:pt>
                <c:pt idx="2960">
                  <c:v>47.94</c:v>
                </c:pt>
                <c:pt idx="2961">
                  <c:v>48.22</c:v>
                </c:pt>
                <c:pt idx="2962">
                  <c:v>48.27</c:v>
                </c:pt>
                <c:pt idx="2963">
                  <c:v>48.3</c:v>
                </c:pt>
                <c:pt idx="2964">
                  <c:v>47.28</c:v>
                </c:pt>
                <c:pt idx="2965">
                  <c:v>49.66</c:v>
                </c:pt>
                <c:pt idx="2966">
                  <c:v>50.38</c:v>
                </c:pt>
                <c:pt idx="2967">
                  <c:v>50.84</c:v>
                </c:pt>
                <c:pt idx="2968">
                  <c:v>52.6</c:v>
                </c:pt>
                <c:pt idx="2969">
                  <c:v>52.22</c:v>
                </c:pt>
                <c:pt idx="2970">
                  <c:v>52.03</c:v>
                </c:pt>
                <c:pt idx="2971">
                  <c:v>53.3</c:v>
                </c:pt>
                <c:pt idx="2972">
                  <c:v>52.69</c:v>
                </c:pt>
                <c:pt idx="2973">
                  <c:v>53.73</c:v>
                </c:pt>
                <c:pt idx="2974">
                  <c:v>52.01</c:v>
                </c:pt>
                <c:pt idx="2975">
                  <c:v>52.12</c:v>
                </c:pt>
                <c:pt idx="2976">
                  <c:v>52.3</c:v>
                </c:pt>
                <c:pt idx="2977">
                  <c:v>53.12</c:v>
                </c:pt>
                <c:pt idx="2978">
                  <c:v>52.89</c:v>
                </c:pt>
                <c:pt idx="2979">
                  <c:v>52.95</c:v>
                </c:pt>
                <c:pt idx="2980">
                  <c:v>51.92</c:v>
                </c:pt>
                <c:pt idx="2981">
                  <c:v>52.23</c:v>
                </c:pt>
                <c:pt idx="2982">
                  <c:v>52.8</c:v>
                </c:pt>
                <c:pt idx="2983">
                  <c:v>52.72</c:v>
                </c:pt>
                <c:pt idx="2984">
                  <c:v>52.36</c:v>
                </c:pt>
                <c:pt idx="2985">
                  <c:v>52.17</c:v>
                </c:pt>
                <c:pt idx="2986">
                  <c:v>52.1</c:v>
                </c:pt>
                <c:pt idx="2987">
                  <c:v>51.92</c:v>
                </c:pt>
                <c:pt idx="2988">
                  <c:v>53.55</c:v>
                </c:pt>
                <c:pt idx="2989">
                  <c:v>54.91</c:v>
                </c:pt>
                <c:pt idx="2990">
                  <c:v>55.86</c:v>
                </c:pt>
                <c:pt idx="2991">
                  <c:v>56.49</c:v>
                </c:pt>
                <c:pt idx="2992">
                  <c:v>57.04</c:v>
                </c:pt>
                <c:pt idx="2993">
                  <c:v>57.36</c:v>
                </c:pt>
                <c:pt idx="2994">
                  <c:v>58.02</c:v>
                </c:pt>
                <c:pt idx="2995">
                  <c:v>58.37</c:v>
                </c:pt>
                <c:pt idx="2996">
                  <c:v>58.3</c:v>
                </c:pt>
                <c:pt idx="2997">
                  <c:v>57.94</c:v>
                </c:pt>
                <c:pt idx="2998">
                  <c:v>59.68</c:v>
                </c:pt>
                <c:pt idx="2999">
                  <c:v>60.34</c:v>
                </c:pt>
                <c:pt idx="3000">
                  <c:v>60.08</c:v>
                </c:pt>
                <c:pt idx="3001">
                  <c:v>59.97</c:v>
                </c:pt>
                <c:pt idx="3002">
                  <c:v>61.77</c:v>
                </c:pt>
                <c:pt idx="3003">
                  <c:v>59.7</c:v>
                </c:pt>
                <c:pt idx="3004">
                  <c:v>59.02</c:v>
                </c:pt>
                <c:pt idx="3005">
                  <c:v>59.59</c:v>
                </c:pt>
                <c:pt idx="3006">
                  <c:v>61.56</c:v>
                </c:pt>
                <c:pt idx="3007">
                  <c:v>61.2</c:v>
                </c:pt>
                <c:pt idx="3008">
                  <c:v>63.52</c:v>
                </c:pt>
                <c:pt idx="3009">
                  <c:v>63.39</c:v>
                </c:pt>
                <c:pt idx="3010">
                  <c:v>61.56</c:v>
                </c:pt>
                <c:pt idx="3011">
                  <c:v>62.45</c:v>
                </c:pt>
                <c:pt idx="3012">
                  <c:v>60.23</c:v>
                </c:pt>
                <c:pt idx="3013">
                  <c:v>59.39</c:v>
                </c:pt>
                <c:pt idx="3014">
                  <c:v>60.7</c:v>
                </c:pt>
                <c:pt idx="3015">
                  <c:v>64.19</c:v>
                </c:pt>
                <c:pt idx="3016">
                  <c:v>66.23</c:v>
                </c:pt>
                <c:pt idx="3017">
                  <c:v>67.12</c:v>
                </c:pt>
                <c:pt idx="3018">
                  <c:v>64.86</c:v>
                </c:pt>
                <c:pt idx="3019">
                  <c:v>63.92</c:v>
                </c:pt>
                <c:pt idx="3020">
                  <c:v>64.64</c:v>
                </c:pt>
                <c:pt idx="3021">
                  <c:v>65.89</c:v>
                </c:pt>
                <c:pt idx="3022">
                  <c:v>65.540000000000006</c:v>
                </c:pt>
                <c:pt idx="3023">
                  <c:v>65.94</c:v>
                </c:pt>
                <c:pt idx="3024">
                  <c:v>65.3</c:v>
                </c:pt>
                <c:pt idx="3025">
                  <c:v>64.88</c:v>
                </c:pt>
                <c:pt idx="3026">
                  <c:v>64.58</c:v>
                </c:pt>
                <c:pt idx="3027">
                  <c:v>59.76</c:v>
                </c:pt>
                <c:pt idx="3028">
                  <c:v>61.46</c:v>
                </c:pt>
                <c:pt idx="3029">
                  <c:v>60.88</c:v>
                </c:pt>
                <c:pt idx="3030">
                  <c:v>61.27</c:v>
                </c:pt>
                <c:pt idx="3031">
                  <c:v>57.53</c:v>
                </c:pt>
                <c:pt idx="3032">
                  <c:v>60.59</c:v>
                </c:pt>
                <c:pt idx="3033">
                  <c:v>58.74</c:v>
                </c:pt>
                <c:pt idx="3034">
                  <c:v>60.71</c:v>
                </c:pt>
                <c:pt idx="3035">
                  <c:v>60.72</c:v>
                </c:pt>
                <c:pt idx="3036">
                  <c:v>62.09</c:v>
                </c:pt>
                <c:pt idx="3037">
                  <c:v>60.38</c:v>
                </c:pt>
                <c:pt idx="3038">
                  <c:v>59.55</c:v>
                </c:pt>
                <c:pt idx="3039">
                  <c:v>61.25</c:v>
                </c:pt>
                <c:pt idx="3040">
                  <c:v>61.26</c:v>
                </c:pt>
                <c:pt idx="3041">
                  <c:v>58.89</c:v>
                </c:pt>
                <c:pt idx="3042">
                  <c:v>59.17</c:v>
                </c:pt>
                <c:pt idx="3043">
                  <c:v>59.62</c:v>
                </c:pt>
                <c:pt idx="3044">
                  <c:v>59.73</c:v>
                </c:pt>
                <c:pt idx="3045">
                  <c:v>59.32</c:v>
                </c:pt>
                <c:pt idx="3046">
                  <c:v>59.55</c:v>
                </c:pt>
                <c:pt idx="3047">
                  <c:v>59.76</c:v>
                </c:pt>
                <c:pt idx="3048">
                  <c:v>60.52</c:v>
                </c:pt>
                <c:pt idx="3049">
                  <c:v>62.88</c:v>
                </c:pt>
                <c:pt idx="3050">
                  <c:v>63.34</c:v>
                </c:pt>
                <c:pt idx="3051">
                  <c:v>63.07</c:v>
                </c:pt>
                <c:pt idx="3052">
                  <c:v>62.8</c:v>
                </c:pt>
                <c:pt idx="3053">
                  <c:v>63.55</c:v>
                </c:pt>
                <c:pt idx="3054">
                  <c:v>62.28</c:v>
                </c:pt>
                <c:pt idx="3055">
                  <c:v>61.08</c:v>
                </c:pt>
                <c:pt idx="3056">
                  <c:v>61.8</c:v>
                </c:pt>
                <c:pt idx="3057">
                  <c:v>61.98</c:v>
                </c:pt>
                <c:pt idx="3058">
                  <c:v>61.88</c:v>
                </c:pt>
                <c:pt idx="3059">
                  <c:v>62.02</c:v>
                </c:pt>
                <c:pt idx="3060">
                  <c:v>62.95</c:v>
                </c:pt>
                <c:pt idx="3061">
                  <c:v>63.77</c:v>
                </c:pt>
                <c:pt idx="3062">
                  <c:v>64.75</c:v>
                </c:pt>
                <c:pt idx="3063">
                  <c:v>63.44</c:v>
                </c:pt>
                <c:pt idx="3064">
                  <c:v>63.7</c:v>
                </c:pt>
                <c:pt idx="3065">
                  <c:v>64.61</c:v>
                </c:pt>
                <c:pt idx="3066">
                  <c:v>66.2</c:v>
                </c:pt>
                <c:pt idx="3067">
                  <c:v>65.09</c:v>
                </c:pt>
                <c:pt idx="3068">
                  <c:v>64.88</c:v>
                </c:pt>
                <c:pt idx="3069">
                  <c:v>64.81</c:v>
                </c:pt>
                <c:pt idx="3070">
                  <c:v>65.44</c:v>
                </c:pt>
                <c:pt idx="3071">
                  <c:v>64.95</c:v>
                </c:pt>
                <c:pt idx="3072">
                  <c:v>65.5</c:v>
                </c:pt>
                <c:pt idx="3073">
                  <c:v>65.69</c:v>
                </c:pt>
                <c:pt idx="3074">
                  <c:v>63.82</c:v>
                </c:pt>
                <c:pt idx="3075">
                  <c:v>65.489999999999995</c:v>
                </c:pt>
                <c:pt idx="3076">
                  <c:v>65.53</c:v>
                </c:pt>
                <c:pt idx="3077">
                  <c:v>66.34</c:v>
                </c:pt>
                <c:pt idx="3078">
                  <c:v>65.17</c:v>
                </c:pt>
                <c:pt idx="3079">
                  <c:v>63.34</c:v>
                </c:pt>
                <c:pt idx="3080">
                  <c:v>62.09</c:v>
                </c:pt>
                <c:pt idx="3081">
                  <c:v>63.84</c:v>
                </c:pt>
                <c:pt idx="3082">
                  <c:v>63.62</c:v>
                </c:pt>
                <c:pt idx="3083">
                  <c:v>66</c:v>
                </c:pt>
                <c:pt idx="3084">
                  <c:v>65.89</c:v>
                </c:pt>
                <c:pt idx="3085">
                  <c:v>66.11</c:v>
                </c:pt>
                <c:pt idx="3086">
                  <c:v>67.3</c:v>
                </c:pt>
                <c:pt idx="3087">
                  <c:v>66.64</c:v>
                </c:pt>
                <c:pt idx="3088">
                  <c:v>66.56</c:v>
                </c:pt>
                <c:pt idx="3089">
                  <c:v>66.94</c:v>
                </c:pt>
                <c:pt idx="3090">
                  <c:v>67.91</c:v>
                </c:pt>
                <c:pt idx="3091">
                  <c:v>68.72</c:v>
                </c:pt>
                <c:pt idx="3092">
                  <c:v>68.75</c:v>
                </c:pt>
                <c:pt idx="3093">
                  <c:v>69.39</c:v>
                </c:pt>
                <c:pt idx="3094">
                  <c:v>69.7</c:v>
                </c:pt>
                <c:pt idx="3095">
                  <c:v>69.09</c:v>
                </c:pt>
                <c:pt idx="3096">
                  <c:v>70</c:v>
                </c:pt>
                <c:pt idx="3097">
                  <c:v>69.7</c:v>
                </c:pt>
                <c:pt idx="3098">
                  <c:v>70.17</c:v>
                </c:pt>
                <c:pt idx="3099">
                  <c:v>70.790000000000006</c:v>
                </c:pt>
                <c:pt idx="3100">
                  <c:v>70.95</c:v>
                </c:pt>
                <c:pt idx="3101">
                  <c:v>71.03</c:v>
                </c:pt>
                <c:pt idx="3102">
                  <c:v>72.39</c:v>
                </c:pt>
                <c:pt idx="3103">
                  <c:v>71.47</c:v>
                </c:pt>
                <c:pt idx="3104">
                  <c:v>70.91</c:v>
                </c:pt>
                <c:pt idx="3105">
                  <c:v>71.39</c:v>
                </c:pt>
                <c:pt idx="3106">
                  <c:v>71.84</c:v>
                </c:pt>
                <c:pt idx="3107">
                  <c:v>73.41</c:v>
                </c:pt>
                <c:pt idx="3108">
                  <c:v>73.19</c:v>
                </c:pt>
                <c:pt idx="3109">
                  <c:v>73.52</c:v>
                </c:pt>
                <c:pt idx="3110">
                  <c:v>73.59</c:v>
                </c:pt>
                <c:pt idx="3111">
                  <c:v>74.34</c:v>
                </c:pt>
                <c:pt idx="3112">
                  <c:v>74.44</c:v>
                </c:pt>
                <c:pt idx="3113">
                  <c:v>73.17</c:v>
                </c:pt>
                <c:pt idx="3114">
                  <c:v>73.72</c:v>
                </c:pt>
                <c:pt idx="3115">
                  <c:v>73.77</c:v>
                </c:pt>
                <c:pt idx="3116">
                  <c:v>75.28</c:v>
                </c:pt>
                <c:pt idx="3117">
                  <c:v>75.290000000000006</c:v>
                </c:pt>
                <c:pt idx="3118">
                  <c:v>75.36</c:v>
                </c:pt>
                <c:pt idx="3119">
                  <c:v>76.44</c:v>
                </c:pt>
                <c:pt idx="3120">
                  <c:v>73.77</c:v>
                </c:pt>
                <c:pt idx="3121">
                  <c:v>72.28</c:v>
                </c:pt>
                <c:pt idx="3122">
                  <c:v>73.39</c:v>
                </c:pt>
                <c:pt idx="3123">
                  <c:v>74.78</c:v>
                </c:pt>
                <c:pt idx="3124">
                  <c:v>74.83</c:v>
                </c:pt>
                <c:pt idx="3125">
                  <c:v>74.33</c:v>
                </c:pt>
                <c:pt idx="3126">
                  <c:v>75.12</c:v>
                </c:pt>
                <c:pt idx="3127">
                  <c:v>72.86</c:v>
                </c:pt>
                <c:pt idx="3128">
                  <c:v>71.44</c:v>
                </c:pt>
                <c:pt idx="3129">
                  <c:v>71.52</c:v>
                </c:pt>
                <c:pt idx="3130">
                  <c:v>71.42</c:v>
                </c:pt>
                <c:pt idx="3131">
                  <c:v>67.19</c:v>
                </c:pt>
                <c:pt idx="3132">
                  <c:v>67.03</c:v>
                </c:pt>
                <c:pt idx="3133">
                  <c:v>70.53</c:v>
                </c:pt>
                <c:pt idx="3134">
                  <c:v>72</c:v>
                </c:pt>
                <c:pt idx="3135">
                  <c:v>72.45</c:v>
                </c:pt>
                <c:pt idx="3136">
                  <c:v>72.33</c:v>
                </c:pt>
                <c:pt idx="3137">
                  <c:v>72.22</c:v>
                </c:pt>
                <c:pt idx="3138">
                  <c:v>72.64</c:v>
                </c:pt>
                <c:pt idx="3139">
                  <c:v>73.52</c:v>
                </c:pt>
                <c:pt idx="3140">
                  <c:v>73.94</c:v>
                </c:pt>
                <c:pt idx="3141">
                  <c:v>73.92</c:v>
                </c:pt>
                <c:pt idx="3142">
                  <c:v>71.56</c:v>
                </c:pt>
                <c:pt idx="3143">
                  <c:v>70.56</c:v>
                </c:pt>
                <c:pt idx="3144">
                  <c:v>68.25</c:v>
                </c:pt>
                <c:pt idx="3145">
                  <c:v>69.17</c:v>
                </c:pt>
                <c:pt idx="3146">
                  <c:v>68.02</c:v>
                </c:pt>
                <c:pt idx="3147">
                  <c:v>67.3</c:v>
                </c:pt>
                <c:pt idx="3148">
                  <c:v>67.05</c:v>
                </c:pt>
                <c:pt idx="3149">
                  <c:v>68.58</c:v>
                </c:pt>
                <c:pt idx="3150">
                  <c:v>69.39</c:v>
                </c:pt>
                <c:pt idx="3151">
                  <c:v>68.91</c:v>
                </c:pt>
                <c:pt idx="3152">
                  <c:v>68.099999999999994</c:v>
                </c:pt>
                <c:pt idx="3153">
                  <c:v>68.12</c:v>
                </c:pt>
                <c:pt idx="3154">
                  <c:v>67.64</c:v>
                </c:pt>
                <c:pt idx="3155">
                  <c:v>66.59</c:v>
                </c:pt>
                <c:pt idx="3156">
                  <c:v>64.7</c:v>
                </c:pt>
                <c:pt idx="3157">
                  <c:v>63.86</c:v>
                </c:pt>
                <c:pt idx="3158">
                  <c:v>62.06</c:v>
                </c:pt>
                <c:pt idx="3159">
                  <c:v>62.51</c:v>
                </c:pt>
                <c:pt idx="3160">
                  <c:v>65.73</c:v>
                </c:pt>
                <c:pt idx="3161">
                  <c:v>67.61</c:v>
                </c:pt>
                <c:pt idx="3162">
                  <c:v>68.17</c:v>
                </c:pt>
                <c:pt idx="3163">
                  <c:v>68</c:v>
                </c:pt>
                <c:pt idx="3164">
                  <c:v>68.89</c:v>
                </c:pt>
                <c:pt idx="3165">
                  <c:v>69.5</c:v>
                </c:pt>
                <c:pt idx="3166">
                  <c:v>69.28</c:v>
                </c:pt>
                <c:pt idx="3167">
                  <c:v>68.64</c:v>
                </c:pt>
                <c:pt idx="3168">
                  <c:v>68.34</c:v>
                </c:pt>
                <c:pt idx="3169">
                  <c:v>69.86</c:v>
                </c:pt>
                <c:pt idx="3170">
                  <c:v>69.25</c:v>
                </c:pt>
                <c:pt idx="3171">
                  <c:v>68.86</c:v>
                </c:pt>
                <c:pt idx="3172">
                  <c:v>68.89</c:v>
                </c:pt>
                <c:pt idx="3173">
                  <c:v>68.53</c:v>
                </c:pt>
                <c:pt idx="3174">
                  <c:v>69.33</c:v>
                </c:pt>
                <c:pt idx="3175">
                  <c:v>68.03</c:v>
                </c:pt>
                <c:pt idx="3176">
                  <c:v>69.75</c:v>
                </c:pt>
                <c:pt idx="3177">
                  <c:v>70.17</c:v>
                </c:pt>
                <c:pt idx="3178">
                  <c:v>70.69</c:v>
                </c:pt>
                <c:pt idx="3179">
                  <c:v>70.84</c:v>
                </c:pt>
                <c:pt idx="3180">
                  <c:v>72.59</c:v>
                </c:pt>
                <c:pt idx="3181">
                  <c:v>72.61</c:v>
                </c:pt>
                <c:pt idx="3182">
                  <c:v>72.09</c:v>
                </c:pt>
                <c:pt idx="3183">
                  <c:v>71.75</c:v>
                </c:pt>
                <c:pt idx="3184">
                  <c:v>70.89</c:v>
                </c:pt>
                <c:pt idx="3185">
                  <c:v>70.97</c:v>
                </c:pt>
                <c:pt idx="3186">
                  <c:v>72.19</c:v>
                </c:pt>
                <c:pt idx="3187">
                  <c:v>73.5</c:v>
                </c:pt>
                <c:pt idx="3188">
                  <c:v>74.2</c:v>
                </c:pt>
                <c:pt idx="3189">
                  <c:v>75.03</c:v>
                </c:pt>
                <c:pt idx="3190">
                  <c:v>75.58</c:v>
                </c:pt>
                <c:pt idx="3191">
                  <c:v>74.64</c:v>
                </c:pt>
                <c:pt idx="3192">
                  <c:v>74.86</c:v>
                </c:pt>
                <c:pt idx="3193">
                  <c:v>75.44</c:v>
                </c:pt>
                <c:pt idx="3194">
                  <c:v>75.88</c:v>
                </c:pt>
                <c:pt idx="3195">
                  <c:v>75.97</c:v>
                </c:pt>
                <c:pt idx="3196">
                  <c:v>77.69</c:v>
                </c:pt>
                <c:pt idx="3197">
                  <c:v>79.12</c:v>
                </c:pt>
                <c:pt idx="3198">
                  <c:v>77.31</c:v>
                </c:pt>
                <c:pt idx="3199">
                  <c:v>78.94</c:v>
                </c:pt>
                <c:pt idx="3200">
                  <c:v>79.680000000000007</c:v>
                </c:pt>
                <c:pt idx="3201">
                  <c:v>79.78</c:v>
                </c:pt>
                <c:pt idx="3202">
                  <c:v>80.48</c:v>
                </c:pt>
                <c:pt idx="3203">
                  <c:v>80.38</c:v>
                </c:pt>
                <c:pt idx="3204">
                  <c:v>80.83</c:v>
                </c:pt>
                <c:pt idx="3205">
                  <c:v>81.78</c:v>
                </c:pt>
                <c:pt idx="3206">
                  <c:v>82.57</c:v>
                </c:pt>
                <c:pt idx="3207">
                  <c:v>83</c:v>
                </c:pt>
                <c:pt idx="3208">
                  <c:v>82.25</c:v>
                </c:pt>
                <c:pt idx="3209">
                  <c:v>83.12</c:v>
                </c:pt>
                <c:pt idx="3210">
                  <c:v>84.25</c:v>
                </c:pt>
                <c:pt idx="3211">
                  <c:v>82.88</c:v>
                </c:pt>
                <c:pt idx="3212">
                  <c:v>84.56</c:v>
                </c:pt>
                <c:pt idx="3213">
                  <c:v>84.58</c:v>
                </c:pt>
                <c:pt idx="3214">
                  <c:v>84.31</c:v>
                </c:pt>
                <c:pt idx="3215">
                  <c:v>84.7</c:v>
                </c:pt>
                <c:pt idx="3216">
                  <c:v>82.67</c:v>
                </c:pt>
                <c:pt idx="3217">
                  <c:v>83.16</c:v>
                </c:pt>
                <c:pt idx="3218">
                  <c:v>83.67</c:v>
                </c:pt>
                <c:pt idx="3219">
                  <c:v>83.34</c:v>
                </c:pt>
                <c:pt idx="3220">
                  <c:v>84.23</c:v>
                </c:pt>
                <c:pt idx="3221">
                  <c:v>83.28</c:v>
                </c:pt>
                <c:pt idx="3222">
                  <c:v>80.66</c:v>
                </c:pt>
                <c:pt idx="3223">
                  <c:v>80.05</c:v>
                </c:pt>
                <c:pt idx="3224">
                  <c:v>81.44</c:v>
                </c:pt>
                <c:pt idx="3225">
                  <c:v>81.77</c:v>
                </c:pt>
                <c:pt idx="3226">
                  <c:v>82.26</c:v>
                </c:pt>
                <c:pt idx="3227">
                  <c:v>84.83</c:v>
                </c:pt>
                <c:pt idx="3228">
                  <c:v>81.72</c:v>
                </c:pt>
                <c:pt idx="3229">
                  <c:v>81.5</c:v>
                </c:pt>
                <c:pt idx="3230">
                  <c:v>80.8</c:v>
                </c:pt>
                <c:pt idx="3231">
                  <c:v>81.02</c:v>
                </c:pt>
                <c:pt idx="3232">
                  <c:v>80.8</c:v>
                </c:pt>
                <c:pt idx="3233">
                  <c:v>80.61</c:v>
                </c:pt>
                <c:pt idx="3234">
                  <c:v>78.53</c:v>
                </c:pt>
                <c:pt idx="3235">
                  <c:v>79.31</c:v>
                </c:pt>
                <c:pt idx="3236">
                  <c:v>76.63</c:v>
                </c:pt>
                <c:pt idx="3237">
                  <c:v>76.42</c:v>
                </c:pt>
                <c:pt idx="3238">
                  <c:v>77.260000000000005</c:v>
                </c:pt>
                <c:pt idx="3239">
                  <c:v>79.08</c:v>
                </c:pt>
                <c:pt idx="3240">
                  <c:v>79.17</c:v>
                </c:pt>
                <c:pt idx="3241">
                  <c:v>78.17</c:v>
                </c:pt>
                <c:pt idx="3242">
                  <c:v>68.89</c:v>
                </c:pt>
                <c:pt idx="3243">
                  <c:v>72</c:v>
                </c:pt>
                <c:pt idx="3244">
                  <c:v>71.42</c:v>
                </c:pt>
                <c:pt idx="3245">
                  <c:v>67.47</c:v>
                </c:pt>
                <c:pt idx="3246">
                  <c:v>66.77</c:v>
                </c:pt>
                <c:pt idx="3247">
                  <c:v>67.84</c:v>
                </c:pt>
                <c:pt idx="3248">
                  <c:v>66.739999999999995</c:v>
                </c:pt>
                <c:pt idx="3249">
                  <c:v>67.95</c:v>
                </c:pt>
                <c:pt idx="3250">
                  <c:v>70.16</c:v>
                </c:pt>
                <c:pt idx="3251">
                  <c:v>72.22</c:v>
                </c:pt>
                <c:pt idx="3252">
                  <c:v>72.94</c:v>
                </c:pt>
                <c:pt idx="3253">
                  <c:v>70.84</c:v>
                </c:pt>
                <c:pt idx="3254">
                  <c:v>72.27</c:v>
                </c:pt>
                <c:pt idx="3255">
                  <c:v>72.72</c:v>
                </c:pt>
                <c:pt idx="3256">
                  <c:v>71.47</c:v>
                </c:pt>
                <c:pt idx="3257">
                  <c:v>70.510000000000005</c:v>
                </c:pt>
                <c:pt idx="3258">
                  <c:v>71.83</c:v>
                </c:pt>
                <c:pt idx="3259">
                  <c:v>72.08</c:v>
                </c:pt>
                <c:pt idx="3260">
                  <c:v>70.53</c:v>
                </c:pt>
                <c:pt idx="3261">
                  <c:v>69.61</c:v>
                </c:pt>
                <c:pt idx="3262">
                  <c:v>69.56</c:v>
                </c:pt>
                <c:pt idx="3263">
                  <c:v>71.61</c:v>
                </c:pt>
                <c:pt idx="3264">
                  <c:v>73.42</c:v>
                </c:pt>
                <c:pt idx="3265">
                  <c:v>74.06</c:v>
                </c:pt>
                <c:pt idx="3266">
                  <c:v>73.61</c:v>
                </c:pt>
                <c:pt idx="3267">
                  <c:v>76.14</c:v>
                </c:pt>
                <c:pt idx="3268">
                  <c:v>76.42</c:v>
                </c:pt>
                <c:pt idx="3269">
                  <c:v>76.84</c:v>
                </c:pt>
                <c:pt idx="3270">
                  <c:v>76.61</c:v>
                </c:pt>
                <c:pt idx="3271">
                  <c:v>75.63</c:v>
                </c:pt>
                <c:pt idx="3272">
                  <c:v>76.03</c:v>
                </c:pt>
                <c:pt idx="3273">
                  <c:v>76.17</c:v>
                </c:pt>
                <c:pt idx="3274">
                  <c:v>77.25</c:v>
                </c:pt>
                <c:pt idx="3275">
                  <c:v>77.39</c:v>
                </c:pt>
                <c:pt idx="3276">
                  <c:v>79.69</c:v>
                </c:pt>
                <c:pt idx="3277">
                  <c:v>79.069999999999993</c:v>
                </c:pt>
                <c:pt idx="3278">
                  <c:v>78.7</c:v>
                </c:pt>
                <c:pt idx="3279">
                  <c:v>78.7</c:v>
                </c:pt>
                <c:pt idx="3280">
                  <c:v>81.42</c:v>
                </c:pt>
                <c:pt idx="3281">
                  <c:v>82.86</c:v>
                </c:pt>
                <c:pt idx="3282">
                  <c:v>82.03</c:v>
                </c:pt>
                <c:pt idx="3283">
                  <c:v>84.35</c:v>
                </c:pt>
                <c:pt idx="3284">
                  <c:v>84.5</c:v>
                </c:pt>
                <c:pt idx="3285">
                  <c:v>84.33</c:v>
                </c:pt>
                <c:pt idx="3286">
                  <c:v>86.75</c:v>
                </c:pt>
                <c:pt idx="3287">
                  <c:v>85.58</c:v>
                </c:pt>
                <c:pt idx="3288">
                  <c:v>84.67</c:v>
                </c:pt>
                <c:pt idx="3289">
                  <c:v>85.43</c:v>
                </c:pt>
                <c:pt idx="3290">
                  <c:v>86.39</c:v>
                </c:pt>
                <c:pt idx="3291">
                  <c:v>84.7</c:v>
                </c:pt>
                <c:pt idx="3292">
                  <c:v>85.86</c:v>
                </c:pt>
                <c:pt idx="3293">
                  <c:v>87.89</c:v>
                </c:pt>
                <c:pt idx="3294">
                  <c:v>87.86</c:v>
                </c:pt>
                <c:pt idx="3295">
                  <c:v>87.79</c:v>
                </c:pt>
                <c:pt idx="3296">
                  <c:v>88.19</c:v>
                </c:pt>
                <c:pt idx="3297">
                  <c:v>88.8</c:v>
                </c:pt>
                <c:pt idx="3298">
                  <c:v>88.73</c:v>
                </c:pt>
                <c:pt idx="3299">
                  <c:v>88.02</c:v>
                </c:pt>
                <c:pt idx="3300">
                  <c:v>90.52</c:v>
                </c:pt>
                <c:pt idx="3301">
                  <c:v>92.33</c:v>
                </c:pt>
                <c:pt idx="3302">
                  <c:v>92.14</c:v>
                </c:pt>
                <c:pt idx="3303">
                  <c:v>91.69</c:v>
                </c:pt>
                <c:pt idx="3304">
                  <c:v>90.08</c:v>
                </c:pt>
                <c:pt idx="3305">
                  <c:v>90.28</c:v>
                </c:pt>
                <c:pt idx="3306">
                  <c:v>90.17</c:v>
                </c:pt>
                <c:pt idx="3307">
                  <c:v>94.17</c:v>
                </c:pt>
                <c:pt idx="3308">
                  <c:v>94.55</c:v>
                </c:pt>
                <c:pt idx="3309">
                  <c:v>94.97</c:v>
                </c:pt>
                <c:pt idx="3310">
                  <c:v>92.55</c:v>
                </c:pt>
                <c:pt idx="3311">
                  <c:v>91.42</c:v>
                </c:pt>
                <c:pt idx="3312">
                  <c:v>91.8</c:v>
                </c:pt>
                <c:pt idx="3313">
                  <c:v>92.52</c:v>
                </c:pt>
                <c:pt idx="3314">
                  <c:v>93.33</c:v>
                </c:pt>
                <c:pt idx="3315">
                  <c:v>94.31</c:v>
                </c:pt>
                <c:pt idx="3316">
                  <c:v>93.28</c:v>
                </c:pt>
                <c:pt idx="3317">
                  <c:v>94.36</c:v>
                </c:pt>
                <c:pt idx="3318">
                  <c:v>96.28</c:v>
                </c:pt>
                <c:pt idx="3319">
                  <c:v>93.41</c:v>
                </c:pt>
                <c:pt idx="3320">
                  <c:v>98.13</c:v>
                </c:pt>
                <c:pt idx="3321">
                  <c:v>97.25</c:v>
                </c:pt>
                <c:pt idx="3322">
                  <c:v>107.77</c:v>
                </c:pt>
                <c:pt idx="3323">
                  <c:v>112.22</c:v>
                </c:pt>
                <c:pt idx="3324">
                  <c:v>110.52</c:v>
                </c:pt>
                <c:pt idx="3325">
                  <c:v>116.37</c:v>
                </c:pt>
                <c:pt idx="3326">
                  <c:v>128.26</c:v>
                </c:pt>
                <c:pt idx="3327">
                  <c:v>122.09</c:v>
                </c:pt>
                <c:pt idx="3328">
                  <c:v>126.47</c:v>
                </c:pt>
                <c:pt idx="3329">
                  <c:v>111.59</c:v>
                </c:pt>
                <c:pt idx="3330">
                  <c:v>108.32</c:v>
                </c:pt>
                <c:pt idx="3331">
                  <c:v>110</c:v>
                </c:pt>
                <c:pt idx="3332">
                  <c:v>107.76</c:v>
                </c:pt>
                <c:pt idx="3333">
                  <c:v>101.84</c:v>
                </c:pt>
                <c:pt idx="3334">
                  <c:v>96.28</c:v>
                </c:pt>
                <c:pt idx="3335">
                  <c:v>96.69</c:v>
                </c:pt>
                <c:pt idx="3336">
                  <c:v>103.92</c:v>
                </c:pt>
                <c:pt idx="3337">
                  <c:v>105.47</c:v>
                </c:pt>
                <c:pt idx="3338">
                  <c:v>106.65</c:v>
                </c:pt>
                <c:pt idx="3339">
                  <c:v>114.2</c:v>
                </c:pt>
                <c:pt idx="3340">
                  <c:v>110.59</c:v>
                </c:pt>
                <c:pt idx="3341">
                  <c:v>116.44</c:v>
                </c:pt>
                <c:pt idx="3342">
                  <c:v>113.83</c:v>
                </c:pt>
                <c:pt idx="3343">
                  <c:v>114.39</c:v>
                </c:pt>
                <c:pt idx="3344">
                  <c:v>112.31</c:v>
                </c:pt>
                <c:pt idx="3345">
                  <c:v>105.47</c:v>
                </c:pt>
                <c:pt idx="3346">
                  <c:v>107.69</c:v>
                </c:pt>
                <c:pt idx="3347">
                  <c:v>108.88</c:v>
                </c:pt>
                <c:pt idx="3348">
                  <c:v>102.19</c:v>
                </c:pt>
                <c:pt idx="3349">
                  <c:v>100.57</c:v>
                </c:pt>
                <c:pt idx="3350">
                  <c:v>99.39</c:v>
                </c:pt>
                <c:pt idx="3351">
                  <c:v>105.3</c:v>
                </c:pt>
                <c:pt idx="3352">
                  <c:v>101.94</c:v>
                </c:pt>
                <c:pt idx="3353">
                  <c:v>97.59</c:v>
                </c:pt>
                <c:pt idx="3354">
                  <c:v>97.69</c:v>
                </c:pt>
                <c:pt idx="3355">
                  <c:v>98.6</c:v>
                </c:pt>
                <c:pt idx="3356">
                  <c:v>97.33</c:v>
                </c:pt>
                <c:pt idx="3357">
                  <c:v>95.83</c:v>
                </c:pt>
                <c:pt idx="3358">
                  <c:v>101.91</c:v>
                </c:pt>
                <c:pt idx="3359">
                  <c:v>104.19</c:v>
                </c:pt>
                <c:pt idx="3360">
                  <c:v>106.91</c:v>
                </c:pt>
                <c:pt idx="3361">
                  <c:v>108.28</c:v>
                </c:pt>
                <c:pt idx="3362">
                  <c:v>108.16</c:v>
                </c:pt>
                <c:pt idx="3363">
                  <c:v>104</c:v>
                </c:pt>
                <c:pt idx="3364">
                  <c:v>103.08</c:v>
                </c:pt>
                <c:pt idx="3365">
                  <c:v>104.34</c:v>
                </c:pt>
                <c:pt idx="3366">
                  <c:v>102.42</c:v>
                </c:pt>
                <c:pt idx="3367">
                  <c:v>101.16</c:v>
                </c:pt>
                <c:pt idx="3368">
                  <c:v>99.2</c:v>
                </c:pt>
                <c:pt idx="3369">
                  <c:v>102.58</c:v>
                </c:pt>
                <c:pt idx="3370">
                  <c:v>102.41</c:v>
                </c:pt>
                <c:pt idx="3371">
                  <c:v>105.56</c:v>
                </c:pt>
                <c:pt idx="3372">
                  <c:v>104.78</c:v>
                </c:pt>
                <c:pt idx="3373">
                  <c:v>105.17</c:v>
                </c:pt>
                <c:pt idx="3374">
                  <c:v>105.7</c:v>
                </c:pt>
                <c:pt idx="3375">
                  <c:v>103.86</c:v>
                </c:pt>
                <c:pt idx="3376">
                  <c:v>108.61</c:v>
                </c:pt>
                <c:pt idx="3377">
                  <c:v>109.09</c:v>
                </c:pt>
                <c:pt idx="3378">
                  <c:v>110.95</c:v>
                </c:pt>
                <c:pt idx="3379">
                  <c:v>109.47</c:v>
                </c:pt>
                <c:pt idx="3380">
                  <c:v>103.03</c:v>
                </c:pt>
                <c:pt idx="3381">
                  <c:v>99.08</c:v>
                </c:pt>
                <c:pt idx="3382">
                  <c:v>105.97</c:v>
                </c:pt>
                <c:pt idx="3383">
                  <c:v>107.23</c:v>
                </c:pt>
                <c:pt idx="3384">
                  <c:v>110.3</c:v>
                </c:pt>
                <c:pt idx="3385">
                  <c:v>111.44</c:v>
                </c:pt>
                <c:pt idx="3386">
                  <c:v>113.67</c:v>
                </c:pt>
                <c:pt idx="3387">
                  <c:v>112.83</c:v>
                </c:pt>
                <c:pt idx="3388">
                  <c:v>107.35</c:v>
                </c:pt>
                <c:pt idx="3389">
                  <c:v>110.89</c:v>
                </c:pt>
                <c:pt idx="3390">
                  <c:v>112.04</c:v>
                </c:pt>
                <c:pt idx="3391">
                  <c:v>111.89</c:v>
                </c:pt>
                <c:pt idx="3392">
                  <c:v>111.23</c:v>
                </c:pt>
                <c:pt idx="3393">
                  <c:v>112.06</c:v>
                </c:pt>
                <c:pt idx="3394">
                  <c:v>112.13</c:v>
                </c:pt>
                <c:pt idx="3395">
                  <c:v>115.45</c:v>
                </c:pt>
                <c:pt idx="3396">
                  <c:v>116.45</c:v>
                </c:pt>
                <c:pt idx="3397">
                  <c:v>116.86</c:v>
                </c:pt>
                <c:pt idx="3398">
                  <c:v>118.83</c:v>
                </c:pt>
                <c:pt idx="3399">
                  <c:v>116.2</c:v>
                </c:pt>
                <c:pt idx="3400">
                  <c:v>114.22</c:v>
                </c:pt>
                <c:pt idx="3401">
                  <c:v>118.45</c:v>
                </c:pt>
                <c:pt idx="3402">
                  <c:v>121.43</c:v>
                </c:pt>
                <c:pt idx="3403">
                  <c:v>121.19</c:v>
                </c:pt>
                <c:pt idx="3404">
                  <c:v>119.83</c:v>
                </c:pt>
                <c:pt idx="3405">
                  <c:v>120.27</c:v>
                </c:pt>
                <c:pt idx="3406">
                  <c:v>122.86</c:v>
                </c:pt>
                <c:pt idx="3407">
                  <c:v>122</c:v>
                </c:pt>
                <c:pt idx="3408">
                  <c:v>121.08</c:v>
                </c:pt>
                <c:pt idx="3409">
                  <c:v>119.34</c:v>
                </c:pt>
                <c:pt idx="3410">
                  <c:v>121.02</c:v>
                </c:pt>
                <c:pt idx="3411">
                  <c:v>118.97</c:v>
                </c:pt>
                <c:pt idx="3412">
                  <c:v>117.14</c:v>
                </c:pt>
                <c:pt idx="3413">
                  <c:v>117.38</c:v>
                </c:pt>
                <c:pt idx="3414">
                  <c:v>111.42</c:v>
                </c:pt>
                <c:pt idx="3415">
                  <c:v>111.42</c:v>
                </c:pt>
                <c:pt idx="3416">
                  <c:v>111.2</c:v>
                </c:pt>
                <c:pt idx="3417">
                  <c:v>111.47</c:v>
                </c:pt>
                <c:pt idx="3418">
                  <c:v>105.97</c:v>
                </c:pt>
                <c:pt idx="3419">
                  <c:v>106.44</c:v>
                </c:pt>
                <c:pt idx="3420">
                  <c:v>109.16</c:v>
                </c:pt>
                <c:pt idx="3421">
                  <c:v>108.33</c:v>
                </c:pt>
                <c:pt idx="3422">
                  <c:v>112.11</c:v>
                </c:pt>
                <c:pt idx="3423">
                  <c:v>113.64</c:v>
                </c:pt>
                <c:pt idx="3424">
                  <c:v>111.39</c:v>
                </c:pt>
                <c:pt idx="3425">
                  <c:v>107.75</c:v>
                </c:pt>
                <c:pt idx="3426">
                  <c:v>109.94</c:v>
                </c:pt>
                <c:pt idx="3427">
                  <c:v>109.5</c:v>
                </c:pt>
                <c:pt idx="3428">
                  <c:v>111.67</c:v>
                </c:pt>
                <c:pt idx="3429">
                  <c:v>102.28</c:v>
                </c:pt>
                <c:pt idx="3430">
                  <c:v>99.25</c:v>
                </c:pt>
                <c:pt idx="3431">
                  <c:v>103.78</c:v>
                </c:pt>
                <c:pt idx="3432">
                  <c:v>105.8</c:v>
                </c:pt>
                <c:pt idx="3433">
                  <c:v>105.16</c:v>
                </c:pt>
                <c:pt idx="3434">
                  <c:v>103.81</c:v>
                </c:pt>
                <c:pt idx="3435">
                  <c:v>94.94</c:v>
                </c:pt>
                <c:pt idx="3436">
                  <c:v>96.34</c:v>
                </c:pt>
                <c:pt idx="3437">
                  <c:v>96.56</c:v>
                </c:pt>
                <c:pt idx="3438">
                  <c:v>97.41</c:v>
                </c:pt>
                <c:pt idx="3439">
                  <c:v>96.89</c:v>
                </c:pt>
                <c:pt idx="3440">
                  <c:v>101.67</c:v>
                </c:pt>
                <c:pt idx="3441">
                  <c:v>102.95</c:v>
                </c:pt>
                <c:pt idx="3442">
                  <c:v>102.08</c:v>
                </c:pt>
                <c:pt idx="3443">
                  <c:v>98.51</c:v>
                </c:pt>
                <c:pt idx="3444">
                  <c:v>97.49</c:v>
                </c:pt>
                <c:pt idx="3445">
                  <c:v>97.05</c:v>
                </c:pt>
                <c:pt idx="3446">
                  <c:v>98.31</c:v>
                </c:pt>
                <c:pt idx="3447">
                  <c:v>97.52</c:v>
                </c:pt>
                <c:pt idx="3448">
                  <c:v>99.98</c:v>
                </c:pt>
                <c:pt idx="3449">
                  <c:v>99.28</c:v>
                </c:pt>
                <c:pt idx="3450">
                  <c:v>100.05</c:v>
                </c:pt>
                <c:pt idx="3451">
                  <c:v>99.61</c:v>
                </c:pt>
                <c:pt idx="3452">
                  <c:v>95.25</c:v>
                </c:pt>
                <c:pt idx="3453">
                  <c:v>95.27</c:v>
                </c:pt>
                <c:pt idx="3454">
                  <c:v>92.39</c:v>
                </c:pt>
                <c:pt idx="3455">
                  <c:v>89.25</c:v>
                </c:pt>
                <c:pt idx="3456">
                  <c:v>89.69</c:v>
                </c:pt>
                <c:pt idx="3457">
                  <c:v>89.11</c:v>
                </c:pt>
                <c:pt idx="3458">
                  <c:v>91.38</c:v>
                </c:pt>
                <c:pt idx="3459">
                  <c:v>91.39</c:v>
                </c:pt>
                <c:pt idx="3460">
                  <c:v>92.36</c:v>
                </c:pt>
                <c:pt idx="3461">
                  <c:v>94.78</c:v>
                </c:pt>
                <c:pt idx="3462">
                  <c:v>92.66</c:v>
                </c:pt>
                <c:pt idx="3463">
                  <c:v>92.16</c:v>
                </c:pt>
                <c:pt idx="3464">
                  <c:v>88.84</c:v>
                </c:pt>
                <c:pt idx="3465">
                  <c:v>87.61</c:v>
                </c:pt>
                <c:pt idx="3466">
                  <c:v>88.33</c:v>
                </c:pt>
                <c:pt idx="3467">
                  <c:v>91.38</c:v>
                </c:pt>
                <c:pt idx="3468">
                  <c:v>90.63</c:v>
                </c:pt>
                <c:pt idx="3469">
                  <c:v>90.38</c:v>
                </c:pt>
                <c:pt idx="3470">
                  <c:v>91.72</c:v>
                </c:pt>
                <c:pt idx="3471">
                  <c:v>94.56</c:v>
                </c:pt>
                <c:pt idx="3472">
                  <c:v>96.08</c:v>
                </c:pt>
                <c:pt idx="3473">
                  <c:v>93.77</c:v>
                </c:pt>
                <c:pt idx="3474">
                  <c:v>93.83</c:v>
                </c:pt>
                <c:pt idx="3475">
                  <c:v>93.67</c:v>
                </c:pt>
                <c:pt idx="3476">
                  <c:v>97.53</c:v>
                </c:pt>
                <c:pt idx="3477">
                  <c:v>92.72</c:v>
                </c:pt>
                <c:pt idx="3478">
                  <c:v>89.83</c:v>
                </c:pt>
                <c:pt idx="3479">
                  <c:v>87.81</c:v>
                </c:pt>
                <c:pt idx="3480">
                  <c:v>87.67</c:v>
                </c:pt>
                <c:pt idx="3481">
                  <c:v>88.72</c:v>
                </c:pt>
                <c:pt idx="3482">
                  <c:v>89.41</c:v>
                </c:pt>
                <c:pt idx="3483">
                  <c:v>87.22</c:v>
                </c:pt>
                <c:pt idx="3484">
                  <c:v>82.41</c:v>
                </c:pt>
                <c:pt idx="3485">
                  <c:v>83.31</c:v>
                </c:pt>
                <c:pt idx="3486">
                  <c:v>86.44</c:v>
                </c:pt>
                <c:pt idx="3487">
                  <c:v>86.58</c:v>
                </c:pt>
                <c:pt idx="3488">
                  <c:v>88.28</c:v>
                </c:pt>
                <c:pt idx="3489">
                  <c:v>87.78</c:v>
                </c:pt>
                <c:pt idx="3490">
                  <c:v>89.24</c:v>
                </c:pt>
                <c:pt idx="3491">
                  <c:v>84.84</c:v>
                </c:pt>
                <c:pt idx="3492">
                  <c:v>85.6</c:v>
                </c:pt>
                <c:pt idx="3493">
                  <c:v>85.83</c:v>
                </c:pt>
                <c:pt idx="3494">
                  <c:v>86</c:v>
                </c:pt>
                <c:pt idx="3495">
                  <c:v>84.56</c:v>
                </c:pt>
                <c:pt idx="3496">
                  <c:v>83.36</c:v>
                </c:pt>
                <c:pt idx="3497">
                  <c:v>84.09</c:v>
                </c:pt>
                <c:pt idx="3498" formatCode="General">
                  <c:v>79.73</c:v>
                </c:pt>
                <c:pt idx="3499" formatCode="General">
                  <c:v>79.94</c:v>
                </c:pt>
                <c:pt idx="3500" formatCode="General">
                  <c:v>77.06</c:v>
                </c:pt>
                <c:pt idx="3501" formatCode="General">
                  <c:v>78.86</c:v>
                </c:pt>
                <c:pt idx="3502" formatCode="General">
                  <c:v>82.09</c:v>
                </c:pt>
                <c:pt idx="3503" formatCode="General">
                  <c:v>82</c:v>
                </c:pt>
                <c:pt idx="3504" formatCode="General">
                  <c:v>80.03</c:v>
                </c:pt>
                <c:pt idx="3505" formatCode="General">
                  <c:v>82.36</c:v>
                </c:pt>
                <c:pt idx="3506" formatCode="General">
                  <c:v>83.67</c:v>
                </c:pt>
                <c:pt idx="3507" formatCode="General">
                  <c:v>86.84</c:v>
                </c:pt>
                <c:pt idx="3508" formatCode="General">
                  <c:v>88.31</c:v>
                </c:pt>
                <c:pt idx="3509" formatCode="General">
                  <c:v>89.11</c:v>
                </c:pt>
                <c:pt idx="3510" formatCode="General">
                  <c:v>93.54</c:v>
                </c:pt>
                <c:pt idx="3511" formatCode="General">
                  <c:v>92.84</c:v>
                </c:pt>
                <c:pt idx="3512" formatCode="General">
                  <c:v>90.95</c:v>
                </c:pt>
                <c:pt idx="3513" formatCode="General">
                  <c:v>88.81</c:v>
                </c:pt>
                <c:pt idx="3514" formatCode="General">
                  <c:v>87.34</c:v>
                </c:pt>
                <c:pt idx="3515" formatCode="General">
                  <c:v>89.14</c:v>
                </c:pt>
                <c:pt idx="3516" formatCode="General">
                  <c:v>85.81</c:v>
                </c:pt>
                <c:pt idx="3517" formatCode="General">
                  <c:v>86.36</c:v>
                </c:pt>
                <c:pt idx="3518" formatCode="General">
                  <c:v>86.06</c:v>
                </c:pt>
                <c:pt idx="3519" formatCode="General">
                  <c:v>84.19</c:v>
                </c:pt>
                <c:pt idx="3520" formatCode="General">
                  <c:v>85.86</c:v>
                </c:pt>
                <c:pt idx="3521" formatCode="General">
                  <c:v>85.62</c:v>
                </c:pt>
                <c:pt idx="3522" formatCode="General">
                  <c:v>86.16</c:v>
                </c:pt>
                <c:pt idx="3523" formatCode="General">
                  <c:v>86.28</c:v>
                </c:pt>
                <c:pt idx="3524" formatCode="General">
                  <c:v>85.77</c:v>
                </c:pt>
                <c:pt idx="3525" formatCode="General">
                  <c:v>85.72</c:v>
                </c:pt>
                <c:pt idx="3526" formatCode="General">
                  <c:v>89.03</c:v>
                </c:pt>
                <c:pt idx="3527" formatCode="General">
                  <c:v>89.42</c:v>
                </c:pt>
                <c:pt idx="3528" formatCode="General">
                  <c:v>89.2</c:v>
                </c:pt>
                <c:pt idx="3529" formatCode="General">
                  <c:v>89.11</c:v>
                </c:pt>
                <c:pt idx="3530" formatCode="General">
                  <c:v>86.88</c:v>
                </c:pt>
                <c:pt idx="3531" formatCode="General">
                  <c:v>89.36</c:v>
                </c:pt>
                <c:pt idx="3532" formatCode="General">
                  <c:v>89.61</c:v>
                </c:pt>
                <c:pt idx="3533" formatCode="General">
                  <c:v>88.62</c:v>
                </c:pt>
                <c:pt idx="3534" formatCode="General">
                  <c:v>93.2</c:v>
                </c:pt>
                <c:pt idx="3535" formatCode="General">
                  <c:v>91.19</c:v>
                </c:pt>
                <c:pt idx="3536" formatCode="General">
                  <c:v>92.39</c:v>
                </c:pt>
                <c:pt idx="3537" formatCode="General">
                  <c:v>89.5</c:v>
                </c:pt>
                <c:pt idx="3538" formatCode="General">
                  <c:v>86.19</c:v>
                </c:pt>
                <c:pt idx="3539" formatCode="General">
                  <c:v>86.69</c:v>
                </c:pt>
                <c:pt idx="3540" formatCode="General">
                  <c:v>89.23</c:v>
                </c:pt>
                <c:pt idx="3541" formatCode="General">
                  <c:v>90</c:v>
                </c:pt>
                <c:pt idx="3542" formatCode="General">
                  <c:v>85.57</c:v>
                </c:pt>
                <c:pt idx="3543" formatCode="General">
                  <c:v>87.55</c:v>
                </c:pt>
                <c:pt idx="3544" formatCode="General">
                  <c:v>85.58</c:v>
                </c:pt>
                <c:pt idx="3545" formatCode="General">
                  <c:v>82.71</c:v>
                </c:pt>
                <c:pt idx="3546" formatCode="General">
                  <c:v>81.06</c:v>
                </c:pt>
                <c:pt idx="3547" formatCode="General">
                  <c:v>80.92</c:v>
                </c:pt>
                <c:pt idx="3548" formatCode="General">
                  <c:v>81.06</c:v>
                </c:pt>
                <c:pt idx="3549" formatCode="General">
                  <c:v>82</c:v>
                </c:pt>
                <c:pt idx="3550" formatCode="General">
                  <c:v>78.14</c:v>
                </c:pt>
                <c:pt idx="3551" formatCode="General">
                  <c:v>78.56</c:v>
                </c:pt>
                <c:pt idx="3552" formatCode="General">
                  <c:v>77.150000000000006</c:v>
                </c:pt>
                <c:pt idx="3553" formatCode="General">
                  <c:v>76.59</c:v>
                </c:pt>
                <c:pt idx="3554" formatCode="General">
                  <c:v>77.05</c:v>
                </c:pt>
                <c:pt idx="3555" formatCode="General">
                  <c:v>79.239999999999995</c:v>
                </c:pt>
                <c:pt idx="3556" formatCode="General">
                  <c:v>81.05</c:v>
                </c:pt>
                <c:pt idx="3557" formatCode="General">
                  <c:v>81.8</c:v>
                </c:pt>
                <c:pt idx="3558" formatCode="General">
                  <c:v>80.760000000000005</c:v>
                </c:pt>
                <c:pt idx="3559" formatCode="General">
                  <c:v>81.53</c:v>
                </c:pt>
                <c:pt idx="3560" formatCode="General">
                  <c:v>77.739999999999995</c:v>
                </c:pt>
                <c:pt idx="3561" formatCode="General">
                  <c:v>74.78</c:v>
                </c:pt>
                <c:pt idx="3562" formatCode="General">
                  <c:v>72.86</c:v>
                </c:pt>
                <c:pt idx="3563" formatCode="General">
                  <c:v>72.33</c:v>
                </c:pt>
                <c:pt idx="3564" formatCode="General">
                  <c:v>71.75</c:v>
                </c:pt>
                <c:pt idx="3565" formatCode="General">
                  <c:v>72.08</c:v>
                </c:pt>
                <c:pt idx="3566" formatCode="General">
                  <c:v>73.61</c:v>
                </c:pt>
                <c:pt idx="3567" formatCode="General">
                  <c:v>75.36</c:v>
                </c:pt>
                <c:pt idx="3568" formatCode="General">
                  <c:v>77.44</c:v>
                </c:pt>
                <c:pt idx="3569" formatCode="General">
                  <c:v>76.400000000000006</c:v>
                </c:pt>
                <c:pt idx="3570" formatCode="General">
                  <c:v>74.73</c:v>
                </c:pt>
                <c:pt idx="3571" formatCode="General">
                  <c:v>75.22</c:v>
                </c:pt>
                <c:pt idx="3572" formatCode="General">
                  <c:v>76</c:v>
                </c:pt>
                <c:pt idx="3573" formatCode="General">
                  <c:v>76.27</c:v>
                </c:pt>
                <c:pt idx="3574" formatCode="General">
                  <c:v>78.59</c:v>
                </c:pt>
                <c:pt idx="3575" formatCode="General">
                  <c:v>78.56</c:v>
                </c:pt>
                <c:pt idx="3576" formatCode="General">
                  <c:v>79.44</c:v>
                </c:pt>
                <c:pt idx="3577" formatCode="General">
                  <c:v>81.06</c:v>
                </c:pt>
                <c:pt idx="3578" formatCode="General">
                  <c:v>79.84</c:v>
                </c:pt>
                <c:pt idx="3579" formatCode="General">
                  <c:v>78.67</c:v>
                </c:pt>
                <c:pt idx="3580" formatCode="General">
                  <c:v>78.67</c:v>
                </c:pt>
                <c:pt idx="3581" formatCode="General">
                  <c:v>80.55</c:v>
                </c:pt>
                <c:pt idx="3582" formatCode="General">
                  <c:v>80.53</c:v>
                </c:pt>
                <c:pt idx="3583" formatCode="General">
                  <c:v>77.14</c:v>
                </c:pt>
                <c:pt idx="3584" formatCode="General">
                  <c:v>73.42</c:v>
                </c:pt>
                <c:pt idx="3585" formatCode="General">
                  <c:v>74.02</c:v>
                </c:pt>
                <c:pt idx="3586" formatCode="General">
                  <c:v>73.75</c:v>
                </c:pt>
                <c:pt idx="3587" formatCode="General">
                  <c:v>74.14</c:v>
                </c:pt>
                <c:pt idx="3588" formatCode="General">
                  <c:v>74.73</c:v>
                </c:pt>
                <c:pt idx="3589" formatCode="General">
                  <c:v>74.62</c:v>
                </c:pt>
                <c:pt idx="3590" formatCode="General">
                  <c:v>77.73</c:v>
                </c:pt>
                <c:pt idx="3591" formatCode="General">
                  <c:v>78.36</c:v>
                </c:pt>
                <c:pt idx="3592" formatCode="General">
                  <c:v>80.11</c:v>
                </c:pt>
                <c:pt idx="3593" formatCode="General">
                  <c:v>79.84</c:v>
                </c:pt>
                <c:pt idx="3594" formatCode="General">
                  <c:v>78.84</c:v>
                </c:pt>
                <c:pt idx="3595" formatCode="General">
                  <c:v>80.75</c:v>
                </c:pt>
                <c:pt idx="3596" formatCode="General">
                  <c:v>79.25</c:v>
                </c:pt>
                <c:pt idx="3597" formatCode="General">
                  <c:v>80.83</c:v>
                </c:pt>
                <c:pt idx="3598" formatCode="General">
                  <c:v>81.53</c:v>
                </c:pt>
                <c:pt idx="3599" formatCode="General">
                  <c:v>81.06</c:v>
                </c:pt>
                <c:pt idx="3600" formatCode="General">
                  <c:v>81.44</c:v>
                </c:pt>
                <c:pt idx="3601" formatCode="General">
                  <c:v>80.02</c:v>
                </c:pt>
                <c:pt idx="3602" formatCode="General">
                  <c:v>80.36</c:v>
                </c:pt>
                <c:pt idx="3603" formatCode="General">
                  <c:v>81</c:v>
                </c:pt>
                <c:pt idx="3604" formatCode="General">
                  <c:v>79.27</c:v>
                </c:pt>
                <c:pt idx="3605" formatCode="General">
                  <c:v>80.2</c:v>
                </c:pt>
                <c:pt idx="3606" formatCode="General">
                  <c:v>77.83</c:v>
                </c:pt>
                <c:pt idx="3607" formatCode="General">
                  <c:v>79.03</c:v>
                </c:pt>
                <c:pt idx="3608" formatCode="General">
                  <c:v>76.7</c:v>
                </c:pt>
                <c:pt idx="3609" formatCode="General">
                  <c:v>75.86</c:v>
                </c:pt>
                <c:pt idx="3610" formatCode="General">
                  <c:v>73.099999999999994</c:v>
                </c:pt>
                <c:pt idx="3611" formatCode="General">
                  <c:v>73.39</c:v>
                </c:pt>
                <c:pt idx="3612" formatCode="General">
                  <c:v>74.44</c:v>
                </c:pt>
                <c:pt idx="3613" formatCode="General">
                  <c:v>77.45</c:v>
                </c:pt>
                <c:pt idx="3614" formatCode="General">
                  <c:v>78.42</c:v>
                </c:pt>
                <c:pt idx="3615" formatCode="General">
                  <c:v>77.61</c:v>
                </c:pt>
                <c:pt idx="3616" formatCode="General">
                  <c:v>79.680000000000007</c:v>
                </c:pt>
                <c:pt idx="3617" formatCode="General">
                  <c:v>79.31</c:v>
                </c:pt>
                <c:pt idx="3618" formatCode="General">
                  <c:v>79.19</c:v>
                </c:pt>
                <c:pt idx="3619" formatCode="General">
                  <c:v>78.790000000000006</c:v>
                </c:pt>
                <c:pt idx="3620" formatCode="General">
                  <c:v>78.55</c:v>
                </c:pt>
                <c:pt idx="3621" formatCode="General">
                  <c:v>77.84</c:v>
                </c:pt>
                <c:pt idx="3622" formatCode="General">
                  <c:v>76.31</c:v>
                </c:pt>
                <c:pt idx="3623" formatCode="General">
                  <c:v>76.48</c:v>
                </c:pt>
                <c:pt idx="3624" formatCode="General">
                  <c:v>77.11</c:v>
                </c:pt>
                <c:pt idx="3625" formatCode="General">
                  <c:v>76.05</c:v>
                </c:pt>
                <c:pt idx="3626" formatCode="General">
                  <c:v>73.8</c:v>
                </c:pt>
                <c:pt idx="3627" formatCode="General">
                  <c:v>75.47</c:v>
                </c:pt>
                <c:pt idx="3628" formatCode="General">
                  <c:v>76.31</c:v>
                </c:pt>
                <c:pt idx="3629" formatCode="General">
                  <c:v>76.5</c:v>
                </c:pt>
                <c:pt idx="3630" formatCode="General">
                  <c:v>75.599999999999994</c:v>
                </c:pt>
                <c:pt idx="3631" formatCode="General">
                  <c:v>76.53</c:v>
                </c:pt>
                <c:pt idx="3632" formatCode="General">
                  <c:v>77.52</c:v>
                </c:pt>
                <c:pt idx="3633" formatCode="General">
                  <c:v>77.81</c:v>
                </c:pt>
                <c:pt idx="3634" formatCode="General">
                  <c:v>79.75</c:v>
                </c:pt>
                <c:pt idx="3635" formatCode="General">
                  <c:v>79.28</c:v>
                </c:pt>
                <c:pt idx="3636" formatCode="General">
                  <c:v>80.42</c:v>
                </c:pt>
                <c:pt idx="3637" formatCode="General">
                  <c:v>77.16</c:v>
                </c:pt>
                <c:pt idx="3638" formatCode="General">
                  <c:v>76.48</c:v>
                </c:pt>
                <c:pt idx="3639" formatCode="General">
                  <c:v>75.38</c:v>
                </c:pt>
                <c:pt idx="3640" formatCode="General">
                  <c:v>76.569999999999993</c:v>
                </c:pt>
                <c:pt idx="3641" formatCode="General">
                  <c:v>77.03</c:v>
                </c:pt>
                <c:pt idx="3642" formatCode="General">
                  <c:v>74.53</c:v>
                </c:pt>
                <c:pt idx="3643" formatCode="General">
                  <c:v>71.77</c:v>
                </c:pt>
                <c:pt idx="3644" formatCode="General">
                  <c:v>68.16</c:v>
                </c:pt>
                <c:pt idx="3645" formatCode="General">
                  <c:v>68.31</c:v>
                </c:pt>
                <c:pt idx="3646" formatCode="General">
                  <c:v>66.36</c:v>
                </c:pt>
                <c:pt idx="3647" formatCode="General">
                  <c:v>67.47</c:v>
                </c:pt>
                <c:pt idx="3648" formatCode="General">
                  <c:v>69.31</c:v>
                </c:pt>
                <c:pt idx="3649" formatCode="General">
                  <c:v>69.92</c:v>
                </c:pt>
                <c:pt idx="3650" formatCode="General">
                  <c:v>69.39</c:v>
                </c:pt>
                <c:pt idx="3651" formatCode="General">
                  <c:v>69.099999999999994</c:v>
                </c:pt>
                <c:pt idx="3652" formatCode="General">
                  <c:v>69.55</c:v>
                </c:pt>
                <c:pt idx="3653" formatCode="General">
                  <c:v>72.88</c:v>
                </c:pt>
                <c:pt idx="3654" formatCode="General">
                  <c:v>73.61</c:v>
                </c:pt>
                <c:pt idx="3655" formatCode="General">
                  <c:v>72.77</c:v>
                </c:pt>
                <c:pt idx="3656" formatCode="General">
                  <c:v>74.25</c:v>
                </c:pt>
                <c:pt idx="3657" formatCode="General">
                  <c:v>75.569999999999993</c:v>
                </c:pt>
                <c:pt idx="3658" formatCode="General">
                  <c:v>80.39</c:v>
                </c:pt>
                <c:pt idx="3659" formatCode="General">
                  <c:v>80.36</c:v>
                </c:pt>
                <c:pt idx="3660" formatCode="General">
                  <c:v>80.86</c:v>
                </c:pt>
                <c:pt idx="3661" formatCode="General">
                  <c:v>80.44</c:v>
                </c:pt>
                <c:pt idx="3662" formatCode="General">
                  <c:v>80.36</c:v>
                </c:pt>
                <c:pt idx="3663" formatCode="General">
                  <c:v>80.75</c:v>
                </c:pt>
                <c:pt idx="3664" formatCode="General">
                  <c:v>79.8</c:v>
                </c:pt>
                <c:pt idx="3665" formatCode="General">
                  <c:v>81.41</c:v>
                </c:pt>
                <c:pt idx="3666" formatCode="General">
                  <c:v>83.04</c:v>
                </c:pt>
                <c:pt idx="3667" formatCode="General">
                  <c:v>82.22</c:v>
                </c:pt>
                <c:pt idx="3668" formatCode="General">
                  <c:v>82.65</c:v>
                </c:pt>
                <c:pt idx="3669" formatCode="General">
                  <c:v>82.55</c:v>
                </c:pt>
                <c:pt idx="3670" formatCode="General">
                  <c:v>80.89</c:v>
                </c:pt>
                <c:pt idx="3671" formatCode="General">
                  <c:v>81.03</c:v>
                </c:pt>
                <c:pt idx="3672" formatCode="General">
                  <c:v>78.94</c:v>
                </c:pt>
                <c:pt idx="3673" formatCode="General">
                  <c:v>77.17</c:v>
                </c:pt>
                <c:pt idx="3674" formatCode="General">
                  <c:v>77.98</c:v>
                </c:pt>
                <c:pt idx="3675" formatCode="General">
                  <c:v>77.78</c:v>
                </c:pt>
                <c:pt idx="3676" formatCode="General">
                  <c:v>78.67</c:v>
                </c:pt>
                <c:pt idx="3677" formatCode="General">
                  <c:v>77.33</c:v>
                </c:pt>
                <c:pt idx="3678" formatCode="General">
                  <c:v>74.45</c:v>
                </c:pt>
                <c:pt idx="3679" formatCode="General">
                  <c:v>74.83</c:v>
                </c:pt>
                <c:pt idx="3680" formatCode="General">
                  <c:v>76.7</c:v>
                </c:pt>
                <c:pt idx="3681" formatCode="General">
                  <c:v>76.12</c:v>
                </c:pt>
                <c:pt idx="3682" formatCode="General">
                  <c:v>75.62</c:v>
                </c:pt>
                <c:pt idx="3683" formatCode="General">
                  <c:v>71.64</c:v>
                </c:pt>
                <c:pt idx="3684" formatCode="General">
                  <c:v>67.25</c:v>
                </c:pt>
                <c:pt idx="3685" formatCode="General">
                  <c:v>68.77</c:v>
                </c:pt>
                <c:pt idx="3686" formatCode="General">
                  <c:v>71.400000000000006</c:v>
                </c:pt>
                <c:pt idx="3687" formatCode="General">
                  <c:v>71.44</c:v>
                </c:pt>
                <c:pt idx="3688" formatCode="General">
                  <c:v>73</c:v>
                </c:pt>
                <c:pt idx="3689" formatCode="General">
                  <c:v>73.61</c:v>
                </c:pt>
                <c:pt idx="3690" formatCode="General">
                  <c:v>72.89</c:v>
                </c:pt>
                <c:pt idx="3691" formatCode="General">
                  <c:v>71.36</c:v>
                </c:pt>
                <c:pt idx="3692" formatCode="General">
                  <c:v>70.11</c:v>
                </c:pt>
                <c:pt idx="3693" formatCode="General">
                  <c:v>70.06</c:v>
                </c:pt>
                <c:pt idx="3694" formatCode="General">
                  <c:v>71.42</c:v>
                </c:pt>
                <c:pt idx="3695" formatCode="General">
                  <c:v>70.67</c:v>
                </c:pt>
                <c:pt idx="3696" formatCode="General">
                  <c:v>72.77</c:v>
                </c:pt>
                <c:pt idx="3697" formatCode="General">
                  <c:v>72.14</c:v>
                </c:pt>
                <c:pt idx="3698" formatCode="General">
                  <c:v>71.930000000000007</c:v>
                </c:pt>
                <c:pt idx="3699" formatCode="General">
                  <c:v>71.86</c:v>
                </c:pt>
                <c:pt idx="3700" formatCode="General">
                  <c:v>72.36</c:v>
                </c:pt>
                <c:pt idx="3701" formatCode="General">
                  <c:v>73.88</c:v>
                </c:pt>
                <c:pt idx="3702" formatCode="General">
                  <c:v>74.25</c:v>
                </c:pt>
                <c:pt idx="3703" formatCode="General">
                  <c:v>71.88</c:v>
                </c:pt>
                <c:pt idx="3704" formatCode="General">
                  <c:v>72.92</c:v>
                </c:pt>
                <c:pt idx="3705" formatCode="General">
                  <c:v>73.23</c:v>
                </c:pt>
                <c:pt idx="3706" formatCode="General">
                  <c:v>72.89</c:v>
                </c:pt>
                <c:pt idx="3707" formatCode="General">
                  <c:v>69.569999999999993</c:v>
                </c:pt>
                <c:pt idx="3708" formatCode="General">
                  <c:v>67.75</c:v>
                </c:pt>
                <c:pt idx="3709" formatCode="General">
                  <c:v>70.58</c:v>
                </c:pt>
              </c:numCache>
            </c:numRef>
          </c:val>
          <c:smooth val="0"/>
          <c:extLst>
            <c:ext xmlns:c16="http://schemas.microsoft.com/office/drawing/2014/chart" uri="{C3380CC4-5D6E-409C-BE32-E72D297353CC}">
              <c16:uniqueId val="{00000006-0F26-4C8E-AB81-A211AE5B6DE8}"/>
            </c:ext>
          </c:extLst>
        </c:ser>
        <c:dLbls>
          <c:showLegendKey val="0"/>
          <c:showVal val="0"/>
          <c:showCatName val="0"/>
          <c:showSerName val="0"/>
          <c:showPercent val="0"/>
          <c:showBubbleSize val="0"/>
        </c:dLbls>
        <c:smooth val="0"/>
        <c:axId val="247689840"/>
        <c:axId val="247684432"/>
      </c:lineChart>
      <c:dateAx>
        <c:axId val="247689840"/>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7684432"/>
        <c:crosses val="autoZero"/>
        <c:auto val="1"/>
        <c:lblOffset val="100"/>
        <c:baseTimeUnit val="days"/>
        <c:majorUnit val="4"/>
        <c:majorTimeUnit val="months"/>
      </c:dateAx>
      <c:valAx>
        <c:axId val="247684432"/>
        <c:scaling>
          <c:orientation val="minMax"/>
        </c:scaling>
        <c:delete val="1"/>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1"/>
                  <a:t>$/barril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crossAx val="247689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20367943579238"/>
          <c:y val="0.19843457417342272"/>
          <c:w val="0.46573837732440998"/>
          <c:h val="0.55758353185510967"/>
        </c:manualLayout>
      </c:layout>
      <c:lineChart>
        <c:grouping val="standard"/>
        <c:varyColors val="0"/>
        <c:ser>
          <c:idx val="0"/>
          <c:order val="0"/>
          <c:tx>
            <c:strRef>
              <c:f>Sheet1!$B$1</c:f>
              <c:strCache>
                <c:ptCount val="1"/>
                <c:pt idx="0">
                  <c:v>Tasa líder</c:v>
                </c:pt>
              </c:strCache>
            </c:strRef>
          </c:tx>
          <c:spPr>
            <a:ln w="19050" cap="rnd">
              <a:solidFill>
                <a:schemeClr val="accent1"/>
              </a:solidFill>
              <a:round/>
            </a:ln>
            <a:effectLst/>
          </c:spPr>
          <c:marker>
            <c:symbol val="none"/>
          </c:marker>
          <c:cat>
            <c:numRef>
              <c:f>Sheet1!$A$22:$A$186</c:f>
              <c:numCache>
                <c:formatCode>mmm\-yy</c:formatCode>
                <c:ptCount val="165"/>
                <c:pt idx="0">
                  <c:v>40057</c:v>
                </c:pt>
                <c:pt idx="1">
                  <c:v>40087</c:v>
                </c:pt>
                <c:pt idx="2">
                  <c:v>40118</c:v>
                </c:pt>
                <c:pt idx="3">
                  <c:v>40148</c:v>
                </c:pt>
                <c:pt idx="4">
                  <c:v>40179</c:v>
                </c:pt>
                <c:pt idx="5">
                  <c:v>40210</c:v>
                </c:pt>
                <c:pt idx="6">
                  <c:v>40238</c:v>
                </c:pt>
                <c:pt idx="7">
                  <c:v>40269</c:v>
                </c:pt>
                <c:pt idx="8">
                  <c:v>40299</c:v>
                </c:pt>
                <c:pt idx="9">
                  <c:v>40330</c:v>
                </c:pt>
                <c:pt idx="10">
                  <c:v>40360</c:v>
                </c:pt>
                <c:pt idx="11">
                  <c:v>40391</c:v>
                </c:pt>
                <c:pt idx="12">
                  <c:v>40422</c:v>
                </c:pt>
                <c:pt idx="13">
                  <c:v>40452</c:v>
                </c:pt>
                <c:pt idx="14">
                  <c:v>40483</c:v>
                </c:pt>
                <c:pt idx="15">
                  <c:v>40513</c:v>
                </c:pt>
                <c:pt idx="16">
                  <c:v>40544</c:v>
                </c:pt>
                <c:pt idx="17">
                  <c:v>40575</c:v>
                </c:pt>
                <c:pt idx="18">
                  <c:v>40603</c:v>
                </c:pt>
                <c:pt idx="19">
                  <c:v>40634</c:v>
                </c:pt>
                <c:pt idx="20">
                  <c:v>40664</c:v>
                </c:pt>
                <c:pt idx="21">
                  <c:v>40695</c:v>
                </c:pt>
                <c:pt idx="22">
                  <c:v>40725</c:v>
                </c:pt>
                <c:pt idx="23">
                  <c:v>40756</c:v>
                </c:pt>
                <c:pt idx="24">
                  <c:v>40787</c:v>
                </c:pt>
                <c:pt idx="25">
                  <c:v>40817</c:v>
                </c:pt>
                <c:pt idx="26">
                  <c:v>40848</c:v>
                </c:pt>
                <c:pt idx="27">
                  <c:v>40878</c:v>
                </c:pt>
                <c:pt idx="28">
                  <c:v>40909</c:v>
                </c:pt>
                <c:pt idx="29">
                  <c:v>40940</c:v>
                </c:pt>
                <c:pt idx="30">
                  <c:v>40969</c:v>
                </c:pt>
                <c:pt idx="31">
                  <c:v>41000</c:v>
                </c:pt>
                <c:pt idx="32">
                  <c:v>41030</c:v>
                </c:pt>
                <c:pt idx="33">
                  <c:v>41061</c:v>
                </c:pt>
                <c:pt idx="34">
                  <c:v>41091</c:v>
                </c:pt>
                <c:pt idx="35">
                  <c:v>41122</c:v>
                </c:pt>
                <c:pt idx="36">
                  <c:v>41153</c:v>
                </c:pt>
                <c:pt idx="37">
                  <c:v>41183</c:v>
                </c:pt>
                <c:pt idx="38">
                  <c:v>41214</c:v>
                </c:pt>
                <c:pt idx="39">
                  <c:v>41244</c:v>
                </c:pt>
                <c:pt idx="40">
                  <c:v>41275</c:v>
                </c:pt>
                <c:pt idx="41">
                  <c:v>41306</c:v>
                </c:pt>
                <c:pt idx="42">
                  <c:v>41334</c:v>
                </c:pt>
                <c:pt idx="43">
                  <c:v>41365</c:v>
                </c:pt>
                <c:pt idx="44">
                  <c:v>41395</c:v>
                </c:pt>
                <c:pt idx="45">
                  <c:v>41426</c:v>
                </c:pt>
                <c:pt idx="46">
                  <c:v>41456</c:v>
                </c:pt>
                <c:pt idx="47">
                  <c:v>41487</c:v>
                </c:pt>
                <c:pt idx="48">
                  <c:v>41518</c:v>
                </c:pt>
                <c:pt idx="49">
                  <c:v>41548</c:v>
                </c:pt>
                <c:pt idx="50">
                  <c:v>41579</c:v>
                </c:pt>
                <c:pt idx="51">
                  <c:v>41609</c:v>
                </c:pt>
                <c:pt idx="52">
                  <c:v>41640</c:v>
                </c:pt>
                <c:pt idx="53">
                  <c:v>41671</c:v>
                </c:pt>
                <c:pt idx="54">
                  <c:v>41699</c:v>
                </c:pt>
                <c:pt idx="55">
                  <c:v>41730</c:v>
                </c:pt>
                <c:pt idx="56">
                  <c:v>41760</c:v>
                </c:pt>
                <c:pt idx="57">
                  <c:v>41791</c:v>
                </c:pt>
                <c:pt idx="58">
                  <c:v>41821</c:v>
                </c:pt>
                <c:pt idx="59">
                  <c:v>41852</c:v>
                </c:pt>
                <c:pt idx="60">
                  <c:v>41883</c:v>
                </c:pt>
                <c:pt idx="61">
                  <c:v>41913</c:v>
                </c:pt>
                <c:pt idx="62">
                  <c:v>41944</c:v>
                </c:pt>
                <c:pt idx="63">
                  <c:v>41974</c:v>
                </c:pt>
                <c:pt idx="64">
                  <c:v>42005</c:v>
                </c:pt>
                <c:pt idx="65">
                  <c:v>42036</c:v>
                </c:pt>
                <c:pt idx="66">
                  <c:v>42064</c:v>
                </c:pt>
                <c:pt idx="67">
                  <c:v>42095</c:v>
                </c:pt>
                <c:pt idx="68">
                  <c:v>42125</c:v>
                </c:pt>
                <c:pt idx="69">
                  <c:v>42156</c:v>
                </c:pt>
                <c:pt idx="70">
                  <c:v>42186</c:v>
                </c:pt>
                <c:pt idx="71">
                  <c:v>42217</c:v>
                </c:pt>
                <c:pt idx="72">
                  <c:v>42248</c:v>
                </c:pt>
                <c:pt idx="73">
                  <c:v>42278</c:v>
                </c:pt>
                <c:pt idx="74">
                  <c:v>42309</c:v>
                </c:pt>
                <c:pt idx="75">
                  <c:v>42339</c:v>
                </c:pt>
                <c:pt idx="76">
                  <c:v>42370</c:v>
                </c:pt>
                <c:pt idx="77">
                  <c:v>42401</c:v>
                </c:pt>
                <c:pt idx="78">
                  <c:v>42430</c:v>
                </c:pt>
                <c:pt idx="79">
                  <c:v>42461</c:v>
                </c:pt>
                <c:pt idx="80">
                  <c:v>42491</c:v>
                </c:pt>
                <c:pt idx="81">
                  <c:v>42522</c:v>
                </c:pt>
                <c:pt idx="82">
                  <c:v>42552</c:v>
                </c:pt>
                <c:pt idx="83">
                  <c:v>42583</c:v>
                </c:pt>
                <c:pt idx="84">
                  <c:v>42614</c:v>
                </c:pt>
                <c:pt idx="85">
                  <c:v>42644</c:v>
                </c:pt>
                <c:pt idx="86">
                  <c:v>42675</c:v>
                </c:pt>
                <c:pt idx="87">
                  <c:v>42705</c:v>
                </c:pt>
                <c:pt idx="88">
                  <c:v>42736</c:v>
                </c:pt>
                <c:pt idx="89">
                  <c:v>42767</c:v>
                </c:pt>
                <c:pt idx="90">
                  <c:v>42795</c:v>
                </c:pt>
                <c:pt idx="91">
                  <c:v>42826</c:v>
                </c:pt>
                <c:pt idx="92">
                  <c:v>42856</c:v>
                </c:pt>
                <c:pt idx="93">
                  <c:v>42887</c:v>
                </c:pt>
                <c:pt idx="94">
                  <c:v>42917</c:v>
                </c:pt>
                <c:pt idx="95">
                  <c:v>42948</c:v>
                </c:pt>
                <c:pt idx="96">
                  <c:v>42979</c:v>
                </c:pt>
                <c:pt idx="97">
                  <c:v>43009</c:v>
                </c:pt>
                <c:pt idx="98">
                  <c:v>43040</c:v>
                </c:pt>
                <c:pt idx="99">
                  <c:v>43070</c:v>
                </c:pt>
                <c:pt idx="100">
                  <c:v>43101</c:v>
                </c:pt>
                <c:pt idx="101">
                  <c:v>43132</c:v>
                </c:pt>
                <c:pt idx="102">
                  <c:v>43160</c:v>
                </c:pt>
                <c:pt idx="103">
                  <c:v>43191</c:v>
                </c:pt>
                <c:pt idx="104">
                  <c:v>43221</c:v>
                </c:pt>
                <c:pt idx="105">
                  <c:v>43252</c:v>
                </c:pt>
                <c:pt idx="106">
                  <c:v>43282</c:v>
                </c:pt>
                <c:pt idx="107">
                  <c:v>43313</c:v>
                </c:pt>
                <c:pt idx="108">
                  <c:v>43344</c:v>
                </c:pt>
                <c:pt idx="109">
                  <c:v>43374</c:v>
                </c:pt>
                <c:pt idx="110">
                  <c:v>43405</c:v>
                </c:pt>
                <c:pt idx="111">
                  <c:v>43435</c:v>
                </c:pt>
                <c:pt idx="112">
                  <c:v>43466</c:v>
                </c:pt>
                <c:pt idx="113">
                  <c:v>43497</c:v>
                </c:pt>
                <c:pt idx="114">
                  <c:v>43525</c:v>
                </c:pt>
                <c:pt idx="115">
                  <c:v>43556</c:v>
                </c:pt>
                <c:pt idx="116">
                  <c:v>43586</c:v>
                </c:pt>
                <c:pt idx="117">
                  <c:v>43617</c:v>
                </c:pt>
                <c:pt idx="118">
                  <c:v>43647</c:v>
                </c:pt>
                <c:pt idx="119">
                  <c:v>43678</c:v>
                </c:pt>
                <c:pt idx="120">
                  <c:v>43709</c:v>
                </c:pt>
                <c:pt idx="121">
                  <c:v>43739</c:v>
                </c:pt>
                <c:pt idx="122">
                  <c:v>43770</c:v>
                </c:pt>
                <c:pt idx="123">
                  <c:v>43800</c:v>
                </c:pt>
                <c:pt idx="124">
                  <c:v>43831</c:v>
                </c:pt>
                <c:pt idx="125">
                  <c:v>43862</c:v>
                </c:pt>
                <c:pt idx="126">
                  <c:v>43891</c:v>
                </c:pt>
                <c:pt idx="127">
                  <c:v>43922</c:v>
                </c:pt>
                <c:pt idx="128">
                  <c:v>43952</c:v>
                </c:pt>
                <c:pt idx="129">
                  <c:v>43983</c:v>
                </c:pt>
                <c:pt idx="130">
                  <c:v>44013</c:v>
                </c:pt>
                <c:pt idx="131">
                  <c:v>44044</c:v>
                </c:pt>
                <c:pt idx="132">
                  <c:v>44075</c:v>
                </c:pt>
                <c:pt idx="133">
                  <c:v>44105</c:v>
                </c:pt>
                <c:pt idx="134">
                  <c:v>44136</c:v>
                </c:pt>
                <c:pt idx="135">
                  <c:v>44166</c:v>
                </c:pt>
                <c:pt idx="136">
                  <c:v>44197</c:v>
                </c:pt>
                <c:pt idx="137">
                  <c:v>44228</c:v>
                </c:pt>
                <c:pt idx="138">
                  <c:v>44256</c:v>
                </c:pt>
                <c:pt idx="139">
                  <c:v>44287</c:v>
                </c:pt>
                <c:pt idx="140">
                  <c:v>44317</c:v>
                </c:pt>
                <c:pt idx="141">
                  <c:v>44348</c:v>
                </c:pt>
                <c:pt idx="142">
                  <c:v>44378</c:v>
                </c:pt>
                <c:pt idx="143">
                  <c:v>44409</c:v>
                </c:pt>
                <c:pt idx="144">
                  <c:v>44440</c:v>
                </c:pt>
                <c:pt idx="145">
                  <c:v>44470</c:v>
                </c:pt>
                <c:pt idx="146">
                  <c:v>44501</c:v>
                </c:pt>
                <c:pt idx="147">
                  <c:v>44531</c:v>
                </c:pt>
                <c:pt idx="148">
                  <c:v>44562</c:v>
                </c:pt>
                <c:pt idx="149">
                  <c:v>44593</c:v>
                </c:pt>
                <c:pt idx="150">
                  <c:v>44621</c:v>
                </c:pt>
                <c:pt idx="151">
                  <c:v>44652</c:v>
                </c:pt>
                <c:pt idx="152">
                  <c:v>44682</c:v>
                </c:pt>
                <c:pt idx="153">
                  <c:v>44713</c:v>
                </c:pt>
                <c:pt idx="154">
                  <c:v>44743</c:v>
                </c:pt>
                <c:pt idx="155">
                  <c:v>44774</c:v>
                </c:pt>
                <c:pt idx="156">
                  <c:v>44805</c:v>
                </c:pt>
                <c:pt idx="157">
                  <c:v>44835</c:v>
                </c:pt>
                <c:pt idx="158">
                  <c:v>44866</c:v>
                </c:pt>
                <c:pt idx="159">
                  <c:v>44896</c:v>
                </c:pt>
                <c:pt idx="160">
                  <c:v>44927</c:v>
                </c:pt>
                <c:pt idx="161">
                  <c:v>44958</c:v>
                </c:pt>
                <c:pt idx="162">
                  <c:v>44986</c:v>
                </c:pt>
                <c:pt idx="163">
                  <c:v>45017</c:v>
                </c:pt>
                <c:pt idx="164">
                  <c:v>45047</c:v>
                </c:pt>
              </c:numCache>
            </c:numRef>
          </c:cat>
          <c:val>
            <c:numRef>
              <c:f>Sheet1!$B$22:$B$186</c:f>
              <c:numCache>
                <c:formatCode>_(* #,##0.00_);_(* \(#,##0.00\);_(* "-"??_);_(@_)</c:formatCode>
                <c:ptCount val="165"/>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pt idx="14">
                  <c:v>4.5</c:v>
                </c:pt>
                <c:pt idx="15">
                  <c:v>4.5</c:v>
                </c:pt>
                <c:pt idx="16">
                  <c:v>4.5</c:v>
                </c:pt>
                <c:pt idx="17">
                  <c:v>4.5</c:v>
                </c:pt>
                <c:pt idx="18">
                  <c:v>4.75</c:v>
                </c:pt>
                <c:pt idx="19">
                  <c:v>4.75</c:v>
                </c:pt>
                <c:pt idx="20">
                  <c:v>4.75</c:v>
                </c:pt>
                <c:pt idx="21">
                  <c:v>4.75</c:v>
                </c:pt>
                <c:pt idx="22">
                  <c:v>5</c:v>
                </c:pt>
                <c:pt idx="23">
                  <c:v>5</c:v>
                </c:pt>
                <c:pt idx="24">
                  <c:v>5.5</c:v>
                </c:pt>
                <c:pt idx="25">
                  <c:v>5.5</c:v>
                </c:pt>
                <c:pt idx="26">
                  <c:v>5.5</c:v>
                </c:pt>
                <c:pt idx="27">
                  <c:v>5.5</c:v>
                </c:pt>
                <c:pt idx="28">
                  <c:v>5.5</c:v>
                </c:pt>
                <c:pt idx="29">
                  <c:v>5.5</c:v>
                </c:pt>
                <c:pt idx="30">
                  <c:v>5.5</c:v>
                </c:pt>
                <c:pt idx="31">
                  <c:v>5.5</c:v>
                </c:pt>
                <c:pt idx="32">
                  <c:v>5.5</c:v>
                </c:pt>
                <c:pt idx="33">
                  <c:v>5</c:v>
                </c:pt>
                <c:pt idx="34">
                  <c:v>5</c:v>
                </c:pt>
                <c:pt idx="35">
                  <c:v>5</c:v>
                </c:pt>
                <c:pt idx="36">
                  <c:v>5</c:v>
                </c:pt>
                <c:pt idx="37">
                  <c:v>5</c:v>
                </c:pt>
                <c:pt idx="38">
                  <c:v>5</c:v>
                </c:pt>
                <c:pt idx="39">
                  <c:v>5</c:v>
                </c:pt>
                <c:pt idx="40">
                  <c:v>5</c:v>
                </c:pt>
                <c:pt idx="41">
                  <c:v>5</c:v>
                </c:pt>
                <c:pt idx="42">
                  <c:v>5</c:v>
                </c:pt>
                <c:pt idx="43">
                  <c:v>5.25</c:v>
                </c:pt>
                <c:pt idx="44">
                  <c:v>5.25</c:v>
                </c:pt>
                <c:pt idx="45">
                  <c:v>5.25</c:v>
                </c:pt>
                <c:pt idx="46">
                  <c:v>5.25</c:v>
                </c:pt>
                <c:pt idx="47">
                  <c:v>5.25</c:v>
                </c:pt>
                <c:pt idx="48">
                  <c:v>5.25</c:v>
                </c:pt>
                <c:pt idx="49">
                  <c:v>5</c:v>
                </c:pt>
                <c:pt idx="50">
                  <c:v>5</c:v>
                </c:pt>
                <c:pt idx="51">
                  <c:v>5</c:v>
                </c:pt>
                <c:pt idx="52">
                  <c:v>5</c:v>
                </c:pt>
                <c:pt idx="53">
                  <c:v>5</c:v>
                </c:pt>
                <c:pt idx="54">
                  <c:v>4.75</c:v>
                </c:pt>
                <c:pt idx="55">
                  <c:v>4.75</c:v>
                </c:pt>
                <c:pt idx="56">
                  <c:v>4.75</c:v>
                </c:pt>
                <c:pt idx="57">
                  <c:v>4.5</c:v>
                </c:pt>
                <c:pt idx="58">
                  <c:v>4.5</c:v>
                </c:pt>
                <c:pt idx="59">
                  <c:v>4.5</c:v>
                </c:pt>
                <c:pt idx="60">
                  <c:v>4.5</c:v>
                </c:pt>
                <c:pt idx="61">
                  <c:v>4.5</c:v>
                </c:pt>
                <c:pt idx="62">
                  <c:v>4</c:v>
                </c:pt>
                <c:pt idx="63">
                  <c:v>4</c:v>
                </c:pt>
                <c:pt idx="64">
                  <c:v>4</c:v>
                </c:pt>
                <c:pt idx="65">
                  <c:v>3.5</c:v>
                </c:pt>
                <c:pt idx="66">
                  <c:v>3.5</c:v>
                </c:pt>
                <c:pt idx="67">
                  <c:v>3.5</c:v>
                </c:pt>
                <c:pt idx="68">
                  <c:v>3.5</c:v>
                </c:pt>
                <c:pt idx="69">
                  <c:v>3.25</c:v>
                </c:pt>
                <c:pt idx="70">
                  <c:v>3.25</c:v>
                </c:pt>
                <c:pt idx="71">
                  <c:v>3.25</c:v>
                </c:pt>
                <c:pt idx="72">
                  <c:v>3.25</c:v>
                </c:pt>
                <c:pt idx="73">
                  <c:v>3</c:v>
                </c:pt>
                <c:pt idx="74">
                  <c:v>3</c:v>
                </c:pt>
                <c:pt idx="75">
                  <c:v>3</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pt idx="90">
                  <c:v>3</c:v>
                </c:pt>
                <c:pt idx="91">
                  <c:v>3</c:v>
                </c:pt>
                <c:pt idx="92">
                  <c:v>3</c:v>
                </c:pt>
                <c:pt idx="93">
                  <c:v>3</c:v>
                </c:pt>
                <c:pt idx="94">
                  <c:v>3</c:v>
                </c:pt>
                <c:pt idx="95">
                  <c:v>3</c:v>
                </c:pt>
                <c:pt idx="96">
                  <c:v>3</c:v>
                </c:pt>
                <c:pt idx="97">
                  <c:v>3</c:v>
                </c:pt>
                <c:pt idx="98">
                  <c:v>2.75</c:v>
                </c:pt>
                <c:pt idx="99">
                  <c:v>2.75</c:v>
                </c:pt>
                <c:pt idx="100">
                  <c:v>2.75</c:v>
                </c:pt>
                <c:pt idx="101">
                  <c:v>2.75</c:v>
                </c:pt>
                <c:pt idx="102">
                  <c:v>2.75</c:v>
                </c:pt>
                <c:pt idx="103">
                  <c:v>2.75</c:v>
                </c:pt>
                <c:pt idx="104">
                  <c:v>2.75</c:v>
                </c:pt>
                <c:pt idx="105">
                  <c:v>2.75</c:v>
                </c:pt>
                <c:pt idx="106">
                  <c:v>2.75</c:v>
                </c:pt>
                <c:pt idx="107">
                  <c:v>2.75</c:v>
                </c:pt>
                <c:pt idx="108">
                  <c:v>2.75</c:v>
                </c:pt>
                <c:pt idx="109">
                  <c:v>2.75</c:v>
                </c:pt>
                <c:pt idx="110">
                  <c:v>2.75</c:v>
                </c:pt>
                <c:pt idx="111">
                  <c:v>2.75</c:v>
                </c:pt>
                <c:pt idx="112">
                  <c:v>2.75</c:v>
                </c:pt>
                <c:pt idx="113">
                  <c:v>2.75</c:v>
                </c:pt>
                <c:pt idx="114">
                  <c:v>2.75</c:v>
                </c:pt>
                <c:pt idx="115">
                  <c:v>2.75</c:v>
                </c:pt>
                <c:pt idx="116">
                  <c:v>2.75</c:v>
                </c:pt>
                <c:pt idx="117">
                  <c:v>2.75</c:v>
                </c:pt>
                <c:pt idx="118">
                  <c:v>2.75</c:v>
                </c:pt>
                <c:pt idx="119">
                  <c:v>2.75</c:v>
                </c:pt>
                <c:pt idx="120">
                  <c:v>2.75</c:v>
                </c:pt>
                <c:pt idx="121">
                  <c:v>2.75</c:v>
                </c:pt>
                <c:pt idx="122">
                  <c:v>2.75</c:v>
                </c:pt>
                <c:pt idx="123">
                  <c:v>2.75</c:v>
                </c:pt>
                <c:pt idx="124">
                  <c:v>2.75</c:v>
                </c:pt>
                <c:pt idx="125">
                  <c:v>2.75</c:v>
                </c:pt>
                <c:pt idx="126">
                  <c:v>2</c:v>
                </c:pt>
                <c:pt idx="127">
                  <c:v>2</c:v>
                </c:pt>
                <c:pt idx="128">
                  <c:v>2</c:v>
                </c:pt>
                <c:pt idx="129">
                  <c:v>1.75</c:v>
                </c:pt>
                <c:pt idx="130">
                  <c:v>1.75</c:v>
                </c:pt>
                <c:pt idx="131">
                  <c:v>1.75</c:v>
                </c:pt>
                <c:pt idx="132">
                  <c:v>1.75</c:v>
                </c:pt>
                <c:pt idx="133">
                  <c:v>1.75</c:v>
                </c:pt>
                <c:pt idx="134">
                  <c:v>1.75</c:v>
                </c:pt>
                <c:pt idx="135">
                  <c:v>1.75</c:v>
                </c:pt>
                <c:pt idx="136">
                  <c:v>1.75</c:v>
                </c:pt>
                <c:pt idx="137">
                  <c:v>1.75</c:v>
                </c:pt>
                <c:pt idx="138">
                  <c:v>1.75</c:v>
                </c:pt>
                <c:pt idx="139">
                  <c:v>1.75</c:v>
                </c:pt>
                <c:pt idx="140">
                  <c:v>1.75</c:v>
                </c:pt>
                <c:pt idx="141">
                  <c:v>1.75</c:v>
                </c:pt>
                <c:pt idx="142">
                  <c:v>1.75</c:v>
                </c:pt>
                <c:pt idx="143">
                  <c:v>1.75</c:v>
                </c:pt>
                <c:pt idx="144">
                  <c:v>1.75</c:v>
                </c:pt>
                <c:pt idx="145">
                  <c:v>1.75</c:v>
                </c:pt>
                <c:pt idx="146">
                  <c:v>1.75</c:v>
                </c:pt>
                <c:pt idx="147">
                  <c:v>1.75</c:v>
                </c:pt>
                <c:pt idx="148">
                  <c:v>1.75</c:v>
                </c:pt>
                <c:pt idx="149">
                  <c:v>1.75</c:v>
                </c:pt>
                <c:pt idx="150">
                  <c:v>1.75</c:v>
                </c:pt>
                <c:pt idx="151">
                  <c:v>1.75</c:v>
                </c:pt>
                <c:pt idx="152">
                  <c:v>2</c:v>
                </c:pt>
                <c:pt idx="153">
                  <c:v>2.25</c:v>
                </c:pt>
                <c:pt idx="154">
                  <c:v>2.25</c:v>
                </c:pt>
                <c:pt idx="155">
                  <c:v>2.75</c:v>
                </c:pt>
                <c:pt idx="156">
                  <c:v>3</c:v>
                </c:pt>
                <c:pt idx="157">
                  <c:v>3</c:v>
                </c:pt>
                <c:pt idx="158">
                  <c:v>3.75</c:v>
                </c:pt>
                <c:pt idx="159">
                  <c:v>3.75</c:v>
                </c:pt>
                <c:pt idx="160">
                  <c:v>4.25</c:v>
                </c:pt>
                <c:pt idx="161">
                  <c:v>4.5</c:v>
                </c:pt>
                <c:pt idx="162">
                  <c:v>4.75</c:v>
                </c:pt>
                <c:pt idx="163">
                  <c:v>5</c:v>
                </c:pt>
                <c:pt idx="164">
                  <c:v>5</c:v>
                </c:pt>
              </c:numCache>
            </c:numRef>
          </c:val>
          <c:smooth val="0"/>
          <c:extLst>
            <c:ext xmlns:c16="http://schemas.microsoft.com/office/drawing/2014/chart" uri="{C3380CC4-5D6E-409C-BE32-E72D297353CC}">
              <c16:uniqueId val="{00000000-DF07-4217-B7C6-367126B5ABBA}"/>
            </c:ext>
          </c:extLst>
        </c:ser>
        <c:dLbls>
          <c:showLegendKey val="0"/>
          <c:showVal val="0"/>
          <c:showCatName val="0"/>
          <c:showSerName val="0"/>
          <c:showPercent val="0"/>
          <c:showBubbleSize val="0"/>
        </c:dLbls>
        <c:marker val="1"/>
        <c:smooth val="0"/>
        <c:axId val="1192951343"/>
        <c:axId val="1192947183"/>
      </c:lineChart>
      <c:lineChart>
        <c:grouping val="standard"/>
        <c:varyColors val="0"/>
        <c:ser>
          <c:idx val="1"/>
          <c:order val="1"/>
          <c:tx>
            <c:strRef>
              <c:f>Sheet1!$H$1</c:f>
              <c:strCache>
                <c:ptCount val="1"/>
                <c:pt idx="0">
                  <c:v>Bonos</c:v>
                </c:pt>
              </c:strCache>
            </c:strRef>
          </c:tx>
          <c:spPr>
            <a:ln w="19050" cap="rnd">
              <a:solidFill>
                <a:schemeClr val="accent5"/>
              </a:solidFill>
              <a:prstDash val="sysDot"/>
              <a:round/>
            </a:ln>
            <a:effectLst/>
          </c:spPr>
          <c:marker>
            <c:symbol val="none"/>
          </c:marker>
          <c:cat>
            <c:numRef>
              <c:f>Sheet1!$A$22:$A$186</c:f>
              <c:numCache>
                <c:formatCode>mmm\-yy</c:formatCode>
                <c:ptCount val="165"/>
                <c:pt idx="0">
                  <c:v>40057</c:v>
                </c:pt>
                <c:pt idx="1">
                  <c:v>40087</c:v>
                </c:pt>
                <c:pt idx="2">
                  <c:v>40118</c:v>
                </c:pt>
                <c:pt idx="3">
                  <c:v>40148</c:v>
                </c:pt>
                <c:pt idx="4">
                  <c:v>40179</c:v>
                </c:pt>
                <c:pt idx="5">
                  <c:v>40210</c:v>
                </c:pt>
                <c:pt idx="6">
                  <c:v>40238</c:v>
                </c:pt>
                <c:pt idx="7">
                  <c:v>40269</c:v>
                </c:pt>
                <c:pt idx="8">
                  <c:v>40299</c:v>
                </c:pt>
                <c:pt idx="9">
                  <c:v>40330</c:v>
                </c:pt>
                <c:pt idx="10">
                  <c:v>40360</c:v>
                </c:pt>
                <c:pt idx="11">
                  <c:v>40391</c:v>
                </c:pt>
                <c:pt idx="12">
                  <c:v>40422</c:v>
                </c:pt>
                <c:pt idx="13">
                  <c:v>40452</c:v>
                </c:pt>
                <c:pt idx="14">
                  <c:v>40483</c:v>
                </c:pt>
                <c:pt idx="15">
                  <c:v>40513</c:v>
                </c:pt>
                <c:pt idx="16">
                  <c:v>40544</c:v>
                </c:pt>
                <c:pt idx="17">
                  <c:v>40575</c:v>
                </c:pt>
                <c:pt idx="18">
                  <c:v>40603</c:v>
                </c:pt>
                <c:pt idx="19">
                  <c:v>40634</c:v>
                </c:pt>
                <c:pt idx="20">
                  <c:v>40664</c:v>
                </c:pt>
                <c:pt idx="21">
                  <c:v>40695</c:v>
                </c:pt>
                <c:pt idx="22">
                  <c:v>40725</c:v>
                </c:pt>
                <c:pt idx="23">
                  <c:v>40756</c:v>
                </c:pt>
                <c:pt idx="24">
                  <c:v>40787</c:v>
                </c:pt>
                <c:pt idx="25">
                  <c:v>40817</c:v>
                </c:pt>
                <c:pt idx="26">
                  <c:v>40848</c:v>
                </c:pt>
                <c:pt idx="27">
                  <c:v>40878</c:v>
                </c:pt>
                <c:pt idx="28">
                  <c:v>40909</c:v>
                </c:pt>
                <c:pt idx="29">
                  <c:v>40940</c:v>
                </c:pt>
                <c:pt idx="30">
                  <c:v>40969</c:v>
                </c:pt>
                <c:pt idx="31">
                  <c:v>41000</c:v>
                </c:pt>
                <c:pt idx="32">
                  <c:v>41030</c:v>
                </c:pt>
                <c:pt idx="33">
                  <c:v>41061</c:v>
                </c:pt>
                <c:pt idx="34">
                  <c:v>41091</c:v>
                </c:pt>
                <c:pt idx="35">
                  <c:v>41122</c:v>
                </c:pt>
                <c:pt idx="36">
                  <c:v>41153</c:v>
                </c:pt>
                <c:pt idx="37">
                  <c:v>41183</c:v>
                </c:pt>
                <c:pt idx="38">
                  <c:v>41214</c:v>
                </c:pt>
                <c:pt idx="39">
                  <c:v>41244</c:v>
                </c:pt>
                <c:pt idx="40">
                  <c:v>41275</c:v>
                </c:pt>
                <c:pt idx="41">
                  <c:v>41306</c:v>
                </c:pt>
                <c:pt idx="42">
                  <c:v>41334</c:v>
                </c:pt>
                <c:pt idx="43">
                  <c:v>41365</c:v>
                </c:pt>
                <c:pt idx="44">
                  <c:v>41395</c:v>
                </c:pt>
                <c:pt idx="45">
                  <c:v>41426</c:v>
                </c:pt>
                <c:pt idx="46">
                  <c:v>41456</c:v>
                </c:pt>
                <c:pt idx="47">
                  <c:v>41487</c:v>
                </c:pt>
                <c:pt idx="48">
                  <c:v>41518</c:v>
                </c:pt>
                <c:pt idx="49">
                  <c:v>41548</c:v>
                </c:pt>
                <c:pt idx="50">
                  <c:v>41579</c:v>
                </c:pt>
                <c:pt idx="51">
                  <c:v>41609</c:v>
                </c:pt>
                <c:pt idx="52">
                  <c:v>41640</c:v>
                </c:pt>
                <c:pt idx="53">
                  <c:v>41671</c:v>
                </c:pt>
                <c:pt idx="54">
                  <c:v>41699</c:v>
                </c:pt>
                <c:pt idx="55">
                  <c:v>41730</c:v>
                </c:pt>
                <c:pt idx="56">
                  <c:v>41760</c:v>
                </c:pt>
                <c:pt idx="57">
                  <c:v>41791</c:v>
                </c:pt>
                <c:pt idx="58">
                  <c:v>41821</c:v>
                </c:pt>
                <c:pt idx="59">
                  <c:v>41852</c:v>
                </c:pt>
                <c:pt idx="60">
                  <c:v>41883</c:v>
                </c:pt>
                <c:pt idx="61">
                  <c:v>41913</c:v>
                </c:pt>
                <c:pt idx="62">
                  <c:v>41944</c:v>
                </c:pt>
                <c:pt idx="63">
                  <c:v>41974</c:v>
                </c:pt>
                <c:pt idx="64">
                  <c:v>42005</c:v>
                </c:pt>
                <c:pt idx="65">
                  <c:v>42036</c:v>
                </c:pt>
                <c:pt idx="66">
                  <c:v>42064</c:v>
                </c:pt>
                <c:pt idx="67">
                  <c:v>42095</c:v>
                </c:pt>
                <c:pt idx="68">
                  <c:v>42125</c:v>
                </c:pt>
                <c:pt idx="69">
                  <c:v>42156</c:v>
                </c:pt>
                <c:pt idx="70">
                  <c:v>42186</c:v>
                </c:pt>
                <c:pt idx="71">
                  <c:v>42217</c:v>
                </c:pt>
                <c:pt idx="72">
                  <c:v>42248</c:v>
                </c:pt>
                <c:pt idx="73">
                  <c:v>42278</c:v>
                </c:pt>
                <c:pt idx="74">
                  <c:v>42309</c:v>
                </c:pt>
                <c:pt idx="75">
                  <c:v>42339</c:v>
                </c:pt>
                <c:pt idx="76">
                  <c:v>42370</c:v>
                </c:pt>
                <c:pt idx="77">
                  <c:v>42401</c:v>
                </c:pt>
                <c:pt idx="78">
                  <c:v>42430</c:v>
                </c:pt>
                <c:pt idx="79">
                  <c:v>42461</c:v>
                </c:pt>
                <c:pt idx="80">
                  <c:v>42491</c:v>
                </c:pt>
                <c:pt idx="81">
                  <c:v>42522</c:v>
                </c:pt>
                <c:pt idx="82">
                  <c:v>42552</c:v>
                </c:pt>
                <c:pt idx="83">
                  <c:v>42583</c:v>
                </c:pt>
                <c:pt idx="84">
                  <c:v>42614</c:v>
                </c:pt>
                <c:pt idx="85">
                  <c:v>42644</c:v>
                </c:pt>
                <c:pt idx="86">
                  <c:v>42675</c:v>
                </c:pt>
                <c:pt idx="87">
                  <c:v>42705</c:v>
                </c:pt>
                <c:pt idx="88">
                  <c:v>42736</c:v>
                </c:pt>
                <c:pt idx="89">
                  <c:v>42767</c:v>
                </c:pt>
                <c:pt idx="90">
                  <c:v>42795</c:v>
                </c:pt>
                <c:pt idx="91">
                  <c:v>42826</c:v>
                </c:pt>
                <c:pt idx="92">
                  <c:v>42856</c:v>
                </c:pt>
                <c:pt idx="93">
                  <c:v>42887</c:v>
                </c:pt>
                <c:pt idx="94">
                  <c:v>42917</c:v>
                </c:pt>
                <c:pt idx="95">
                  <c:v>42948</c:v>
                </c:pt>
                <c:pt idx="96">
                  <c:v>42979</c:v>
                </c:pt>
                <c:pt idx="97">
                  <c:v>43009</c:v>
                </c:pt>
                <c:pt idx="98">
                  <c:v>43040</c:v>
                </c:pt>
                <c:pt idx="99">
                  <c:v>43070</c:v>
                </c:pt>
                <c:pt idx="100">
                  <c:v>43101</c:v>
                </c:pt>
                <c:pt idx="101">
                  <c:v>43132</c:v>
                </c:pt>
                <c:pt idx="102">
                  <c:v>43160</c:v>
                </c:pt>
                <c:pt idx="103">
                  <c:v>43191</c:v>
                </c:pt>
                <c:pt idx="104">
                  <c:v>43221</c:v>
                </c:pt>
                <c:pt idx="105">
                  <c:v>43252</c:v>
                </c:pt>
                <c:pt idx="106">
                  <c:v>43282</c:v>
                </c:pt>
                <c:pt idx="107">
                  <c:v>43313</c:v>
                </c:pt>
                <c:pt idx="108">
                  <c:v>43344</c:v>
                </c:pt>
                <c:pt idx="109">
                  <c:v>43374</c:v>
                </c:pt>
                <c:pt idx="110">
                  <c:v>43405</c:v>
                </c:pt>
                <c:pt idx="111">
                  <c:v>43435</c:v>
                </c:pt>
                <c:pt idx="112">
                  <c:v>43466</c:v>
                </c:pt>
                <c:pt idx="113">
                  <c:v>43497</c:v>
                </c:pt>
                <c:pt idx="114">
                  <c:v>43525</c:v>
                </c:pt>
                <c:pt idx="115">
                  <c:v>43556</c:v>
                </c:pt>
                <c:pt idx="116">
                  <c:v>43586</c:v>
                </c:pt>
                <c:pt idx="117">
                  <c:v>43617</c:v>
                </c:pt>
                <c:pt idx="118">
                  <c:v>43647</c:v>
                </c:pt>
                <c:pt idx="119">
                  <c:v>43678</c:v>
                </c:pt>
                <c:pt idx="120">
                  <c:v>43709</c:v>
                </c:pt>
                <c:pt idx="121">
                  <c:v>43739</c:v>
                </c:pt>
                <c:pt idx="122">
                  <c:v>43770</c:v>
                </c:pt>
                <c:pt idx="123">
                  <c:v>43800</c:v>
                </c:pt>
                <c:pt idx="124">
                  <c:v>43831</c:v>
                </c:pt>
                <c:pt idx="125">
                  <c:v>43862</c:v>
                </c:pt>
                <c:pt idx="126">
                  <c:v>43891</c:v>
                </c:pt>
                <c:pt idx="127">
                  <c:v>43922</c:v>
                </c:pt>
                <c:pt idx="128">
                  <c:v>43952</c:v>
                </c:pt>
                <c:pt idx="129">
                  <c:v>43983</c:v>
                </c:pt>
                <c:pt idx="130">
                  <c:v>44013</c:v>
                </c:pt>
                <c:pt idx="131">
                  <c:v>44044</c:v>
                </c:pt>
                <c:pt idx="132">
                  <c:v>44075</c:v>
                </c:pt>
                <c:pt idx="133">
                  <c:v>44105</c:v>
                </c:pt>
                <c:pt idx="134">
                  <c:v>44136</c:v>
                </c:pt>
                <c:pt idx="135">
                  <c:v>44166</c:v>
                </c:pt>
                <c:pt idx="136">
                  <c:v>44197</c:v>
                </c:pt>
                <c:pt idx="137">
                  <c:v>44228</c:v>
                </c:pt>
                <c:pt idx="138">
                  <c:v>44256</c:v>
                </c:pt>
                <c:pt idx="139">
                  <c:v>44287</c:v>
                </c:pt>
                <c:pt idx="140">
                  <c:v>44317</c:v>
                </c:pt>
                <c:pt idx="141">
                  <c:v>44348</c:v>
                </c:pt>
                <c:pt idx="142">
                  <c:v>44378</c:v>
                </c:pt>
                <c:pt idx="143">
                  <c:v>44409</c:v>
                </c:pt>
                <c:pt idx="144">
                  <c:v>44440</c:v>
                </c:pt>
                <c:pt idx="145">
                  <c:v>44470</c:v>
                </c:pt>
                <c:pt idx="146">
                  <c:v>44501</c:v>
                </c:pt>
                <c:pt idx="147">
                  <c:v>44531</c:v>
                </c:pt>
                <c:pt idx="148">
                  <c:v>44562</c:v>
                </c:pt>
                <c:pt idx="149">
                  <c:v>44593</c:v>
                </c:pt>
                <c:pt idx="150">
                  <c:v>44621</c:v>
                </c:pt>
                <c:pt idx="151">
                  <c:v>44652</c:v>
                </c:pt>
                <c:pt idx="152">
                  <c:v>44682</c:v>
                </c:pt>
                <c:pt idx="153">
                  <c:v>44713</c:v>
                </c:pt>
                <c:pt idx="154">
                  <c:v>44743</c:v>
                </c:pt>
                <c:pt idx="155">
                  <c:v>44774</c:v>
                </c:pt>
                <c:pt idx="156">
                  <c:v>44805</c:v>
                </c:pt>
                <c:pt idx="157">
                  <c:v>44835</c:v>
                </c:pt>
                <c:pt idx="158">
                  <c:v>44866</c:v>
                </c:pt>
                <c:pt idx="159">
                  <c:v>44896</c:v>
                </c:pt>
                <c:pt idx="160">
                  <c:v>44927</c:v>
                </c:pt>
                <c:pt idx="161">
                  <c:v>44958</c:v>
                </c:pt>
                <c:pt idx="162">
                  <c:v>44986</c:v>
                </c:pt>
                <c:pt idx="163">
                  <c:v>45017</c:v>
                </c:pt>
                <c:pt idx="164">
                  <c:v>45047</c:v>
                </c:pt>
              </c:numCache>
            </c:numRef>
          </c:cat>
          <c:val>
            <c:numRef>
              <c:f>Sheet1!$H$22:$H$186</c:f>
              <c:numCache>
                <c:formatCode>_-* #,##0.0_-;\-* #,##0.0_-;_-* "-"??_-;_-@_-</c:formatCode>
                <c:ptCount val="165"/>
                <c:pt idx="0">
                  <c:v>9.25</c:v>
                </c:pt>
                <c:pt idx="1">
                  <c:v>9.25</c:v>
                </c:pt>
                <c:pt idx="2">
                  <c:v>9.25</c:v>
                </c:pt>
                <c:pt idx="3">
                  <c:v>9.25</c:v>
                </c:pt>
                <c:pt idx="4">
                  <c:v>9.25</c:v>
                </c:pt>
                <c:pt idx="5">
                  <c:v>9.25</c:v>
                </c:pt>
                <c:pt idx="6">
                  <c:v>9.25</c:v>
                </c:pt>
                <c:pt idx="7">
                  <c:v>9.25</c:v>
                </c:pt>
                <c:pt idx="8">
                  <c:v>9.25</c:v>
                </c:pt>
                <c:pt idx="9">
                  <c:v>8.9999000000000002</c:v>
                </c:pt>
                <c:pt idx="10">
                  <c:v>9</c:v>
                </c:pt>
                <c:pt idx="11">
                  <c:v>9</c:v>
                </c:pt>
                <c:pt idx="12">
                  <c:v>8.9962999999999997</c:v>
                </c:pt>
                <c:pt idx="13">
                  <c:v>8.9962999999999997</c:v>
                </c:pt>
                <c:pt idx="14">
                  <c:v>8.9962999999999997</c:v>
                </c:pt>
                <c:pt idx="15">
                  <c:v>8.9962999999999997</c:v>
                </c:pt>
                <c:pt idx="16">
                  <c:v>8.9962999999999997</c:v>
                </c:pt>
                <c:pt idx="17">
                  <c:v>9</c:v>
                </c:pt>
                <c:pt idx="18">
                  <c:v>9</c:v>
                </c:pt>
                <c:pt idx="19">
                  <c:v>9</c:v>
                </c:pt>
                <c:pt idx="20">
                  <c:v>9</c:v>
                </c:pt>
                <c:pt idx="21">
                  <c:v>9</c:v>
                </c:pt>
                <c:pt idx="22">
                  <c:v>9</c:v>
                </c:pt>
                <c:pt idx="23">
                  <c:v>9.3332999999999995</c:v>
                </c:pt>
                <c:pt idx="24">
                  <c:v>10</c:v>
                </c:pt>
                <c:pt idx="25">
                  <c:v>10</c:v>
                </c:pt>
                <c:pt idx="26">
                  <c:v>10</c:v>
                </c:pt>
                <c:pt idx="27">
                  <c:v>10</c:v>
                </c:pt>
                <c:pt idx="28">
                  <c:v>10</c:v>
                </c:pt>
                <c:pt idx="29">
                  <c:v>9.25</c:v>
                </c:pt>
                <c:pt idx="30">
                  <c:v>9.25</c:v>
                </c:pt>
                <c:pt idx="31">
                  <c:v>9.25</c:v>
                </c:pt>
                <c:pt idx="32">
                  <c:v>9.25</c:v>
                </c:pt>
                <c:pt idx="33">
                  <c:v>9.2108000000000008</c:v>
                </c:pt>
                <c:pt idx="34">
                  <c:v>9.1767000000000003</c:v>
                </c:pt>
                <c:pt idx="35">
                  <c:v>9.1767000000000003</c:v>
                </c:pt>
                <c:pt idx="36">
                  <c:v>9.1767000000000003</c:v>
                </c:pt>
                <c:pt idx="37">
                  <c:v>9.1767000000000003</c:v>
                </c:pt>
                <c:pt idx="38">
                  <c:v>9.1767000000000003</c:v>
                </c:pt>
                <c:pt idx="39">
                  <c:v>9.1767000000000003</c:v>
                </c:pt>
                <c:pt idx="40">
                  <c:v>9.1767000000000003</c:v>
                </c:pt>
                <c:pt idx="41">
                  <c:v>9.1767000000000003</c:v>
                </c:pt>
                <c:pt idx="42">
                  <c:v>9.1767000000000003</c:v>
                </c:pt>
                <c:pt idx="43">
                  <c:v>9.1767000000000003</c:v>
                </c:pt>
                <c:pt idx="44">
                  <c:v>9.1767000000000003</c:v>
                </c:pt>
                <c:pt idx="45">
                  <c:v>9.1767000000000003</c:v>
                </c:pt>
                <c:pt idx="46">
                  <c:v>9.1767000000000003</c:v>
                </c:pt>
                <c:pt idx="47">
                  <c:v>9.1767000000000003</c:v>
                </c:pt>
                <c:pt idx="48">
                  <c:v>9.1767000000000003</c:v>
                </c:pt>
                <c:pt idx="49">
                  <c:v>9.1767000000000003</c:v>
                </c:pt>
                <c:pt idx="50">
                  <c:v>9.1767000000000003</c:v>
                </c:pt>
                <c:pt idx="51">
                  <c:v>9.1767000000000003</c:v>
                </c:pt>
                <c:pt idx="52">
                  <c:v>9.1767000000000003</c:v>
                </c:pt>
                <c:pt idx="53">
                  <c:v>7.4981</c:v>
                </c:pt>
                <c:pt idx="54">
                  <c:v>7.4878999999999998</c:v>
                </c:pt>
                <c:pt idx="55">
                  <c:v>7.5</c:v>
                </c:pt>
                <c:pt idx="56">
                  <c:v>7.6</c:v>
                </c:pt>
                <c:pt idx="57">
                  <c:v>7.6</c:v>
                </c:pt>
                <c:pt idx="58">
                  <c:v>7.6</c:v>
                </c:pt>
                <c:pt idx="59">
                  <c:v>7.6</c:v>
                </c:pt>
                <c:pt idx="60">
                  <c:v>7.6</c:v>
                </c:pt>
                <c:pt idx="61">
                  <c:v>7.6</c:v>
                </c:pt>
                <c:pt idx="62">
                  <c:v>7.6</c:v>
                </c:pt>
                <c:pt idx="63">
                  <c:v>7.4863999999999997</c:v>
                </c:pt>
                <c:pt idx="64">
                  <c:v>7.4886999999999997</c:v>
                </c:pt>
                <c:pt idx="65">
                  <c:v>7.5</c:v>
                </c:pt>
                <c:pt idx="66">
                  <c:v>7.5</c:v>
                </c:pt>
                <c:pt idx="67">
                  <c:v>7.5</c:v>
                </c:pt>
                <c:pt idx="68">
                  <c:v>7.5</c:v>
                </c:pt>
                <c:pt idx="69">
                  <c:v>7.5</c:v>
                </c:pt>
                <c:pt idx="70">
                  <c:v>7.5</c:v>
                </c:pt>
                <c:pt idx="71">
                  <c:v>7.5</c:v>
                </c:pt>
                <c:pt idx="72">
                  <c:v>7.5</c:v>
                </c:pt>
                <c:pt idx="73">
                  <c:v>7.5</c:v>
                </c:pt>
                <c:pt idx="74">
                  <c:v>7.5</c:v>
                </c:pt>
                <c:pt idx="75">
                  <c:v>7.4523000000000001</c:v>
                </c:pt>
                <c:pt idx="76">
                  <c:v>7.4973999999999998</c:v>
                </c:pt>
                <c:pt idx="77">
                  <c:v>7.4188999999999998</c:v>
                </c:pt>
                <c:pt idx="78">
                  <c:v>7.3842999999999996</c:v>
                </c:pt>
                <c:pt idx="79">
                  <c:v>7.3842999999999996</c:v>
                </c:pt>
                <c:pt idx="80">
                  <c:v>7.3842999999999996</c:v>
                </c:pt>
                <c:pt idx="81">
                  <c:v>7.3842999999999996</c:v>
                </c:pt>
                <c:pt idx="82">
                  <c:v>7.3842999999999996</c:v>
                </c:pt>
                <c:pt idx="83">
                  <c:v>7.3842999999999996</c:v>
                </c:pt>
                <c:pt idx="84">
                  <c:v>7.3842999999999996</c:v>
                </c:pt>
                <c:pt idx="85">
                  <c:v>7.3842999999999996</c:v>
                </c:pt>
                <c:pt idx="86">
                  <c:v>7.3842999999999996</c:v>
                </c:pt>
                <c:pt idx="87">
                  <c:v>7.3842999999999996</c:v>
                </c:pt>
                <c:pt idx="88">
                  <c:v>7.1746999999999996</c:v>
                </c:pt>
                <c:pt idx="89">
                  <c:v>7.0213000000000001</c:v>
                </c:pt>
                <c:pt idx="90">
                  <c:v>6.9983000000000004</c:v>
                </c:pt>
                <c:pt idx="91">
                  <c:v>7.1085000000000003</c:v>
                </c:pt>
                <c:pt idx="92">
                  <c:v>7.1561000000000003</c:v>
                </c:pt>
                <c:pt idx="93">
                  <c:v>7.1376999999999997</c:v>
                </c:pt>
                <c:pt idx="94">
                  <c:v>7.1310000000000002</c:v>
                </c:pt>
                <c:pt idx="95">
                  <c:v>7.0899000000000001</c:v>
                </c:pt>
                <c:pt idx="96">
                  <c:v>6.931</c:v>
                </c:pt>
                <c:pt idx="97">
                  <c:v>6.8792</c:v>
                </c:pt>
                <c:pt idx="98">
                  <c:v>7.0444000000000004</c:v>
                </c:pt>
                <c:pt idx="99">
                  <c:v>7.0499000000000001</c:v>
                </c:pt>
                <c:pt idx="100">
                  <c:v>7.0499000000000001</c:v>
                </c:pt>
                <c:pt idx="101">
                  <c:v>6.78</c:v>
                </c:pt>
                <c:pt idx="102">
                  <c:v>6.6441999999999997</c:v>
                </c:pt>
                <c:pt idx="103">
                  <c:v>6.5712000000000002</c:v>
                </c:pt>
                <c:pt idx="104">
                  <c:v>6.4965999999999999</c:v>
                </c:pt>
                <c:pt idx="105">
                  <c:v>6.4710000000000001</c:v>
                </c:pt>
                <c:pt idx="106">
                  <c:v>6.4233000000000002</c:v>
                </c:pt>
                <c:pt idx="107">
                  <c:v>6.4008000000000003</c:v>
                </c:pt>
                <c:pt idx="108">
                  <c:v>6.3807</c:v>
                </c:pt>
                <c:pt idx="109">
                  <c:v>6.4992999999999999</c:v>
                </c:pt>
                <c:pt idx="110">
                  <c:v>6.4962999999999997</c:v>
                </c:pt>
                <c:pt idx="111">
                  <c:v>6.3962000000000003</c:v>
                </c:pt>
                <c:pt idx="112">
                  <c:v>6.4371</c:v>
                </c:pt>
                <c:pt idx="113">
                  <c:v>6.5909000000000004</c:v>
                </c:pt>
                <c:pt idx="114">
                  <c:v>6.6228999999999996</c:v>
                </c:pt>
                <c:pt idx="115">
                  <c:v>6.6097999999999999</c:v>
                </c:pt>
                <c:pt idx="116">
                  <c:v>6.5892999999999997</c:v>
                </c:pt>
                <c:pt idx="117">
                  <c:v>6.4889999999999999</c:v>
                </c:pt>
                <c:pt idx="118">
                  <c:v>6.1878000000000002</c:v>
                </c:pt>
                <c:pt idx="119">
                  <c:v>6.1878000000000002</c:v>
                </c:pt>
                <c:pt idx="120">
                  <c:v>6.1878000000000002</c:v>
                </c:pt>
                <c:pt idx="121">
                  <c:v>6.1878000000000002</c:v>
                </c:pt>
                <c:pt idx="122">
                  <c:v>6.1878000000000002</c:v>
                </c:pt>
                <c:pt idx="123">
                  <c:v>6.0186999999999999</c:v>
                </c:pt>
                <c:pt idx="124">
                  <c:v>6.0186999999999999</c:v>
                </c:pt>
                <c:pt idx="125">
                  <c:v>6</c:v>
                </c:pt>
                <c:pt idx="126">
                  <c:v>5.2599</c:v>
                </c:pt>
                <c:pt idx="127">
                  <c:v>5.4999000000000002</c:v>
                </c:pt>
                <c:pt idx="128">
                  <c:v>5.4871999999999996</c:v>
                </c:pt>
                <c:pt idx="129">
                  <c:v>5.4509999999999996</c:v>
                </c:pt>
                <c:pt idx="130">
                  <c:v>5.2648999999999999</c:v>
                </c:pt>
                <c:pt idx="131">
                  <c:v>5.2648999999999999</c:v>
                </c:pt>
                <c:pt idx="132">
                  <c:v>5.2648999999999999</c:v>
                </c:pt>
                <c:pt idx="133">
                  <c:v>5.2648999999999999</c:v>
                </c:pt>
                <c:pt idx="134">
                  <c:v>5.2648999999999999</c:v>
                </c:pt>
                <c:pt idx="135">
                  <c:v>5.2648999999999999</c:v>
                </c:pt>
                <c:pt idx="136">
                  <c:v>5.2648999999999999</c:v>
                </c:pt>
                <c:pt idx="137">
                  <c:v>5.2648999999999999</c:v>
                </c:pt>
                <c:pt idx="138">
                  <c:v>5.1482000000000001</c:v>
                </c:pt>
                <c:pt idx="139">
                  <c:v>5.0590000000000002</c:v>
                </c:pt>
                <c:pt idx="140">
                  <c:v>5.0298999999999996</c:v>
                </c:pt>
                <c:pt idx="141">
                  <c:v>4.9740000000000002</c:v>
                </c:pt>
                <c:pt idx="142">
                  <c:v>4.9740000000000002</c:v>
                </c:pt>
                <c:pt idx="143">
                  <c:v>4.9050000000000002</c:v>
                </c:pt>
                <c:pt idx="144">
                  <c:v>4.8890000000000002</c:v>
                </c:pt>
                <c:pt idx="145">
                  <c:v>4.8499999999999996</c:v>
                </c:pt>
                <c:pt idx="146">
                  <c:v>4.8499999999999996</c:v>
                </c:pt>
                <c:pt idx="147">
                  <c:v>4.8499999999999996</c:v>
                </c:pt>
                <c:pt idx="148">
                  <c:v>4.8499999999999996</c:v>
                </c:pt>
                <c:pt idx="149">
                  <c:v>4.8499999999999996</c:v>
                </c:pt>
                <c:pt idx="150">
                  <c:v>5.8682999999999996</c:v>
                </c:pt>
                <c:pt idx="151">
                  <c:v>5.8677000000000001</c:v>
                </c:pt>
                <c:pt idx="152">
                  <c:v>5.8659999999999997</c:v>
                </c:pt>
                <c:pt idx="153">
                  <c:v>5.8724999999999996</c:v>
                </c:pt>
                <c:pt idx="154">
                  <c:v>5.8724999999999996</c:v>
                </c:pt>
                <c:pt idx="155">
                  <c:v>5.8731</c:v>
                </c:pt>
                <c:pt idx="156">
                  <c:v>5.8731</c:v>
                </c:pt>
                <c:pt idx="157">
                  <c:v>5.8739999999999997</c:v>
                </c:pt>
                <c:pt idx="158">
                  <c:v>5.8733000000000004</c:v>
                </c:pt>
                <c:pt idx="159">
                  <c:v>5.8745000000000003</c:v>
                </c:pt>
                <c:pt idx="160">
                  <c:v>5.8745000000000003</c:v>
                </c:pt>
                <c:pt idx="161">
                  <c:v>5.8745000000000003</c:v>
                </c:pt>
                <c:pt idx="162">
                  <c:v>7.6022999999999996</c:v>
                </c:pt>
                <c:pt idx="163">
                  <c:v>7.6022999999999996</c:v>
                </c:pt>
                <c:pt idx="164">
                  <c:v>7.6040999999999999</c:v>
                </c:pt>
              </c:numCache>
            </c:numRef>
          </c:val>
          <c:smooth val="0"/>
          <c:extLst>
            <c:ext xmlns:c16="http://schemas.microsoft.com/office/drawing/2014/chart" uri="{C3380CC4-5D6E-409C-BE32-E72D297353CC}">
              <c16:uniqueId val="{00000001-DF07-4217-B7C6-367126B5ABBA}"/>
            </c:ext>
          </c:extLst>
        </c:ser>
        <c:dLbls>
          <c:showLegendKey val="0"/>
          <c:showVal val="0"/>
          <c:showCatName val="0"/>
          <c:showSerName val="0"/>
          <c:showPercent val="0"/>
          <c:showBubbleSize val="0"/>
        </c:dLbls>
        <c:marker val="1"/>
        <c:smooth val="0"/>
        <c:axId val="1145189887"/>
        <c:axId val="1062846079"/>
      </c:lineChart>
      <c:dateAx>
        <c:axId val="1192951343"/>
        <c:scaling>
          <c:orientation val="minMax"/>
          <c:min val="39934"/>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92947183"/>
        <c:crosses val="autoZero"/>
        <c:auto val="1"/>
        <c:lblOffset val="100"/>
        <c:baseTimeUnit val="months"/>
        <c:majorUnit val="2"/>
        <c:majorTimeUnit val="years"/>
      </c:dateAx>
      <c:valAx>
        <c:axId val="119294718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Tasa líder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92951343"/>
        <c:crosses val="autoZero"/>
        <c:crossBetween val="between"/>
      </c:valAx>
      <c:valAx>
        <c:axId val="1062846079"/>
        <c:scaling>
          <c:orientation val="minMax"/>
          <c:max val="12"/>
          <c:min val="0"/>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Tasa de colocación bonos de  </a:t>
                </a:r>
              </a:p>
              <a:p>
                <a:pPr>
                  <a:defRPr/>
                </a:pPr>
                <a:r>
                  <a:rPr lang="es-GT"/>
                  <a:t>10 años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5189887"/>
        <c:crosses val="max"/>
        <c:crossBetween val="between"/>
      </c:valAx>
      <c:dateAx>
        <c:axId val="1145189887"/>
        <c:scaling>
          <c:orientation val="minMax"/>
        </c:scaling>
        <c:delete val="1"/>
        <c:axPos val="b"/>
        <c:numFmt formatCode="mmm\-yy" sourceLinked="1"/>
        <c:majorTickMark val="out"/>
        <c:minorTickMark val="none"/>
        <c:tickLblPos val="nextTo"/>
        <c:crossAx val="1062846079"/>
        <c:crosses val="autoZero"/>
        <c:auto val="1"/>
        <c:lblOffset val="100"/>
        <c:baseTimeUnit val="months"/>
      </c:dateAx>
      <c:spPr>
        <a:noFill/>
        <a:ln>
          <a:noFill/>
        </a:ln>
        <a:effectLst/>
      </c:spPr>
    </c:plotArea>
    <c:legend>
      <c:legendPos val="b"/>
      <c:layout>
        <c:manualLayout>
          <c:xMode val="edge"/>
          <c:yMode val="edge"/>
          <c:x val="0.1185018494003291"/>
          <c:y val="2.3754629629629625E-3"/>
          <c:w val="0.72101516413671385"/>
          <c:h val="0.131440740740740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57444381377136E-2"/>
          <c:y val="0.12986111111111112"/>
          <c:w val="0.80667000000000011"/>
          <c:h val="0.68648842592592596"/>
        </c:manualLayout>
      </c:layout>
      <c:lineChart>
        <c:grouping val="standard"/>
        <c:varyColors val="0"/>
        <c:ser>
          <c:idx val="0"/>
          <c:order val="0"/>
          <c:tx>
            <c:strRef>
              <c:f>Modelo!$C$1</c:f>
              <c:strCache>
                <c:ptCount val="1"/>
                <c:pt idx="0">
                  <c:v>Eurobonos (2028)</c:v>
                </c:pt>
              </c:strCache>
            </c:strRef>
          </c:tx>
          <c:spPr>
            <a:ln w="19050" cap="rnd">
              <a:solidFill>
                <a:schemeClr val="accent1"/>
              </a:solidFill>
              <a:round/>
            </a:ln>
            <a:effectLst/>
          </c:spPr>
          <c:marker>
            <c:symbol val="none"/>
          </c:marker>
          <c:cat>
            <c:numRef>
              <c:f>Modelo!$A$2:$A$112</c:f>
              <c:numCache>
                <c:formatCode>mmm\-yy</c:formatCode>
                <c:ptCount val="111"/>
                <c:pt idx="0">
                  <c:v>41699</c:v>
                </c:pt>
                <c:pt idx="1">
                  <c:v>41730</c:v>
                </c:pt>
                <c:pt idx="2">
                  <c:v>41760</c:v>
                </c:pt>
                <c:pt idx="3">
                  <c:v>41791</c:v>
                </c:pt>
                <c:pt idx="4">
                  <c:v>41821</c:v>
                </c:pt>
                <c:pt idx="5">
                  <c:v>41852</c:v>
                </c:pt>
                <c:pt idx="6">
                  <c:v>41883</c:v>
                </c:pt>
                <c:pt idx="7">
                  <c:v>41913</c:v>
                </c:pt>
                <c:pt idx="8">
                  <c:v>41944</c:v>
                </c:pt>
                <c:pt idx="9">
                  <c:v>41974</c:v>
                </c:pt>
                <c:pt idx="10">
                  <c:v>42005</c:v>
                </c:pt>
                <c:pt idx="11">
                  <c:v>42036</c:v>
                </c:pt>
                <c:pt idx="12">
                  <c:v>42064</c:v>
                </c:pt>
                <c:pt idx="13">
                  <c:v>42095</c:v>
                </c:pt>
                <c:pt idx="14">
                  <c:v>42125</c:v>
                </c:pt>
                <c:pt idx="15">
                  <c:v>42156</c:v>
                </c:pt>
                <c:pt idx="16">
                  <c:v>42186</c:v>
                </c:pt>
                <c:pt idx="17">
                  <c:v>42217</c:v>
                </c:pt>
                <c:pt idx="18">
                  <c:v>42248</c:v>
                </c:pt>
                <c:pt idx="19">
                  <c:v>42278</c:v>
                </c:pt>
                <c:pt idx="20">
                  <c:v>42309</c:v>
                </c:pt>
                <c:pt idx="21">
                  <c:v>42339</c:v>
                </c:pt>
                <c:pt idx="22">
                  <c:v>42370</c:v>
                </c:pt>
                <c:pt idx="23">
                  <c:v>42401</c:v>
                </c:pt>
                <c:pt idx="24">
                  <c:v>42430</c:v>
                </c:pt>
                <c:pt idx="25">
                  <c:v>42461</c:v>
                </c:pt>
                <c:pt idx="26">
                  <c:v>42491</c:v>
                </c:pt>
                <c:pt idx="27">
                  <c:v>42522</c:v>
                </c:pt>
                <c:pt idx="28">
                  <c:v>42552</c:v>
                </c:pt>
                <c:pt idx="29">
                  <c:v>42583</c:v>
                </c:pt>
                <c:pt idx="30">
                  <c:v>42614</c:v>
                </c:pt>
                <c:pt idx="31">
                  <c:v>42644</c:v>
                </c:pt>
                <c:pt idx="32">
                  <c:v>42675</c:v>
                </c:pt>
                <c:pt idx="33">
                  <c:v>42705</c:v>
                </c:pt>
                <c:pt idx="34">
                  <c:v>42736</c:v>
                </c:pt>
                <c:pt idx="35">
                  <c:v>42767</c:v>
                </c:pt>
                <c:pt idx="36">
                  <c:v>42795</c:v>
                </c:pt>
                <c:pt idx="37">
                  <c:v>42826</c:v>
                </c:pt>
                <c:pt idx="38">
                  <c:v>42856</c:v>
                </c:pt>
                <c:pt idx="39">
                  <c:v>42887</c:v>
                </c:pt>
                <c:pt idx="40">
                  <c:v>42917</c:v>
                </c:pt>
                <c:pt idx="41">
                  <c:v>42948</c:v>
                </c:pt>
                <c:pt idx="42">
                  <c:v>42979</c:v>
                </c:pt>
                <c:pt idx="43">
                  <c:v>43009</c:v>
                </c:pt>
                <c:pt idx="44">
                  <c:v>43040</c:v>
                </c:pt>
                <c:pt idx="45">
                  <c:v>43070</c:v>
                </c:pt>
                <c:pt idx="46">
                  <c:v>43101</c:v>
                </c:pt>
                <c:pt idx="47">
                  <c:v>43132</c:v>
                </c:pt>
                <c:pt idx="48">
                  <c:v>43160</c:v>
                </c:pt>
                <c:pt idx="49">
                  <c:v>43191</c:v>
                </c:pt>
                <c:pt idx="50">
                  <c:v>43221</c:v>
                </c:pt>
                <c:pt idx="51">
                  <c:v>43252</c:v>
                </c:pt>
                <c:pt idx="52">
                  <c:v>43282</c:v>
                </c:pt>
                <c:pt idx="53">
                  <c:v>43313</c:v>
                </c:pt>
                <c:pt idx="54">
                  <c:v>43344</c:v>
                </c:pt>
                <c:pt idx="55">
                  <c:v>43374</c:v>
                </c:pt>
                <c:pt idx="56">
                  <c:v>43405</c:v>
                </c:pt>
                <c:pt idx="57">
                  <c:v>43435</c:v>
                </c:pt>
                <c:pt idx="58">
                  <c:v>43466</c:v>
                </c:pt>
                <c:pt idx="59">
                  <c:v>43497</c:v>
                </c:pt>
                <c:pt idx="60">
                  <c:v>43525</c:v>
                </c:pt>
                <c:pt idx="61">
                  <c:v>43556</c:v>
                </c:pt>
                <c:pt idx="62">
                  <c:v>43586</c:v>
                </c:pt>
                <c:pt idx="63">
                  <c:v>43617</c:v>
                </c:pt>
                <c:pt idx="64">
                  <c:v>43647</c:v>
                </c:pt>
                <c:pt idx="65">
                  <c:v>43678</c:v>
                </c:pt>
                <c:pt idx="66">
                  <c:v>43709</c:v>
                </c:pt>
                <c:pt idx="67">
                  <c:v>43739</c:v>
                </c:pt>
                <c:pt idx="68">
                  <c:v>43770</c:v>
                </c:pt>
                <c:pt idx="69">
                  <c:v>43800</c:v>
                </c:pt>
                <c:pt idx="70">
                  <c:v>43831</c:v>
                </c:pt>
                <c:pt idx="71">
                  <c:v>43862</c:v>
                </c:pt>
                <c:pt idx="72">
                  <c:v>43891</c:v>
                </c:pt>
                <c:pt idx="73">
                  <c:v>43922</c:v>
                </c:pt>
                <c:pt idx="74">
                  <c:v>43952</c:v>
                </c:pt>
                <c:pt idx="75">
                  <c:v>43983</c:v>
                </c:pt>
                <c:pt idx="76">
                  <c:v>44013</c:v>
                </c:pt>
                <c:pt idx="77">
                  <c:v>44044</c:v>
                </c:pt>
                <c:pt idx="78">
                  <c:v>44075</c:v>
                </c:pt>
                <c:pt idx="79">
                  <c:v>44105</c:v>
                </c:pt>
                <c:pt idx="80">
                  <c:v>44136</c:v>
                </c:pt>
                <c:pt idx="81">
                  <c:v>44166</c:v>
                </c:pt>
                <c:pt idx="82">
                  <c:v>44197</c:v>
                </c:pt>
                <c:pt idx="83">
                  <c:v>44228</c:v>
                </c:pt>
                <c:pt idx="84">
                  <c:v>44256</c:v>
                </c:pt>
                <c:pt idx="85">
                  <c:v>44287</c:v>
                </c:pt>
                <c:pt idx="86">
                  <c:v>44317</c:v>
                </c:pt>
                <c:pt idx="87">
                  <c:v>44348</c:v>
                </c:pt>
                <c:pt idx="88">
                  <c:v>44378</c:v>
                </c:pt>
                <c:pt idx="89">
                  <c:v>44409</c:v>
                </c:pt>
                <c:pt idx="90">
                  <c:v>44440</c:v>
                </c:pt>
                <c:pt idx="91">
                  <c:v>44470</c:v>
                </c:pt>
                <c:pt idx="92">
                  <c:v>44501</c:v>
                </c:pt>
                <c:pt idx="93">
                  <c:v>44531</c:v>
                </c:pt>
                <c:pt idx="94">
                  <c:v>44562</c:v>
                </c:pt>
                <c:pt idx="95">
                  <c:v>44593</c:v>
                </c:pt>
                <c:pt idx="96">
                  <c:v>44621</c:v>
                </c:pt>
                <c:pt idx="97">
                  <c:v>44652</c:v>
                </c:pt>
                <c:pt idx="98">
                  <c:v>44682</c:v>
                </c:pt>
                <c:pt idx="99">
                  <c:v>44713</c:v>
                </c:pt>
                <c:pt idx="100">
                  <c:v>44743</c:v>
                </c:pt>
                <c:pt idx="101">
                  <c:v>44774</c:v>
                </c:pt>
                <c:pt idx="102">
                  <c:v>44805</c:v>
                </c:pt>
                <c:pt idx="103">
                  <c:v>44835</c:v>
                </c:pt>
                <c:pt idx="104">
                  <c:v>44866</c:v>
                </c:pt>
                <c:pt idx="105">
                  <c:v>44896</c:v>
                </c:pt>
                <c:pt idx="106">
                  <c:v>44927</c:v>
                </c:pt>
                <c:pt idx="107">
                  <c:v>44958</c:v>
                </c:pt>
                <c:pt idx="108">
                  <c:v>44986</c:v>
                </c:pt>
                <c:pt idx="109">
                  <c:v>45017</c:v>
                </c:pt>
                <c:pt idx="110">
                  <c:v>45047</c:v>
                </c:pt>
              </c:numCache>
            </c:numRef>
          </c:cat>
          <c:val>
            <c:numRef>
              <c:f>Modelo!$C$2:$C$112</c:f>
              <c:numCache>
                <c:formatCode>_(* #,##0.00_);_(* \(#,##0.00\);_(* "-"??_);_(@_)</c:formatCode>
                <c:ptCount val="111"/>
                <c:pt idx="0">
                  <c:v>5.4061428571428563</c:v>
                </c:pt>
                <c:pt idx="1">
                  <c:v>5.2110000000000012</c:v>
                </c:pt>
                <c:pt idx="2">
                  <c:v>4.8956666666666662</c:v>
                </c:pt>
                <c:pt idx="3">
                  <c:v>4.7713809523809525</c:v>
                </c:pt>
                <c:pt idx="4">
                  <c:v>4.9611363636363643</c:v>
                </c:pt>
                <c:pt idx="5">
                  <c:v>4.7601904761904752</c:v>
                </c:pt>
                <c:pt idx="6">
                  <c:v>4.6585714285714275</c:v>
                </c:pt>
                <c:pt idx="7">
                  <c:v>4.6522272727272735</c:v>
                </c:pt>
                <c:pt idx="8">
                  <c:v>4.6518235294117645</c:v>
                </c:pt>
                <c:pt idx="9">
                  <c:v>4.7669090909090919</c:v>
                </c:pt>
                <c:pt idx="10">
                  <c:v>4.6423000000000005</c:v>
                </c:pt>
                <c:pt idx="11">
                  <c:v>4.2901578947368426</c:v>
                </c:pt>
                <c:pt idx="12">
                  <c:v>4.4785909090909097</c:v>
                </c:pt>
                <c:pt idx="13">
                  <c:v>4.4532380952380937</c:v>
                </c:pt>
                <c:pt idx="14">
                  <c:v>4.5977499999999996</c:v>
                </c:pt>
                <c:pt idx="15">
                  <c:v>4.8794545454545455</c:v>
                </c:pt>
                <c:pt idx="16">
                  <c:v>4.9772272727272719</c:v>
                </c:pt>
                <c:pt idx="17">
                  <c:v>5.1948095238095231</c:v>
                </c:pt>
                <c:pt idx="18">
                  <c:v>5.1243333333333325</c:v>
                </c:pt>
                <c:pt idx="19">
                  <c:v>5.1693809523809522</c:v>
                </c:pt>
                <c:pt idx="20">
                  <c:v>5.1565789473684207</c:v>
                </c:pt>
                <c:pt idx="21">
                  <c:v>5.2463181818181814</c:v>
                </c:pt>
                <c:pt idx="22">
                  <c:v>5.4677894736842108</c:v>
                </c:pt>
                <c:pt idx="23">
                  <c:v>5.410099999999999</c:v>
                </c:pt>
                <c:pt idx="24">
                  <c:v>4.8299090909090907</c:v>
                </c:pt>
                <c:pt idx="25">
                  <c:v>4.5007142857142854</c:v>
                </c:pt>
                <c:pt idx="26">
                  <c:v>4.6852380952380956</c:v>
                </c:pt>
                <c:pt idx="27">
                  <c:v>4.5774285714285714</c:v>
                </c:pt>
                <c:pt idx="28">
                  <c:v>4.1719999999999997</c:v>
                </c:pt>
                <c:pt idx="29">
                  <c:v>3.7603750000000002</c:v>
                </c:pt>
                <c:pt idx="30">
                  <c:v>3.9094285714285726</c:v>
                </c:pt>
                <c:pt idx="31">
                  <c:v>4.1027499999999995</c:v>
                </c:pt>
                <c:pt idx="32">
                  <c:v>4.8876500000000007</c:v>
                </c:pt>
                <c:pt idx="33">
                  <c:v>5.3790000000000004</c:v>
                </c:pt>
                <c:pt idx="34">
                  <c:v>5.0922000000000001</c:v>
                </c:pt>
                <c:pt idx="35">
                  <c:v>4.896684210526316</c:v>
                </c:pt>
                <c:pt idx="36">
                  <c:v>4.7178695652173914</c:v>
                </c:pt>
                <c:pt idx="37">
                  <c:v>4.4614736842105263</c:v>
                </c:pt>
                <c:pt idx="38">
                  <c:v>4.4019545454545455</c:v>
                </c:pt>
                <c:pt idx="39">
                  <c:v>4.3864545454545469</c:v>
                </c:pt>
                <c:pt idx="40">
                  <c:v>4.4872999999999994</c:v>
                </c:pt>
                <c:pt idx="41">
                  <c:v>4.4261739130434785</c:v>
                </c:pt>
                <c:pt idx="42">
                  <c:v>4.4573999999999998</c:v>
                </c:pt>
                <c:pt idx="43">
                  <c:v>4.5224761904761905</c:v>
                </c:pt>
                <c:pt idx="44">
                  <c:v>4.4862500000000001</c:v>
                </c:pt>
                <c:pt idx="45">
                  <c:v>4.4209999999999994</c:v>
                </c:pt>
                <c:pt idx="46">
                  <c:v>4.4036666666666653</c:v>
                </c:pt>
                <c:pt idx="47">
                  <c:v>4.8210526315789473</c:v>
                </c:pt>
                <c:pt idx="48">
                  <c:v>4.8427142857142851</c:v>
                </c:pt>
                <c:pt idx="49">
                  <c:v>4.9003809523809521</c:v>
                </c:pt>
                <c:pt idx="50">
                  <c:v>5.2830909090909079</c:v>
                </c:pt>
                <c:pt idx="51">
                  <c:v>5.4150000000000018</c:v>
                </c:pt>
                <c:pt idx="52">
                  <c:v>5.0027142857142861</c:v>
                </c:pt>
                <c:pt idx="53">
                  <c:v>5.0700434782608701</c:v>
                </c:pt>
                <c:pt idx="54">
                  <c:v>5.2939999999999996</c:v>
                </c:pt>
                <c:pt idx="55">
                  <c:v>5.5783636363636351</c:v>
                </c:pt>
                <c:pt idx="56">
                  <c:v>5.7658000000000005</c:v>
                </c:pt>
                <c:pt idx="57">
                  <c:v>5.6465882352941179</c:v>
                </c:pt>
                <c:pt idx="58">
                  <c:v>5.3124761904761897</c:v>
                </c:pt>
                <c:pt idx="59">
                  <c:v>5.0983157894736841</c:v>
                </c:pt>
                <c:pt idx="60">
                  <c:v>4.9660952380952379</c:v>
                </c:pt>
                <c:pt idx="61">
                  <c:v>4.7635714285714288</c:v>
                </c:pt>
                <c:pt idx="62">
                  <c:v>4.7754090909090907</c:v>
                </c:pt>
                <c:pt idx="63">
                  <c:v>4.5640499999999999</c:v>
                </c:pt>
                <c:pt idx="64">
                  <c:v>4.1797500000000012</c:v>
                </c:pt>
                <c:pt idx="65">
                  <c:v>4.0375454545454543</c:v>
                </c:pt>
                <c:pt idx="66">
                  <c:v>3.8630500000000003</c:v>
                </c:pt>
                <c:pt idx="67">
                  <c:v>3.9913636363636367</c:v>
                </c:pt>
                <c:pt idx="68">
                  <c:v>4.0055789473684209</c:v>
                </c:pt>
                <c:pt idx="69">
                  <c:v>3.9795238095238092</c:v>
                </c:pt>
                <c:pt idx="70">
                  <c:v>3.73852380952381</c:v>
                </c:pt>
                <c:pt idx="71">
                  <c:v>3.663842105263158</c:v>
                </c:pt>
                <c:pt idx="72">
                  <c:v>4.9171818181818177</c:v>
                </c:pt>
                <c:pt idx="73">
                  <c:v>4.8522857142857143</c:v>
                </c:pt>
                <c:pt idx="74">
                  <c:v>4.2427499999999991</c:v>
                </c:pt>
                <c:pt idx="75">
                  <c:v>3.7541363636363632</c:v>
                </c:pt>
                <c:pt idx="76">
                  <c:v>3.4613636363636364</c:v>
                </c:pt>
                <c:pt idx="77">
                  <c:v>2.9816190476190476</c:v>
                </c:pt>
                <c:pt idx="78">
                  <c:v>3.0969999999999995</c:v>
                </c:pt>
                <c:pt idx="79">
                  <c:v>2.9377619047619046</c:v>
                </c:pt>
                <c:pt idx="80">
                  <c:v>2.7978421052631579</c:v>
                </c:pt>
                <c:pt idx="81">
                  <c:v>2.6436818181818187</c:v>
                </c:pt>
                <c:pt idx="82">
                  <c:v>2.7635789473684214</c:v>
                </c:pt>
                <c:pt idx="83">
                  <c:v>2.9380526315789477</c:v>
                </c:pt>
                <c:pt idx="84">
                  <c:v>3.2163478260869565</c:v>
                </c:pt>
                <c:pt idx="85">
                  <c:v>2.9384285714285716</c:v>
                </c:pt>
                <c:pt idx="86">
                  <c:v>2.9289499999999995</c:v>
                </c:pt>
                <c:pt idx="87">
                  <c:v>2.8223181818181824</c:v>
                </c:pt>
                <c:pt idx="88">
                  <c:v>2.8131428571428567</c:v>
                </c:pt>
                <c:pt idx="89">
                  <c:v>2.9306818181818177</c:v>
                </c:pt>
                <c:pt idx="90">
                  <c:v>2.9441428571428565</c:v>
                </c:pt>
                <c:pt idx="91">
                  <c:v>3.3773500000000007</c:v>
                </c:pt>
                <c:pt idx="92">
                  <c:v>3.3656000000000006</c:v>
                </c:pt>
                <c:pt idx="93">
                  <c:v>3.4608181818181829</c:v>
                </c:pt>
                <c:pt idx="94">
                  <c:v>3.7173000000000003</c:v>
                </c:pt>
                <c:pt idx="95">
                  <c:v>4.1525789473684211</c:v>
                </c:pt>
                <c:pt idx="96">
                  <c:v>4.6996086956521745</c:v>
                </c:pt>
                <c:pt idx="97">
                  <c:v>4.6916999999999991</c:v>
                </c:pt>
                <c:pt idx="98">
                  <c:v>5.3355238095238082</c:v>
                </c:pt>
                <c:pt idx="99">
                  <c:v>5.8005454545454551</c:v>
                </c:pt>
                <c:pt idx="100">
                  <c:v>6.0090000000000003</c:v>
                </c:pt>
                <c:pt idx="101">
                  <c:v>5.0893478260869571</c:v>
                </c:pt>
                <c:pt idx="102">
                  <c:v>5.9093999999999998</c:v>
                </c:pt>
                <c:pt idx="103">
                  <c:v>6.952300000000001</c:v>
                </c:pt>
                <c:pt idx="104">
                  <c:v>6.10825</c:v>
                </c:pt>
                <c:pt idx="105">
                  <c:v>5.5985714285714288</c:v>
                </c:pt>
                <c:pt idx="106">
                  <c:v>5.5690499999999989</c:v>
                </c:pt>
                <c:pt idx="107">
                  <c:v>5.7444210526315782</c:v>
                </c:pt>
                <c:pt idx="108">
                  <c:v>5.787260869565217</c:v>
                </c:pt>
                <c:pt idx="109">
                  <c:v>5.465789473684211</c:v>
                </c:pt>
                <c:pt idx="110">
                  <c:v>5.6014545454545459</c:v>
                </c:pt>
              </c:numCache>
            </c:numRef>
          </c:val>
          <c:smooth val="0"/>
          <c:extLst>
            <c:ext xmlns:c16="http://schemas.microsoft.com/office/drawing/2014/chart" uri="{C3380CC4-5D6E-409C-BE32-E72D297353CC}">
              <c16:uniqueId val="{00000000-E1F3-46B6-A490-C73288A950C0}"/>
            </c:ext>
          </c:extLst>
        </c:ser>
        <c:ser>
          <c:idx val="1"/>
          <c:order val="1"/>
          <c:tx>
            <c:strRef>
              <c:f>Modelo!$E$1</c:f>
              <c:strCache>
                <c:ptCount val="1"/>
                <c:pt idx="0">
                  <c:v>Bonos de Gobierno de EE.UU. (10 años)</c:v>
                </c:pt>
              </c:strCache>
            </c:strRef>
          </c:tx>
          <c:spPr>
            <a:ln w="15875" cap="rnd">
              <a:solidFill>
                <a:schemeClr val="accent1">
                  <a:lumMod val="60000"/>
                  <a:lumOff val="40000"/>
                </a:schemeClr>
              </a:solidFill>
              <a:round/>
            </a:ln>
            <a:effectLst/>
          </c:spPr>
          <c:marker>
            <c:symbol val="none"/>
          </c:marker>
          <c:cat>
            <c:numRef>
              <c:f>Modelo!$A$2:$A$112</c:f>
              <c:numCache>
                <c:formatCode>mmm\-yy</c:formatCode>
                <c:ptCount val="111"/>
                <c:pt idx="0">
                  <c:v>41699</c:v>
                </c:pt>
                <c:pt idx="1">
                  <c:v>41730</c:v>
                </c:pt>
                <c:pt idx="2">
                  <c:v>41760</c:v>
                </c:pt>
                <c:pt idx="3">
                  <c:v>41791</c:v>
                </c:pt>
                <c:pt idx="4">
                  <c:v>41821</c:v>
                </c:pt>
                <c:pt idx="5">
                  <c:v>41852</c:v>
                </c:pt>
                <c:pt idx="6">
                  <c:v>41883</c:v>
                </c:pt>
                <c:pt idx="7">
                  <c:v>41913</c:v>
                </c:pt>
                <c:pt idx="8">
                  <c:v>41944</c:v>
                </c:pt>
                <c:pt idx="9">
                  <c:v>41974</c:v>
                </c:pt>
                <c:pt idx="10">
                  <c:v>42005</c:v>
                </c:pt>
                <c:pt idx="11">
                  <c:v>42036</c:v>
                </c:pt>
                <c:pt idx="12">
                  <c:v>42064</c:v>
                </c:pt>
                <c:pt idx="13">
                  <c:v>42095</c:v>
                </c:pt>
                <c:pt idx="14">
                  <c:v>42125</c:v>
                </c:pt>
                <c:pt idx="15">
                  <c:v>42156</c:v>
                </c:pt>
                <c:pt idx="16">
                  <c:v>42186</c:v>
                </c:pt>
                <c:pt idx="17">
                  <c:v>42217</c:v>
                </c:pt>
                <c:pt idx="18">
                  <c:v>42248</c:v>
                </c:pt>
                <c:pt idx="19">
                  <c:v>42278</c:v>
                </c:pt>
                <c:pt idx="20">
                  <c:v>42309</c:v>
                </c:pt>
                <c:pt idx="21">
                  <c:v>42339</c:v>
                </c:pt>
                <c:pt idx="22">
                  <c:v>42370</c:v>
                </c:pt>
                <c:pt idx="23">
                  <c:v>42401</c:v>
                </c:pt>
                <c:pt idx="24">
                  <c:v>42430</c:v>
                </c:pt>
                <c:pt idx="25">
                  <c:v>42461</c:v>
                </c:pt>
                <c:pt idx="26">
                  <c:v>42491</c:v>
                </c:pt>
                <c:pt idx="27">
                  <c:v>42522</c:v>
                </c:pt>
                <c:pt idx="28">
                  <c:v>42552</c:v>
                </c:pt>
                <c:pt idx="29">
                  <c:v>42583</c:v>
                </c:pt>
                <c:pt idx="30">
                  <c:v>42614</c:v>
                </c:pt>
                <c:pt idx="31">
                  <c:v>42644</c:v>
                </c:pt>
                <c:pt idx="32">
                  <c:v>42675</c:v>
                </c:pt>
                <c:pt idx="33">
                  <c:v>42705</c:v>
                </c:pt>
                <c:pt idx="34">
                  <c:v>42736</c:v>
                </c:pt>
                <c:pt idx="35">
                  <c:v>42767</c:v>
                </c:pt>
                <c:pt idx="36">
                  <c:v>42795</c:v>
                </c:pt>
                <c:pt idx="37">
                  <c:v>42826</c:v>
                </c:pt>
                <c:pt idx="38">
                  <c:v>42856</c:v>
                </c:pt>
                <c:pt idx="39">
                  <c:v>42887</c:v>
                </c:pt>
                <c:pt idx="40">
                  <c:v>42917</c:v>
                </c:pt>
                <c:pt idx="41">
                  <c:v>42948</c:v>
                </c:pt>
                <c:pt idx="42">
                  <c:v>42979</c:v>
                </c:pt>
                <c:pt idx="43">
                  <c:v>43009</c:v>
                </c:pt>
                <c:pt idx="44">
                  <c:v>43040</c:v>
                </c:pt>
                <c:pt idx="45">
                  <c:v>43070</c:v>
                </c:pt>
                <c:pt idx="46">
                  <c:v>43101</c:v>
                </c:pt>
                <c:pt idx="47">
                  <c:v>43132</c:v>
                </c:pt>
                <c:pt idx="48">
                  <c:v>43160</c:v>
                </c:pt>
                <c:pt idx="49">
                  <c:v>43191</c:v>
                </c:pt>
                <c:pt idx="50">
                  <c:v>43221</c:v>
                </c:pt>
                <c:pt idx="51">
                  <c:v>43252</c:v>
                </c:pt>
                <c:pt idx="52">
                  <c:v>43282</c:v>
                </c:pt>
                <c:pt idx="53">
                  <c:v>43313</c:v>
                </c:pt>
                <c:pt idx="54">
                  <c:v>43344</c:v>
                </c:pt>
                <c:pt idx="55">
                  <c:v>43374</c:v>
                </c:pt>
                <c:pt idx="56">
                  <c:v>43405</c:v>
                </c:pt>
                <c:pt idx="57">
                  <c:v>43435</c:v>
                </c:pt>
                <c:pt idx="58">
                  <c:v>43466</c:v>
                </c:pt>
                <c:pt idx="59">
                  <c:v>43497</c:v>
                </c:pt>
                <c:pt idx="60">
                  <c:v>43525</c:v>
                </c:pt>
                <c:pt idx="61">
                  <c:v>43556</c:v>
                </c:pt>
                <c:pt idx="62">
                  <c:v>43586</c:v>
                </c:pt>
                <c:pt idx="63">
                  <c:v>43617</c:v>
                </c:pt>
                <c:pt idx="64">
                  <c:v>43647</c:v>
                </c:pt>
                <c:pt idx="65">
                  <c:v>43678</c:v>
                </c:pt>
                <c:pt idx="66">
                  <c:v>43709</c:v>
                </c:pt>
                <c:pt idx="67">
                  <c:v>43739</c:v>
                </c:pt>
                <c:pt idx="68">
                  <c:v>43770</c:v>
                </c:pt>
                <c:pt idx="69">
                  <c:v>43800</c:v>
                </c:pt>
                <c:pt idx="70">
                  <c:v>43831</c:v>
                </c:pt>
                <c:pt idx="71">
                  <c:v>43862</c:v>
                </c:pt>
                <c:pt idx="72">
                  <c:v>43891</c:v>
                </c:pt>
                <c:pt idx="73">
                  <c:v>43922</c:v>
                </c:pt>
                <c:pt idx="74">
                  <c:v>43952</c:v>
                </c:pt>
                <c:pt idx="75">
                  <c:v>43983</c:v>
                </c:pt>
                <c:pt idx="76">
                  <c:v>44013</c:v>
                </c:pt>
                <c:pt idx="77">
                  <c:v>44044</c:v>
                </c:pt>
                <c:pt idx="78">
                  <c:v>44075</c:v>
                </c:pt>
                <c:pt idx="79">
                  <c:v>44105</c:v>
                </c:pt>
                <c:pt idx="80">
                  <c:v>44136</c:v>
                </c:pt>
                <c:pt idx="81">
                  <c:v>44166</c:v>
                </c:pt>
                <c:pt idx="82">
                  <c:v>44197</c:v>
                </c:pt>
                <c:pt idx="83">
                  <c:v>44228</c:v>
                </c:pt>
                <c:pt idx="84">
                  <c:v>44256</c:v>
                </c:pt>
                <c:pt idx="85">
                  <c:v>44287</c:v>
                </c:pt>
                <c:pt idx="86">
                  <c:v>44317</c:v>
                </c:pt>
                <c:pt idx="87">
                  <c:v>44348</c:v>
                </c:pt>
                <c:pt idx="88">
                  <c:v>44378</c:v>
                </c:pt>
                <c:pt idx="89">
                  <c:v>44409</c:v>
                </c:pt>
                <c:pt idx="90">
                  <c:v>44440</c:v>
                </c:pt>
                <c:pt idx="91">
                  <c:v>44470</c:v>
                </c:pt>
                <c:pt idx="92">
                  <c:v>44501</c:v>
                </c:pt>
                <c:pt idx="93">
                  <c:v>44531</c:v>
                </c:pt>
                <c:pt idx="94">
                  <c:v>44562</c:v>
                </c:pt>
                <c:pt idx="95">
                  <c:v>44593</c:v>
                </c:pt>
                <c:pt idx="96">
                  <c:v>44621</c:v>
                </c:pt>
                <c:pt idx="97">
                  <c:v>44652</c:v>
                </c:pt>
                <c:pt idx="98">
                  <c:v>44682</c:v>
                </c:pt>
                <c:pt idx="99">
                  <c:v>44713</c:v>
                </c:pt>
                <c:pt idx="100">
                  <c:v>44743</c:v>
                </c:pt>
                <c:pt idx="101">
                  <c:v>44774</c:v>
                </c:pt>
                <c:pt idx="102">
                  <c:v>44805</c:v>
                </c:pt>
                <c:pt idx="103">
                  <c:v>44835</c:v>
                </c:pt>
                <c:pt idx="104">
                  <c:v>44866</c:v>
                </c:pt>
                <c:pt idx="105">
                  <c:v>44896</c:v>
                </c:pt>
                <c:pt idx="106">
                  <c:v>44927</c:v>
                </c:pt>
                <c:pt idx="107">
                  <c:v>44958</c:v>
                </c:pt>
                <c:pt idx="108">
                  <c:v>44986</c:v>
                </c:pt>
                <c:pt idx="109">
                  <c:v>45017</c:v>
                </c:pt>
                <c:pt idx="110">
                  <c:v>45047</c:v>
                </c:pt>
              </c:numCache>
            </c:numRef>
          </c:cat>
          <c:val>
            <c:numRef>
              <c:f>Modelo!$E$2:$E$112</c:f>
              <c:numCache>
                <c:formatCode>_(* #,##0.00_);_(* \(#,##0.00\);_(* "-"??_);_(@_)</c:formatCode>
                <c:ptCount val="111"/>
                <c:pt idx="0">
                  <c:v>2.7233333333333332</c:v>
                </c:pt>
                <c:pt idx="1">
                  <c:v>2.7052380952380952</c:v>
                </c:pt>
                <c:pt idx="2">
                  <c:v>2.559047619047619</c:v>
                </c:pt>
                <c:pt idx="3">
                  <c:v>2.5985714285714288</c:v>
                </c:pt>
                <c:pt idx="4">
                  <c:v>2.5422727272727275</c:v>
                </c:pt>
                <c:pt idx="5">
                  <c:v>2.42</c:v>
                </c:pt>
                <c:pt idx="6">
                  <c:v>2.5342857142857143</c:v>
                </c:pt>
                <c:pt idx="7">
                  <c:v>2.3040909090909092</c:v>
                </c:pt>
                <c:pt idx="8">
                  <c:v>2.3255555555555558</c:v>
                </c:pt>
                <c:pt idx="9">
                  <c:v>2.2072727272727275</c:v>
                </c:pt>
                <c:pt idx="10">
                  <c:v>1.8815</c:v>
                </c:pt>
                <c:pt idx="11">
                  <c:v>1.9752631578947368</c:v>
                </c:pt>
                <c:pt idx="12">
                  <c:v>2.0427272727272725</c:v>
                </c:pt>
                <c:pt idx="13">
                  <c:v>1.9350000000000001</c:v>
                </c:pt>
                <c:pt idx="14">
                  <c:v>2.1974999999999998</c:v>
                </c:pt>
                <c:pt idx="15">
                  <c:v>2.3636363636363638</c:v>
                </c:pt>
                <c:pt idx="16">
                  <c:v>2.3245454545454547</c:v>
                </c:pt>
                <c:pt idx="17">
                  <c:v>2.1671428571428573</c:v>
                </c:pt>
                <c:pt idx="18">
                  <c:v>2.172857142857143</c:v>
                </c:pt>
                <c:pt idx="19">
                  <c:v>2.0699999999999998</c:v>
                </c:pt>
                <c:pt idx="20">
                  <c:v>2.263157894736842</c:v>
                </c:pt>
                <c:pt idx="21">
                  <c:v>2.2427272727272727</c:v>
                </c:pt>
                <c:pt idx="22">
                  <c:v>2.0852631578947367</c:v>
                </c:pt>
                <c:pt idx="23">
                  <c:v>1.7795000000000001</c:v>
                </c:pt>
                <c:pt idx="24">
                  <c:v>1.8890909090909092</c:v>
                </c:pt>
                <c:pt idx="25">
                  <c:v>1.8052380952380953</c:v>
                </c:pt>
                <c:pt idx="26">
                  <c:v>1.8061904761904761</c:v>
                </c:pt>
                <c:pt idx="27">
                  <c:v>1.644090909090909</c:v>
                </c:pt>
                <c:pt idx="28">
                  <c:v>1.504</c:v>
                </c:pt>
                <c:pt idx="29">
                  <c:v>1.5565217391304349</c:v>
                </c:pt>
                <c:pt idx="30">
                  <c:v>1.6304761904761904</c:v>
                </c:pt>
                <c:pt idx="31">
                  <c:v>1.7645</c:v>
                </c:pt>
                <c:pt idx="32">
                  <c:v>2.1419999999999999</c:v>
                </c:pt>
                <c:pt idx="33">
                  <c:v>2.4919047619047618</c:v>
                </c:pt>
                <c:pt idx="34">
                  <c:v>2.4325000000000001</c:v>
                </c:pt>
                <c:pt idx="35">
                  <c:v>2.4189473684210525</c:v>
                </c:pt>
                <c:pt idx="36">
                  <c:v>2.4817391304347827</c:v>
                </c:pt>
                <c:pt idx="37">
                  <c:v>2.2973684210526315</c:v>
                </c:pt>
                <c:pt idx="38">
                  <c:v>2.3036363636363637</c:v>
                </c:pt>
                <c:pt idx="39">
                  <c:v>2.186818181818182</c:v>
                </c:pt>
                <c:pt idx="40">
                  <c:v>2.3180000000000001</c:v>
                </c:pt>
                <c:pt idx="41">
                  <c:v>2.2091304347826086</c:v>
                </c:pt>
                <c:pt idx="42">
                  <c:v>2.202</c:v>
                </c:pt>
                <c:pt idx="43">
                  <c:v>2.36</c:v>
                </c:pt>
                <c:pt idx="44">
                  <c:v>2.3533333333333335</c:v>
                </c:pt>
                <c:pt idx="45">
                  <c:v>2.4024999999999999</c:v>
                </c:pt>
                <c:pt idx="46">
                  <c:v>2.5838095238095238</c:v>
                </c:pt>
                <c:pt idx="47">
                  <c:v>2.8589473684210525</c:v>
                </c:pt>
                <c:pt idx="48">
                  <c:v>2.8423809523809522</c:v>
                </c:pt>
                <c:pt idx="49">
                  <c:v>2.8690476190476191</c:v>
                </c:pt>
                <c:pt idx="50">
                  <c:v>2.9777272727272726</c:v>
                </c:pt>
                <c:pt idx="51">
                  <c:v>2.9123809523809525</c:v>
                </c:pt>
                <c:pt idx="52">
                  <c:v>2.8890476190476191</c:v>
                </c:pt>
                <c:pt idx="53">
                  <c:v>2.8891304347826088</c:v>
                </c:pt>
                <c:pt idx="54">
                  <c:v>3.0042105263157897</c:v>
                </c:pt>
                <c:pt idx="55">
                  <c:v>3.1522727272727273</c:v>
                </c:pt>
                <c:pt idx="56">
                  <c:v>3.117</c:v>
                </c:pt>
                <c:pt idx="57">
                  <c:v>2.8326315789473684</c:v>
                </c:pt>
                <c:pt idx="58">
                  <c:v>2.7138095238095237</c:v>
                </c:pt>
                <c:pt idx="59">
                  <c:v>2.676315789473684</c:v>
                </c:pt>
                <c:pt idx="60">
                  <c:v>2.5709523809523809</c:v>
                </c:pt>
                <c:pt idx="61">
                  <c:v>2.5323809523809526</c:v>
                </c:pt>
                <c:pt idx="62">
                  <c:v>2.395</c:v>
                </c:pt>
                <c:pt idx="63">
                  <c:v>2.0739999999999998</c:v>
                </c:pt>
                <c:pt idx="64">
                  <c:v>2.0590909090909091</c:v>
                </c:pt>
                <c:pt idx="65">
                  <c:v>1.6263636363636365</c:v>
                </c:pt>
                <c:pt idx="66">
                  <c:v>1.6995</c:v>
                </c:pt>
                <c:pt idx="67">
                  <c:v>1.7068181818181818</c:v>
                </c:pt>
                <c:pt idx="68">
                  <c:v>1.8121052631578947</c:v>
                </c:pt>
                <c:pt idx="69">
                  <c:v>1.862857142857143</c:v>
                </c:pt>
                <c:pt idx="70">
                  <c:v>1.7576190476190476</c:v>
                </c:pt>
                <c:pt idx="71">
                  <c:v>1.5042105263157894</c:v>
                </c:pt>
                <c:pt idx="72">
                  <c:v>0.87</c:v>
                </c:pt>
                <c:pt idx="73">
                  <c:v>0.65761904761904766</c:v>
                </c:pt>
                <c:pt idx="74">
                  <c:v>0.67400000000000004</c:v>
                </c:pt>
                <c:pt idx="75">
                  <c:v>0.72863636363636364</c:v>
                </c:pt>
                <c:pt idx="76">
                  <c:v>0.62363636363636366</c:v>
                </c:pt>
                <c:pt idx="77">
                  <c:v>0.65</c:v>
                </c:pt>
                <c:pt idx="78">
                  <c:v>0.67952380952380953</c:v>
                </c:pt>
                <c:pt idx="79">
                  <c:v>0.78714285714285714</c:v>
                </c:pt>
                <c:pt idx="80">
                  <c:v>0.87</c:v>
                </c:pt>
                <c:pt idx="81">
                  <c:v>0.9336363636363636</c:v>
                </c:pt>
                <c:pt idx="82">
                  <c:v>1.0810526315789475</c:v>
                </c:pt>
                <c:pt idx="83">
                  <c:v>1.2578947368421054</c:v>
                </c:pt>
                <c:pt idx="84">
                  <c:v>1.6108695652173912</c:v>
                </c:pt>
                <c:pt idx="85">
                  <c:v>1.635</c:v>
                </c:pt>
                <c:pt idx="86">
                  <c:v>1.621</c:v>
                </c:pt>
                <c:pt idx="87">
                  <c:v>1.519090909090909</c:v>
                </c:pt>
                <c:pt idx="88">
                  <c:v>1.3185714285714285</c:v>
                </c:pt>
                <c:pt idx="89">
                  <c:v>1.2831818181818182</c:v>
                </c:pt>
                <c:pt idx="90">
                  <c:v>1.3747619047619049</c:v>
                </c:pt>
                <c:pt idx="91">
                  <c:v>1.5825</c:v>
                </c:pt>
                <c:pt idx="92">
                  <c:v>1.5595000000000001</c:v>
                </c:pt>
                <c:pt idx="93">
                  <c:v>1.4650000000000001</c:v>
                </c:pt>
                <c:pt idx="94">
                  <c:v>1.764</c:v>
                </c:pt>
                <c:pt idx="95">
                  <c:v>1.9342105263157896</c:v>
                </c:pt>
                <c:pt idx="96">
                  <c:v>2.1278260869565218</c:v>
                </c:pt>
                <c:pt idx="97">
                  <c:v>2.7475000000000001</c:v>
                </c:pt>
                <c:pt idx="98">
                  <c:v>2.8980952380952383</c:v>
                </c:pt>
                <c:pt idx="99">
                  <c:v>3.1433333333333331</c:v>
                </c:pt>
                <c:pt idx="100">
                  <c:v>2.8959999999999999</c:v>
                </c:pt>
                <c:pt idx="101">
                  <c:v>2.8978260869565218</c:v>
                </c:pt>
                <c:pt idx="102">
                  <c:v>3.519047619047619</c:v>
                </c:pt>
                <c:pt idx="103">
                  <c:v>3.9834999999999998</c:v>
                </c:pt>
                <c:pt idx="104">
                  <c:v>3.891</c:v>
                </c:pt>
                <c:pt idx="105">
                  <c:v>3.6161904761904764</c:v>
                </c:pt>
                <c:pt idx="106">
                  <c:v>3.5314999999999999</c:v>
                </c:pt>
                <c:pt idx="107">
                  <c:v>3.7468421052631578</c:v>
                </c:pt>
                <c:pt idx="108">
                  <c:v>3.66</c:v>
                </c:pt>
                <c:pt idx="109">
                  <c:v>3.46</c:v>
                </c:pt>
                <c:pt idx="110">
                  <c:v>3.5736363636363637</c:v>
                </c:pt>
              </c:numCache>
            </c:numRef>
          </c:val>
          <c:smooth val="0"/>
          <c:extLst>
            <c:ext xmlns:c16="http://schemas.microsoft.com/office/drawing/2014/chart" uri="{C3380CC4-5D6E-409C-BE32-E72D297353CC}">
              <c16:uniqueId val="{00000001-E1F3-46B6-A490-C73288A950C0}"/>
            </c:ext>
          </c:extLst>
        </c:ser>
        <c:dLbls>
          <c:showLegendKey val="0"/>
          <c:showVal val="0"/>
          <c:showCatName val="0"/>
          <c:showSerName val="0"/>
          <c:showPercent val="0"/>
          <c:showBubbleSize val="0"/>
        </c:dLbls>
        <c:smooth val="0"/>
        <c:axId val="831763903"/>
        <c:axId val="831750175"/>
      </c:lineChart>
      <c:dateAx>
        <c:axId val="831763903"/>
        <c:scaling>
          <c:orientation val="minMax"/>
          <c:min val="41760"/>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31750175"/>
        <c:crosses val="autoZero"/>
        <c:auto val="1"/>
        <c:lblOffset val="100"/>
        <c:baseTimeUnit val="months"/>
        <c:majorUnit val="1"/>
        <c:majorTimeUnit val="years"/>
      </c:dateAx>
      <c:valAx>
        <c:axId val="831750175"/>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31763903"/>
        <c:crosses val="autoZero"/>
        <c:crossBetween val="between"/>
      </c:valAx>
      <c:spPr>
        <a:noFill/>
        <a:ln w="25400">
          <a:noFill/>
        </a:ln>
        <a:effectLst/>
      </c:spPr>
    </c:plotArea>
    <c:legend>
      <c:legendPos val="r"/>
      <c:layout>
        <c:manualLayout>
          <c:xMode val="edge"/>
          <c:yMode val="edge"/>
          <c:x val="9.2262222222222218E-2"/>
          <c:y val="6.4754629629629624E-3"/>
          <c:w val="0.89358611111111108"/>
          <c:h val="0.1697805555555555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525880895092769"/>
          <c:y val="0.21098704179178429"/>
          <c:w val="0.6471123978239488"/>
          <c:h val="0.57905525702259875"/>
        </c:manualLayout>
      </c:layout>
      <c:lineChart>
        <c:grouping val="standard"/>
        <c:varyColors val="0"/>
        <c:ser>
          <c:idx val="0"/>
          <c:order val="0"/>
          <c:tx>
            <c:strRef>
              <c:f>Diapositiva_3!$H$3</c:f>
              <c:strCache>
                <c:ptCount val="1"/>
                <c:pt idx="0">
                  <c:v>Tasa Reserva Federal</c:v>
                </c:pt>
              </c:strCache>
            </c:strRef>
          </c:tx>
          <c:spPr>
            <a:ln w="19050">
              <a:solidFill>
                <a:srgbClr val="002060"/>
              </a:solidFill>
            </a:ln>
          </c:spPr>
          <c:marker>
            <c:symbol val="none"/>
          </c:marker>
          <c:dLbls>
            <c:dLbl>
              <c:idx val="62"/>
              <c:layout>
                <c:manualLayout>
                  <c:x val="-1.2334887334887334E-2"/>
                  <c:y val="-8.0176767676767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5B-4DBA-A2DF-1CF241C5487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Diapositiva_3!$D$44:$D$106</c:f>
              <c:numCache>
                <c:formatCode>mmm\-yy</c:formatCode>
                <c:ptCount val="63"/>
                <c:pt idx="0">
                  <c:v>43221</c:v>
                </c:pt>
                <c:pt idx="1">
                  <c:v>43252</c:v>
                </c:pt>
                <c:pt idx="2">
                  <c:v>43282</c:v>
                </c:pt>
                <c:pt idx="3">
                  <c:v>43313</c:v>
                </c:pt>
                <c:pt idx="4">
                  <c:v>43344</c:v>
                </c:pt>
                <c:pt idx="5">
                  <c:v>43374</c:v>
                </c:pt>
                <c:pt idx="6">
                  <c:v>43405</c:v>
                </c:pt>
                <c:pt idx="7">
                  <c:v>43435</c:v>
                </c:pt>
                <c:pt idx="8">
                  <c:v>43466</c:v>
                </c:pt>
                <c:pt idx="9">
                  <c:v>43497</c:v>
                </c:pt>
                <c:pt idx="10">
                  <c:v>43525</c:v>
                </c:pt>
                <c:pt idx="11">
                  <c:v>43556</c:v>
                </c:pt>
                <c:pt idx="12">
                  <c:v>43586</c:v>
                </c:pt>
                <c:pt idx="13">
                  <c:v>43617</c:v>
                </c:pt>
                <c:pt idx="14">
                  <c:v>43647</c:v>
                </c:pt>
                <c:pt idx="15">
                  <c:v>43678</c:v>
                </c:pt>
                <c:pt idx="16">
                  <c:v>43709</c:v>
                </c:pt>
                <c:pt idx="17">
                  <c:v>43739</c:v>
                </c:pt>
                <c:pt idx="18">
                  <c:v>43770</c:v>
                </c:pt>
                <c:pt idx="19">
                  <c:v>43800</c:v>
                </c:pt>
                <c:pt idx="20">
                  <c:v>43831</c:v>
                </c:pt>
                <c:pt idx="21">
                  <c:v>43862</c:v>
                </c:pt>
                <c:pt idx="22">
                  <c:v>43891</c:v>
                </c:pt>
                <c:pt idx="23">
                  <c:v>43922</c:v>
                </c:pt>
                <c:pt idx="24">
                  <c:v>43952</c:v>
                </c:pt>
                <c:pt idx="25">
                  <c:v>43983</c:v>
                </c:pt>
                <c:pt idx="26">
                  <c:v>44013</c:v>
                </c:pt>
                <c:pt idx="27">
                  <c:v>44044</c:v>
                </c:pt>
                <c:pt idx="28">
                  <c:v>44075</c:v>
                </c:pt>
                <c:pt idx="29">
                  <c:v>44105</c:v>
                </c:pt>
                <c:pt idx="30">
                  <c:v>44136</c:v>
                </c:pt>
                <c:pt idx="31">
                  <c:v>44166</c:v>
                </c:pt>
                <c:pt idx="32">
                  <c:v>44197</c:v>
                </c:pt>
                <c:pt idx="33">
                  <c:v>44228</c:v>
                </c:pt>
                <c:pt idx="34">
                  <c:v>44256</c:v>
                </c:pt>
                <c:pt idx="35">
                  <c:v>44287</c:v>
                </c:pt>
                <c:pt idx="36">
                  <c:v>44317</c:v>
                </c:pt>
                <c:pt idx="37">
                  <c:v>44348</c:v>
                </c:pt>
                <c:pt idx="38">
                  <c:v>44378</c:v>
                </c:pt>
                <c:pt idx="39">
                  <c:v>44409</c:v>
                </c:pt>
                <c:pt idx="40">
                  <c:v>44440</c:v>
                </c:pt>
                <c:pt idx="41">
                  <c:v>44470</c:v>
                </c:pt>
                <c:pt idx="42">
                  <c:v>44501</c:v>
                </c:pt>
                <c:pt idx="43">
                  <c:v>44531</c:v>
                </c:pt>
                <c:pt idx="44">
                  <c:v>44562</c:v>
                </c:pt>
                <c:pt idx="45">
                  <c:v>44593</c:v>
                </c:pt>
                <c:pt idx="46">
                  <c:v>44621</c:v>
                </c:pt>
                <c:pt idx="47">
                  <c:v>44652</c:v>
                </c:pt>
                <c:pt idx="48">
                  <c:v>44682</c:v>
                </c:pt>
                <c:pt idx="49">
                  <c:v>44713</c:v>
                </c:pt>
                <c:pt idx="50">
                  <c:v>44743</c:v>
                </c:pt>
                <c:pt idx="51">
                  <c:v>44774</c:v>
                </c:pt>
                <c:pt idx="52">
                  <c:v>44805</c:v>
                </c:pt>
                <c:pt idx="53">
                  <c:v>44835</c:v>
                </c:pt>
                <c:pt idx="54">
                  <c:v>44866</c:v>
                </c:pt>
                <c:pt idx="55">
                  <c:v>44896</c:v>
                </c:pt>
                <c:pt idx="56">
                  <c:v>44927</c:v>
                </c:pt>
                <c:pt idx="57">
                  <c:v>44958</c:v>
                </c:pt>
                <c:pt idx="58">
                  <c:v>44986</c:v>
                </c:pt>
                <c:pt idx="59">
                  <c:v>45017</c:v>
                </c:pt>
                <c:pt idx="60">
                  <c:v>45047</c:v>
                </c:pt>
                <c:pt idx="61">
                  <c:v>45078</c:v>
                </c:pt>
                <c:pt idx="62">
                  <c:v>45108</c:v>
                </c:pt>
              </c:numCache>
            </c:numRef>
          </c:cat>
          <c:val>
            <c:numRef>
              <c:f>Diapositiva_3!$H$44:$H$106</c:f>
              <c:numCache>
                <c:formatCode>0.0</c:formatCode>
                <c:ptCount val="63"/>
                <c:pt idx="0">
                  <c:v>1.7</c:v>
                </c:pt>
                <c:pt idx="1">
                  <c:v>1.91</c:v>
                </c:pt>
                <c:pt idx="2">
                  <c:v>1.91</c:v>
                </c:pt>
                <c:pt idx="3">
                  <c:v>1.91</c:v>
                </c:pt>
                <c:pt idx="4">
                  <c:v>2.1800000000000002</c:v>
                </c:pt>
                <c:pt idx="5">
                  <c:v>2.2000000000000002</c:v>
                </c:pt>
                <c:pt idx="6">
                  <c:v>2.2000000000000002</c:v>
                </c:pt>
                <c:pt idx="7">
                  <c:v>2.4</c:v>
                </c:pt>
                <c:pt idx="8">
                  <c:v>2.4</c:v>
                </c:pt>
                <c:pt idx="9">
                  <c:v>2.4</c:v>
                </c:pt>
                <c:pt idx="10">
                  <c:v>2.4300000000000002</c:v>
                </c:pt>
                <c:pt idx="11">
                  <c:v>2.4500000000000002</c:v>
                </c:pt>
                <c:pt idx="12">
                  <c:v>2.4</c:v>
                </c:pt>
                <c:pt idx="13">
                  <c:v>2.4</c:v>
                </c:pt>
                <c:pt idx="14">
                  <c:v>2.4</c:v>
                </c:pt>
                <c:pt idx="15">
                  <c:v>2.13</c:v>
                </c:pt>
                <c:pt idx="16">
                  <c:v>1.9</c:v>
                </c:pt>
                <c:pt idx="17">
                  <c:v>1.58</c:v>
                </c:pt>
                <c:pt idx="18">
                  <c:v>1.56</c:v>
                </c:pt>
                <c:pt idx="19">
                  <c:v>1.55</c:v>
                </c:pt>
                <c:pt idx="20">
                  <c:v>1.59</c:v>
                </c:pt>
                <c:pt idx="21">
                  <c:v>1.58</c:v>
                </c:pt>
                <c:pt idx="22">
                  <c:v>0.08</c:v>
                </c:pt>
                <c:pt idx="23">
                  <c:v>0.05</c:v>
                </c:pt>
                <c:pt idx="24">
                  <c:v>0.05</c:v>
                </c:pt>
                <c:pt idx="25">
                  <c:v>0.08</c:v>
                </c:pt>
                <c:pt idx="26">
                  <c:v>0.1</c:v>
                </c:pt>
                <c:pt idx="27">
                  <c:v>0.09</c:v>
                </c:pt>
                <c:pt idx="28">
                  <c:v>0.09</c:v>
                </c:pt>
                <c:pt idx="29">
                  <c:v>0.09</c:v>
                </c:pt>
                <c:pt idx="30">
                  <c:v>0.09</c:v>
                </c:pt>
                <c:pt idx="31">
                  <c:v>0.09</c:v>
                </c:pt>
                <c:pt idx="32">
                  <c:v>7.0000000000000007E-2</c:v>
                </c:pt>
                <c:pt idx="33">
                  <c:v>7.0000000000000007E-2</c:v>
                </c:pt>
                <c:pt idx="34">
                  <c:v>0.06</c:v>
                </c:pt>
                <c:pt idx="35">
                  <c:v>0.05</c:v>
                </c:pt>
                <c:pt idx="36">
                  <c:v>0.05</c:v>
                </c:pt>
                <c:pt idx="37">
                  <c:v>0.08</c:v>
                </c:pt>
                <c:pt idx="38">
                  <c:v>7.0000000000000007E-2</c:v>
                </c:pt>
                <c:pt idx="39">
                  <c:v>0.06</c:v>
                </c:pt>
                <c:pt idx="40">
                  <c:v>0.06</c:v>
                </c:pt>
                <c:pt idx="41">
                  <c:v>7.0000000000000007E-2</c:v>
                </c:pt>
                <c:pt idx="42">
                  <c:v>7.0000000000000007E-2</c:v>
                </c:pt>
                <c:pt idx="43">
                  <c:v>7.0000000000000007E-2</c:v>
                </c:pt>
                <c:pt idx="44">
                  <c:v>0.08</c:v>
                </c:pt>
                <c:pt idx="45">
                  <c:v>0.08</c:v>
                </c:pt>
                <c:pt idx="46">
                  <c:v>0.33</c:v>
                </c:pt>
                <c:pt idx="47">
                  <c:v>0.33</c:v>
                </c:pt>
                <c:pt idx="48">
                  <c:v>0.83</c:v>
                </c:pt>
                <c:pt idx="49">
                  <c:v>1.58</c:v>
                </c:pt>
                <c:pt idx="50">
                  <c:v>2.3199999999999998</c:v>
                </c:pt>
                <c:pt idx="51">
                  <c:v>2.33</c:v>
                </c:pt>
                <c:pt idx="52">
                  <c:v>3.08</c:v>
                </c:pt>
                <c:pt idx="53">
                  <c:v>3.08</c:v>
                </c:pt>
                <c:pt idx="54">
                  <c:v>3.83</c:v>
                </c:pt>
                <c:pt idx="55">
                  <c:v>4.33</c:v>
                </c:pt>
                <c:pt idx="56">
                  <c:v>4.33</c:v>
                </c:pt>
                <c:pt idx="57">
                  <c:v>4.57</c:v>
                </c:pt>
                <c:pt idx="58">
                  <c:v>4.83</c:v>
                </c:pt>
                <c:pt idx="59">
                  <c:v>4.83</c:v>
                </c:pt>
                <c:pt idx="60">
                  <c:v>5.08</c:v>
                </c:pt>
                <c:pt idx="61">
                  <c:v>5.08</c:v>
                </c:pt>
                <c:pt idx="62">
                  <c:v>#N/A</c:v>
                </c:pt>
              </c:numCache>
            </c:numRef>
          </c:val>
          <c:smooth val="0"/>
          <c:extLst>
            <c:ext xmlns:c16="http://schemas.microsoft.com/office/drawing/2014/chart" uri="{C3380CC4-5D6E-409C-BE32-E72D297353CC}">
              <c16:uniqueId val="{00000001-395B-4DBA-A2DF-1CF241C54879}"/>
            </c:ext>
          </c:extLst>
        </c:ser>
        <c:ser>
          <c:idx val="1"/>
          <c:order val="1"/>
          <c:tx>
            <c:strRef>
              <c:f>Diapositiva_3!$I$3</c:f>
              <c:strCache>
                <c:ptCount val="1"/>
                <c:pt idx="0">
                  <c:v>Tasa a 3 meses </c:v>
                </c:pt>
              </c:strCache>
            </c:strRef>
          </c:tx>
          <c:spPr>
            <a:ln>
              <a:solidFill>
                <a:srgbClr val="0070C0"/>
              </a:solidFill>
              <a:prstDash val="sysDot"/>
            </a:ln>
          </c:spPr>
          <c:marker>
            <c:symbol val="none"/>
          </c:marker>
          <c:cat>
            <c:numRef>
              <c:f>Diapositiva_3!$D$44:$D$106</c:f>
              <c:numCache>
                <c:formatCode>mmm\-yy</c:formatCode>
                <c:ptCount val="63"/>
                <c:pt idx="0">
                  <c:v>43221</c:v>
                </c:pt>
                <c:pt idx="1">
                  <c:v>43252</c:v>
                </c:pt>
                <c:pt idx="2">
                  <c:v>43282</c:v>
                </c:pt>
                <c:pt idx="3">
                  <c:v>43313</c:v>
                </c:pt>
                <c:pt idx="4">
                  <c:v>43344</c:v>
                </c:pt>
                <c:pt idx="5">
                  <c:v>43374</c:v>
                </c:pt>
                <c:pt idx="6">
                  <c:v>43405</c:v>
                </c:pt>
                <c:pt idx="7">
                  <c:v>43435</c:v>
                </c:pt>
                <c:pt idx="8">
                  <c:v>43466</c:v>
                </c:pt>
                <c:pt idx="9">
                  <c:v>43497</c:v>
                </c:pt>
                <c:pt idx="10">
                  <c:v>43525</c:v>
                </c:pt>
                <c:pt idx="11">
                  <c:v>43556</c:v>
                </c:pt>
                <c:pt idx="12">
                  <c:v>43586</c:v>
                </c:pt>
                <c:pt idx="13">
                  <c:v>43617</c:v>
                </c:pt>
                <c:pt idx="14">
                  <c:v>43647</c:v>
                </c:pt>
                <c:pt idx="15">
                  <c:v>43678</c:v>
                </c:pt>
                <c:pt idx="16">
                  <c:v>43709</c:v>
                </c:pt>
                <c:pt idx="17">
                  <c:v>43739</c:v>
                </c:pt>
                <c:pt idx="18">
                  <c:v>43770</c:v>
                </c:pt>
                <c:pt idx="19">
                  <c:v>43800</c:v>
                </c:pt>
                <c:pt idx="20">
                  <c:v>43831</c:v>
                </c:pt>
                <c:pt idx="21">
                  <c:v>43862</c:v>
                </c:pt>
                <c:pt idx="22">
                  <c:v>43891</c:v>
                </c:pt>
                <c:pt idx="23">
                  <c:v>43922</c:v>
                </c:pt>
                <c:pt idx="24">
                  <c:v>43952</c:v>
                </c:pt>
                <c:pt idx="25">
                  <c:v>43983</c:v>
                </c:pt>
                <c:pt idx="26">
                  <c:v>44013</c:v>
                </c:pt>
                <c:pt idx="27">
                  <c:v>44044</c:v>
                </c:pt>
                <c:pt idx="28">
                  <c:v>44075</c:v>
                </c:pt>
                <c:pt idx="29">
                  <c:v>44105</c:v>
                </c:pt>
                <c:pt idx="30">
                  <c:v>44136</c:v>
                </c:pt>
                <c:pt idx="31">
                  <c:v>44166</c:v>
                </c:pt>
                <c:pt idx="32">
                  <c:v>44197</c:v>
                </c:pt>
                <c:pt idx="33">
                  <c:v>44228</c:v>
                </c:pt>
                <c:pt idx="34">
                  <c:v>44256</c:v>
                </c:pt>
                <c:pt idx="35">
                  <c:v>44287</c:v>
                </c:pt>
                <c:pt idx="36">
                  <c:v>44317</c:v>
                </c:pt>
                <c:pt idx="37">
                  <c:v>44348</c:v>
                </c:pt>
                <c:pt idx="38">
                  <c:v>44378</c:v>
                </c:pt>
                <c:pt idx="39">
                  <c:v>44409</c:v>
                </c:pt>
                <c:pt idx="40">
                  <c:v>44440</c:v>
                </c:pt>
                <c:pt idx="41">
                  <c:v>44470</c:v>
                </c:pt>
                <c:pt idx="42">
                  <c:v>44501</c:v>
                </c:pt>
                <c:pt idx="43">
                  <c:v>44531</c:v>
                </c:pt>
                <c:pt idx="44">
                  <c:v>44562</c:v>
                </c:pt>
                <c:pt idx="45">
                  <c:v>44593</c:v>
                </c:pt>
                <c:pt idx="46">
                  <c:v>44621</c:v>
                </c:pt>
                <c:pt idx="47">
                  <c:v>44652</c:v>
                </c:pt>
                <c:pt idx="48">
                  <c:v>44682</c:v>
                </c:pt>
                <c:pt idx="49">
                  <c:v>44713</c:v>
                </c:pt>
                <c:pt idx="50">
                  <c:v>44743</c:v>
                </c:pt>
                <c:pt idx="51">
                  <c:v>44774</c:v>
                </c:pt>
                <c:pt idx="52">
                  <c:v>44805</c:v>
                </c:pt>
                <c:pt idx="53">
                  <c:v>44835</c:v>
                </c:pt>
                <c:pt idx="54">
                  <c:v>44866</c:v>
                </c:pt>
                <c:pt idx="55">
                  <c:v>44896</c:v>
                </c:pt>
                <c:pt idx="56">
                  <c:v>44927</c:v>
                </c:pt>
                <c:pt idx="57">
                  <c:v>44958</c:v>
                </c:pt>
                <c:pt idx="58">
                  <c:v>44986</c:v>
                </c:pt>
                <c:pt idx="59">
                  <c:v>45017</c:v>
                </c:pt>
                <c:pt idx="60">
                  <c:v>45047</c:v>
                </c:pt>
                <c:pt idx="61">
                  <c:v>45078</c:v>
                </c:pt>
                <c:pt idx="62">
                  <c:v>45108</c:v>
                </c:pt>
              </c:numCache>
            </c:numRef>
          </c:cat>
          <c:val>
            <c:numRef>
              <c:f>Diapositiva_3!$I$44:$I$105</c:f>
              <c:numCache>
                <c:formatCode>0.0</c:formatCode>
                <c:ptCount val="62"/>
                <c:pt idx="0">
                  <c:v>1.86</c:v>
                </c:pt>
                <c:pt idx="1">
                  <c:v>1.9</c:v>
                </c:pt>
                <c:pt idx="2">
                  <c:v>1.96</c:v>
                </c:pt>
                <c:pt idx="3">
                  <c:v>2.0299999999999998</c:v>
                </c:pt>
                <c:pt idx="4">
                  <c:v>2.13</c:v>
                </c:pt>
                <c:pt idx="5">
                  <c:v>2.25</c:v>
                </c:pt>
                <c:pt idx="6">
                  <c:v>2.33</c:v>
                </c:pt>
                <c:pt idx="7">
                  <c:v>2.37</c:v>
                </c:pt>
                <c:pt idx="8">
                  <c:v>2.37</c:v>
                </c:pt>
                <c:pt idx="9">
                  <c:v>2.39</c:v>
                </c:pt>
                <c:pt idx="10">
                  <c:v>2.4</c:v>
                </c:pt>
                <c:pt idx="11">
                  <c:v>2.38</c:v>
                </c:pt>
                <c:pt idx="12">
                  <c:v>2.35</c:v>
                </c:pt>
                <c:pt idx="13">
                  <c:v>2.17</c:v>
                </c:pt>
                <c:pt idx="14">
                  <c:v>2.1</c:v>
                </c:pt>
                <c:pt idx="15">
                  <c:v>1.95</c:v>
                </c:pt>
                <c:pt idx="16">
                  <c:v>1.89</c:v>
                </c:pt>
                <c:pt idx="17">
                  <c:v>1.65</c:v>
                </c:pt>
                <c:pt idx="18">
                  <c:v>1.54</c:v>
                </c:pt>
                <c:pt idx="19">
                  <c:v>1.54</c:v>
                </c:pt>
                <c:pt idx="20">
                  <c:v>1.52</c:v>
                </c:pt>
                <c:pt idx="21">
                  <c:v>1.52</c:v>
                </c:pt>
                <c:pt idx="22">
                  <c:v>0.28999999999999998</c:v>
                </c:pt>
                <c:pt idx="23">
                  <c:v>0.14000000000000001</c:v>
                </c:pt>
                <c:pt idx="24">
                  <c:v>0.13</c:v>
                </c:pt>
                <c:pt idx="25">
                  <c:v>0.16</c:v>
                </c:pt>
                <c:pt idx="26">
                  <c:v>0.13</c:v>
                </c:pt>
                <c:pt idx="27">
                  <c:v>0.1</c:v>
                </c:pt>
                <c:pt idx="28">
                  <c:v>0.11</c:v>
                </c:pt>
                <c:pt idx="29">
                  <c:v>0.1</c:v>
                </c:pt>
                <c:pt idx="30">
                  <c:v>0.09</c:v>
                </c:pt>
                <c:pt idx="31">
                  <c:v>0.09</c:v>
                </c:pt>
                <c:pt idx="32">
                  <c:v>0.08</c:v>
                </c:pt>
                <c:pt idx="33">
                  <c:v>0.04</c:v>
                </c:pt>
                <c:pt idx="34">
                  <c:v>0.03</c:v>
                </c:pt>
                <c:pt idx="35">
                  <c:v>0.02</c:v>
                </c:pt>
                <c:pt idx="36">
                  <c:v>0.02</c:v>
                </c:pt>
                <c:pt idx="37">
                  <c:v>0.04</c:v>
                </c:pt>
                <c:pt idx="38">
                  <c:v>0.05</c:v>
                </c:pt>
                <c:pt idx="39">
                  <c:v>0.05</c:v>
                </c:pt>
                <c:pt idx="40">
                  <c:v>0.04</c:v>
                </c:pt>
                <c:pt idx="41">
                  <c:v>0.05</c:v>
                </c:pt>
                <c:pt idx="42">
                  <c:v>0.05</c:v>
                </c:pt>
                <c:pt idx="43">
                  <c:v>0.06</c:v>
                </c:pt>
                <c:pt idx="44">
                  <c:v>0.15</c:v>
                </c:pt>
                <c:pt idx="45">
                  <c:v>0.33</c:v>
                </c:pt>
                <c:pt idx="46">
                  <c:v>0.44</c:v>
                </c:pt>
                <c:pt idx="47">
                  <c:v>0.76</c:v>
                </c:pt>
                <c:pt idx="48">
                  <c:v>0.98</c:v>
                </c:pt>
                <c:pt idx="49">
                  <c:v>1.49</c:v>
                </c:pt>
                <c:pt idx="50">
                  <c:v>2.23</c:v>
                </c:pt>
                <c:pt idx="51">
                  <c:v>2.63</c:v>
                </c:pt>
                <c:pt idx="52">
                  <c:v>3.13</c:v>
                </c:pt>
                <c:pt idx="53">
                  <c:v>3.72</c:v>
                </c:pt>
                <c:pt idx="54">
                  <c:v>4.1500000000000004</c:v>
                </c:pt>
                <c:pt idx="55">
                  <c:v>4.25</c:v>
                </c:pt>
                <c:pt idx="56">
                  <c:v>4.54</c:v>
                </c:pt>
                <c:pt idx="57">
                  <c:v>4.6500000000000004</c:v>
                </c:pt>
                <c:pt idx="58">
                  <c:v>4.6900000000000004</c:v>
                </c:pt>
                <c:pt idx="59">
                  <c:v>4.92</c:v>
                </c:pt>
                <c:pt idx="60">
                  <c:v>5.14</c:v>
                </c:pt>
                <c:pt idx="61">
                  <c:v>5.16</c:v>
                </c:pt>
              </c:numCache>
            </c:numRef>
          </c:val>
          <c:smooth val="0"/>
          <c:extLst>
            <c:ext xmlns:c16="http://schemas.microsoft.com/office/drawing/2014/chart" uri="{C3380CC4-5D6E-409C-BE32-E72D297353CC}">
              <c16:uniqueId val="{00000002-395B-4DBA-A2DF-1CF241C54879}"/>
            </c:ext>
          </c:extLst>
        </c:ser>
        <c:ser>
          <c:idx val="2"/>
          <c:order val="2"/>
          <c:tx>
            <c:strRef>
              <c:f>Diapositiva_3!$J$3</c:f>
              <c:strCache>
                <c:ptCount val="1"/>
                <c:pt idx="0">
                  <c:v>SOFR</c:v>
                </c:pt>
              </c:strCache>
            </c:strRef>
          </c:tx>
          <c:spPr>
            <a:ln>
              <a:prstDash val="sysDash"/>
            </a:ln>
          </c:spPr>
          <c:marker>
            <c:symbol val="none"/>
          </c:marker>
          <c:cat>
            <c:numRef>
              <c:f>Diapositiva_3!$D$44:$D$106</c:f>
              <c:numCache>
                <c:formatCode>mmm\-yy</c:formatCode>
                <c:ptCount val="63"/>
                <c:pt idx="0">
                  <c:v>43221</c:v>
                </c:pt>
                <c:pt idx="1">
                  <c:v>43252</c:v>
                </c:pt>
                <c:pt idx="2">
                  <c:v>43282</c:v>
                </c:pt>
                <c:pt idx="3">
                  <c:v>43313</c:v>
                </c:pt>
                <c:pt idx="4">
                  <c:v>43344</c:v>
                </c:pt>
                <c:pt idx="5">
                  <c:v>43374</c:v>
                </c:pt>
                <c:pt idx="6">
                  <c:v>43405</c:v>
                </c:pt>
                <c:pt idx="7">
                  <c:v>43435</c:v>
                </c:pt>
                <c:pt idx="8">
                  <c:v>43466</c:v>
                </c:pt>
                <c:pt idx="9">
                  <c:v>43497</c:v>
                </c:pt>
                <c:pt idx="10">
                  <c:v>43525</c:v>
                </c:pt>
                <c:pt idx="11">
                  <c:v>43556</c:v>
                </c:pt>
                <c:pt idx="12">
                  <c:v>43586</c:v>
                </c:pt>
                <c:pt idx="13">
                  <c:v>43617</c:v>
                </c:pt>
                <c:pt idx="14">
                  <c:v>43647</c:v>
                </c:pt>
                <c:pt idx="15">
                  <c:v>43678</c:v>
                </c:pt>
                <c:pt idx="16">
                  <c:v>43709</c:v>
                </c:pt>
                <c:pt idx="17">
                  <c:v>43739</c:v>
                </c:pt>
                <c:pt idx="18">
                  <c:v>43770</c:v>
                </c:pt>
                <c:pt idx="19">
                  <c:v>43800</c:v>
                </c:pt>
                <c:pt idx="20">
                  <c:v>43831</c:v>
                </c:pt>
                <c:pt idx="21">
                  <c:v>43862</c:v>
                </c:pt>
                <c:pt idx="22">
                  <c:v>43891</c:v>
                </c:pt>
                <c:pt idx="23">
                  <c:v>43922</c:v>
                </c:pt>
                <c:pt idx="24">
                  <c:v>43952</c:v>
                </c:pt>
                <c:pt idx="25">
                  <c:v>43983</c:v>
                </c:pt>
                <c:pt idx="26">
                  <c:v>44013</c:v>
                </c:pt>
                <c:pt idx="27">
                  <c:v>44044</c:v>
                </c:pt>
                <c:pt idx="28">
                  <c:v>44075</c:v>
                </c:pt>
                <c:pt idx="29">
                  <c:v>44105</c:v>
                </c:pt>
                <c:pt idx="30">
                  <c:v>44136</c:v>
                </c:pt>
                <c:pt idx="31">
                  <c:v>44166</c:v>
                </c:pt>
                <c:pt idx="32">
                  <c:v>44197</c:v>
                </c:pt>
                <c:pt idx="33">
                  <c:v>44228</c:v>
                </c:pt>
                <c:pt idx="34">
                  <c:v>44256</c:v>
                </c:pt>
                <c:pt idx="35">
                  <c:v>44287</c:v>
                </c:pt>
                <c:pt idx="36">
                  <c:v>44317</c:v>
                </c:pt>
                <c:pt idx="37">
                  <c:v>44348</c:v>
                </c:pt>
                <c:pt idx="38">
                  <c:v>44378</c:v>
                </c:pt>
                <c:pt idx="39">
                  <c:v>44409</c:v>
                </c:pt>
                <c:pt idx="40">
                  <c:v>44440</c:v>
                </c:pt>
                <c:pt idx="41">
                  <c:v>44470</c:v>
                </c:pt>
                <c:pt idx="42">
                  <c:v>44501</c:v>
                </c:pt>
                <c:pt idx="43">
                  <c:v>44531</c:v>
                </c:pt>
                <c:pt idx="44">
                  <c:v>44562</c:v>
                </c:pt>
                <c:pt idx="45">
                  <c:v>44593</c:v>
                </c:pt>
                <c:pt idx="46">
                  <c:v>44621</c:v>
                </c:pt>
                <c:pt idx="47">
                  <c:v>44652</c:v>
                </c:pt>
                <c:pt idx="48">
                  <c:v>44682</c:v>
                </c:pt>
                <c:pt idx="49">
                  <c:v>44713</c:v>
                </c:pt>
                <c:pt idx="50">
                  <c:v>44743</c:v>
                </c:pt>
                <c:pt idx="51">
                  <c:v>44774</c:v>
                </c:pt>
                <c:pt idx="52">
                  <c:v>44805</c:v>
                </c:pt>
                <c:pt idx="53">
                  <c:v>44835</c:v>
                </c:pt>
                <c:pt idx="54">
                  <c:v>44866</c:v>
                </c:pt>
                <c:pt idx="55">
                  <c:v>44896</c:v>
                </c:pt>
                <c:pt idx="56">
                  <c:v>44927</c:v>
                </c:pt>
                <c:pt idx="57">
                  <c:v>44958</c:v>
                </c:pt>
                <c:pt idx="58">
                  <c:v>44986</c:v>
                </c:pt>
                <c:pt idx="59">
                  <c:v>45017</c:v>
                </c:pt>
                <c:pt idx="60">
                  <c:v>45047</c:v>
                </c:pt>
                <c:pt idx="61">
                  <c:v>45078</c:v>
                </c:pt>
                <c:pt idx="62">
                  <c:v>45108</c:v>
                </c:pt>
              </c:numCache>
            </c:numRef>
          </c:cat>
          <c:val>
            <c:numRef>
              <c:f>Diapositiva_3!$J$44:$J$105</c:f>
              <c:numCache>
                <c:formatCode>0.0</c:formatCode>
                <c:ptCount val="62"/>
                <c:pt idx="0">
                  <c:v>1.73</c:v>
                </c:pt>
                <c:pt idx="1">
                  <c:v>1.84</c:v>
                </c:pt>
                <c:pt idx="2">
                  <c:v>1.91</c:v>
                </c:pt>
                <c:pt idx="3">
                  <c:v>1.92</c:v>
                </c:pt>
                <c:pt idx="4">
                  <c:v>1.97</c:v>
                </c:pt>
                <c:pt idx="5">
                  <c:v>2.1800000000000002</c:v>
                </c:pt>
                <c:pt idx="6">
                  <c:v>2.2200000000000002</c:v>
                </c:pt>
                <c:pt idx="7">
                  <c:v>2.35</c:v>
                </c:pt>
                <c:pt idx="8">
                  <c:v>2.4700000000000002</c:v>
                </c:pt>
                <c:pt idx="9">
                  <c:v>2.4</c:v>
                </c:pt>
                <c:pt idx="10">
                  <c:v>2.42</c:v>
                </c:pt>
                <c:pt idx="11">
                  <c:v>2.48</c:v>
                </c:pt>
                <c:pt idx="12">
                  <c:v>2.42</c:v>
                </c:pt>
                <c:pt idx="13">
                  <c:v>2.39</c:v>
                </c:pt>
                <c:pt idx="14">
                  <c:v>2.4500000000000002</c:v>
                </c:pt>
                <c:pt idx="15">
                  <c:v>2.13</c:v>
                </c:pt>
                <c:pt idx="16">
                  <c:v>2.27</c:v>
                </c:pt>
                <c:pt idx="17">
                  <c:v>1.86</c:v>
                </c:pt>
                <c:pt idx="18">
                  <c:v>1.57</c:v>
                </c:pt>
                <c:pt idx="19">
                  <c:v>1.55</c:v>
                </c:pt>
                <c:pt idx="20">
                  <c:v>1.55</c:v>
                </c:pt>
                <c:pt idx="21">
                  <c:v>1.59</c:v>
                </c:pt>
                <c:pt idx="22">
                  <c:v>0.61</c:v>
                </c:pt>
                <c:pt idx="23">
                  <c:v>0.02</c:v>
                </c:pt>
                <c:pt idx="24">
                  <c:v>0.05</c:v>
                </c:pt>
                <c:pt idx="25">
                  <c:v>0.08</c:v>
                </c:pt>
                <c:pt idx="26">
                  <c:v>0.11</c:v>
                </c:pt>
                <c:pt idx="27">
                  <c:v>0.09</c:v>
                </c:pt>
                <c:pt idx="28">
                  <c:v>0.09</c:v>
                </c:pt>
                <c:pt idx="29">
                  <c:v>0.09</c:v>
                </c:pt>
                <c:pt idx="30">
                  <c:v>0.09</c:v>
                </c:pt>
                <c:pt idx="31">
                  <c:v>0.08</c:v>
                </c:pt>
                <c:pt idx="32">
                  <c:v>7.0000000000000007E-2</c:v>
                </c:pt>
                <c:pt idx="33">
                  <c:v>0.04</c:v>
                </c:pt>
                <c:pt idx="34">
                  <c:v>0.02</c:v>
                </c:pt>
                <c:pt idx="35">
                  <c:v>0.01</c:v>
                </c:pt>
                <c:pt idx="36">
                  <c:v>0.01</c:v>
                </c:pt>
                <c:pt idx="37">
                  <c:v>0.03</c:v>
                </c:pt>
                <c:pt idx="38">
                  <c:v>0.05</c:v>
                </c:pt>
                <c:pt idx="39">
                  <c:v>0.05</c:v>
                </c:pt>
                <c:pt idx="40">
                  <c:v>0.05</c:v>
                </c:pt>
                <c:pt idx="41">
                  <c:v>0.05</c:v>
                </c:pt>
                <c:pt idx="42">
                  <c:v>0.05</c:v>
                </c:pt>
                <c:pt idx="43">
                  <c:v>0.05</c:v>
                </c:pt>
                <c:pt idx="44">
                  <c:v>0.05</c:v>
                </c:pt>
                <c:pt idx="45">
                  <c:v>0.05</c:v>
                </c:pt>
                <c:pt idx="46">
                  <c:v>0.16</c:v>
                </c:pt>
                <c:pt idx="47">
                  <c:v>0.28999999999999998</c:v>
                </c:pt>
                <c:pt idx="48">
                  <c:v>0.72</c:v>
                </c:pt>
                <c:pt idx="49">
                  <c:v>1.1000000000000001</c:v>
                </c:pt>
                <c:pt idx="50">
                  <c:v>1.61</c:v>
                </c:pt>
                <c:pt idx="51">
                  <c:v>2.2799999999999998</c:v>
                </c:pt>
                <c:pt idx="52">
                  <c:v>2.5099999999999998</c:v>
                </c:pt>
                <c:pt idx="53">
                  <c:v>3.04</c:v>
                </c:pt>
                <c:pt idx="54">
                  <c:v>3.72</c:v>
                </c:pt>
                <c:pt idx="55">
                  <c:v>4.07</c:v>
                </c:pt>
                <c:pt idx="56">
                  <c:v>4.3</c:v>
                </c:pt>
                <c:pt idx="57">
                  <c:v>4.54</c:v>
                </c:pt>
                <c:pt idx="58">
                  <c:v>4.6399999999999997</c:v>
                </c:pt>
                <c:pt idx="59">
                  <c:v>4.8099999999999996</c:v>
                </c:pt>
                <c:pt idx="60">
                  <c:v>5.0199999999999996</c:v>
                </c:pt>
                <c:pt idx="61">
                  <c:v>5.0599999999999996</c:v>
                </c:pt>
              </c:numCache>
            </c:numRef>
          </c:val>
          <c:smooth val="0"/>
          <c:extLst>
            <c:ext xmlns:c16="http://schemas.microsoft.com/office/drawing/2014/chart" uri="{C3380CC4-5D6E-409C-BE32-E72D297353CC}">
              <c16:uniqueId val="{00000003-395B-4DBA-A2DF-1CF241C54879}"/>
            </c:ext>
          </c:extLst>
        </c:ser>
        <c:dLbls>
          <c:showLegendKey val="0"/>
          <c:showVal val="0"/>
          <c:showCatName val="0"/>
          <c:showSerName val="0"/>
          <c:showPercent val="0"/>
          <c:showBubbleSize val="0"/>
        </c:dLbls>
        <c:smooth val="0"/>
        <c:axId val="1164635504"/>
        <c:axId val="1164641328"/>
      </c:lineChart>
      <c:dateAx>
        <c:axId val="1164635504"/>
        <c:scaling>
          <c:orientation val="minMax"/>
          <c:min val="43252"/>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GT"/>
          </a:p>
        </c:txPr>
        <c:crossAx val="1164641328"/>
        <c:crosses val="autoZero"/>
        <c:auto val="1"/>
        <c:lblOffset val="100"/>
        <c:baseTimeUnit val="months"/>
        <c:majorUnit val="12"/>
        <c:majorTimeUnit val="months"/>
      </c:dateAx>
      <c:valAx>
        <c:axId val="1164641328"/>
        <c:scaling>
          <c:orientation val="minMax"/>
        </c:scaling>
        <c:delete val="0"/>
        <c:axPos val="l"/>
        <c:title>
          <c:tx>
            <c:rich>
              <a:bodyPr/>
              <a:lstStyle/>
              <a:p>
                <a:pPr>
                  <a:defRPr/>
                </a:pPr>
                <a:r>
                  <a:rPr lang="es-GT"/>
                  <a:t>Porcentaje</a:t>
                </a:r>
              </a:p>
            </c:rich>
          </c:tx>
          <c:layout>
            <c:manualLayout>
              <c:xMode val="edge"/>
              <c:yMode val="edge"/>
              <c:x val="2.1171489061397319E-2"/>
              <c:y val="0.34800047230203257"/>
            </c:manualLayout>
          </c:layout>
          <c:overlay val="0"/>
        </c:title>
        <c:numFmt formatCode="0.0" sourceLinked="1"/>
        <c:majorTickMark val="none"/>
        <c:minorTickMark val="none"/>
        <c:tickLblPos val="nextTo"/>
        <c:spPr>
          <a:noFill/>
          <a:ln>
            <a:noFill/>
          </a:ln>
          <a:effectLst/>
        </c:spPr>
        <c:txPr>
          <a:bodyPr rot="-60000000" vert="horz"/>
          <a:lstStyle/>
          <a:p>
            <a:pPr>
              <a:defRPr/>
            </a:pPr>
            <a:endParaRPr lang="es-GT"/>
          </a:p>
        </c:txPr>
        <c:crossAx val="1164635504"/>
        <c:crosses val="autoZero"/>
        <c:crossBetween val="between"/>
      </c:valAx>
      <c:spPr>
        <a:noFill/>
      </c:spPr>
    </c:plotArea>
    <c:legend>
      <c:legendPos val="t"/>
      <c:layout>
        <c:manualLayout>
          <c:xMode val="edge"/>
          <c:yMode val="edge"/>
          <c:x val="0.17439916869953712"/>
          <c:y val="3.5283740076448106E-2"/>
          <c:w val="0.69354408504159282"/>
          <c:h val="0.15584809470118793"/>
        </c:manualLayout>
      </c:layout>
      <c:overlay val="0"/>
    </c:legend>
    <c:plotVisOnly val="1"/>
    <c:dispBlanksAs val="gap"/>
    <c:showDLblsOverMax val="0"/>
    <c:extLst/>
  </c:chart>
  <c:spPr>
    <a:noFill/>
    <a:ln>
      <a:noFill/>
    </a:ln>
  </c:spPr>
  <c:txPr>
    <a:bodyPr/>
    <a:lstStyle/>
    <a:p>
      <a:pPr>
        <a:defRPr sz="7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64277777777778"/>
          <c:y val="6.4675925925925928E-2"/>
          <c:w val="0.72074611111111109"/>
          <c:h val="0.66164219617094511"/>
        </c:manualLayout>
      </c:layout>
      <c:lineChart>
        <c:grouping val="standard"/>
        <c:varyColors val="0"/>
        <c:ser>
          <c:idx val="1"/>
          <c:order val="0"/>
          <c:tx>
            <c:strRef>
              <c:f>'Hoja de trabajo'!$B$9</c:f>
              <c:strCache>
                <c:ptCount val="1"/>
                <c:pt idx="0">
                  <c:v>Escenario con choque</c:v>
                </c:pt>
              </c:strCache>
            </c:strRef>
          </c:tx>
          <c:spPr>
            <a:ln w="22225" cap="rnd">
              <a:solidFill>
                <a:srgbClr val="0070C0"/>
              </a:solidFill>
              <a:prstDash val="sysDash"/>
              <a:round/>
            </a:ln>
            <a:effectLst/>
          </c:spPr>
          <c:marker>
            <c:symbol val="none"/>
          </c:marker>
          <c:cat>
            <c:numRef>
              <c:f>'Hoja de trabajo'!$C$25:$J$25</c:f>
              <c:numCache>
                <c:formatCode>General</c:formatCode>
                <c:ptCount val="8"/>
                <c:pt idx="0">
                  <c:v>2021</c:v>
                </c:pt>
                <c:pt idx="1">
                  <c:v>2022</c:v>
                </c:pt>
                <c:pt idx="2">
                  <c:v>2023</c:v>
                </c:pt>
                <c:pt idx="3">
                  <c:v>2024</c:v>
                </c:pt>
                <c:pt idx="4">
                  <c:v>2025</c:v>
                </c:pt>
                <c:pt idx="5">
                  <c:v>2026</c:v>
                </c:pt>
                <c:pt idx="6">
                  <c:v>2027</c:v>
                </c:pt>
                <c:pt idx="7">
                  <c:v>2028</c:v>
                </c:pt>
              </c:numCache>
            </c:numRef>
          </c:cat>
          <c:val>
            <c:numRef>
              <c:f>'Hoja de trabajo'!$C$10:$J$10</c:f>
              <c:numCache>
                <c:formatCode>_-* #,##0.0_-;\-* #,##0.0_-;_-* "-"??_-;_-@_-</c:formatCode>
                <c:ptCount val="8"/>
                <c:pt idx="0">
                  <c:v>5.0049083333333337</c:v>
                </c:pt>
                <c:pt idx="1">
                  <c:v>5.7012500000000008</c:v>
                </c:pt>
                <c:pt idx="2">
                  <c:v>7.6040000000000001</c:v>
                </c:pt>
                <c:pt idx="3">
                  <c:v>8.3689999999999998</c:v>
                </c:pt>
                <c:pt idx="4">
                  <c:v>8.2789999999999999</c:v>
                </c:pt>
                <c:pt idx="5">
                  <c:v>8.0839999999999996</c:v>
                </c:pt>
                <c:pt idx="6">
                  <c:v>8.0039999999999996</c:v>
                </c:pt>
                <c:pt idx="7">
                  <c:v>7.1950000000000012</c:v>
                </c:pt>
              </c:numCache>
            </c:numRef>
          </c:val>
          <c:smooth val="0"/>
          <c:extLst>
            <c:ext xmlns:c16="http://schemas.microsoft.com/office/drawing/2014/chart" uri="{C3380CC4-5D6E-409C-BE32-E72D297353CC}">
              <c16:uniqueId val="{00000000-FBA8-491E-AA7B-D5245B9D90F3}"/>
            </c:ext>
          </c:extLst>
        </c:ser>
        <c:ser>
          <c:idx val="0"/>
          <c:order val="1"/>
          <c:tx>
            <c:strRef>
              <c:f>'Hoja de trabajo'!$B$3</c:f>
              <c:strCache>
                <c:ptCount val="1"/>
                <c:pt idx="0">
                  <c:v>Escenario base</c:v>
                </c:pt>
              </c:strCache>
            </c:strRef>
          </c:tx>
          <c:spPr>
            <a:ln w="22225" cap="rnd">
              <a:solidFill>
                <a:srgbClr val="002060"/>
              </a:solidFill>
              <a:round/>
            </a:ln>
            <a:effectLst/>
          </c:spPr>
          <c:marker>
            <c:symbol val="none"/>
          </c:marker>
          <c:cat>
            <c:numRef>
              <c:f>'Hoja de trabajo'!$C$25:$J$25</c:f>
              <c:numCache>
                <c:formatCode>General</c:formatCode>
                <c:ptCount val="8"/>
                <c:pt idx="0">
                  <c:v>2021</c:v>
                </c:pt>
                <c:pt idx="1">
                  <c:v>2022</c:v>
                </c:pt>
                <c:pt idx="2">
                  <c:v>2023</c:v>
                </c:pt>
                <c:pt idx="3">
                  <c:v>2024</c:v>
                </c:pt>
                <c:pt idx="4">
                  <c:v>2025</c:v>
                </c:pt>
                <c:pt idx="5">
                  <c:v>2026</c:v>
                </c:pt>
                <c:pt idx="6">
                  <c:v>2027</c:v>
                </c:pt>
                <c:pt idx="7">
                  <c:v>2028</c:v>
                </c:pt>
              </c:numCache>
            </c:numRef>
          </c:cat>
          <c:val>
            <c:numRef>
              <c:f>'Hoja de trabajo'!$C$4:$J$4</c:f>
              <c:numCache>
                <c:formatCode>_-* #,##0.0_-;\-* #,##0.0_-;_-* "-"??_-;_-@_-</c:formatCode>
                <c:ptCount val="8"/>
                <c:pt idx="0">
                  <c:v>5.0049083333333337</c:v>
                </c:pt>
                <c:pt idx="1">
                  <c:v>5.7012500000000008</c:v>
                </c:pt>
                <c:pt idx="2">
                  <c:v>7.6040000000000001</c:v>
                </c:pt>
                <c:pt idx="3" formatCode="_(* #,##0.00_);_(* \(#,##0.00\);_(* &quot;-&quot;??_);_(@_)">
                  <c:v>7.7290000000000001</c:v>
                </c:pt>
                <c:pt idx="4" formatCode="_(* #,##0.00_);_(* \(#,##0.00\);_(* &quot;-&quot;??_);_(@_)">
                  <c:v>7.7189999999999994</c:v>
                </c:pt>
                <c:pt idx="5" formatCode="_(* #,##0.00_);_(* \(#,##0.00\);_(* &quot;-&quot;??_);_(@_)">
                  <c:v>7.6039999999999992</c:v>
                </c:pt>
                <c:pt idx="6" formatCode="_(* #,##0.00_);_(* \(#,##0.00\);_(* &quot;-&quot;??_);_(@_)">
                  <c:v>7.6039999999999992</c:v>
                </c:pt>
                <c:pt idx="7" formatCode="_(* #,##0.00_);_(* \(#,##0.00\);_(* &quot;-&quot;??_);_(@_)">
                  <c:v>6.8750000000000009</c:v>
                </c:pt>
              </c:numCache>
            </c:numRef>
          </c:val>
          <c:smooth val="0"/>
          <c:extLst>
            <c:ext xmlns:c16="http://schemas.microsoft.com/office/drawing/2014/chart" uri="{C3380CC4-5D6E-409C-BE32-E72D297353CC}">
              <c16:uniqueId val="{00000001-FBA8-491E-AA7B-D5245B9D90F3}"/>
            </c:ext>
          </c:extLst>
        </c:ser>
        <c:dLbls>
          <c:showLegendKey val="0"/>
          <c:showVal val="0"/>
          <c:showCatName val="0"/>
          <c:showSerName val="0"/>
          <c:showPercent val="0"/>
          <c:showBubbleSize val="0"/>
        </c:dLbls>
        <c:smooth val="0"/>
        <c:axId val="1600880415"/>
        <c:axId val="1600884991"/>
      </c:lineChart>
      <c:catAx>
        <c:axId val="1600880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00884991"/>
        <c:crosses val="autoZero"/>
        <c:auto val="1"/>
        <c:lblAlgn val="ctr"/>
        <c:lblOffset val="100"/>
        <c:noMultiLvlLbl val="0"/>
      </c:catAx>
      <c:valAx>
        <c:axId val="1600884991"/>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00880415"/>
        <c:crosses val="autoZero"/>
        <c:crossBetween val="between"/>
      </c:valAx>
      <c:spPr>
        <a:noFill/>
        <a:ln>
          <a:noFill/>
        </a:ln>
        <a:effectLst/>
      </c:spPr>
    </c:plotArea>
    <c:legend>
      <c:legendPos val="b"/>
      <c:layout>
        <c:manualLayout>
          <c:xMode val="edge"/>
          <c:yMode val="edge"/>
          <c:x val="9.4621552687000926E-2"/>
          <c:y val="0.8758244433155532"/>
          <c:w val="0.83192333333333335"/>
          <c:h val="0.122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64277777777778"/>
          <c:y val="6.4675925925925928E-2"/>
          <c:w val="0.72074611111111109"/>
          <c:h val="0.66224259259259255"/>
        </c:manualLayout>
      </c:layout>
      <c:lineChart>
        <c:grouping val="standard"/>
        <c:varyColors val="0"/>
        <c:ser>
          <c:idx val="1"/>
          <c:order val="0"/>
          <c:tx>
            <c:strRef>
              <c:f>'Hoja de trabajo'!$B$9</c:f>
              <c:strCache>
                <c:ptCount val="1"/>
                <c:pt idx="0">
                  <c:v>Escenario con choque</c:v>
                </c:pt>
              </c:strCache>
            </c:strRef>
          </c:tx>
          <c:spPr>
            <a:ln w="22225" cap="rnd">
              <a:solidFill>
                <a:srgbClr val="0070C0"/>
              </a:solidFill>
              <a:prstDash val="sysDash"/>
              <a:round/>
            </a:ln>
            <a:effectLst/>
          </c:spPr>
          <c:marker>
            <c:symbol val="none"/>
          </c:marker>
          <c:cat>
            <c:numRef>
              <c:f>'Hoja de trabajo'!$C$25:$J$25</c:f>
              <c:numCache>
                <c:formatCode>General</c:formatCode>
                <c:ptCount val="8"/>
                <c:pt idx="0">
                  <c:v>2021</c:v>
                </c:pt>
                <c:pt idx="1">
                  <c:v>2022</c:v>
                </c:pt>
                <c:pt idx="2">
                  <c:v>2023</c:v>
                </c:pt>
                <c:pt idx="3">
                  <c:v>2024</c:v>
                </c:pt>
                <c:pt idx="4">
                  <c:v>2025</c:v>
                </c:pt>
                <c:pt idx="5">
                  <c:v>2026</c:v>
                </c:pt>
                <c:pt idx="6">
                  <c:v>2027</c:v>
                </c:pt>
                <c:pt idx="7">
                  <c:v>2028</c:v>
                </c:pt>
              </c:numCache>
            </c:numRef>
          </c:cat>
          <c:val>
            <c:numRef>
              <c:f>'Hoja de trabajo'!$C$11:$J$11</c:f>
              <c:numCache>
                <c:formatCode>_-* #,##0.0_-;\-* #,##0.0_-;_-* "-"??_-;_-@_-</c:formatCode>
                <c:ptCount val="8"/>
                <c:pt idx="0">
                  <c:v>4.2575970021397351</c:v>
                </c:pt>
                <c:pt idx="1">
                  <c:v>6.2423200467819742</c:v>
                </c:pt>
                <c:pt idx="2">
                  <c:v>6.41</c:v>
                </c:pt>
                <c:pt idx="3">
                  <c:v>7.610126282311402</c:v>
                </c:pt>
                <c:pt idx="4">
                  <c:v>7.1426060207585467</c:v>
                </c:pt>
                <c:pt idx="5">
                  <c:v>6.753725192326999</c:v>
                </c:pt>
                <c:pt idx="6">
                  <c:v>6.3732348161554357</c:v>
                </c:pt>
                <c:pt idx="7">
                  <c:v>5.9927843579099767</c:v>
                </c:pt>
              </c:numCache>
            </c:numRef>
          </c:val>
          <c:smooth val="0"/>
          <c:extLst>
            <c:ext xmlns:c16="http://schemas.microsoft.com/office/drawing/2014/chart" uri="{C3380CC4-5D6E-409C-BE32-E72D297353CC}">
              <c16:uniqueId val="{00000000-1F34-43A4-A56A-AADF6B05705D}"/>
            </c:ext>
          </c:extLst>
        </c:ser>
        <c:ser>
          <c:idx val="0"/>
          <c:order val="1"/>
          <c:tx>
            <c:strRef>
              <c:f>'Hoja de trabajo'!$B$3</c:f>
              <c:strCache>
                <c:ptCount val="1"/>
                <c:pt idx="0">
                  <c:v>Escenario base</c:v>
                </c:pt>
              </c:strCache>
            </c:strRef>
          </c:tx>
          <c:spPr>
            <a:ln w="22225" cap="rnd">
              <a:solidFill>
                <a:srgbClr val="002060"/>
              </a:solidFill>
              <a:round/>
            </a:ln>
            <a:effectLst/>
          </c:spPr>
          <c:marker>
            <c:symbol val="none"/>
          </c:marker>
          <c:cat>
            <c:numRef>
              <c:f>'Hoja de trabajo'!$C$25:$J$25</c:f>
              <c:numCache>
                <c:formatCode>General</c:formatCode>
                <c:ptCount val="8"/>
                <c:pt idx="0">
                  <c:v>2021</c:v>
                </c:pt>
                <c:pt idx="1">
                  <c:v>2022</c:v>
                </c:pt>
                <c:pt idx="2">
                  <c:v>2023</c:v>
                </c:pt>
                <c:pt idx="3">
                  <c:v>2024</c:v>
                </c:pt>
                <c:pt idx="4">
                  <c:v>2025</c:v>
                </c:pt>
                <c:pt idx="5">
                  <c:v>2026</c:v>
                </c:pt>
                <c:pt idx="6">
                  <c:v>2027</c:v>
                </c:pt>
                <c:pt idx="7">
                  <c:v>2028</c:v>
                </c:pt>
              </c:numCache>
            </c:numRef>
          </c:cat>
          <c:val>
            <c:numRef>
              <c:f>'Hoja de trabajo'!$C$5:$J$5</c:f>
              <c:numCache>
                <c:formatCode>_-* #,##0.0_-;\-* #,##0.0_-;_-* "-"??_-;_-@_-</c:formatCode>
                <c:ptCount val="8"/>
                <c:pt idx="0">
                  <c:v>4.2575970021397351</c:v>
                </c:pt>
                <c:pt idx="1">
                  <c:v>6.2423200467819742</c:v>
                </c:pt>
                <c:pt idx="2">
                  <c:v>6.41</c:v>
                </c:pt>
                <c:pt idx="3">
                  <c:v>6.610126282311402</c:v>
                </c:pt>
                <c:pt idx="4">
                  <c:v>6.2676060207585467</c:v>
                </c:pt>
                <c:pt idx="5">
                  <c:v>6.003725192326999</c:v>
                </c:pt>
                <c:pt idx="6">
                  <c:v>5.7482348161554357</c:v>
                </c:pt>
                <c:pt idx="7">
                  <c:v>5.4927843579099767</c:v>
                </c:pt>
              </c:numCache>
            </c:numRef>
          </c:val>
          <c:smooth val="0"/>
          <c:extLst>
            <c:ext xmlns:c16="http://schemas.microsoft.com/office/drawing/2014/chart" uri="{C3380CC4-5D6E-409C-BE32-E72D297353CC}">
              <c16:uniqueId val="{00000001-1F34-43A4-A56A-AADF6B05705D}"/>
            </c:ext>
          </c:extLst>
        </c:ser>
        <c:dLbls>
          <c:showLegendKey val="0"/>
          <c:showVal val="0"/>
          <c:showCatName val="0"/>
          <c:showSerName val="0"/>
          <c:showPercent val="0"/>
          <c:showBubbleSize val="0"/>
        </c:dLbls>
        <c:smooth val="0"/>
        <c:axId val="1600880415"/>
        <c:axId val="1600884991"/>
      </c:lineChart>
      <c:catAx>
        <c:axId val="1600880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sz="600"/>
            </a:pPr>
            <a:endParaRPr lang="es-GT"/>
          </a:p>
        </c:txPr>
        <c:crossAx val="1600884991"/>
        <c:crosses val="autoZero"/>
        <c:auto val="1"/>
        <c:lblAlgn val="ctr"/>
        <c:lblOffset val="100"/>
        <c:noMultiLvlLbl val="0"/>
      </c:catAx>
      <c:valAx>
        <c:axId val="1600884991"/>
        <c:scaling>
          <c:orientation val="minMax"/>
          <c:max val="10"/>
        </c:scaling>
        <c:delete val="0"/>
        <c:axPos val="l"/>
        <c:numFmt formatCode="_-* #,##0.0_-;\-* #,##0.0_-;_-* &quot;-&quot;??_-;_-@_-" sourceLinked="1"/>
        <c:majorTickMark val="none"/>
        <c:minorTickMark val="none"/>
        <c:tickLblPos val="nextTo"/>
        <c:spPr>
          <a:noFill/>
          <a:ln>
            <a:noFill/>
          </a:ln>
          <a:effectLst/>
        </c:spPr>
        <c:txPr>
          <a:bodyPr rot="-60000000" vert="horz"/>
          <a:lstStyle/>
          <a:p>
            <a:pPr>
              <a:defRPr/>
            </a:pPr>
            <a:endParaRPr lang="es-GT"/>
          </a:p>
        </c:txPr>
        <c:crossAx val="1600880415"/>
        <c:crosses val="autoZero"/>
        <c:crossBetween val="between"/>
      </c:valAx>
    </c:plotArea>
    <c:legend>
      <c:legendPos val="b"/>
      <c:layout>
        <c:manualLayout>
          <c:xMode val="edge"/>
          <c:yMode val="edge"/>
          <c:x val="9.4621552687000926E-2"/>
          <c:y val="0.8758244433155532"/>
          <c:w val="0.83192333333333335"/>
          <c:h val="0.1225"/>
        </c:manualLayout>
      </c:layout>
      <c:overlay val="0"/>
      <c:spPr>
        <a:noFill/>
        <a:ln>
          <a:noFill/>
        </a:ln>
        <a:effectLst/>
      </c:spPr>
      <c:txPr>
        <a:bodyPr rot="0" vert="horz"/>
        <a:lstStyle/>
        <a:p>
          <a:pPr>
            <a:defRPr/>
          </a:pPr>
          <a:endParaRPr lang="es-GT"/>
        </a:p>
      </c:txPr>
    </c:legend>
    <c:plotVisOnly val="1"/>
    <c:dispBlanksAs val="gap"/>
    <c:showDLblsOverMax val="0"/>
    <c:extLst/>
  </c:chart>
  <c:spPr>
    <a:ln>
      <a:noFill/>
    </a:ln>
  </c:spPr>
  <c:txPr>
    <a:bodyPr/>
    <a:lstStyle/>
    <a:p>
      <a:pPr>
        <a:defRPr sz="7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64277777777778"/>
          <c:y val="6.4675925925925928E-2"/>
          <c:w val="0.72074611111111109"/>
          <c:h val="0.65348191528621336"/>
        </c:manualLayout>
      </c:layout>
      <c:lineChart>
        <c:grouping val="standard"/>
        <c:varyColors val="0"/>
        <c:ser>
          <c:idx val="1"/>
          <c:order val="0"/>
          <c:tx>
            <c:strRef>
              <c:f>'Hoja de trabajo'!$B$9</c:f>
              <c:strCache>
                <c:ptCount val="1"/>
                <c:pt idx="0">
                  <c:v>Escenario con choque</c:v>
                </c:pt>
              </c:strCache>
            </c:strRef>
          </c:tx>
          <c:spPr>
            <a:ln w="22225" cap="rnd">
              <a:solidFill>
                <a:srgbClr val="0070C0"/>
              </a:solidFill>
              <a:prstDash val="sysDash"/>
              <a:round/>
            </a:ln>
            <a:effectLst/>
          </c:spPr>
          <c:marker>
            <c:symbol val="none"/>
          </c:marker>
          <c:cat>
            <c:numRef>
              <c:f>'Hoja de trabajo'!$C$25:$J$25</c:f>
              <c:numCache>
                <c:formatCode>General</c:formatCode>
                <c:ptCount val="8"/>
                <c:pt idx="0">
                  <c:v>2021</c:v>
                </c:pt>
                <c:pt idx="1">
                  <c:v>2022</c:v>
                </c:pt>
                <c:pt idx="2">
                  <c:v>2023</c:v>
                </c:pt>
                <c:pt idx="3">
                  <c:v>2024</c:v>
                </c:pt>
                <c:pt idx="4">
                  <c:v>2025</c:v>
                </c:pt>
                <c:pt idx="5">
                  <c:v>2026</c:v>
                </c:pt>
                <c:pt idx="6">
                  <c:v>2027</c:v>
                </c:pt>
                <c:pt idx="7">
                  <c:v>2028</c:v>
                </c:pt>
              </c:numCache>
            </c:numRef>
          </c:cat>
          <c:val>
            <c:numRef>
              <c:f>'Hoja de trabajo'!$C$12:$J$12</c:f>
              <c:numCache>
                <c:formatCode>_-* #,##0.0_-;\-* #,##0.0_-;_-* "-"??_-;_-@_-</c:formatCode>
                <c:ptCount val="8"/>
                <c:pt idx="0">
                  <c:v>4.4800000000000004</c:v>
                </c:pt>
                <c:pt idx="1">
                  <c:v>4.76</c:v>
                </c:pt>
                <c:pt idx="2">
                  <c:v>5.0527496580027345</c:v>
                </c:pt>
                <c:pt idx="3">
                  <c:v>8.8566666666666656</c:v>
                </c:pt>
                <c:pt idx="4">
                  <c:v>8.6066666666666656</c:v>
                </c:pt>
                <c:pt idx="5">
                  <c:v>8.3566666666666656</c:v>
                </c:pt>
                <c:pt idx="6">
                  <c:v>8.1066666666666656</c:v>
                </c:pt>
                <c:pt idx="7">
                  <c:v>7.8566666666666665</c:v>
                </c:pt>
              </c:numCache>
            </c:numRef>
          </c:val>
          <c:smooth val="0"/>
          <c:extLst>
            <c:ext xmlns:c16="http://schemas.microsoft.com/office/drawing/2014/chart" uri="{C3380CC4-5D6E-409C-BE32-E72D297353CC}">
              <c16:uniqueId val="{00000000-892C-4B72-B64D-D8CBCF84BA45}"/>
            </c:ext>
          </c:extLst>
        </c:ser>
        <c:ser>
          <c:idx val="0"/>
          <c:order val="1"/>
          <c:tx>
            <c:strRef>
              <c:f>'Hoja de trabajo'!$B$3</c:f>
              <c:strCache>
                <c:ptCount val="1"/>
                <c:pt idx="0">
                  <c:v>Escenario base</c:v>
                </c:pt>
              </c:strCache>
            </c:strRef>
          </c:tx>
          <c:spPr>
            <a:ln w="22225" cap="rnd">
              <a:solidFill>
                <a:srgbClr val="002060"/>
              </a:solidFill>
              <a:round/>
            </a:ln>
            <a:effectLst/>
          </c:spPr>
          <c:marker>
            <c:symbol val="none"/>
          </c:marker>
          <c:cat>
            <c:numRef>
              <c:f>'Hoja de trabajo'!$C$25:$J$25</c:f>
              <c:numCache>
                <c:formatCode>General</c:formatCode>
                <c:ptCount val="8"/>
                <c:pt idx="0">
                  <c:v>2021</c:v>
                </c:pt>
                <c:pt idx="1">
                  <c:v>2022</c:v>
                </c:pt>
                <c:pt idx="2">
                  <c:v>2023</c:v>
                </c:pt>
                <c:pt idx="3">
                  <c:v>2024</c:v>
                </c:pt>
                <c:pt idx="4">
                  <c:v>2025</c:v>
                </c:pt>
                <c:pt idx="5">
                  <c:v>2026</c:v>
                </c:pt>
                <c:pt idx="6">
                  <c:v>2027</c:v>
                </c:pt>
                <c:pt idx="7">
                  <c:v>2028</c:v>
                </c:pt>
              </c:numCache>
            </c:numRef>
          </c:cat>
          <c:val>
            <c:numRef>
              <c:f>'Hoja de trabajo'!$C$6:$J$6</c:f>
              <c:numCache>
                <c:formatCode>_(* #,##0.00_);_(* \(#,##0.00\);_(* "-"??_);_(@_)</c:formatCode>
                <c:ptCount val="8"/>
                <c:pt idx="0">
                  <c:v>4.4800000000000004</c:v>
                </c:pt>
                <c:pt idx="1">
                  <c:v>4.76</c:v>
                </c:pt>
                <c:pt idx="2" formatCode="_-* #,##0.0_-;\-* #,##0.0_-;_-* &quot;-&quot;??_-;_-@_-">
                  <c:v>5.0527496580027345</c:v>
                </c:pt>
                <c:pt idx="3" formatCode="_-* #,##0.0_-;\-* #,##0.0_-;_-* &quot;-&quot;??_-;_-@_-">
                  <c:v>6.8566666666666665</c:v>
                </c:pt>
                <c:pt idx="4" formatCode="_-* #,##0.0_-;\-* #,##0.0_-;_-* &quot;-&quot;??_-;_-@_-">
                  <c:v>6.8566666666666665</c:v>
                </c:pt>
                <c:pt idx="5" formatCode="_-* #,##0.0_-;\-* #,##0.0_-;_-* &quot;-&quot;??_-;_-@_-">
                  <c:v>6.8566666666666665</c:v>
                </c:pt>
                <c:pt idx="6" formatCode="_-* #,##0.0_-;\-* #,##0.0_-;_-* &quot;-&quot;??_-;_-@_-">
                  <c:v>6.8566666666666665</c:v>
                </c:pt>
                <c:pt idx="7" formatCode="_-* #,##0.0_-;\-* #,##0.0_-;_-* &quot;-&quot;??_-;_-@_-">
                  <c:v>6.8566666666666665</c:v>
                </c:pt>
              </c:numCache>
            </c:numRef>
          </c:val>
          <c:smooth val="0"/>
          <c:extLst>
            <c:ext xmlns:c16="http://schemas.microsoft.com/office/drawing/2014/chart" uri="{C3380CC4-5D6E-409C-BE32-E72D297353CC}">
              <c16:uniqueId val="{00000001-892C-4B72-B64D-D8CBCF84BA45}"/>
            </c:ext>
          </c:extLst>
        </c:ser>
        <c:dLbls>
          <c:showLegendKey val="0"/>
          <c:showVal val="0"/>
          <c:showCatName val="0"/>
          <c:showSerName val="0"/>
          <c:showPercent val="0"/>
          <c:showBubbleSize val="0"/>
        </c:dLbls>
        <c:smooth val="0"/>
        <c:axId val="1600880415"/>
        <c:axId val="1600884991"/>
      </c:lineChart>
      <c:catAx>
        <c:axId val="1600880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sz="600"/>
            </a:pPr>
            <a:endParaRPr lang="es-GT"/>
          </a:p>
        </c:txPr>
        <c:crossAx val="1600884991"/>
        <c:crosses val="autoZero"/>
        <c:auto val="1"/>
        <c:lblAlgn val="ctr"/>
        <c:lblOffset val="100"/>
        <c:noMultiLvlLbl val="0"/>
      </c:catAx>
      <c:valAx>
        <c:axId val="1600884991"/>
        <c:scaling>
          <c:orientation val="minMax"/>
          <c:max val="10"/>
        </c:scaling>
        <c:delete val="0"/>
        <c:axPos val="l"/>
        <c:numFmt formatCode="_-* #,##0.0_-;\-* #,##0.0_-;_-* &quot;-&quot;??_-;_-@_-" sourceLinked="1"/>
        <c:majorTickMark val="none"/>
        <c:minorTickMark val="none"/>
        <c:tickLblPos val="nextTo"/>
        <c:spPr>
          <a:noFill/>
          <a:ln>
            <a:noFill/>
          </a:ln>
          <a:effectLst/>
        </c:spPr>
        <c:txPr>
          <a:bodyPr rot="-60000000" vert="horz"/>
          <a:lstStyle/>
          <a:p>
            <a:pPr>
              <a:defRPr/>
            </a:pPr>
            <a:endParaRPr lang="es-GT"/>
          </a:p>
        </c:txPr>
        <c:crossAx val="1600880415"/>
        <c:crosses val="autoZero"/>
        <c:crossBetween val="between"/>
      </c:valAx>
    </c:plotArea>
    <c:legend>
      <c:legendPos val="b"/>
      <c:layout>
        <c:manualLayout>
          <c:xMode val="edge"/>
          <c:yMode val="edge"/>
          <c:x val="0.11579304174839825"/>
          <c:y val="0.8758244433155532"/>
          <c:w val="0.83192333333333335"/>
          <c:h val="0.1225"/>
        </c:manualLayout>
      </c:layout>
      <c:overlay val="0"/>
      <c:spPr>
        <a:noFill/>
        <a:ln>
          <a:noFill/>
        </a:ln>
        <a:effectLst/>
      </c:spPr>
      <c:txPr>
        <a:bodyPr rot="0" vert="horz"/>
        <a:lstStyle/>
        <a:p>
          <a:pPr>
            <a:defRPr/>
          </a:pPr>
          <a:endParaRPr lang="es-GT"/>
        </a:p>
      </c:txPr>
    </c:legend>
    <c:plotVisOnly val="1"/>
    <c:dispBlanksAs val="gap"/>
    <c:showDLblsOverMax val="0"/>
    <c:extLst/>
  </c:chart>
  <c:spPr>
    <a:ln>
      <a:noFill/>
    </a:ln>
  </c:spPr>
  <c:txPr>
    <a:bodyPr/>
    <a:lstStyle/>
    <a:p>
      <a:pPr>
        <a:defRPr sz="7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5219381320587"/>
          <c:y val="3.6223334678585024E-2"/>
          <c:w val="0.86469540040994697"/>
          <c:h val="0.82008030690308098"/>
        </c:manualLayout>
      </c:layout>
      <c:lineChart>
        <c:grouping val="standard"/>
        <c:varyColors val="0"/>
        <c:ser>
          <c:idx val="0"/>
          <c:order val="0"/>
          <c:tx>
            <c:strRef>
              <c:f>Data_refineria!$G$1</c:f>
              <c:strCache>
                <c:ptCount val="1"/>
                <c:pt idx="0">
                  <c:v> Costo refineria Diesel </c:v>
                </c:pt>
              </c:strCache>
            </c:strRef>
          </c:tx>
          <c:spPr>
            <a:ln w="28575" cap="rnd">
              <a:solidFill>
                <a:srgbClr val="002060"/>
              </a:solidFill>
              <a:round/>
            </a:ln>
            <a:effectLst/>
          </c:spPr>
          <c:marker>
            <c:symbol val="none"/>
          </c:marker>
          <c:dPt>
            <c:idx val="34"/>
            <c:marker>
              <c:symbol val="none"/>
            </c:marker>
            <c:bubble3D val="0"/>
            <c:extLst>
              <c:ext xmlns:c16="http://schemas.microsoft.com/office/drawing/2014/chart" uri="{C3380CC4-5D6E-409C-BE32-E72D297353CC}">
                <c16:uniqueId val="{00000000-658F-4AE0-BE47-CF0B62C68BC6}"/>
              </c:ext>
            </c:extLst>
          </c:dPt>
          <c:dLbls>
            <c:dLbl>
              <c:idx val="2"/>
              <c:layout>
                <c:manualLayout>
                  <c:x val="-1.6796640671865648E-2"/>
                  <c:y val="-4.5790157181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8F-4AE0-BE47-CF0B62C68BC6}"/>
                </c:ext>
              </c:extLst>
            </c:dLbl>
            <c:dLbl>
              <c:idx val="33"/>
              <c:layout>
                <c:manualLayout>
                  <c:x val="-2.8794241151769647E-2"/>
                  <c:y val="-5.8278381866966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8F-4AE0-BE47-CF0B62C68BC6}"/>
                </c:ext>
              </c:extLst>
            </c:dLbl>
            <c:dLbl>
              <c:idx val="38"/>
              <c:layout>
                <c:manualLayout>
                  <c:x val="-2.8794241151769647E-2"/>
                  <c:y val="-7.0766606552745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8F-4AE0-BE47-CF0B62C68BC6}"/>
                </c:ext>
              </c:extLst>
            </c:dLbl>
            <c:dLbl>
              <c:idx val="40"/>
              <c:layout>
                <c:manualLayout>
                  <c:x val="0"/>
                  <c:y val="-2.9139190933483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8F-4AE0-BE47-CF0B62C68B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Data_refineria!$B$279:$B$319</c:f>
              <c:numCache>
                <c:formatCode>mmm\-yy</c:formatCode>
                <c:ptCount val="41"/>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numCache>
            </c:numRef>
          </c:cat>
          <c:val>
            <c:numRef>
              <c:f>Data_refineria!$G$279:$G$319</c:f>
              <c:numCache>
                <c:formatCode>0.0</c:formatCode>
                <c:ptCount val="41"/>
                <c:pt idx="0">
                  <c:v>0.48847619047619051</c:v>
                </c:pt>
                <c:pt idx="1">
                  <c:v>0.46766666666666667</c:v>
                </c:pt>
                <c:pt idx="2">
                  <c:v>0.58252380952380944</c:v>
                </c:pt>
                <c:pt idx="3">
                  <c:v>0.51395238095238094</c:v>
                </c:pt>
                <c:pt idx="4">
                  <c:v>0.19799999999999998</c:v>
                </c:pt>
                <c:pt idx="5">
                  <c:v>0.22285714285714292</c:v>
                </c:pt>
                <c:pt idx="6">
                  <c:v>0.28471428571428575</c:v>
                </c:pt>
                <c:pt idx="7">
                  <c:v>0.26690476190476192</c:v>
                </c:pt>
                <c:pt idx="8">
                  <c:v>0.25142857142857139</c:v>
                </c:pt>
                <c:pt idx="9">
                  <c:v>0.27690476190476188</c:v>
                </c:pt>
                <c:pt idx="10">
                  <c:v>0.34023809523809517</c:v>
                </c:pt>
                <c:pt idx="11">
                  <c:v>0.3554761904761905</c:v>
                </c:pt>
                <c:pt idx="12">
                  <c:v>0.34190476190476188</c:v>
                </c:pt>
                <c:pt idx="13">
                  <c:v>0.40028571428571413</c:v>
                </c:pt>
                <c:pt idx="14">
                  <c:v>0.47195238095238096</c:v>
                </c:pt>
                <c:pt idx="15">
                  <c:v>0.4414761904761903</c:v>
                </c:pt>
                <c:pt idx="16">
                  <c:v>0.52033333333333331</c:v>
                </c:pt>
                <c:pt idx="17">
                  <c:v>0.44747619047619025</c:v>
                </c:pt>
                <c:pt idx="18">
                  <c:v>0.45604761904761915</c:v>
                </c:pt>
                <c:pt idx="19">
                  <c:v>0.5333809523809524</c:v>
                </c:pt>
                <c:pt idx="20">
                  <c:v>0.53404761904761866</c:v>
                </c:pt>
                <c:pt idx="21">
                  <c:v>0.56400000000000006</c:v>
                </c:pt>
                <c:pt idx="22">
                  <c:v>0.56947619047619047</c:v>
                </c:pt>
                <c:pt idx="23">
                  <c:v>0.56561904761904802</c:v>
                </c:pt>
                <c:pt idx="24">
                  <c:v>0.56857142857142862</c:v>
                </c:pt>
                <c:pt idx="25">
                  <c:v>0.64809523809523795</c:v>
                </c:pt>
                <c:pt idx="26">
                  <c:v>0.9986666666666667</c:v>
                </c:pt>
                <c:pt idx="27">
                  <c:v>1.5286666666666664</c:v>
                </c:pt>
                <c:pt idx="28">
                  <c:v>1.6216666666666668</c:v>
                </c:pt>
                <c:pt idx="29">
                  <c:v>1.6197142857142852</c:v>
                </c:pt>
                <c:pt idx="30">
                  <c:v>1.2674761904761902</c:v>
                </c:pt>
                <c:pt idx="31">
                  <c:v>1.3367619047619046</c:v>
                </c:pt>
                <c:pt idx="32">
                  <c:v>1.446809523809524</c:v>
                </c:pt>
                <c:pt idx="33">
                  <c:v>2.0532621904761901</c:v>
                </c:pt>
                <c:pt idx="34">
                  <c:v>1.6153004761904761</c:v>
                </c:pt>
                <c:pt idx="35">
                  <c:v>1.232208</c:v>
                </c:pt>
                <c:pt idx="36">
                  <c:v>1.399149</c:v>
                </c:pt>
                <c:pt idx="37">
                  <c:v>1.0209782857142862</c:v>
                </c:pt>
                <c:pt idx="38">
                  <c:v>0.97913509523809528</c:v>
                </c:pt>
                <c:pt idx="39">
                  <c:v>0.68341333333333321</c:v>
                </c:pt>
                <c:pt idx="40">
                  <c:v>0.66439228571428577</c:v>
                </c:pt>
              </c:numCache>
            </c:numRef>
          </c:val>
          <c:smooth val="1"/>
          <c:extLst>
            <c:ext xmlns:c16="http://schemas.microsoft.com/office/drawing/2014/chart" uri="{C3380CC4-5D6E-409C-BE32-E72D297353CC}">
              <c16:uniqueId val="{00000005-658F-4AE0-BE47-CF0B62C68BC6}"/>
            </c:ext>
          </c:extLst>
        </c:ser>
        <c:ser>
          <c:idx val="1"/>
          <c:order val="1"/>
          <c:tx>
            <c:strRef>
              <c:f>Data_refineria!$H$1</c:f>
              <c:strCache>
                <c:ptCount val="1"/>
                <c:pt idx="0">
                  <c:v> Costo refineria Gasolina  </c:v>
                </c:pt>
              </c:strCache>
            </c:strRef>
          </c:tx>
          <c:spPr>
            <a:ln w="28575" cap="rnd">
              <a:solidFill>
                <a:schemeClr val="accent1"/>
              </a:solidFill>
              <a:round/>
            </a:ln>
            <a:effectLst/>
          </c:spPr>
          <c:marker>
            <c:symbol val="none"/>
          </c:marker>
          <c:dLbls>
            <c:dLbl>
              <c:idx val="1"/>
              <c:layout>
                <c:manualLayout>
                  <c:x val="-3.8392321535692886E-2"/>
                  <c:y val="5.411564030504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8F-4AE0-BE47-CF0B62C68BC6}"/>
                </c:ext>
              </c:extLst>
            </c:dLbl>
            <c:dLbl>
              <c:idx val="32"/>
              <c:layout>
                <c:manualLayout>
                  <c:x val="-1.9436725631672255E-2"/>
                  <c:y val="-4.506317039684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8F-4AE0-BE47-CF0B62C68BC6}"/>
                </c:ext>
              </c:extLst>
            </c:dLbl>
            <c:dLbl>
              <c:idx val="37"/>
              <c:layout>
                <c:manualLayout>
                  <c:x val="-1.7596277430160805E-16"/>
                  <c:y val="5.8278381866966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8F-4AE0-BE47-CF0B62C68BC6}"/>
                </c:ext>
              </c:extLst>
            </c:dLbl>
            <c:dLbl>
              <c:idx val="40"/>
              <c:layout>
                <c:manualLayout>
                  <c:x val="0"/>
                  <c:y val="-5.411564030504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8F-4AE0-BE47-CF0B62C68B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Data_refineria!$B$279:$B$319</c:f>
              <c:numCache>
                <c:formatCode>mmm\-yy</c:formatCode>
                <c:ptCount val="41"/>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numCache>
            </c:numRef>
          </c:cat>
          <c:val>
            <c:numRef>
              <c:f>Data_refineria!$H$279:$H$319</c:f>
              <c:numCache>
                <c:formatCode>0.0</c:formatCode>
                <c:ptCount val="41"/>
                <c:pt idx="0">
                  <c:v>0.37347619047619046</c:v>
                </c:pt>
                <c:pt idx="1">
                  <c:v>0.46566666666666678</c:v>
                </c:pt>
                <c:pt idx="2">
                  <c:v>0.43152380952380953</c:v>
                </c:pt>
                <c:pt idx="3">
                  <c:v>0.25095238095238093</c:v>
                </c:pt>
                <c:pt idx="4">
                  <c:v>0.36900000000000005</c:v>
                </c:pt>
                <c:pt idx="5">
                  <c:v>0.39885714285714285</c:v>
                </c:pt>
                <c:pt idx="6">
                  <c:v>0.4107142857142857</c:v>
                </c:pt>
                <c:pt idx="7">
                  <c:v>0.38090476190476197</c:v>
                </c:pt>
                <c:pt idx="8">
                  <c:v>0.41042857142857142</c:v>
                </c:pt>
                <c:pt idx="9">
                  <c:v>0.3739047619047618</c:v>
                </c:pt>
                <c:pt idx="10">
                  <c:v>0.31223809523809509</c:v>
                </c:pt>
                <c:pt idx="11">
                  <c:v>0.27447619047619054</c:v>
                </c:pt>
                <c:pt idx="12">
                  <c:v>0.33690476190476187</c:v>
                </c:pt>
                <c:pt idx="13">
                  <c:v>0.37828571428571423</c:v>
                </c:pt>
                <c:pt idx="14">
                  <c:v>0.52695238095238095</c:v>
                </c:pt>
                <c:pt idx="15">
                  <c:v>0.58547619047619037</c:v>
                </c:pt>
                <c:pt idx="16">
                  <c:v>0.62933333333333341</c:v>
                </c:pt>
                <c:pt idx="17">
                  <c:v>0.55247619047619023</c:v>
                </c:pt>
                <c:pt idx="18">
                  <c:v>0.61104761904761917</c:v>
                </c:pt>
                <c:pt idx="19">
                  <c:v>0.68938095238095232</c:v>
                </c:pt>
                <c:pt idx="20">
                  <c:v>0.60404761904761872</c:v>
                </c:pt>
                <c:pt idx="21">
                  <c:v>0.55400000000000005</c:v>
                </c:pt>
                <c:pt idx="22">
                  <c:v>0.59947619047619038</c:v>
                </c:pt>
                <c:pt idx="23">
                  <c:v>0.59661904761904794</c:v>
                </c:pt>
                <c:pt idx="24">
                  <c:v>0.44157142857142873</c:v>
                </c:pt>
                <c:pt idx="25">
                  <c:v>0.45709523809523772</c:v>
                </c:pt>
                <c:pt idx="26">
                  <c:v>0.64866666666666672</c:v>
                </c:pt>
                <c:pt idx="27">
                  <c:v>0.83666666666666656</c:v>
                </c:pt>
                <c:pt idx="28">
                  <c:v>1.2576666666666672</c:v>
                </c:pt>
                <c:pt idx="29">
                  <c:v>1.3887142857142856</c:v>
                </c:pt>
                <c:pt idx="30">
                  <c:v>0.95647619047619059</c:v>
                </c:pt>
                <c:pt idx="31">
                  <c:v>0.82176190476190469</c:v>
                </c:pt>
                <c:pt idx="32">
                  <c:v>0.89680952380952395</c:v>
                </c:pt>
                <c:pt idx="33">
                  <c:v>0.91685719047619041</c:v>
                </c:pt>
                <c:pt idx="34">
                  <c:v>0.69485547619047594</c:v>
                </c:pt>
                <c:pt idx="35">
                  <c:v>0.4708250000000001</c:v>
                </c:pt>
                <c:pt idx="36">
                  <c:v>0.75602300000000011</c:v>
                </c:pt>
                <c:pt idx="37">
                  <c:v>0.77497128571428586</c:v>
                </c:pt>
                <c:pt idx="38">
                  <c:v>0.88363809523809489</c:v>
                </c:pt>
                <c:pt idx="39">
                  <c:v>0.85247933333333348</c:v>
                </c:pt>
                <c:pt idx="40">
                  <c:v>0.86918928571428611</c:v>
                </c:pt>
              </c:numCache>
            </c:numRef>
          </c:val>
          <c:smooth val="1"/>
          <c:extLst>
            <c:ext xmlns:c16="http://schemas.microsoft.com/office/drawing/2014/chart" uri="{C3380CC4-5D6E-409C-BE32-E72D297353CC}">
              <c16:uniqueId val="{0000000A-658F-4AE0-BE47-CF0B62C68BC6}"/>
            </c:ext>
          </c:extLst>
        </c:ser>
        <c:dLbls>
          <c:showLegendKey val="0"/>
          <c:showVal val="0"/>
          <c:showCatName val="0"/>
          <c:showSerName val="0"/>
          <c:showPercent val="0"/>
          <c:showBubbleSize val="0"/>
        </c:dLbls>
        <c:smooth val="0"/>
        <c:axId val="713605663"/>
        <c:axId val="713607743"/>
      </c:lineChart>
      <c:dateAx>
        <c:axId val="713605663"/>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3607743"/>
        <c:crosses val="autoZero"/>
        <c:auto val="1"/>
        <c:lblOffset val="100"/>
        <c:baseTimeUnit val="months"/>
      </c:dateAx>
      <c:valAx>
        <c:axId val="71360774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3605663"/>
        <c:crosses val="autoZero"/>
        <c:crossBetween val="between"/>
      </c:valAx>
      <c:spPr>
        <a:noFill/>
        <a:ln>
          <a:noFill/>
        </a:ln>
        <a:effectLst/>
      </c:spPr>
    </c:plotArea>
    <c:legend>
      <c:legendPos val="t"/>
      <c:layout>
        <c:manualLayout>
          <c:xMode val="edge"/>
          <c:yMode val="edge"/>
          <c:x val="0.17723043271036004"/>
          <c:y val="0"/>
          <c:w val="0.64553894730336736"/>
          <c:h val="8.62621179986089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2528816749001E-2"/>
          <c:y val="3.3277870216306155E-2"/>
          <c:w val="0.89649494236650196"/>
          <c:h val="0.83684585183923554"/>
        </c:manualLayout>
      </c:layout>
      <c:lineChart>
        <c:grouping val="standard"/>
        <c:varyColors val="0"/>
        <c:ser>
          <c:idx val="0"/>
          <c:order val="0"/>
          <c:tx>
            <c:strRef>
              <c:f>Resultados!$AC$82</c:f>
              <c:strCache>
                <c:ptCount val="1"/>
                <c:pt idx="0">
                  <c:v> Precio </c:v>
                </c:pt>
              </c:strCache>
            </c:strRef>
          </c:tx>
          <c:spPr>
            <a:ln w="19050" cap="rnd">
              <a:solidFill>
                <a:schemeClr val="accent2"/>
              </a:solidFill>
              <a:prstDash val="sysDot"/>
              <a:round/>
            </a:ln>
            <a:effectLst/>
          </c:spPr>
          <c:marker>
            <c:symbol val="none"/>
          </c:marker>
          <c:dLbls>
            <c:dLbl>
              <c:idx val="15"/>
              <c:layout>
                <c:manualLayout>
                  <c:x val="0"/>
                  <c:y val="-4.7672672672672681E-2"/>
                </c:manualLayout>
              </c:layout>
              <c:spPr>
                <a:noFill/>
                <a:ln>
                  <a:noFill/>
                </a:ln>
                <a:effectLst/>
              </c:spPr>
              <c:txPr>
                <a:bodyPr wrap="square" lIns="38100" tIns="19050" rIns="38100" bIns="19050" anchor="ctr">
                  <a:spAutoFit/>
                </a:bodyPr>
                <a:lstStyle/>
                <a:p>
                  <a:pPr>
                    <a:defRPr sz="700" b="1">
                      <a:solidFill>
                        <a:schemeClr val="accent2"/>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6-4A40-8F1E-41C2287426E3}"/>
                </c:ext>
              </c:extLst>
            </c:dLbl>
            <c:spPr>
              <a:noFill/>
              <a:ln>
                <a:noFill/>
              </a:ln>
              <a:effectLst/>
            </c:spPr>
            <c:txPr>
              <a:bodyPr wrap="square" lIns="38100" tIns="19050" rIns="38100" bIns="19050" anchor="ctr">
                <a:spAutoFit/>
              </a:bodyPr>
              <a:lstStyle/>
              <a:p>
                <a:pPr>
                  <a:defRPr sz="1400" b="1">
                    <a:solidFill>
                      <a:schemeClr val="accent2"/>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Resultados!$AA$95:$AA$110</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Resultados!$AD$63:$AD$78</c:f>
              <c:numCache>
                <c:formatCode>0.0</c:formatCode>
                <c:ptCount val="16"/>
                <c:pt idx="0">
                  <c:v>78.12</c:v>
                </c:pt>
                <c:pt idx="1">
                  <c:v>76.83</c:v>
                </c:pt>
                <c:pt idx="2">
                  <c:v>73.28</c:v>
                </c:pt>
                <c:pt idx="3">
                  <c:v>79.45</c:v>
                </c:pt>
                <c:pt idx="4">
                  <c:v>82.8</c:v>
                </c:pt>
                <c:pt idx="5">
                  <c:v>82.8</c:v>
                </c:pt>
                <c:pt idx="6">
                  <c:v>82.8</c:v>
                </c:pt>
                <c:pt idx="7">
                  <c:v>82.8</c:v>
                </c:pt>
                <c:pt idx="8">
                  <c:v>82.8</c:v>
                </c:pt>
                <c:pt idx="9">
                  <c:v>82.8</c:v>
                </c:pt>
                <c:pt idx="10">
                  <c:v>82.8</c:v>
                </c:pt>
                <c:pt idx="11">
                  <c:v>82.8</c:v>
                </c:pt>
                <c:pt idx="12">
                  <c:v>120</c:v>
                </c:pt>
                <c:pt idx="13">
                  <c:v>120</c:v>
                </c:pt>
                <c:pt idx="14">
                  <c:v>120</c:v>
                </c:pt>
                <c:pt idx="15">
                  <c:v>120</c:v>
                </c:pt>
              </c:numCache>
            </c:numRef>
          </c:val>
          <c:smooth val="0"/>
          <c:extLst>
            <c:ext xmlns:c16="http://schemas.microsoft.com/office/drawing/2014/chart" uri="{C3380CC4-5D6E-409C-BE32-E72D297353CC}">
              <c16:uniqueId val="{00000001-1346-4A40-8F1E-41C2287426E3}"/>
            </c:ext>
          </c:extLst>
        </c:ser>
        <c:ser>
          <c:idx val="2"/>
          <c:order val="1"/>
          <c:tx>
            <c:strRef>
              <c:f>Resultados!$AC$18</c:f>
              <c:strCache>
                <c:ptCount val="1"/>
                <c:pt idx="0">
                  <c:v>Precio</c:v>
                </c:pt>
              </c:strCache>
            </c:strRef>
          </c:tx>
          <c:spPr>
            <a:ln w="22225" cap="rnd">
              <a:solidFill>
                <a:srgbClr val="002060"/>
              </a:solidFill>
              <a:prstDash val="solid"/>
              <a:round/>
            </a:ln>
            <a:effectLst/>
          </c:spPr>
          <c:marker>
            <c:symbol val="none"/>
          </c:marker>
          <c:dLbls>
            <c:dLbl>
              <c:idx val="15"/>
              <c:layout>
                <c:manualLayout>
                  <c:x val="0"/>
                  <c:y val="3.8138138138138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46-4A40-8F1E-41C2287426E3}"/>
                </c:ext>
              </c:extLst>
            </c:dLbl>
            <c:spPr>
              <a:noFill/>
              <a:ln>
                <a:noFill/>
              </a:ln>
              <a:effectLst/>
            </c:spPr>
            <c:txPr>
              <a:bodyPr wrap="square" lIns="38100" tIns="19050" rIns="38100" bIns="19050" anchor="ctr">
                <a:spAutoFit/>
              </a:bodyPr>
              <a:lstStyle/>
              <a:p>
                <a:pPr>
                  <a:defRPr sz="800" b="1">
                    <a:solidFill>
                      <a:srgbClr val="002060"/>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Resultados!$AA$95:$AA$110</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Resultados!$AD$31:$AD$46</c:f>
              <c:numCache>
                <c:formatCode>0.0</c:formatCode>
                <c:ptCount val="16"/>
                <c:pt idx="0">
                  <c:v>78.12</c:v>
                </c:pt>
                <c:pt idx="1">
                  <c:v>76.83</c:v>
                </c:pt>
                <c:pt idx="2">
                  <c:v>73.28</c:v>
                </c:pt>
                <c:pt idx="3">
                  <c:v>79.45</c:v>
                </c:pt>
                <c:pt idx="4">
                  <c:v>82.8</c:v>
                </c:pt>
                <c:pt idx="5">
                  <c:v>82.8</c:v>
                </c:pt>
                <c:pt idx="6">
                  <c:v>82.8</c:v>
                </c:pt>
                <c:pt idx="7">
                  <c:v>82.8</c:v>
                </c:pt>
                <c:pt idx="8">
                  <c:v>82.8</c:v>
                </c:pt>
                <c:pt idx="9">
                  <c:v>82.8</c:v>
                </c:pt>
                <c:pt idx="10">
                  <c:v>82.8</c:v>
                </c:pt>
                <c:pt idx="11">
                  <c:v>82.8</c:v>
                </c:pt>
                <c:pt idx="12">
                  <c:v>83.3</c:v>
                </c:pt>
                <c:pt idx="13">
                  <c:v>83.3</c:v>
                </c:pt>
                <c:pt idx="14">
                  <c:v>83.3</c:v>
                </c:pt>
                <c:pt idx="15">
                  <c:v>83.3</c:v>
                </c:pt>
              </c:numCache>
            </c:numRef>
          </c:val>
          <c:smooth val="0"/>
          <c:extLst>
            <c:ext xmlns:c16="http://schemas.microsoft.com/office/drawing/2014/chart" uri="{C3380CC4-5D6E-409C-BE32-E72D297353CC}">
              <c16:uniqueId val="{00000003-1346-4A40-8F1E-41C2287426E3}"/>
            </c:ext>
          </c:extLst>
        </c:ser>
        <c:dLbls>
          <c:showLegendKey val="0"/>
          <c:showVal val="0"/>
          <c:showCatName val="0"/>
          <c:showSerName val="0"/>
          <c:showPercent val="0"/>
          <c:showBubbleSize val="0"/>
        </c:dLbls>
        <c:smooth val="0"/>
        <c:axId val="253913120"/>
        <c:axId val="253895232"/>
      </c:lineChart>
      <c:dateAx>
        <c:axId val="2539131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53895232"/>
        <c:crosses val="autoZero"/>
        <c:auto val="1"/>
        <c:lblOffset val="100"/>
        <c:baseTimeUnit val="months"/>
        <c:majorUnit val="5"/>
        <c:majorTimeUnit val="months"/>
      </c:dateAx>
      <c:valAx>
        <c:axId val="253895232"/>
        <c:scaling>
          <c:orientation val="minMax"/>
          <c:min val="15"/>
        </c:scaling>
        <c:delete val="1"/>
        <c:axPos val="l"/>
        <c:numFmt formatCode="0.0" sourceLinked="1"/>
        <c:majorTickMark val="out"/>
        <c:minorTickMark val="none"/>
        <c:tickLblPos val="nextTo"/>
        <c:crossAx val="253913120"/>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87378640776698E-2"/>
          <c:y val="0"/>
          <c:w val="0.80582524271844658"/>
          <c:h val="0.87012372205554167"/>
        </c:manualLayout>
      </c:layout>
      <c:lineChart>
        <c:grouping val="standard"/>
        <c:varyColors val="0"/>
        <c:ser>
          <c:idx val="0"/>
          <c:order val="0"/>
          <c:spPr>
            <a:ln w="19050" cap="rnd">
              <a:solidFill>
                <a:schemeClr val="accent2"/>
              </a:solidFill>
              <a:prstDash val="sysDot"/>
              <a:round/>
            </a:ln>
            <a:effectLst/>
          </c:spPr>
          <c:marker>
            <c:symbol val="none"/>
          </c:marker>
          <c:dLbls>
            <c:dLbl>
              <c:idx val="15"/>
              <c:layout>
                <c:manualLayout>
                  <c:x val="0"/>
                  <c:y val="-4.7672672672672681E-2"/>
                </c:manualLayout>
              </c:layout>
              <c:spPr>
                <a:noFill/>
                <a:ln>
                  <a:noFill/>
                </a:ln>
                <a:effectLst/>
              </c:spPr>
              <c:txPr>
                <a:bodyPr wrap="square" lIns="38100" tIns="19050" rIns="38100" bIns="19050" anchor="ctr">
                  <a:spAutoFit/>
                </a:bodyPr>
                <a:lstStyle/>
                <a:p>
                  <a:pPr>
                    <a:defRPr sz="600" b="1">
                      <a:solidFill>
                        <a:schemeClr val="accent2"/>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CD-479A-BEF7-F0A9D216D7D5}"/>
                </c:ext>
              </c:extLst>
            </c:dLbl>
            <c:spPr>
              <a:noFill/>
              <a:ln>
                <a:noFill/>
              </a:ln>
              <a:effectLst/>
            </c:spPr>
            <c:txPr>
              <a:bodyPr wrap="square" lIns="38100" tIns="19050" rIns="38100" bIns="19050" anchor="ctr">
                <a:spAutoFit/>
              </a:bodyPr>
              <a:lstStyle/>
              <a:p>
                <a:pPr>
                  <a:defRPr sz="500" b="1">
                    <a:solidFill>
                      <a:schemeClr val="accent2"/>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Resultados!$AA$95:$AA$110</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Resultados!$AC$63:$AC$78</c:f>
              <c:numCache>
                <c:formatCode>_-* #,##0.0_-;\-* #,##0.0_-;_-* "-"??_-;_-@_-</c:formatCode>
                <c:ptCount val="16"/>
                <c:pt idx="0">
                  <c:v>34.409999999999997</c:v>
                </c:pt>
                <c:pt idx="1">
                  <c:v>34.28</c:v>
                </c:pt>
                <c:pt idx="2">
                  <c:v>33.605000000000004</c:v>
                </c:pt>
                <c:pt idx="3">
                  <c:v>35.519999999999996</c:v>
                </c:pt>
                <c:pt idx="4">
                  <c:v>32.59891717942147</c:v>
                </c:pt>
                <c:pt idx="5">
                  <c:v>32.59891717942147</c:v>
                </c:pt>
                <c:pt idx="6">
                  <c:v>33.467741173382429</c:v>
                </c:pt>
                <c:pt idx="7">
                  <c:v>33.467741173382429</c:v>
                </c:pt>
                <c:pt idx="8">
                  <c:v>33.467741173382429</c:v>
                </c:pt>
                <c:pt idx="9">
                  <c:v>33.705928643208523</c:v>
                </c:pt>
                <c:pt idx="10">
                  <c:v>33.705928643208523</c:v>
                </c:pt>
                <c:pt idx="11">
                  <c:v>33.705928643208523</c:v>
                </c:pt>
                <c:pt idx="12">
                  <c:v>39.750502769858144</c:v>
                </c:pt>
                <c:pt idx="13">
                  <c:v>39.750502769858144</c:v>
                </c:pt>
                <c:pt idx="14">
                  <c:v>39.750502769858144</c:v>
                </c:pt>
                <c:pt idx="15">
                  <c:v>41.307102267772876</c:v>
                </c:pt>
              </c:numCache>
            </c:numRef>
          </c:val>
          <c:smooth val="0"/>
          <c:extLst>
            <c:ext xmlns:c16="http://schemas.microsoft.com/office/drawing/2014/chart" uri="{C3380CC4-5D6E-409C-BE32-E72D297353CC}">
              <c16:uniqueId val="{00000001-FACD-479A-BEF7-F0A9D216D7D5}"/>
            </c:ext>
          </c:extLst>
        </c:ser>
        <c:ser>
          <c:idx val="2"/>
          <c:order val="1"/>
          <c:tx>
            <c:strRef>
              <c:f>Resultados!$AC$82</c:f>
              <c:strCache>
                <c:ptCount val="1"/>
                <c:pt idx="0">
                  <c:v> Precio </c:v>
                </c:pt>
              </c:strCache>
            </c:strRef>
          </c:tx>
          <c:spPr>
            <a:ln w="22225" cap="rnd">
              <a:solidFill>
                <a:schemeClr val="accent6"/>
              </a:solidFill>
              <a:prstDash val="sysDot"/>
              <a:round/>
            </a:ln>
            <a:effectLst/>
          </c:spPr>
          <c:marker>
            <c:symbol val="none"/>
          </c:marker>
          <c:dLbls>
            <c:dLbl>
              <c:idx val="15"/>
              <c:layout>
                <c:manualLayout>
                  <c:x val="0"/>
                  <c:y val="3.8138138138138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CD-479A-BEF7-F0A9D216D7D5}"/>
                </c:ext>
              </c:extLst>
            </c:dLbl>
            <c:spPr>
              <a:noFill/>
              <a:ln>
                <a:noFill/>
              </a:ln>
              <a:effectLst/>
            </c:spPr>
            <c:txPr>
              <a:bodyPr wrap="square" lIns="38100" tIns="19050" rIns="38100" bIns="19050" anchor="ctr">
                <a:spAutoFit/>
              </a:bodyPr>
              <a:lstStyle/>
              <a:p>
                <a:pPr>
                  <a:defRPr sz="600" b="1">
                    <a:solidFill>
                      <a:schemeClr val="accent6"/>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Resultados!$AA$95:$AA$110</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Resultados!$AC$95:$AC$110</c:f>
              <c:numCache>
                <c:formatCode>_-* #,##0.0_-;\-* #,##0.0_-;_-* "-"??_-;_-@_-</c:formatCode>
                <c:ptCount val="16"/>
                <c:pt idx="0">
                  <c:v>34.409999999999997</c:v>
                </c:pt>
                <c:pt idx="1">
                  <c:v>34.28</c:v>
                </c:pt>
                <c:pt idx="2">
                  <c:v>33.605000000000004</c:v>
                </c:pt>
                <c:pt idx="3">
                  <c:v>35.519999999999996</c:v>
                </c:pt>
                <c:pt idx="4">
                  <c:v>32.59891717942147</c:v>
                </c:pt>
                <c:pt idx="5">
                  <c:v>32.59891717942147</c:v>
                </c:pt>
                <c:pt idx="6">
                  <c:v>33.467741173382429</c:v>
                </c:pt>
                <c:pt idx="7">
                  <c:v>33.467741173382429</c:v>
                </c:pt>
                <c:pt idx="8">
                  <c:v>33.467741173382429</c:v>
                </c:pt>
                <c:pt idx="9">
                  <c:v>33.705928643208523</c:v>
                </c:pt>
                <c:pt idx="10">
                  <c:v>33.705928643208523</c:v>
                </c:pt>
                <c:pt idx="11">
                  <c:v>33.705928643208523</c:v>
                </c:pt>
                <c:pt idx="12">
                  <c:v>39.750502769858144</c:v>
                </c:pt>
                <c:pt idx="13">
                  <c:v>37.750502769858144</c:v>
                </c:pt>
                <c:pt idx="14">
                  <c:v>37.750502769858144</c:v>
                </c:pt>
                <c:pt idx="15">
                  <c:v>39.307102267772876</c:v>
                </c:pt>
              </c:numCache>
            </c:numRef>
          </c:val>
          <c:smooth val="0"/>
          <c:extLst>
            <c:ext xmlns:c16="http://schemas.microsoft.com/office/drawing/2014/chart" uri="{C3380CC4-5D6E-409C-BE32-E72D297353CC}">
              <c16:uniqueId val="{00000003-FACD-479A-BEF7-F0A9D216D7D5}"/>
            </c:ext>
          </c:extLst>
        </c:ser>
        <c:ser>
          <c:idx val="1"/>
          <c:order val="2"/>
          <c:tx>
            <c:strRef>
              <c:f>Resultados!$AC$18</c:f>
              <c:strCache>
                <c:ptCount val="1"/>
                <c:pt idx="0">
                  <c:v>Precio</c:v>
                </c:pt>
              </c:strCache>
            </c:strRef>
          </c:tx>
          <c:spPr>
            <a:ln w="22225" cap="rnd">
              <a:solidFill>
                <a:srgbClr val="002060"/>
              </a:solidFill>
              <a:round/>
            </a:ln>
            <a:effectLst/>
          </c:spPr>
          <c:marker>
            <c:symbol val="none"/>
          </c:marker>
          <c:dLbls>
            <c:dLbl>
              <c:idx val="15"/>
              <c:layout>
                <c:manualLayout>
                  <c:x val="0"/>
                  <c:y val="3.8138138138138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CD-479A-BEF7-F0A9D216D7D5}"/>
                </c:ext>
              </c:extLst>
            </c:dLbl>
            <c:spPr>
              <a:noFill/>
              <a:ln>
                <a:noFill/>
              </a:ln>
              <a:effectLst/>
            </c:spPr>
            <c:txPr>
              <a:bodyPr wrap="square" lIns="38100" tIns="19050" rIns="38100" bIns="19050" anchor="ctr">
                <a:spAutoFit/>
              </a:bodyPr>
              <a:lstStyle/>
              <a:p>
                <a:pPr>
                  <a:defRPr sz="600" b="1">
                    <a:solidFill>
                      <a:srgbClr val="002060"/>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Resultados!$AA$95:$AA$110</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Resultados!$AC$31:$AC$46</c:f>
              <c:numCache>
                <c:formatCode>_-* #,##0.0_-;\-* #,##0.0_-;_-* "-"??_-;_-@_-</c:formatCode>
                <c:ptCount val="16"/>
                <c:pt idx="0">
                  <c:v>34.409999999999997</c:v>
                </c:pt>
                <c:pt idx="1">
                  <c:v>34.28</c:v>
                </c:pt>
                <c:pt idx="2">
                  <c:v>33.605000000000004</c:v>
                </c:pt>
                <c:pt idx="3">
                  <c:v>35.519999999999996</c:v>
                </c:pt>
                <c:pt idx="4">
                  <c:v>32.59891717942147</c:v>
                </c:pt>
                <c:pt idx="5">
                  <c:v>32.59891717942147</c:v>
                </c:pt>
                <c:pt idx="6">
                  <c:v>33.467741173382429</c:v>
                </c:pt>
                <c:pt idx="7">
                  <c:v>33.467741173382429</c:v>
                </c:pt>
                <c:pt idx="8">
                  <c:v>33.467741173382429</c:v>
                </c:pt>
                <c:pt idx="9">
                  <c:v>33.705928643208523</c:v>
                </c:pt>
                <c:pt idx="10">
                  <c:v>33.705928643208523</c:v>
                </c:pt>
                <c:pt idx="11">
                  <c:v>33.705928643208523</c:v>
                </c:pt>
                <c:pt idx="12">
                  <c:v>29.488718086782892</c:v>
                </c:pt>
                <c:pt idx="13">
                  <c:v>29.488718086782892</c:v>
                </c:pt>
                <c:pt idx="14">
                  <c:v>29.488718086782892</c:v>
                </c:pt>
                <c:pt idx="15">
                  <c:v>28.685737584798403</c:v>
                </c:pt>
              </c:numCache>
            </c:numRef>
          </c:val>
          <c:smooth val="0"/>
          <c:extLst>
            <c:ext xmlns:c16="http://schemas.microsoft.com/office/drawing/2014/chart" uri="{C3380CC4-5D6E-409C-BE32-E72D297353CC}">
              <c16:uniqueId val="{00000005-FACD-479A-BEF7-F0A9D216D7D5}"/>
            </c:ext>
          </c:extLst>
        </c:ser>
        <c:dLbls>
          <c:showLegendKey val="0"/>
          <c:showVal val="0"/>
          <c:showCatName val="0"/>
          <c:showSerName val="0"/>
          <c:showPercent val="0"/>
          <c:showBubbleSize val="0"/>
        </c:dLbls>
        <c:smooth val="0"/>
        <c:axId val="253913120"/>
        <c:axId val="253895232"/>
      </c:lineChart>
      <c:dateAx>
        <c:axId val="2539131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53895232"/>
        <c:crosses val="autoZero"/>
        <c:auto val="1"/>
        <c:lblOffset val="100"/>
        <c:baseTimeUnit val="months"/>
        <c:majorUnit val="5"/>
        <c:majorTimeUnit val="months"/>
      </c:dateAx>
      <c:valAx>
        <c:axId val="253895232"/>
        <c:scaling>
          <c:orientation val="minMax"/>
          <c:min val="15"/>
        </c:scaling>
        <c:delete val="1"/>
        <c:axPos val="l"/>
        <c:numFmt formatCode="_-* #,##0.0_-;\-* #,##0.0_-;_-* &quot;-&quot;??_-;_-@_-" sourceLinked="1"/>
        <c:majorTickMark val="out"/>
        <c:minorTickMark val="none"/>
        <c:tickLblPos val="nextTo"/>
        <c:crossAx val="253913120"/>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87378640776698E-2"/>
          <c:y val="0"/>
          <c:w val="0.80582524271844658"/>
          <c:h val="0.86322025167414818"/>
        </c:manualLayout>
      </c:layout>
      <c:lineChart>
        <c:grouping val="standard"/>
        <c:varyColors val="0"/>
        <c:ser>
          <c:idx val="0"/>
          <c:order val="0"/>
          <c:spPr>
            <a:ln w="19050" cap="rnd">
              <a:solidFill>
                <a:schemeClr val="accent2"/>
              </a:solidFill>
              <a:prstDash val="sysDot"/>
              <a:round/>
            </a:ln>
            <a:effectLst/>
          </c:spPr>
          <c:marker>
            <c:symbol val="none"/>
          </c:marker>
          <c:dLbls>
            <c:dLbl>
              <c:idx val="15"/>
              <c:layout>
                <c:manualLayout>
                  <c:x val="0"/>
                  <c:y val="-4.7672672672672681E-2"/>
                </c:manualLayout>
              </c:layout>
              <c:spPr>
                <a:noFill/>
                <a:ln>
                  <a:noFill/>
                </a:ln>
                <a:effectLst/>
              </c:spPr>
              <c:txPr>
                <a:bodyPr wrap="square" lIns="38100" tIns="19050" rIns="38100" bIns="19050" anchor="ctr">
                  <a:spAutoFit/>
                </a:bodyPr>
                <a:lstStyle/>
                <a:p>
                  <a:pPr>
                    <a:defRPr sz="600" b="1">
                      <a:solidFill>
                        <a:schemeClr val="accent2"/>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94-4E63-BCAD-8A18B3F2FC4C}"/>
                </c:ext>
              </c:extLst>
            </c:dLbl>
            <c:spPr>
              <a:noFill/>
              <a:ln>
                <a:noFill/>
              </a:ln>
              <a:effectLst/>
            </c:spPr>
            <c:txPr>
              <a:bodyPr wrap="square" lIns="38100" tIns="19050" rIns="38100" bIns="19050" anchor="ctr">
                <a:spAutoFit/>
              </a:bodyPr>
              <a:lstStyle/>
              <a:p>
                <a:pPr>
                  <a:defRPr sz="500" b="1">
                    <a:solidFill>
                      <a:schemeClr val="accent2"/>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Resultados!$AA$95:$AA$110</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Resultados!$AJ$63:$AJ$78</c:f>
              <c:numCache>
                <c:formatCode>_-* #,##0.0_-;\-* #,##0.0_-;_-* "-"??_-;_-@_-</c:formatCode>
                <c:ptCount val="16"/>
                <c:pt idx="0">
                  <c:v>36.78</c:v>
                </c:pt>
                <c:pt idx="1">
                  <c:v>34</c:v>
                </c:pt>
                <c:pt idx="2">
                  <c:v>31.66</c:v>
                </c:pt>
                <c:pt idx="3">
                  <c:v>30.77</c:v>
                </c:pt>
                <c:pt idx="4">
                  <c:v>30.743164761565435</c:v>
                </c:pt>
                <c:pt idx="5">
                  <c:v>30.743164761565435</c:v>
                </c:pt>
                <c:pt idx="6">
                  <c:v>30.794727911940445</c:v>
                </c:pt>
                <c:pt idx="7">
                  <c:v>30.794727911940445</c:v>
                </c:pt>
                <c:pt idx="8">
                  <c:v>30.794727911940445</c:v>
                </c:pt>
                <c:pt idx="9">
                  <c:v>30.899215018051869</c:v>
                </c:pt>
                <c:pt idx="10">
                  <c:v>30.899215018051869</c:v>
                </c:pt>
                <c:pt idx="11">
                  <c:v>30.899215018051869</c:v>
                </c:pt>
                <c:pt idx="12">
                  <c:v>36.843785566506</c:v>
                </c:pt>
                <c:pt idx="13">
                  <c:v>36.843785566506</c:v>
                </c:pt>
                <c:pt idx="14">
                  <c:v>36.843785566506</c:v>
                </c:pt>
                <c:pt idx="15">
                  <c:v>39.568263005317391</c:v>
                </c:pt>
              </c:numCache>
            </c:numRef>
          </c:val>
          <c:smooth val="0"/>
          <c:extLst>
            <c:ext xmlns:c16="http://schemas.microsoft.com/office/drawing/2014/chart" uri="{C3380CC4-5D6E-409C-BE32-E72D297353CC}">
              <c16:uniqueId val="{00000001-D094-4E63-BCAD-8A18B3F2FC4C}"/>
            </c:ext>
          </c:extLst>
        </c:ser>
        <c:ser>
          <c:idx val="2"/>
          <c:order val="1"/>
          <c:tx>
            <c:strRef>
              <c:f>Resultados!$AC$82</c:f>
              <c:strCache>
                <c:ptCount val="1"/>
                <c:pt idx="0">
                  <c:v> Precio </c:v>
                </c:pt>
              </c:strCache>
            </c:strRef>
          </c:tx>
          <c:spPr>
            <a:ln w="22225" cap="rnd">
              <a:solidFill>
                <a:schemeClr val="accent6"/>
              </a:solidFill>
              <a:prstDash val="sysDot"/>
              <a:round/>
            </a:ln>
            <a:effectLst/>
          </c:spPr>
          <c:marker>
            <c:symbol val="none"/>
          </c:marker>
          <c:dLbls>
            <c:dLbl>
              <c:idx val="15"/>
              <c:layout>
                <c:manualLayout>
                  <c:x val="0"/>
                  <c:y val="-5.7207207207207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94-4E63-BCAD-8A18B3F2FC4C}"/>
                </c:ext>
              </c:extLst>
            </c:dLbl>
            <c:spPr>
              <a:noFill/>
              <a:ln>
                <a:noFill/>
              </a:ln>
              <a:effectLst/>
            </c:spPr>
            <c:txPr>
              <a:bodyPr wrap="square" lIns="38100" tIns="19050" rIns="38100" bIns="19050" anchor="ctr">
                <a:spAutoFit/>
              </a:bodyPr>
              <a:lstStyle/>
              <a:p>
                <a:pPr>
                  <a:defRPr sz="600" b="1">
                    <a:solidFill>
                      <a:schemeClr val="accent6"/>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Resultados!$AA$95:$AA$110</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Resultados!$AJ$95:$AJ$110</c:f>
              <c:numCache>
                <c:formatCode>_-* #,##0.0_-;\-* #,##0.0_-;_-* "-"??_-;_-@_-</c:formatCode>
                <c:ptCount val="16"/>
                <c:pt idx="0">
                  <c:v>36.78</c:v>
                </c:pt>
                <c:pt idx="1">
                  <c:v>34</c:v>
                </c:pt>
                <c:pt idx="2">
                  <c:v>31.66</c:v>
                </c:pt>
                <c:pt idx="3">
                  <c:v>30.77</c:v>
                </c:pt>
                <c:pt idx="4">
                  <c:v>30.743164761565435</c:v>
                </c:pt>
                <c:pt idx="5">
                  <c:v>30.743164761565435</c:v>
                </c:pt>
                <c:pt idx="6">
                  <c:v>30.794727911940445</c:v>
                </c:pt>
                <c:pt idx="7">
                  <c:v>30.794727911940445</c:v>
                </c:pt>
                <c:pt idx="8">
                  <c:v>30.794727911940445</c:v>
                </c:pt>
                <c:pt idx="9">
                  <c:v>30.899215018051869</c:v>
                </c:pt>
                <c:pt idx="10">
                  <c:v>30.899215018051869</c:v>
                </c:pt>
                <c:pt idx="11">
                  <c:v>30.899215018051869</c:v>
                </c:pt>
                <c:pt idx="12">
                  <c:v>36.843785566506</c:v>
                </c:pt>
                <c:pt idx="13">
                  <c:v>31.843785566506</c:v>
                </c:pt>
                <c:pt idx="14">
                  <c:v>31.843785566506</c:v>
                </c:pt>
                <c:pt idx="15">
                  <c:v>34.568263005317391</c:v>
                </c:pt>
              </c:numCache>
            </c:numRef>
          </c:val>
          <c:smooth val="0"/>
          <c:extLst>
            <c:ext xmlns:c16="http://schemas.microsoft.com/office/drawing/2014/chart" uri="{C3380CC4-5D6E-409C-BE32-E72D297353CC}">
              <c16:uniqueId val="{00000003-D094-4E63-BCAD-8A18B3F2FC4C}"/>
            </c:ext>
          </c:extLst>
        </c:ser>
        <c:ser>
          <c:idx val="1"/>
          <c:order val="2"/>
          <c:tx>
            <c:strRef>
              <c:f>Resultados!$AC$18</c:f>
              <c:strCache>
                <c:ptCount val="1"/>
                <c:pt idx="0">
                  <c:v>Precio</c:v>
                </c:pt>
              </c:strCache>
            </c:strRef>
          </c:tx>
          <c:spPr>
            <a:ln w="22225" cap="rnd">
              <a:solidFill>
                <a:srgbClr val="002060"/>
              </a:solidFill>
              <a:round/>
            </a:ln>
            <a:effectLst/>
          </c:spPr>
          <c:marker>
            <c:symbol val="none"/>
          </c:marker>
          <c:dLbls>
            <c:dLbl>
              <c:idx val="15"/>
              <c:layout>
                <c:manualLayout>
                  <c:x val="0"/>
                  <c:y val="3.8138138138138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94-4E63-BCAD-8A18B3F2FC4C}"/>
                </c:ext>
              </c:extLst>
            </c:dLbl>
            <c:spPr>
              <a:noFill/>
              <a:ln>
                <a:noFill/>
              </a:ln>
              <a:effectLst/>
            </c:spPr>
            <c:txPr>
              <a:bodyPr wrap="square" lIns="38100" tIns="19050" rIns="38100" bIns="19050" anchor="ctr">
                <a:spAutoFit/>
              </a:bodyPr>
              <a:lstStyle/>
              <a:p>
                <a:pPr>
                  <a:defRPr sz="600" b="1">
                    <a:solidFill>
                      <a:srgbClr val="002060"/>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Resultados!$AA$95:$AA$110</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Resultados!$AJ$31:$AJ$46</c:f>
              <c:numCache>
                <c:formatCode>_-* #,##0.0_-;\-* #,##0.0_-;_-* "-"??_-;_-@_-</c:formatCode>
                <c:ptCount val="16"/>
                <c:pt idx="0">
                  <c:v>36.78</c:v>
                </c:pt>
                <c:pt idx="1">
                  <c:v>34</c:v>
                </c:pt>
                <c:pt idx="2">
                  <c:v>31.66</c:v>
                </c:pt>
                <c:pt idx="3">
                  <c:v>30.77</c:v>
                </c:pt>
                <c:pt idx="4">
                  <c:v>30.743164761565435</c:v>
                </c:pt>
                <c:pt idx="5">
                  <c:v>30.743164761565435</c:v>
                </c:pt>
                <c:pt idx="6">
                  <c:v>30.794727911940445</c:v>
                </c:pt>
                <c:pt idx="7">
                  <c:v>30.794727911940445</c:v>
                </c:pt>
                <c:pt idx="8">
                  <c:v>30.794727911940445</c:v>
                </c:pt>
                <c:pt idx="9">
                  <c:v>30.899215018051869</c:v>
                </c:pt>
                <c:pt idx="10">
                  <c:v>30.899215018051869</c:v>
                </c:pt>
                <c:pt idx="11">
                  <c:v>30.899215018051869</c:v>
                </c:pt>
                <c:pt idx="12">
                  <c:v>31.132366534509579</c:v>
                </c:pt>
                <c:pt idx="13">
                  <c:v>31.132366534509579</c:v>
                </c:pt>
                <c:pt idx="14">
                  <c:v>31.132366534509579</c:v>
                </c:pt>
                <c:pt idx="15">
                  <c:v>31.283969654084615</c:v>
                </c:pt>
              </c:numCache>
            </c:numRef>
          </c:val>
          <c:smooth val="0"/>
          <c:extLst>
            <c:ext xmlns:c16="http://schemas.microsoft.com/office/drawing/2014/chart" uri="{C3380CC4-5D6E-409C-BE32-E72D297353CC}">
              <c16:uniqueId val="{00000005-D094-4E63-BCAD-8A18B3F2FC4C}"/>
            </c:ext>
          </c:extLst>
        </c:ser>
        <c:dLbls>
          <c:showLegendKey val="0"/>
          <c:showVal val="0"/>
          <c:showCatName val="0"/>
          <c:showSerName val="0"/>
          <c:showPercent val="0"/>
          <c:showBubbleSize val="0"/>
        </c:dLbls>
        <c:smooth val="0"/>
        <c:axId val="253913120"/>
        <c:axId val="253895232"/>
      </c:lineChart>
      <c:dateAx>
        <c:axId val="2539131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53895232"/>
        <c:crosses val="autoZero"/>
        <c:auto val="1"/>
        <c:lblOffset val="100"/>
        <c:baseTimeUnit val="months"/>
        <c:majorUnit val="5"/>
        <c:majorTimeUnit val="months"/>
      </c:dateAx>
      <c:valAx>
        <c:axId val="253895232"/>
        <c:scaling>
          <c:orientation val="minMax"/>
          <c:min val="15"/>
        </c:scaling>
        <c:delete val="1"/>
        <c:axPos val="l"/>
        <c:numFmt formatCode="_-* #,##0.0_-;\-* #,##0.0_-;_-* &quot;-&quot;??_-;_-@_-" sourceLinked="1"/>
        <c:majorTickMark val="out"/>
        <c:minorTickMark val="none"/>
        <c:tickLblPos val="nextTo"/>
        <c:crossAx val="253913120"/>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73221216041398E-2"/>
          <c:y val="0"/>
          <c:w val="0.94825355756791718"/>
          <c:h val="0.811466172686645"/>
        </c:manualLayout>
      </c:layout>
      <c:lineChart>
        <c:grouping val="standard"/>
        <c:varyColors val="0"/>
        <c:ser>
          <c:idx val="0"/>
          <c:order val="0"/>
          <c:tx>
            <c:strRef>
              <c:f>'C:\Users\halegre\Documents\Heberto\MINFIN\riesgo fiscal\2023\db\[VIX.csv]VIX'!$B$1</c:f>
              <c:strCache>
                <c:ptCount val="1"/>
                <c:pt idx="0">
                  <c:v>valor</c:v>
                </c:pt>
              </c:strCache>
            </c:strRef>
          </c:tx>
          <c:spPr>
            <a:ln w="12700" cap="rnd">
              <a:solidFill>
                <a:schemeClr val="accent1"/>
              </a:solidFill>
              <a:round/>
            </a:ln>
            <a:effectLst/>
          </c:spPr>
          <c:marker>
            <c:symbol val="none"/>
          </c:marker>
          <c:dLbls>
            <c:dLbl>
              <c:idx val="40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DA-4AAA-AE73-476C7423929A}"/>
                </c:ext>
              </c:extLst>
            </c:dLbl>
            <c:dLbl>
              <c:idx val="141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DA-4AAA-AE73-476C7423929A}"/>
                </c:ext>
              </c:extLst>
            </c:dLbl>
            <c:dLbl>
              <c:idx val="203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DA-4AAA-AE73-476C7423929A}"/>
                </c:ext>
              </c:extLst>
            </c:dLbl>
            <c:dLbl>
              <c:idx val="256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DA-4AAA-AE73-476C7423929A}"/>
                </c:ext>
              </c:extLst>
            </c:dLbl>
            <c:dLbl>
              <c:idx val="3393"/>
              <c:layout>
                <c:manualLayout>
                  <c:x val="-8.869495805556353E-4"/>
                  <c:y val="-9.69649963998546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DA-4AAA-AE73-476C7423929A}"/>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VIX!$A$2:$A$3395</c:f>
              <c:numCache>
                <c:formatCode>mmm\-yy</c:formatCode>
                <c:ptCount val="3394"/>
                <c:pt idx="0">
                  <c:v>40182</c:v>
                </c:pt>
                <c:pt idx="1">
                  <c:v>40183</c:v>
                </c:pt>
                <c:pt idx="2">
                  <c:v>40184</c:v>
                </c:pt>
                <c:pt idx="3">
                  <c:v>40185</c:v>
                </c:pt>
                <c:pt idx="4">
                  <c:v>40186</c:v>
                </c:pt>
                <c:pt idx="5">
                  <c:v>40189</c:v>
                </c:pt>
                <c:pt idx="6">
                  <c:v>40190</c:v>
                </c:pt>
                <c:pt idx="7">
                  <c:v>40191</c:v>
                </c:pt>
                <c:pt idx="8">
                  <c:v>40192</c:v>
                </c:pt>
                <c:pt idx="9">
                  <c:v>40193</c:v>
                </c:pt>
                <c:pt idx="10">
                  <c:v>40197</c:v>
                </c:pt>
                <c:pt idx="11">
                  <c:v>40198</c:v>
                </c:pt>
                <c:pt idx="12">
                  <c:v>40199</c:v>
                </c:pt>
                <c:pt idx="13">
                  <c:v>40200</c:v>
                </c:pt>
                <c:pt idx="14">
                  <c:v>40203</c:v>
                </c:pt>
                <c:pt idx="15">
                  <c:v>40204</c:v>
                </c:pt>
                <c:pt idx="16">
                  <c:v>40205</c:v>
                </c:pt>
                <c:pt idx="17">
                  <c:v>40206</c:v>
                </c:pt>
                <c:pt idx="18">
                  <c:v>40207</c:v>
                </c:pt>
                <c:pt idx="19">
                  <c:v>40210</c:v>
                </c:pt>
                <c:pt idx="20">
                  <c:v>40211</c:v>
                </c:pt>
                <c:pt idx="21">
                  <c:v>40212</c:v>
                </c:pt>
                <c:pt idx="22">
                  <c:v>40213</c:v>
                </c:pt>
                <c:pt idx="23">
                  <c:v>40214</c:v>
                </c:pt>
                <c:pt idx="24">
                  <c:v>40217</c:v>
                </c:pt>
                <c:pt idx="25">
                  <c:v>40218</c:v>
                </c:pt>
                <c:pt idx="26">
                  <c:v>40219</c:v>
                </c:pt>
                <c:pt idx="27">
                  <c:v>40220</c:v>
                </c:pt>
                <c:pt idx="28">
                  <c:v>40221</c:v>
                </c:pt>
                <c:pt idx="29">
                  <c:v>40225</c:v>
                </c:pt>
                <c:pt idx="30">
                  <c:v>40226</c:v>
                </c:pt>
                <c:pt idx="31">
                  <c:v>40227</c:v>
                </c:pt>
                <c:pt idx="32">
                  <c:v>40228</c:v>
                </c:pt>
                <c:pt idx="33">
                  <c:v>40231</c:v>
                </c:pt>
                <c:pt idx="34">
                  <c:v>40232</c:v>
                </c:pt>
                <c:pt idx="35">
                  <c:v>40233</c:v>
                </c:pt>
                <c:pt idx="36">
                  <c:v>40234</c:v>
                </c:pt>
                <c:pt idx="37">
                  <c:v>40235</c:v>
                </c:pt>
                <c:pt idx="38">
                  <c:v>40238</c:v>
                </c:pt>
                <c:pt idx="39">
                  <c:v>40239</c:v>
                </c:pt>
                <c:pt idx="40">
                  <c:v>40240</c:v>
                </c:pt>
                <c:pt idx="41">
                  <c:v>40241</c:v>
                </c:pt>
                <c:pt idx="42">
                  <c:v>40242</c:v>
                </c:pt>
                <c:pt idx="43">
                  <c:v>40245</c:v>
                </c:pt>
                <c:pt idx="44">
                  <c:v>40246</c:v>
                </c:pt>
                <c:pt idx="45">
                  <c:v>40247</c:v>
                </c:pt>
                <c:pt idx="46">
                  <c:v>40248</c:v>
                </c:pt>
                <c:pt idx="47">
                  <c:v>40249</c:v>
                </c:pt>
                <c:pt idx="48">
                  <c:v>40252</c:v>
                </c:pt>
                <c:pt idx="49">
                  <c:v>40253</c:v>
                </c:pt>
                <c:pt idx="50">
                  <c:v>40254</c:v>
                </c:pt>
                <c:pt idx="51">
                  <c:v>40255</c:v>
                </c:pt>
                <c:pt idx="52">
                  <c:v>40256</c:v>
                </c:pt>
                <c:pt idx="53">
                  <c:v>40259</c:v>
                </c:pt>
                <c:pt idx="54">
                  <c:v>40260</c:v>
                </c:pt>
                <c:pt idx="55">
                  <c:v>40261</c:v>
                </c:pt>
                <c:pt idx="56">
                  <c:v>40262</c:v>
                </c:pt>
                <c:pt idx="57">
                  <c:v>40263</c:v>
                </c:pt>
                <c:pt idx="58">
                  <c:v>40266</c:v>
                </c:pt>
                <c:pt idx="59">
                  <c:v>40267</c:v>
                </c:pt>
                <c:pt idx="60">
                  <c:v>40268</c:v>
                </c:pt>
                <c:pt idx="61">
                  <c:v>40269</c:v>
                </c:pt>
                <c:pt idx="62">
                  <c:v>40273</c:v>
                </c:pt>
                <c:pt idx="63">
                  <c:v>40274</c:v>
                </c:pt>
                <c:pt idx="64">
                  <c:v>40275</c:v>
                </c:pt>
                <c:pt idx="65">
                  <c:v>40276</c:v>
                </c:pt>
                <c:pt idx="66">
                  <c:v>40277</c:v>
                </c:pt>
                <c:pt idx="67">
                  <c:v>40280</c:v>
                </c:pt>
                <c:pt idx="68">
                  <c:v>40281</c:v>
                </c:pt>
                <c:pt idx="69">
                  <c:v>40282</c:v>
                </c:pt>
                <c:pt idx="70">
                  <c:v>40283</c:v>
                </c:pt>
                <c:pt idx="71">
                  <c:v>40284</c:v>
                </c:pt>
                <c:pt idx="72">
                  <c:v>40287</c:v>
                </c:pt>
                <c:pt idx="73">
                  <c:v>40288</c:v>
                </c:pt>
                <c:pt idx="74">
                  <c:v>40289</c:v>
                </c:pt>
                <c:pt idx="75">
                  <c:v>40290</c:v>
                </c:pt>
                <c:pt idx="76">
                  <c:v>40291</c:v>
                </c:pt>
                <c:pt idx="77">
                  <c:v>40294</c:v>
                </c:pt>
                <c:pt idx="78">
                  <c:v>40295</c:v>
                </c:pt>
                <c:pt idx="79">
                  <c:v>40296</c:v>
                </c:pt>
                <c:pt idx="80">
                  <c:v>40297</c:v>
                </c:pt>
                <c:pt idx="81">
                  <c:v>40298</c:v>
                </c:pt>
                <c:pt idx="82">
                  <c:v>40301</c:v>
                </c:pt>
                <c:pt idx="83">
                  <c:v>40302</c:v>
                </c:pt>
                <c:pt idx="84">
                  <c:v>40303</c:v>
                </c:pt>
                <c:pt idx="85">
                  <c:v>40304</c:v>
                </c:pt>
                <c:pt idx="86">
                  <c:v>40305</c:v>
                </c:pt>
                <c:pt idx="87">
                  <c:v>40308</c:v>
                </c:pt>
                <c:pt idx="88">
                  <c:v>40309</c:v>
                </c:pt>
                <c:pt idx="89">
                  <c:v>40310</c:v>
                </c:pt>
                <c:pt idx="90">
                  <c:v>40311</c:v>
                </c:pt>
                <c:pt idx="91">
                  <c:v>40312</c:v>
                </c:pt>
                <c:pt idx="92">
                  <c:v>40315</c:v>
                </c:pt>
                <c:pt idx="93">
                  <c:v>40316</c:v>
                </c:pt>
                <c:pt idx="94">
                  <c:v>40317</c:v>
                </c:pt>
                <c:pt idx="95">
                  <c:v>40318</c:v>
                </c:pt>
                <c:pt idx="96">
                  <c:v>40319</c:v>
                </c:pt>
                <c:pt idx="97">
                  <c:v>40322</c:v>
                </c:pt>
                <c:pt idx="98">
                  <c:v>40323</c:v>
                </c:pt>
                <c:pt idx="99">
                  <c:v>40324</c:v>
                </c:pt>
                <c:pt idx="100">
                  <c:v>40325</c:v>
                </c:pt>
                <c:pt idx="101">
                  <c:v>40326</c:v>
                </c:pt>
                <c:pt idx="102">
                  <c:v>40330</c:v>
                </c:pt>
                <c:pt idx="103">
                  <c:v>40331</c:v>
                </c:pt>
                <c:pt idx="104">
                  <c:v>40332</c:v>
                </c:pt>
                <c:pt idx="105">
                  <c:v>40333</c:v>
                </c:pt>
                <c:pt idx="106">
                  <c:v>40336</c:v>
                </c:pt>
                <c:pt idx="107">
                  <c:v>40337</c:v>
                </c:pt>
                <c:pt idx="108">
                  <c:v>40338</c:v>
                </c:pt>
                <c:pt idx="109">
                  <c:v>40339</c:v>
                </c:pt>
                <c:pt idx="110">
                  <c:v>40340</c:v>
                </c:pt>
                <c:pt idx="111">
                  <c:v>40343</c:v>
                </c:pt>
                <c:pt idx="112">
                  <c:v>40344</c:v>
                </c:pt>
                <c:pt idx="113">
                  <c:v>40345</c:v>
                </c:pt>
                <c:pt idx="114">
                  <c:v>40346</c:v>
                </c:pt>
                <c:pt idx="115">
                  <c:v>40347</c:v>
                </c:pt>
                <c:pt idx="116">
                  <c:v>40350</c:v>
                </c:pt>
                <c:pt idx="117">
                  <c:v>40351</c:v>
                </c:pt>
                <c:pt idx="118">
                  <c:v>40352</c:v>
                </c:pt>
                <c:pt idx="119">
                  <c:v>40353</c:v>
                </c:pt>
                <c:pt idx="120">
                  <c:v>40354</c:v>
                </c:pt>
                <c:pt idx="121">
                  <c:v>40357</c:v>
                </c:pt>
                <c:pt idx="122">
                  <c:v>40358</c:v>
                </c:pt>
                <c:pt idx="123">
                  <c:v>40359</c:v>
                </c:pt>
                <c:pt idx="124">
                  <c:v>40360</c:v>
                </c:pt>
                <c:pt idx="125">
                  <c:v>40361</c:v>
                </c:pt>
                <c:pt idx="126">
                  <c:v>40365</c:v>
                </c:pt>
                <c:pt idx="127">
                  <c:v>40366</c:v>
                </c:pt>
                <c:pt idx="128">
                  <c:v>40367</c:v>
                </c:pt>
                <c:pt idx="129">
                  <c:v>40368</c:v>
                </c:pt>
                <c:pt idx="130">
                  <c:v>40371</c:v>
                </c:pt>
                <c:pt idx="131">
                  <c:v>40372</c:v>
                </c:pt>
                <c:pt idx="132">
                  <c:v>40373</c:v>
                </c:pt>
                <c:pt idx="133">
                  <c:v>40374</c:v>
                </c:pt>
                <c:pt idx="134">
                  <c:v>40375</c:v>
                </c:pt>
                <c:pt idx="135">
                  <c:v>40378</c:v>
                </c:pt>
                <c:pt idx="136">
                  <c:v>40379</c:v>
                </c:pt>
                <c:pt idx="137">
                  <c:v>40380</c:v>
                </c:pt>
                <c:pt idx="138">
                  <c:v>40381</c:v>
                </c:pt>
                <c:pt idx="139">
                  <c:v>40382</c:v>
                </c:pt>
                <c:pt idx="140">
                  <c:v>40385</c:v>
                </c:pt>
                <c:pt idx="141">
                  <c:v>40386</c:v>
                </c:pt>
                <c:pt idx="142">
                  <c:v>40387</c:v>
                </c:pt>
                <c:pt idx="143">
                  <c:v>40388</c:v>
                </c:pt>
                <c:pt idx="144">
                  <c:v>40389</c:v>
                </c:pt>
                <c:pt idx="145">
                  <c:v>40392</c:v>
                </c:pt>
                <c:pt idx="146">
                  <c:v>40393</c:v>
                </c:pt>
                <c:pt idx="147">
                  <c:v>40394</c:v>
                </c:pt>
                <c:pt idx="148">
                  <c:v>40395</c:v>
                </c:pt>
                <c:pt idx="149">
                  <c:v>40396</c:v>
                </c:pt>
                <c:pt idx="150">
                  <c:v>40399</c:v>
                </c:pt>
                <c:pt idx="151">
                  <c:v>40400</c:v>
                </c:pt>
                <c:pt idx="152">
                  <c:v>40401</c:v>
                </c:pt>
                <c:pt idx="153">
                  <c:v>40402</c:v>
                </c:pt>
                <c:pt idx="154">
                  <c:v>40403</c:v>
                </c:pt>
                <c:pt idx="155">
                  <c:v>40406</c:v>
                </c:pt>
                <c:pt idx="156">
                  <c:v>40407</c:v>
                </c:pt>
                <c:pt idx="157">
                  <c:v>40408</c:v>
                </c:pt>
                <c:pt idx="158">
                  <c:v>40409</c:v>
                </c:pt>
                <c:pt idx="159">
                  <c:v>40410</c:v>
                </c:pt>
                <c:pt idx="160">
                  <c:v>40413</c:v>
                </c:pt>
                <c:pt idx="161">
                  <c:v>40414</c:v>
                </c:pt>
                <c:pt idx="162">
                  <c:v>40415</c:v>
                </c:pt>
                <c:pt idx="163">
                  <c:v>40416</c:v>
                </c:pt>
                <c:pt idx="164">
                  <c:v>40417</c:v>
                </c:pt>
                <c:pt idx="165">
                  <c:v>40420</c:v>
                </c:pt>
                <c:pt idx="166">
                  <c:v>40421</c:v>
                </c:pt>
                <c:pt idx="167">
                  <c:v>40422</c:v>
                </c:pt>
                <c:pt idx="168">
                  <c:v>40423</c:v>
                </c:pt>
                <c:pt idx="169">
                  <c:v>40424</c:v>
                </c:pt>
                <c:pt idx="170">
                  <c:v>40428</c:v>
                </c:pt>
                <c:pt idx="171">
                  <c:v>40429</c:v>
                </c:pt>
                <c:pt idx="172">
                  <c:v>40430</c:v>
                </c:pt>
                <c:pt idx="173">
                  <c:v>40431</c:v>
                </c:pt>
                <c:pt idx="174">
                  <c:v>40434</c:v>
                </c:pt>
                <c:pt idx="175">
                  <c:v>40435</c:v>
                </c:pt>
                <c:pt idx="176">
                  <c:v>40436</c:v>
                </c:pt>
                <c:pt idx="177">
                  <c:v>40437</c:v>
                </c:pt>
                <c:pt idx="178">
                  <c:v>40438</c:v>
                </c:pt>
                <c:pt idx="179">
                  <c:v>40441</c:v>
                </c:pt>
                <c:pt idx="180">
                  <c:v>40442</c:v>
                </c:pt>
                <c:pt idx="181">
                  <c:v>40443</c:v>
                </c:pt>
                <c:pt idx="182">
                  <c:v>40444</c:v>
                </c:pt>
                <c:pt idx="183">
                  <c:v>40445</c:v>
                </c:pt>
                <c:pt idx="184">
                  <c:v>40448</c:v>
                </c:pt>
                <c:pt idx="185">
                  <c:v>40449</c:v>
                </c:pt>
                <c:pt idx="186">
                  <c:v>40450</c:v>
                </c:pt>
                <c:pt idx="187">
                  <c:v>40451</c:v>
                </c:pt>
                <c:pt idx="188">
                  <c:v>40452</c:v>
                </c:pt>
                <c:pt idx="189">
                  <c:v>40455</c:v>
                </c:pt>
                <c:pt idx="190">
                  <c:v>40456</c:v>
                </c:pt>
                <c:pt idx="191">
                  <c:v>40457</c:v>
                </c:pt>
                <c:pt idx="192">
                  <c:v>40458</c:v>
                </c:pt>
                <c:pt idx="193">
                  <c:v>40459</c:v>
                </c:pt>
                <c:pt idx="194">
                  <c:v>40462</c:v>
                </c:pt>
                <c:pt idx="195">
                  <c:v>40463</c:v>
                </c:pt>
                <c:pt idx="196">
                  <c:v>40464</c:v>
                </c:pt>
                <c:pt idx="197">
                  <c:v>40465</c:v>
                </c:pt>
                <c:pt idx="198">
                  <c:v>40466</c:v>
                </c:pt>
                <c:pt idx="199">
                  <c:v>40469</c:v>
                </c:pt>
                <c:pt idx="200">
                  <c:v>40470</c:v>
                </c:pt>
                <c:pt idx="201">
                  <c:v>40471</c:v>
                </c:pt>
                <c:pt idx="202">
                  <c:v>40472</c:v>
                </c:pt>
                <c:pt idx="203">
                  <c:v>40473</c:v>
                </c:pt>
                <c:pt idx="204">
                  <c:v>40476</c:v>
                </c:pt>
                <c:pt idx="205">
                  <c:v>40477</c:v>
                </c:pt>
                <c:pt idx="206">
                  <c:v>40478</c:v>
                </c:pt>
                <c:pt idx="207">
                  <c:v>40479</c:v>
                </c:pt>
                <c:pt idx="208">
                  <c:v>40480</c:v>
                </c:pt>
                <c:pt idx="209">
                  <c:v>40483</c:v>
                </c:pt>
                <c:pt idx="210">
                  <c:v>40484</c:v>
                </c:pt>
                <c:pt idx="211">
                  <c:v>40485</c:v>
                </c:pt>
                <c:pt idx="212">
                  <c:v>40486</c:v>
                </c:pt>
                <c:pt idx="213">
                  <c:v>40487</c:v>
                </c:pt>
                <c:pt idx="214">
                  <c:v>40490</c:v>
                </c:pt>
                <c:pt idx="215">
                  <c:v>40491</c:v>
                </c:pt>
                <c:pt idx="216">
                  <c:v>40492</c:v>
                </c:pt>
                <c:pt idx="217">
                  <c:v>40493</c:v>
                </c:pt>
                <c:pt idx="218">
                  <c:v>40494</c:v>
                </c:pt>
                <c:pt idx="219">
                  <c:v>40497</c:v>
                </c:pt>
                <c:pt idx="220">
                  <c:v>40498</c:v>
                </c:pt>
                <c:pt idx="221">
                  <c:v>40499</c:v>
                </c:pt>
                <c:pt idx="222">
                  <c:v>40500</c:v>
                </c:pt>
                <c:pt idx="223">
                  <c:v>40501</c:v>
                </c:pt>
                <c:pt idx="224">
                  <c:v>40504</c:v>
                </c:pt>
                <c:pt idx="225">
                  <c:v>40505</c:v>
                </c:pt>
                <c:pt idx="226">
                  <c:v>40506</c:v>
                </c:pt>
                <c:pt idx="227">
                  <c:v>40508</c:v>
                </c:pt>
                <c:pt idx="228">
                  <c:v>40511</c:v>
                </c:pt>
                <c:pt idx="229">
                  <c:v>40512</c:v>
                </c:pt>
                <c:pt idx="230">
                  <c:v>40513</c:v>
                </c:pt>
                <c:pt idx="231">
                  <c:v>40514</c:v>
                </c:pt>
                <c:pt idx="232">
                  <c:v>40515</c:v>
                </c:pt>
                <c:pt idx="233">
                  <c:v>40518</c:v>
                </c:pt>
                <c:pt idx="234">
                  <c:v>40519</c:v>
                </c:pt>
                <c:pt idx="235">
                  <c:v>40520</c:v>
                </c:pt>
                <c:pt idx="236">
                  <c:v>40521</c:v>
                </c:pt>
                <c:pt idx="237">
                  <c:v>40522</c:v>
                </c:pt>
                <c:pt idx="238">
                  <c:v>40525</c:v>
                </c:pt>
                <c:pt idx="239">
                  <c:v>40526</c:v>
                </c:pt>
                <c:pt idx="240">
                  <c:v>40527</c:v>
                </c:pt>
                <c:pt idx="241">
                  <c:v>40528</c:v>
                </c:pt>
                <c:pt idx="242">
                  <c:v>40529</c:v>
                </c:pt>
                <c:pt idx="243">
                  <c:v>40532</c:v>
                </c:pt>
                <c:pt idx="244">
                  <c:v>40533</c:v>
                </c:pt>
                <c:pt idx="245">
                  <c:v>40534</c:v>
                </c:pt>
                <c:pt idx="246">
                  <c:v>40535</c:v>
                </c:pt>
                <c:pt idx="247">
                  <c:v>40539</c:v>
                </c:pt>
                <c:pt idx="248">
                  <c:v>40540</c:v>
                </c:pt>
                <c:pt idx="249">
                  <c:v>40541</c:v>
                </c:pt>
                <c:pt idx="250">
                  <c:v>40542</c:v>
                </c:pt>
                <c:pt idx="251">
                  <c:v>40543</c:v>
                </c:pt>
                <c:pt idx="252">
                  <c:v>40546</c:v>
                </c:pt>
                <c:pt idx="253">
                  <c:v>40547</c:v>
                </c:pt>
                <c:pt idx="254">
                  <c:v>40548</c:v>
                </c:pt>
                <c:pt idx="255">
                  <c:v>40549</c:v>
                </c:pt>
                <c:pt idx="256">
                  <c:v>40550</c:v>
                </c:pt>
                <c:pt idx="257">
                  <c:v>40553</c:v>
                </c:pt>
                <c:pt idx="258">
                  <c:v>40554</c:v>
                </c:pt>
                <c:pt idx="259">
                  <c:v>40555</c:v>
                </c:pt>
                <c:pt idx="260">
                  <c:v>40556</c:v>
                </c:pt>
                <c:pt idx="261">
                  <c:v>40557</c:v>
                </c:pt>
                <c:pt idx="262">
                  <c:v>40561</c:v>
                </c:pt>
                <c:pt idx="263">
                  <c:v>40562</c:v>
                </c:pt>
                <c:pt idx="264">
                  <c:v>40563</c:v>
                </c:pt>
                <c:pt idx="265">
                  <c:v>40564</c:v>
                </c:pt>
                <c:pt idx="266">
                  <c:v>40567</c:v>
                </c:pt>
                <c:pt idx="267">
                  <c:v>40568</c:v>
                </c:pt>
                <c:pt idx="268">
                  <c:v>40569</c:v>
                </c:pt>
                <c:pt idx="269">
                  <c:v>40570</c:v>
                </c:pt>
                <c:pt idx="270">
                  <c:v>40571</c:v>
                </c:pt>
                <c:pt idx="271">
                  <c:v>40574</c:v>
                </c:pt>
                <c:pt idx="272">
                  <c:v>40575</c:v>
                </c:pt>
                <c:pt idx="273">
                  <c:v>40576</c:v>
                </c:pt>
                <c:pt idx="274">
                  <c:v>40577</c:v>
                </c:pt>
                <c:pt idx="275">
                  <c:v>40578</c:v>
                </c:pt>
                <c:pt idx="276">
                  <c:v>40581</c:v>
                </c:pt>
                <c:pt idx="277">
                  <c:v>40582</c:v>
                </c:pt>
                <c:pt idx="278">
                  <c:v>40583</c:v>
                </c:pt>
                <c:pt idx="279">
                  <c:v>40584</c:v>
                </c:pt>
                <c:pt idx="280">
                  <c:v>40585</c:v>
                </c:pt>
                <c:pt idx="281">
                  <c:v>40588</c:v>
                </c:pt>
                <c:pt idx="282">
                  <c:v>40589</c:v>
                </c:pt>
                <c:pt idx="283">
                  <c:v>40590</c:v>
                </c:pt>
                <c:pt idx="284">
                  <c:v>40591</c:v>
                </c:pt>
                <c:pt idx="285">
                  <c:v>40592</c:v>
                </c:pt>
                <c:pt idx="286">
                  <c:v>40596</c:v>
                </c:pt>
                <c:pt idx="287">
                  <c:v>40597</c:v>
                </c:pt>
                <c:pt idx="288">
                  <c:v>40598</c:v>
                </c:pt>
                <c:pt idx="289">
                  <c:v>40599</c:v>
                </c:pt>
                <c:pt idx="290">
                  <c:v>40602</c:v>
                </c:pt>
                <c:pt idx="291">
                  <c:v>40603</c:v>
                </c:pt>
                <c:pt idx="292">
                  <c:v>40604</c:v>
                </c:pt>
                <c:pt idx="293">
                  <c:v>40605</c:v>
                </c:pt>
                <c:pt idx="294">
                  <c:v>40606</c:v>
                </c:pt>
                <c:pt idx="295">
                  <c:v>40609</c:v>
                </c:pt>
                <c:pt idx="296">
                  <c:v>40610</c:v>
                </c:pt>
                <c:pt idx="297">
                  <c:v>40611</c:v>
                </c:pt>
                <c:pt idx="298">
                  <c:v>40612</c:v>
                </c:pt>
                <c:pt idx="299">
                  <c:v>40613</c:v>
                </c:pt>
                <c:pt idx="300">
                  <c:v>40616</c:v>
                </c:pt>
                <c:pt idx="301">
                  <c:v>40617</c:v>
                </c:pt>
                <c:pt idx="302">
                  <c:v>40618</c:v>
                </c:pt>
                <c:pt idx="303">
                  <c:v>40619</c:v>
                </c:pt>
                <c:pt idx="304">
                  <c:v>40620</c:v>
                </c:pt>
                <c:pt idx="305">
                  <c:v>40623</c:v>
                </c:pt>
                <c:pt idx="306">
                  <c:v>40624</c:v>
                </c:pt>
                <c:pt idx="307">
                  <c:v>40625</c:v>
                </c:pt>
                <c:pt idx="308">
                  <c:v>40626</c:v>
                </c:pt>
                <c:pt idx="309">
                  <c:v>40627</c:v>
                </c:pt>
                <c:pt idx="310">
                  <c:v>40630</c:v>
                </c:pt>
                <c:pt idx="311">
                  <c:v>40631</c:v>
                </c:pt>
                <c:pt idx="312">
                  <c:v>40632</c:v>
                </c:pt>
                <c:pt idx="313">
                  <c:v>40633</c:v>
                </c:pt>
                <c:pt idx="314">
                  <c:v>40634</c:v>
                </c:pt>
                <c:pt idx="315">
                  <c:v>40637</c:v>
                </c:pt>
                <c:pt idx="316">
                  <c:v>40638</c:v>
                </c:pt>
                <c:pt idx="317">
                  <c:v>40639</c:v>
                </c:pt>
                <c:pt idx="318">
                  <c:v>40640</c:v>
                </c:pt>
                <c:pt idx="319">
                  <c:v>40641</c:v>
                </c:pt>
                <c:pt idx="320">
                  <c:v>40644</c:v>
                </c:pt>
                <c:pt idx="321">
                  <c:v>40645</c:v>
                </c:pt>
                <c:pt idx="322">
                  <c:v>40646</c:v>
                </c:pt>
                <c:pt idx="323">
                  <c:v>40647</c:v>
                </c:pt>
                <c:pt idx="324">
                  <c:v>40648</c:v>
                </c:pt>
                <c:pt idx="325">
                  <c:v>40651</c:v>
                </c:pt>
                <c:pt idx="326">
                  <c:v>40652</c:v>
                </c:pt>
                <c:pt idx="327">
                  <c:v>40653</c:v>
                </c:pt>
                <c:pt idx="328">
                  <c:v>40654</c:v>
                </c:pt>
                <c:pt idx="329">
                  <c:v>40658</c:v>
                </c:pt>
                <c:pt idx="330">
                  <c:v>40659</c:v>
                </c:pt>
                <c:pt idx="331">
                  <c:v>40660</c:v>
                </c:pt>
                <c:pt idx="332">
                  <c:v>40661</c:v>
                </c:pt>
                <c:pt idx="333">
                  <c:v>40662</c:v>
                </c:pt>
                <c:pt idx="334">
                  <c:v>40665</c:v>
                </c:pt>
                <c:pt idx="335">
                  <c:v>40666</c:v>
                </c:pt>
                <c:pt idx="336">
                  <c:v>40667</c:v>
                </c:pt>
                <c:pt idx="337">
                  <c:v>40668</c:v>
                </c:pt>
                <c:pt idx="338">
                  <c:v>40669</c:v>
                </c:pt>
                <c:pt idx="339">
                  <c:v>40672</c:v>
                </c:pt>
                <c:pt idx="340">
                  <c:v>40673</c:v>
                </c:pt>
                <c:pt idx="341">
                  <c:v>40674</c:v>
                </c:pt>
                <c:pt idx="342">
                  <c:v>40675</c:v>
                </c:pt>
                <c:pt idx="343">
                  <c:v>40676</c:v>
                </c:pt>
                <c:pt idx="344">
                  <c:v>40679</c:v>
                </c:pt>
                <c:pt idx="345">
                  <c:v>40680</c:v>
                </c:pt>
                <c:pt idx="346">
                  <c:v>40681</c:v>
                </c:pt>
                <c:pt idx="347">
                  <c:v>40682</c:v>
                </c:pt>
                <c:pt idx="348">
                  <c:v>40683</c:v>
                </c:pt>
                <c:pt idx="349">
                  <c:v>40686</c:v>
                </c:pt>
                <c:pt idx="350">
                  <c:v>40687</c:v>
                </c:pt>
                <c:pt idx="351">
                  <c:v>40688</c:v>
                </c:pt>
                <c:pt idx="352">
                  <c:v>40689</c:v>
                </c:pt>
                <c:pt idx="353">
                  <c:v>40690</c:v>
                </c:pt>
                <c:pt idx="354">
                  <c:v>40694</c:v>
                </c:pt>
                <c:pt idx="355">
                  <c:v>40695</c:v>
                </c:pt>
                <c:pt idx="356">
                  <c:v>40696</c:v>
                </c:pt>
                <c:pt idx="357">
                  <c:v>40697</c:v>
                </c:pt>
                <c:pt idx="358">
                  <c:v>40700</c:v>
                </c:pt>
                <c:pt idx="359">
                  <c:v>40701</c:v>
                </c:pt>
                <c:pt idx="360">
                  <c:v>40702</c:v>
                </c:pt>
                <c:pt idx="361">
                  <c:v>40703</c:v>
                </c:pt>
                <c:pt idx="362">
                  <c:v>40704</c:v>
                </c:pt>
                <c:pt idx="363">
                  <c:v>40707</c:v>
                </c:pt>
                <c:pt idx="364">
                  <c:v>40708</c:v>
                </c:pt>
                <c:pt idx="365">
                  <c:v>40709</c:v>
                </c:pt>
                <c:pt idx="366">
                  <c:v>40710</c:v>
                </c:pt>
                <c:pt idx="367">
                  <c:v>40711</c:v>
                </c:pt>
                <c:pt idx="368">
                  <c:v>40714</c:v>
                </c:pt>
                <c:pt idx="369">
                  <c:v>40715</c:v>
                </c:pt>
                <c:pt idx="370">
                  <c:v>40716</c:v>
                </c:pt>
                <c:pt idx="371">
                  <c:v>40717</c:v>
                </c:pt>
                <c:pt idx="372">
                  <c:v>40718</c:v>
                </c:pt>
                <c:pt idx="373">
                  <c:v>40721</c:v>
                </c:pt>
                <c:pt idx="374">
                  <c:v>40722</c:v>
                </c:pt>
                <c:pt idx="375">
                  <c:v>40723</c:v>
                </c:pt>
                <c:pt idx="376">
                  <c:v>40724</c:v>
                </c:pt>
                <c:pt idx="377">
                  <c:v>40725</c:v>
                </c:pt>
                <c:pt idx="378">
                  <c:v>40729</c:v>
                </c:pt>
                <c:pt idx="379">
                  <c:v>40730</c:v>
                </c:pt>
                <c:pt idx="380">
                  <c:v>40731</c:v>
                </c:pt>
                <c:pt idx="381">
                  <c:v>40732</c:v>
                </c:pt>
                <c:pt idx="382">
                  <c:v>40735</c:v>
                </c:pt>
                <c:pt idx="383">
                  <c:v>40736</c:v>
                </c:pt>
                <c:pt idx="384">
                  <c:v>40737</c:v>
                </c:pt>
                <c:pt idx="385">
                  <c:v>40738</c:v>
                </c:pt>
                <c:pt idx="386">
                  <c:v>40739</c:v>
                </c:pt>
                <c:pt idx="387">
                  <c:v>40742</c:v>
                </c:pt>
                <c:pt idx="388">
                  <c:v>40743</c:v>
                </c:pt>
                <c:pt idx="389">
                  <c:v>40744</c:v>
                </c:pt>
                <c:pt idx="390">
                  <c:v>40745</c:v>
                </c:pt>
                <c:pt idx="391">
                  <c:v>40746</c:v>
                </c:pt>
                <c:pt idx="392">
                  <c:v>40749</c:v>
                </c:pt>
                <c:pt idx="393">
                  <c:v>40750</c:v>
                </c:pt>
                <c:pt idx="394">
                  <c:v>40751</c:v>
                </c:pt>
                <c:pt idx="395">
                  <c:v>40752</c:v>
                </c:pt>
                <c:pt idx="396">
                  <c:v>40753</c:v>
                </c:pt>
                <c:pt idx="397">
                  <c:v>40756</c:v>
                </c:pt>
                <c:pt idx="398">
                  <c:v>40757</c:v>
                </c:pt>
                <c:pt idx="399">
                  <c:v>40758</c:v>
                </c:pt>
                <c:pt idx="400">
                  <c:v>40759</c:v>
                </c:pt>
                <c:pt idx="401">
                  <c:v>40760</c:v>
                </c:pt>
                <c:pt idx="402">
                  <c:v>40763</c:v>
                </c:pt>
                <c:pt idx="403">
                  <c:v>40764</c:v>
                </c:pt>
                <c:pt idx="404">
                  <c:v>40765</c:v>
                </c:pt>
                <c:pt idx="405">
                  <c:v>40766</c:v>
                </c:pt>
                <c:pt idx="406">
                  <c:v>40767</c:v>
                </c:pt>
                <c:pt idx="407">
                  <c:v>40770</c:v>
                </c:pt>
                <c:pt idx="408">
                  <c:v>40771</c:v>
                </c:pt>
                <c:pt idx="409">
                  <c:v>40772</c:v>
                </c:pt>
                <c:pt idx="410">
                  <c:v>40773</c:v>
                </c:pt>
                <c:pt idx="411">
                  <c:v>40774</c:v>
                </c:pt>
                <c:pt idx="412">
                  <c:v>40777</c:v>
                </c:pt>
                <c:pt idx="413">
                  <c:v>40778</c:v>
                </c:pt>
                <c:pt idx="414">
                  <c:v>40779</c:v>
                </c:pt>
                <c:pt idx="415">
                  <c:v>40780</c:v>
                </c:pt>
                <c:pt idx="416">
                  <c:v>40781</c:v>
                </c:pt>
                <c:pt idx="417">
                  <c:v>40784</c:v>
                </c:pt>
                <c:pt idx="418">
                  <c:v>40785</c:v>
                </c:pt>
                <c:pt idx="419">
                  <c:v>40786</c:v>
                </c:pt>
                <c:pt idx="420">
                  <c:v>40787</c:v>
                </c:pt>
                <c:pt idx="421">
                  <c:v>40788</c:v>
                </c:pt>
                <c:pt idx="422">
                  <c:v>40792</c:v>
                </c:pt>
                <c:pt idx="423">
                  <c:v>40793</c:v>
                </c:pt>
                <c:pt idx="424">
                  <c:v>40794</c:v>
                </c:pt>
                <c:pt idx="425">
                  <c:v>40795</c:v>
                </c:pt>
                <c:pt idx="426">
                  <c:v>40798</c:v>
                </c:pt>
                <c:pt idx="427">
                  <c:v>40799</c:v>
                </c:pt>
                <c:pt idx="428">
                  <c:v>40800</c:v>
                </c:pt>
                <c:pt idx="429">
                  <c:v>40801</c:v>
                </c:pt>
                <c:pt idx="430">
                  <c:v>40802</c:v>
                </c:pt>
                <c:pt idx="431">
                  <c:v>40805</c:v>
                </c:pt>
                <c:pt idx="432">
                  <c:v>40806</c:v>
                </c:pt>
                <c:pt idx="433">
                  <c:v>40807</c:v>
                </c:pt>
                <c:pt idx="434">
                  <c:v>40808</c:v>
                </c:pt>
                <c:pt idx="435">
                  <c:v>40809</c:v>
                </c:pt>
                <c:pt idx="436">
                  <c:v>40812</c:v>
                </c:pt>
                <c:pt idx="437">
                  <c:v>40813</c:v>
                </c:pt>
                <c:pt idx="438">
                  <c:v>40814</c:v>
                </c:pt>
                <c:pt idx="439">
                  <c:v>40815</c:v>
                </c:pt>
                <c:pt idx="440">
                  <c:v>40816</c:v>
                </c:pt>
                <c:pt idx="441">
                  <c:v>40819</c:v>
                </c:pt>
                <c:pt idx="442">
                  <c:v>40820</c:v>
                </c:pt>
                <c:pt idx="443">
                  <c:v>40821</c:v>
                </c:pt>
                <c:pt idx="444">
                  <c:v>40822</c:v>
                </c:pt>
                <c:pt idx="445">
                  <c:v>40823</c:v>
                </c:pt>
                <c:pt idx="446">
                  <c:v>40826</c:v>
                </c:pt>
                <c:pt idx="447">
                  <c:v>40827</c:v>
                </c:pt>
                <c:pt idx="448">
                  <c:v>40828</c:v>
                </c:pt>
                <c:pt idx="449">
                  <c:v>40829</c:v>
                </c:pt>
                <c:pt idx="450">
                  <c:v>40830</c:v>
                </c:pt>
                <c:pt idx="451">
                  <c:v>40833</c:v>
                </c:pt>
                <c:pt idx="452">
                  <c:v>40834</c:v>
                </c:pt>
                <c:pt idx="453">
                  <c:v>40835</c:v>
                </c:pt>
                <c:pt idx="454">
                  <c:v>40836</c:v>
                </c:pt>
                <c:pt idx="455">
                  <c:v>40837</c:v>
                </c:pt>
                <c:pt idx="456">
                  <c:v>40840</c:v>
                </c:pt>
                <c:pt idx="457">
                  <c:v>40841</c:v>
                </c:pt>
                <c:pt idx="458">
                  <c:v>40842</c:v>
                </c:pt>
                <c:pt idx="459">
                  <c:v>40843</c:v>
                </c:pt>
                <c:pt idx="460">
                  <c:v>40844</c:v>
                </c:pt>
                <c:pt idx="461">
                  <c:v>40847</c:v>
                </c:pt>
                <c:pt idx="462">
                  <c:v>40848</c:v>
                </c:pt>
                <c:pt idx="463">
                  <c:v>40849</c:v>
                </c:pt>
                <c:pt idx="464">
                  <c:v>40850</c:v>
                </c:pt>
                <c:pt idx="465">
                  <c:v>40851</c:v>
                </c:pt>
                <c:pt idx="466">
                  <c:v>40854</c:v>
                </c:pt>
                <c:pt idx="467">
                  <c:v>40855</c:v>
                </c:pt>
                <c:pt idx="468">
                  <c:v>40856</c:v>
                </c:pt>
                <c:pt idx="469">
                  <c:v>40857</c:v>
                </c:pt>
                <c:pt idx="470">
                  <c:v>40858</c:v>
                </c:pt>
                <c:pt idx="471">
                  <c:v>40861</c:v>
                </c:pt>
                <c:pt idx="472">
                  <c:v>40862</c:v>
                </c:pt>
                <c:pt idx="473">
                  <c:v>40863</c:v>
                </c:pt>
                <c:pt idx="474">
                  <c:v>40864</c:v>
                </c:pt>
                <c:pt idx="475">
                  <c:v>40865</c:v>
                </c:pt>
                <c:pt idx="476">
                  <c:v>40868</c:v>
                </c:pt>
                <c:pt idx="477">
                  <c:v>40869</c:v>
                </c:pt>
                <c:pt idx="478">
                  <c:v>40870</c:v>
                </c:pt>
                <c:pt idx="479">
                  <c:v>40872</c:v>
                </c:pt>
                <c:pt idx="480">
                  <c:v>40875</c:v>
                </c:pt>
                <c:pt idx="481">
                  <c:v>40876</c:v>
                </c:pt>
                <c:pt idx="482">
                  <c:v>40877</c:v>
                </c:pt>
                <c:pt idx="483">
                  <c:v>40878</c:v>
                </c:pt>
                <c:pt idx="484">
                  <c:v>40879</c:v>
                </c:pt>
                <c:pt idx="485">
                  <c:v>40882</c:v>
                </c:pt>
                <c:pt idx="486">
                  <c:v>40883</c:v>
                </c:pt>
                <c:pt idx="487">
                  <c:v>40884</c:v>
                </c:pt>
                <c:pt idx="488">
                  <c:v>40885</c:v>
                </c:pt>
                <c:pt idx="489">
                  <c:v>40886</c:v>
                </c:pt>
                <c:pt idx="490">
                  <c:v>40889</c:v>
                </c:pt>
                <c:pt idx="491">
                  <c:v>40890</c:v>
                </c:pt>
                <c:pt idx="492">
                  <c:v>40891</c:v>
                </c:pt>
                <c:pt idx="493">
                  <c:v>40892</c:v>
                </c:pt>
                <c:pt idx="494">
                  <c:v>40893</c:v>
                </c:pt>
                <c:pt idx="495">
                  <c:v>40896</c:v>
                </c:pt>
                <c:pt idx="496">
                  <c:v>40897</c:v>
                </c:pt>
                <c:pt idx="497">
                  <c:v>40898</c:v>
                </c:pt>
                <c:pt idx="498">
                  <c:v>40899</c:v>
                </c:pt>
                <c:pt idx="499">
                  <c:v>40900</c:v>
                </c:pt>
                <c:pt idx="500">
                  <c:v>40904</c:v>
                </c:pt>
                <c:pt idx="501">
                  <c:v>40905</c:v>
                </c:pt>
                <c:pt idx="502">
                  <c:v>40906</c:v>
                </c:pt>
                <c:pt idx="503">
                  <c:v>40907</c:v>
                </c:pt>
                <c:pt idx="504">
                  <c:v>40911</c:v>
                </c:pt>
                <c:pt idx="505">
                  <c:v>40912</c:v>
                </c:pt>
                <c:pt idx="506">
                  <c:v>40913</c:v>
                </c:pt>
                <c:pt idx="507">
                  <c:v>40914</c:v>
                </c:pt>
                <c:pt idx="508">
                  <c:v>40917</c:v>
                </c:pt>
                <c:pt idx="509">
                  <c:v>40918</c:v>
                </c:pt>
                <c:pt idx="510">
                  <c:v>40919</c:v>
                </c:pt>
                <c:pt idx="511">
                  <c:v>40920</c:v>
                </c:pt>
                <c:pt idx="512">
                  <c:v>40921</c:v>
                </c:pt>
                <c:pt idx="513">
                  <c:v>40925</c:v>
                </c:pt>
                <c:pt idx="514">
                  <c:v>40926</c:v>
                </c:pt>
                <c:pt idx="515">
                  <c:v>40927</c:v>
                </c:pt>
                <c:pt idx="516">
                  <c:v>40928</c:v>
                </c:pt>
                <c:pt idx="517">
                  <c:v>40931</c:v>
                </c:pt>
                <c:pt idx="518">
                  <c:v>40932</c:v>
                </c:pt>
                <c:pt idx="519">
                  <c:v>40933</c:v>
                </c:pt>
                <c:pt idx="520">
                  <c:v>40934</c:v>
                </c:pt>
                <c:pt idx="521">
                  <c:v>40935</c:v>
                </c:pt>
                <c:pt idx="522">
                  <c:v>40938</c:v>
                </c:pt>
                <c:pt idx="523">
                  <c:v>40939</c:v>
                </c:pt>
                <c:pt idx="524">
                  <c:v>40940</c:v>
                </c:pt>
                <c:pt idx="525">
                  <c:v>40941</c:v>
                </c:pt>
                <c:pt idx="526">
                  <c:v>40942</c:v>
                </c:pt>
                <c:pt idx="527">
                  <c:v>40945</c:v>
                </c:pt>
                <c:pt idx="528">
                  <c:v>40946</c:v>
                </c:pt>
                <c:pt idx="529">
                  <c:v>40947</c:v>
                </c:pt>
                <c:pt idx="530">
                  <c:v>40948</c:v>
                </c:pt>
                <c:pt idx="531">
                  <c:v>40949</c:v>
                </c:pt>
                <c:pt idx="532">
                  <c:v>40952</c:v>
                </c:pt>
                <c:pt idx="533">
                  <c:v>40953</c:v>
                </c:pt>
                <c:pt idx="534">
                  <c:v>40954</c:v>
                </c:pt>
                <c:pt idx="535">
                  <c:v>40955</c:v>
                </c:pt>
                <c:pt idx="536">
                  <c:v>40956</c:v>
                </c:pt>
                <c:pt idx="537">
                  <c:v>40960</c:v>
                </c:pt>
                <c:pt idx="538">
                  <c:v>40961</c:v>
                </c:pt>
                <c:pt idx="539">
                  <c:v>40962</c:v>
                </c:pt>
                <c:pt idx="540">
                  <c:v>40963</c:v>
                </c:pt>
                <c:pt idx="541">
                  <c:v>40966</c:v>
                </c:pt>
                <c:pt idx="542">
                  <c:v>40967</c:v>
                </c:pt>
                <c:pt idx="543">
                  <c:v>40968</c:v>
                </c:pt>
                <c:pt idx="544">
                  <c:v>40969</c:v>
                </c:pt>
                <c:pt idx="545">
                  <c:v>40970</c:v>
                </c:pt>
                <c:pt idx="546">
                  <c:v>40973</c:v>
                </c:pt>
                <c:pt idx="547">
                  <c:v>40974</c:v>
                </c:pt>
                <c:pt idx="548">
                  <c:v>40975</c:v>
                </c:pt>
                <c:pt idx="549">
                  <c:v>40976</c:v>
                </c:pt>
                <c:pt idx="550">
                  <c:v>40977</c:v>
                </c:pt>
                <c:pt idx="551">
                  <c:v>40980</c:v>
                </c:pt>
                <c:pt idx="552">
                  <c:v>40981</c:v>
                </c:pt>
                <c:pt idx="553">
                  <c:v>40982</c:v>
                </c:pt>
                <c:pt idx="554">
                  <c:v>40983</c:v>
                </c:pt>
                <c:pt idx="555">
                  <c:v>40984</c:v>
                </c:pt>
                <c:pt idx="556">
                  <c:v>40987</c:v>
                </c:pt>
                <c:pt idx="557">
                  <c:v>40988</c:v>
                </c:pt>
                <c:pt idx="558">
                  <c:v>40989</c:v>
                </c:pt>
                <c:pt idx="559">
                  <c:v>40990</c:v>
                </c:pt>
                <c:pt idx="560">
                  <c:v>40991</c:v>
                </c:pt>
                <c:pt idx="561">
                  <c:v>40994</c:v>
                </c:pt>
                <c:pt idx="562">
                  <c:v>40995</c:v>
                </c:pt>
                <c:pt idx="563">
                  <c:v>40996</c:v>
                </c:pt>
                <c:pt idx="564">
                  <c:v>40997</c:v>
                </c:pt>
                <c:pt idx="565">
                  <c:v>40998</c:v>
                </c:pt>
                <c:pt idx="566">
                  <c:v>41001</c:v>
                </c:pt>
                <c:pt idx="567">
                  <c:v>41002</c:v>
                </c:pt>
                <c:pt idx="568">
                  <c:v>41003</c:v>
                </c:pt>
                <c:pt idx="569">
                  <c:v>41004</c:v>
                </c:pt>
                <c:pt idx="570">
                  <c:v>41008</c:v>
                </c:pt>
                <c:pt idx="571">
                  <c:v>41009</c:v>
                </c:pt>
                <c:pt idx="572">
                  <c:v>41010</c:v>
                </c:pt>
                <c:pt idx="573">
                  <c:v>41011</c:v>
                </c:pt>
                <c:pt idx="574">
                  <c:v>41012</c:v>
                </c:pt>
                <c:pt idx="575">
                  <c:v>41015</c:v>
                </c:pt>
                <c:pt idx="576">
                  <c:v>41016</c:v>
                </c:pt>
                <c:pt idx="577">
                  <c:v>41017</c:v>
                </c:pt>
                <c:pt idx="578">
                  <c:v>41018</c:v>
                </c:pt>
                <c:pt idx="579">
                  <c:v>41019</c:v>
                </c:pt>
                <c:pt idx="580">
                  <c:v>41022</c:v>
                </c:pt>
                <c:pt idx="581">
                  <c:v>41023</c:v>
                </c:pt>
                <c:pt idx="582">
                  <c:v>41024</c:v>
                </c:pt>
                <c:pt idx="583">
                  <c:v>41025</c:v>
                </c:pt>
                <c:pt idx="584">
                  <c:v>41026</c:v>
                </c:pt>
                <c:pt idx="585">
                  <c:v>41029</c:v>
                </c:pt>
                <c:pt idx="586">
                  <c:v>41030</c:v>
                </c:pt>
                <c:pt idx="587">
                  <c:v>41031</c:v>
                </c:pt>
                <c:pt idx="588">
                  <c:v>41032</c:v>
                </c:pt>
                <c:pt idx="589">
                  <c:v>41033</c:v>
                </c:pt>
                <c:pt idx="590">
                  <c:v>41036</c:v>
                </c:pt>
                <c:pt idx="591">
                  <c:v>41037</c:v>
                </c:pt>
                <c:pt idx="592">
                  <c:v>41038</c:v>
                </c:pt>
                <c:pt idx="593">
                  <c:v>41039</c:v>
                </c:pt>
                <c:pt idx="594">
                  <c:v>41040</c:v>
                </c:pt>
                <c:pt idx="595">
                  <c:v>41043</c:v>
                </c:pt>
                <c:pt idx="596">
                  <c:v>41044</c:v>
                </c:pt>
                <c:pt idx="597">
                  <c:v>41045</c:v>
                </c:pt>
                <c:pt idx="598">
                  <c:v>41046</c:v>
                </c:pt>
                <c:pt idx="599">
                  <c:v>41047</c:v>
                </c:pt>
                <c:pt idx="600">
                  <c:v>41050</c:v>
                </c:pt>
                <c:pt idx="601">
                  <c:v>41051</c:v>
                </c:pt>
                <c:pt idx="602">
                  <c:v>41052</c:v>
                </c:pt>
                <c:pt idx="603">
                  <c:v>41053</c:v>
                </c:pt>
                <c:pt idx="604">
                  <c:v>41054</c:v>
                </c:pt>
                <c:pt idx="605">
                  <c:v>41058</c:v>
                </c:pt>
                <c:pt idx="606">
                  <c:v>41059</c:v>
                </c:pt>
                <c:pt idx="607">
                  <c:v>41060</c:v>
                </c:pt>
                <c:pt idx="608">
                  <c:v>41061</c:v>
                </c:pt>
                <c:pt idx="609">
                  <c:v>41064</c:v>
                </c:pt>
                <c:pt idx="610">
                  <c:v>41065</c:v>
                </c:pt>
                <c:pt idx="611">
                  <c:v>41066</c:v>
                </c:pt>
                <c:pt idx="612">
                  <c:v>41067</c:v>
                </c:pt>
                <c:pt idx="613">
                  <c:v>41068</c:v>
                </c:pt>
                <c:pt idx="614">
                  <c:v>41071</c:v>
                </c:pt>
                <c:pt idx="615">
                  <c:v>41072</c:v>
                </c:pt>
                <c:pt idx="616">
                  <c:v>41073</c:v>
                </c:pt>
                <c:pt idx="617">
                  <c:v>41074</c:v>
                </c:pt>
                <c:pt idx="618">
                  <c:v>41075</c:v>
                </c:pt>
                <c:pt idx="619">
                  <c:v>41078</c:v>
                </c:pt>
                <c:pt idx="620">
                  <c:v>41079</c:v>
                </c:pt>
                <c:pt idx="621">
                  <c:v>41080</c:v>
                </c:pt>
                <c:pt idx="622">
                  <c:v>41081</c:v>
                </c:pt>
                <c:pt idx="623">
                  <c:v>41082</c:v>
                </c:pt>
                <c:pt idx="624">
                  <c:v>41085</c:v>
                </c:pt>
                <c:pt idx="625">
                  <c:v>41086</c:v>
                </c:pt>
                <c:pt idx="626">
                  <c:v>41087</c:v>
                </c:pt>
                <c:pt idx="627">
                  <c:v>41088</c:v>
                </c:pt>
                <c:pt idx="628">
                  <c:v>41089</c:v>
                </c:pt>
                <c:pt idx="629">
                  <c:v>41092</c:v>
                </c:pt>
                <c:pt idx="630">
                  <c:v>41093</c:v>
                </c:pt>
                <c:pt idx="631">
                  <c:v>41095</c:v>
                </c:pt>
                <c:pt idx="632">
                  <c:v>41096</c:v>
                </c:pt>
                <c:pt idx="633">
                  <c:v>41099</c:v>
                </c:pt>
                <c:pt idx="634">
                  <c:v>41100</c:v>
                </c:pt>
                <c:pt idx="635">
                  <c:v>41101</c:v>
                </c:pt>
                <c:pt idx="636">
                  <c:v>41102</c:v>
                </c:pt>
                <c:pt idx="637">
                  <c:v>41103</c:v>
                </c:pt>
                <c:pt idx="638">
                  <c:v>41106</c:v>
                </c:pt>
                <c:pt idx="639">
                  <c:v>41107</c:v>
                </c:pt>
                <c:pt idx="640">
                  <c:v>41108</c:v>
                </c:pt>
                <c:pt idx="641">
                  <c:v>41109</c:v>
                </c:pt>
                <c:pt idx="642">
                  <c:v>41110</c:v>
                </c:pt>
                <c:pt idx="643">
                  <c:v>41113</c:v>
                </c:pt>
                <c:pt idx="644">
                  <c:v>41114</c:v>
                </c:pt>
                <c:pt idx="645">
                  <c:v>41115</c:v>
                </c:pt>
                <c:pt idx="646">
                  <c:v>41116</c:v>
                </c:pt>
                <c:pt idx="647">
                  <c:v>41117</c:v>
                </c:pt>
                <c:pt idx="648">
                  <c:v>41120</c:v>
                </c:pt>
                <c:pt idx="649">
                  <c:v>41121</c:v>
                </c:pt>
                <c:pt idx="650">
                  <c:v>41122</c:v>
                </c:pt>
                <c:pt idx="651">
                  <c:v>41123</c:v>
                </c:pt>
                <c:pt idx="652">
                  <c:v>41124</c:v>
                </c:pt>
                <c:pt idx="653">
                  <c:v>41127</c:v>
                </c:pt>
                <c:pt idx="654">
                  <c:v>41128</c:v>
                </c:pt>
                <c:pt idx="655">
                  <c:v>41129</c:v>
                </c:pt>
                <c:pt idx="656">
                  <c:v>41130</c:v>
                </c:pt>
                <c:pt idx="657">
                  <c:v>41131</c:v>
                </c:pt>
                <c:pt idx="658">
                  <c:v>41134</c:v>
                </c:pt>
                <c:pt idx="659">
                  <c:v>41135</c:v>
                </c:pt>
                <c:pt idx="660">
                  <c:v>41136</c:v>
                </c:pt>
                <c:pt idx="661">
                  <c:v>41137</c:v>
                </c:pt>
                <c:pt idx="662">
                  <c:v>41138</c:v>
                </c:pt>
                <c:pt idx="663">
                  <c:v>41141</c:v>
                </c:pt>
                <c:pt idx="664">
                  <c:v>41142</c:v>
                </c:pt>
                <c:pt idx="665">
                  <c:v>41143</c:v>
                </c:pt>
                <c:pt idx="666">
                  <c:v>41144</c:v>
                </c:pt>
                <c:pt idx="667">
                  <c:v>41145</c:v>
                </c:pt>
                <c:pt idx="668">
                  <c:v>41148</c:v>
                </c:pt>
                <c:pt idx="669">
                  <c:v>41149</c:v>
                </c:pt>
                <c:pt idx="670">
                  <c:v>41150</c:v>
                </c:pt>
                <c:pt idx="671">
                  <c:v>41151</c:v>
                </c:pt>
                <c:pt idx="672">
                  <c:v>41152</c:v>
                </c:pt>
                <c:pt idx="673">
                  <c:v>41156</c:v>
                </c:pt>
                <c:pt idx="674">
                  <c:v>41157</c:v>
                </c:pt>
                <c:pt idx="675">
                  <c:v>41158</c:v>
                </c:pt>
                <c:pt idx="676">
                  <c:v>41159</c:v>
                </c:pt>
                <c:pt idx="677">
                  <c:v>41162</c:v>
                </c:pt>
                <c:pt idx="678">
                  <c:v>41163</c:v>
                </c:pt>
                <c:pt idx="679">
                  <c:v>41164</c:v>
                </c:pt>
                <c:pt idx="680">
                  <c:v>41165</c:v>
                </c:pt>
                <c:pt idx="681">
                  <c:v>41166</c:v>
                </c:pt>
                <c:pt idx="682">
                  <c:v>41169</c:v>
                </c:pt>
                <c:pt idx="683">
                  <c:v>41170</c:v>
                </c:pt>
                <c:pt idx="684">
                  <c:v>41171</c:v>
                </c:pt>
                <c:pt idx="685">
                  <c:v>41172</c:v>
                </c:pt>
                <c:pt idx="686">
                  <c:v>41173</c:v>
                </c:pt>
                <c:pt idx="687">
                  <c:v>41176</c:v>
                </c:pt>
                <c:pt idx="688">
                  <c:v>41177</c:v>
                </c:pt>
                <c:pt idx="689">
                  <c:v>41178</c:v>
                </c:pt>
                <c:pt idx="690">
                  <c:v>41179</c:v>
                </c:pt>
                <c:pt idx="691">
                  <c:v>41180</c:v>
                </c:pt>
                <c:pt idx="692">
                  <c:v>41183</c:v>
                </c:pt>
                <c:pt idx="693">
                  <c:v>41184</c:v>
                </c:pt>
                <c:pt idx="694">
                  <c:v>41185</c:v>
                </c:pt>
                <c:pt idx="695">
                  <c:v>41186</c:v>
                </c:pt>
                <c:pt idx="696">
                  <c:v>41187</c:v>
                </c:pt>
                <c:pt idx="697">
                  <c:v>41190</c:v>
                </c:pt>
                <c:pt idx="698">
                  <c:v>41191</c:v>
                </c:pt>
                <c:pt idx="699">
                  <c:v>41192</c:v>
                </c:pt>
                <c:pt idx="700">
                  <c:v>41193</c:v>
                </c:pt>
                <c:pt idx="701">
                  <c:v>41194</c:v>
                </c:pt>
                <c:pt idx="702">
                  <c:v>41197</c:v>
                </c:pt>
                <c:pt idx="703">
                  <c:v>41198</c:v>
                </c:pt>
                <c:pt idx="704">
                  <c:v>41199</c:v>
                </c:pt>
                <c:pt idx="705">
                  <c:v>41200</c:v>
                </c:pt>
                <c:pt idx="706">
                  <c:v>41201</c:v>
                </c:pt>
                <c:pt idx="707">
                  <c:v>41204</c:v>
                </c:pt>
                <c:pt idx="708">
                  <c:v>41205</c:v>
                </c:pt>
                <c:pt idx="709">
                  <c:v>41206</c:v>
                </c:pt>
                <c:pt idx="710">
                  <c:v>41207</c:v>
                </c:pt>
                <c:pt idx="711">
                  <c:v>41208</c:v>
                </c:pt>
                <c:pt idx="712">
                  <c:v>41213</c:v>
                </c:pt>
                <c:pt idx="713">
                  <c:v>41214</c:v>
                </c:pt>
                <c:pt idx="714">
                  <c:v>41215</c:v>
                </c:pt>
                <c:pt idx="715">
                  <c:v>41218</c:v>
                </c:pt>
                <c:pt idx="716">
                  <c:v>41219</c:v>
                </c:pt>
                <c:pt idx="717">
                  <c:v>41220</c:v>
                </c:pt>
                <c:pt idx="718">
                  <c:v>41221</c:v>
                </c:pt>
                <c:pt idx="719">
                  <c:v>41222</c:v>
                </c:pt>
                <c:pt idx="720">
                  <c:v>41225</c:v>
                </c:pt>
                <c:pt idx="721">
                  <c:v>41226</c:v>
                </c:pt>
                <c:pt idx="722">
                  <c:v>41227</c:v>
                </c:pt>
                <c:pt idx="723">
                  <c:v>41228</c:v>
                </c:pt>
                <c:pt idx="724">
                  <c:v>41229</c:v>
                </c:pt>
                <c:pt idx="725">
                  <c:v>41232</c:v>
                </c:pt>
                <c:pt idx="726">
                  <c:v>41233</c:v>
                </c:pt>
                <c:pt idx="727">
                  <c:v>41234</c:v>
                </c:pt>
                <c:pt idx="728">
                  <c:v>41236</c:v>
                </c:pt>
                <c:pt idx="729">
                  <c:v>41239</c:v>
                </c:pt>
                <c:pt idx="730">
                  <c:v>41240</c:v>
                </c:pt>
                <c:pt idx="731">
                  <c:v>41241</c:v>
                </c:pt>
                <c:pt idx="732">
                  <c:v>41242</c:v>
                </c:pt>
                <c:pt idx="733">
                  <c:v>41243</c:v>
                </c:pt>
                <c:pt idx="734">
                  <c:v>41246</c:v>
                </c:pt>
                <c:pt idx="735">
                  <c:v>41247</c:v>
                </c:pt>
                <c:pt idx="736">
                  <c:v>41248</c:v>
                </c:pt>
                <c:pt idx="737">
                  <c:v>41249</c:v>
                </c:pt>
                <c:pt idx="738">
                  <c:v>41250</c:v>
                </c:pt>
                <c:pt idx="739">
                  <c:v>41253</c:v>
                </c:pt>
                <c:pt idx="740">
                  <c:v>41254</c:v>
                </c:pt>
                <c:pt idx="741">
                  <c:v>41255</c:v>
                </c:pt>
                <c:pt idx="742">
                  <c:v>41256</c:v>
                </c:pt>
                <c:pt idx="743">
                  <c:v>41257</c:v>
                </c:pt>
                <c:pt idx="744">
                  <c:v>41260</c:v>
                </c:pt>
                <c:pt idx="745">
                  <c:v>41261</c:v>
                </c:pt>
                <c:pt idx="746">
                  <c:v>41262</c:v>
                </c:pt>
                <c:pt idx="747">
                  <c:v>41263</c:v>
                </c:pt>
                <c:pt idx="748">
                  <c:v>41264</c:v>
                </c:pt>
                <c:pt idx="749">
                  <c:v>41267</c:v>
                </c:pt>
                <c:pt idx="750">
                  <c:v>41269</c:v>
                </c:pt>
                <c:pt idx="751">
                  <c:v>41270</c:v>
                </c:pt>
                <c:pt idx="752">
                  <c:v>41271</c:v>
                </c:pt>
                <c:pt idx="753">
                  <c:v>41274</c:v>
                </c:pt>
                <c:pt idx="754">
                  <c:v>41276</c:v>
                </c:pt>
                <c:pt idx="755">
                  <c:v>41277</c:v>
                </c:pt>
                <c:pt idx="756">
                  <c:v>41278</c:v>
                </c:pt>
                <c:pt idx="757">
                  <c:v>41281</c:v>
                </c:pt>
                <c:pt idx="758">
                  <c:v>41282</c:v>
                </c:pt>
                <c:pt idx="759">
                  <c:v>41283</c:v>
                </c:pt>
                <c:pt idx="760">
                  <c:v>41284</c:v>
                </c:pt>
                <c:pt idx="761">
                  <c:v>41285</c:v>
                </c:pt>
                <c:pt idx="762">
                  <c:v>41288</c:v>
                </c:pt>
                <c:pt idx="763">
                  <c:v>41289</c:v>
                </c:pt>
                <c:pt idx="764">
                  <c:v>41290</c:v>
                </c:pt>
                <c:pt idx="765">
                  <c:v>41291</c:v>
                </c:pt>
                <c:pt idx="766">
                  <c:v>41292</c:v>
                </c:pt>
                <c:pt idx="767">
                  <c:v>41296</c:v>
                </c:pt>
                <c:pt idx="768">
                  <c:v>41297</c:v>
                </c:pt>
                <c:pt idx="769">
                  <c:v>41298</c:v>
                </c:pt>
                <c:pt idx="770">
                  <c:v>41299</c:v>
                </c:pt>
                <c:pt idx="771">
                  <c:v>41302</c:v>
                </c:pt>
                <c:pt idx="772">
                  <c:v>41303</c:v>
                </c:pt>
                <c:pt idx="773">
                  <c:v>41304</c:v>
                </c:pt>
                <c:pt idx="774">
                  <c:v>41305</c:v>
                </c:pt>
                <c:pt idx="775">
                  <c:v>41306</c:v>
                </c:pt>
                <c:pt idx="776">
                  <c:v>41309</c:v>
                </c:pt>
                <c:pt idx="777">
                  <c:v>41310</c:v>
                </c:pt>
                <c:pt idx="778">
                  <c:v>41311</c:v>
                </c:pt>
                <c:pt idx="779">
                  <c:v>41312</c:v>
                </c:pt>
                <c:pt idx="780">
                  <c:v>41313</c:v>
                </c:pt>
                <c:pt idx="781">
                  <c:v>41316</c:v>
                </c:pt>
                <c:pt idx="782">
                  <c:v>41317</c:v>
                </c:pt>
                <c:pt idx="783">
                  <c:v>41318</c:v>
                </c:pt>
                <c:pt idx="784">
                  <c:v>41319</c:v>
                </c:pt>
                <c:pt idx="785">
                  <c:v>41320</c:v>
                </c:pt>
                <c:pt idx="786">
                  <c:v>41324</c:v>
                </c:pt>
                <c:pt idx="787">
                  <c:v>41325</c:v>
                </c:pt>
                <c:pt idx="788">
                  <c:v>41326</c:v>
                </c:pt>
                <c:pt idx="789">
                  <c:v>41327</c:v>
                </c:pt>
                <c:pt idx="790">
                  <c:v>41330</c:v>
                </c:pt>
                <c:pt idx="791">
                  <c:v>41331</c:v>
                </c:pt>
                <c:pt idx="792">
                  <c:v>41332</c:v>
                </c:pt>
                <c:pt idx="793">
                  <c:v>41333</c:v>
                </c:pt>
                <c:pt idx="794">
                  <c:v>41334</c:v>
                </c:pt>
                <c:pt idx="795">
                  <c:v>41337</c:v>
                </c:pt>
                <c:pt idx="796">
                  <c:v>41338</c:v>
                </c:pt>
                <c:pt idx="797">
                  <c:v>41339</c:v>
                </c:pt>
                <c:pt idx="798">
                  <c:v>41340</c:v>
                </c:pt>
                <c:pt idx="799">
                  <c:v>41341</c:v>
                </c:pt>
                <c:pt idx="800">
                  <c:v>41344</c:v>
                </c:pt>
                <c:pt idx="801">
                  <c:v>41345</c:v>
                </c:pt>
                <c:pt idx="802">
                  <c:v>41346</c:v>
                </c:pt>
                <c:pt idx="803">
                  <c:v>41347</c:v>
                </c:pt>
                <c:pt idx="804">
                  <c:v>41348</c:v>
                </c:pt>
                <c:pt idx="805">
                  <c:v>41351</c:v>
                </c:pt>
                <c:pt idx="806">
                  <c:v>41352</c:v>
                </c:pt>
                <c:pt idx="807">
                  <c:v>41353</c:v>
                </c:pt>
                <c:pt idx="808">
                  <c:v>41354</c:v>
                </c:pt>
                <c:pt idx="809">
                  <c:v>41355</c:v>
                </c:pt>
                <c:pt idx="810">
                  <c:v>41358</c:v>
                </c:pt>
                <c:pt idx="811">
                  <c:v>41359</c:v>
                </c:pt>
                <c:pt idx="812">
                  <c:v>41360</c:v>
                </c:pt>
                <c:pt idx="813">
                  <c:v>41361</c:v>
                </c:pt>
                <c:pt idx="814">
                  <c:v>41365</c:v>
                </c:pt>
                <c:pt idx="815">
                  <c:v>41366</c:v>
                </c:pt>
                <c:pt idx="816">
                  <c:v>41367</c:v>
                </c:pt>
                <c:pt idx="817">
                  <c:v>41368</c:v>
                </c:pt>
                <c:pt idx="818">
                  <c:v>41369</c:v>
                </c:pt>
                <c:pt idx="819">
                  <c:v>41372</c:v>
                </c:pt>
                <c:pt idx="820">
                  <c:v>41373</c:v>
                </c:pt>
                <c:pt idx="821">
                  <c:v>41374</c:v>
                </c:pt>
                <c:pt idx="822">
                  <c:v>41375</c:v>
                </c:pt>
                <c:pt idx="823">
                  <c:v>41376</c:v>
                </c:pt>
                <c:pt idx="824">
                  <c:v>41379</c:v>
                </c:pt>
                <c:pt idx="825">
                  <c:v>41380</c:v>
                </c:pt>
                <c:pt idx="826">
                  <c:v>41381</c:v>
                </c:pt>
                <c:pt idx="827">
                  <c:v>41382</c:v>
                </c:pt>
                <c:pt idx="828">
                  <c:v>41383</c:v>
                </c:pt>
                <c:pt idx="829">
                  <c:v>41386</c:v>
                </c:pt>
                <c:pt idx="830">
                  <c:v>41387</c:v>
                </c:pt>
                <c:pt idx="831">
                  <c:v>41388</c:v>
                </c:pt>
                <c:pt idx="832">
                  <c:v>41389</c:v>
                </c:pt>
                <c:pt idx="833">
                  <c:v>41390</c:v>
                </c:pt>
                <c:pt idx="834">
                  <c:v>41393</c:v>
                </c:pt>
                <c:pt idx="835">
                  <c:v>41394</c:v>
                </c:pt>
                <c:pt idx="836">
                  <c:v>41395</c:v>
                </c:pt>
                <c:pt idx="837">
                  <c:v>41396</c:v>
                </c:pt>
                <c:pt idx="838">
                  <c:v>41397</c:v>
                </c:pt>
                <c:pt idx="839">
                  <c:v>41400</c:v>
                </c:pt>
                <c:pt idx="840">
                  <c:v>41401</c:v>
                </c:pt>
                <c:pt idx="841">
                  <c:v>41402</c:v>
                </c:pt>
                <c:pt idx="842">
                  <c:v>41403</c:v>
                </c:pt>
                <c:pt idx="843">
                  <c:v>41404</c:v>
                </c:pt>
                <c:pt idx="844">
                  <c:v>41407</c:v>
                </c:pt>
                <c:pt idx="845">
                  <c:v>41408</c:v>
                </c:pt>
                <c:pt idx="846">
                  <c:v>41409</c:v>
                </c:pt>
                <c:pt idx="847">
                  <c:v>41410</c:v>
                </c:pt>
                <c:pt idx="848">
                  <c:v>41411</c:v>
                </c:pt>
                <c:pt idx="849">
                  <c:v>41414</c:v>
                </c:pt>
                <c:pt idx="850">
                  <c:v>41415</c:v>
                </c:pt>
                <c:pt idx="851">
                  <c:v>41416</c:v>
                </c:pt>
                <c:pt idx="852">
                  <c:v>41417</c:v>
                </c:pt>
                <c:pt idx="853">
                  <c:v>41418</c:v>
                </c:pt>
                <c:pt idx="854">
                  <c:v>41422</c:v>
                </c:pt>
                <c:pt idx="855">
                  <c:v>41423</c:v>
                </c:pt>
                <c:pt idx="856">
                  <c:v>41424</c:v>
                </c:pt>
                <c:pt idx="857">
                  <c:v>41425</c:v>
                </c:pt>
                <c:pt idx="858">
                  <c:v>41428</c:v>
                </c:pt>
                <c:pt idx="859">
                  <c:v>41429</c:v>
                </c:pt>
                <c:pt idx="860">
                  <c:v>41430</c:v>
                </c:pt>
                <c:pt idx="861">
                  <c:v>41431</c:v>
                </c:pt>
                <c:pt idx="862">
                  <c:v>41432</c:v>
                </c:pt>
                <c:pt idx="863">
                  <c:v>41435</c:v>
                </c:pt>
                <c:pt idx="864">
                  <c:v>41436</c:v>
                </c:pt>
                <c:pt idx="865">
                  <c:v>41437</c:v>
                </c:pt>
                <c:pt idx="866">
                  <c:v>41438</c:v>
                </c:pt>
                <c:pt idx="867">
                  <c:v>41439</c:v>
                </c:pt>
                <c:pt idx="868">
                  <c:v>41442</c:v>
                </c:pt>
                <c:pt idx="869">
                  <c:v>41443</c:v>
                </c:pt>
                <c:pt idx="870">
                  <c:v>41444</c:v>
                </c:pt>
                <c:pt idx="871">
                  <c:v>41445</c:v>
                </c:pt>
                <c:pt idx="872">
                  <c:v>41446</c:v>
                </c:pt>
                <c:pt idx="873">
                  <c:v>41449</c:v>
                </c:pt>
                <c:pt idx="874">
                  <c:v>41450</c:v>
                </c:pt>
                <c:pt idx="875">
                  <c:v>41451</c:v>
                </c:pt>
                <c:pt idx="876">
                  <c:v>41452</c:v>
                </c:pt>
                <c:pt idx="877">
                  <c:v>41453</c:v>
                </c:pt>
                <c:pt idx="878">
                  <c:v>41456</c:v>
                </c:pt>
                <c:pt idx="879">
                  <c:v>41457</c:v>
                </c:pt>
                <c:pt idx="880">
                  <c:v>41458</c:v>
                </c:pt>
                <c:pt idx="881">
                  <c:v>41460</c:v>
                </c:pt>
                <c:pt idx="882">
                  <c:v>41463</c:v>
                </c:pt>
                <c:pt idx="883">
                  <c:v>41464</c:v>
                </c:pt>
                <c:pt idx="884">
                  <c:v>41465</c:v>
                </c:pt>
                <c:pt idx="885">
                  <c:v>41466</c:v>
                </c:pt>
                <c:pt idx="886">
                  <c:v>41467</c:v>
                </c:pt>
                <c:pt idx="887">
                  <c:v>41470</c:v>
                </c:pt>
                <c:pt idx="888">
                  <c:v>41471</c:v>
                </c:pt>
                <c:pt idx="889">
                  <c:v>41472</c:v>
                </c:pt>
                <c:pt idx="890">
                  <c:v>41473</c:v>
                </c:pt>
                <c:pt idx="891">
                  <c:v>41474</c:v>
                </c:pt>
                <c:pt idx="892">
                  <c:v>41477</c:v>
                </c:pt>
                <c:pt idx="893">
                  <c:v>41478</c:v>
                </c:pt>
                <c:pt idx="894">
                  <c:v>41479</c:v>
                </c:pt>
                <c:pt idx="895">
                  <c:v>41480</c:v>
                </c:pt>
                <c:pt idx="896">
                  <c:v>41481</c:v>
                </c:pt>
                <c:pt idx="897">
                  <c:v>41484</c:v>
                </c:pt>
                <c:pt idx="898">
                  <c:v>41485</c:v>
                </c:pt>
                <c:pt idx="899">
                  <c:v>41486</c:v>
                </c:pt>
                <c:pt idx="900">
                  <c:v>41487</c:v>
                </c:pt>
                <c:pt idx="901">
                  <c:v>41488</c:v>
                </c:pt>
                <c:pt idx="902">
                  <c:v>41491</c:v>
                </c:pt>
                <c:pt idx="903">
                  <c:v>41492</c:v>
                </c:pt>
                <c:pt idx="904">
                  <c:v>41493</c:v>
                </c:pt>
                <c:pt idx="905">
                  <c:v>41494</c:v>
                </c:pt>
                <c:pt idx="906">
                  <c:v>41495</c:v>
                </c:pt>
                <c:pt idx="907">
                  <c:v>41498</c:v>
                </c:pt>
                <c:pt idx="908">
                  <c:v>41499</c:v>
                </c:pt>
                <c:pt idx="909">
                  <c:v>41500</c:v>
                </c:pt>
                <c:pt idx="910">
                  <c:v>41501</c:v>
                </c:pt>
                <c:pt idx="911">
                  <c:v>41502</c:v>
                </c:pt>
                <c:pt idx="912">
                  <c:v>41505</c:v>
                </c:pt>
                <c:pt idx="913">
                  <c:v>41506</c:v>
                </c:pt>
                <c:pt idx="914">
                  <c:v>41507</c:v>
                </c:pt>
                <c:pt idx="915">
                  <c:v>41508</c:v>
                </c:pt>
                <c:pt idx="916">
                  <c:v>41509</c:v>
                </c:pt>
                <c:pt idx="917">
                  <c:v>41512</c:v>
                </c:pt>
                <c:pt idx="918">
                  <c:v>41513</c:v>
                </c:pt>
                <c:pt idx="919">
                  <c:v>41514</c:v>
                </c:pt>
                <c:pt idx="920">
                  <c:v>41515</c:v>
                </c:pt>
                <c:pt idx="921">
                  <c:v>41516</c:v>
                </c:pt>
                <c:pt idx="922">
                  <c:v>41520</c:v>
                </c:pt>
                <c:pt idx="923">
                  <c:v>41521</c:v>
                </c:pt>
                <c:pt idx="924">
                  <c:v>41522</c:v>
                </c:pt>
                <c:pt idx="925">
                  <c:v>41523</c:v>
                </c:pt>
                <c:pt idx="926">
                  <c:v>41526</c:v>
                </c:pt>
                <c:pt idx="927">
                  <c:v>41527</c:v>
                </c:pt>
                <c:pt idx="928">
                  <c:v>41528</c:v>
                </c:pt>
                <c:pt idx="929">
                  <c:v>41529</c:v>
                </c:pt>
                <c:pt idx="930">
                  <c:v>41530</c:v>
                </c:pt>
                <c:pt idx="931">
                  <c:v>41533</c:v>
                </c:pt>
                <c:pt idx="932">
                  <c:v>41534</c:v>
                </c:pt>
                <c:pt idx="933">
                  <c:v>41535</c:v>
                </c:pt>
                <c:pt idx="934">
                  <c:v>41536</c:v>
                </c:pt>
                <c:pt idx="935">
                  <c:v>41537</c:v>
                </c:pt>
                <c:pt idx="936">
                  <c:v>41540</c:v>
                </c:pt>
                <c:pt idx="937">
                  <c:v>41541</c:v>
                </c:pt>
                <c:pt idx="938">
                  <c:v>41542</c:v>
                </c:pt>
                <c:pt idx="939">
                  <c:v>41543</c:v>
                </c:pt>
                <c:pt idx="940">
                  <c:v>41544</c:v>
                </c:pt>
                <c:pt idx="941">
                  <c:v>41547</c:v>
                </c:pt>
                <c:pt idx="942">
                  <c:v>41548</c:v>
                </c:pt>
                <c:pt idx="943">
                  <c:v>41549</c:v>
                </c:pt>
                <c:pt idx="944">
                  <c:v>41550</c:v>
                </c:pt>
                <c:pt idx="945">
                  <c:v>41551</c:v>
                </c:pt>
                <c:pt idx="946">
                  <c:v>41554</c:v>
                </c:pt>
                <c:pt idx="947">
                  <c:v>41555</c:v>
                </c:pt>
                <c:pt idx="948">
                  <c:v>41556</c:v>
                </c:pt>
                <c:pt idx="949">
                  <c:v>41557</c:v>
                </c:pt>
                <c:pt idx="950">
                  <c:v>41558</c:v>
                </c:pt>
                <c:pt idx="951">
                  <c:v>41561</c:v>
                </c:pt>
                <c:pt idx="952">
                  <c:v>41562</c:v>
                </c:pt>
                <c:pt idx="953">
                  <c:v>41563</c:v>
                </c:pt>
                <c:pt idx="954">
                  <c:v>41564</c:v>
                </c:pt>
                <c:pt idx="955">
                  <c:v>41565</c:v>
                </c:pt>
                <c:pt idx="956">
                  <c:v>41568</c:v>
                </c:pt>
                <c:pt idx="957">
                  <c:v>41569</c:v>
                </c:pt>
                <c:pt idx="958">
                  <c:v>41570</c:v>
                </c:pt>
                <c:pt idx="959">
                  <c:v>41571</c:v>
                </c:pt>
                <c:pt idx="960">
                  <c:v>41572</c:v>
                </c:pt>
                <c:pt idx="961">
                  <c:v>41575</c:v>
                </c:pt>
                <c:pt idx="962">
                  <c:v>41576</c:v>
                </c:pt>
                <c:pt idx="963">
                  <c:v>41577</c:v>
                </c:pt>
                <c:pt idx="964">
                  <c:v>41578</c:v>
                </c:pt>
                <c:pt idx="965">
                  <c:v>41579</c:v>
                </c:pt>
                <c:pt idx="966">
                  <c:v>41582</c:v>
                </c:pt>
                <c:pt idx="967">
                  <c:v>41583</c:v>
                </c:pt>
                <c:pt idx="968">
                  <c:v>41584</c:v>
                </c:pt>
                <c:pt idx="969">
                  <c:v>41585</c:v>
                </c:pt>
                <c:pt idx="970">
                  <c:v>41586</c:v>
                </c:pt>
                <c:pt idx="971">
                  <c:v>41589</c:v>
                </c:pt>
                <c:pt idx="972">
                  <c:v>41590</c:v>
                </c:pt>
                <c:pt idx="973">
                  <c:v>41591</c:v>
                </c:pt>
                <c:pt idx="974">
                  <c:v>41592</c:v>
                </c:pt>
                <c:pt idx="975">
                  <c:v>41593</c:v>
                </c:pt>
                <c:pt idx="976">
                  <c:v>41596</c:v>
                </c:pt>
                <c:pt idx="977">
                  <c:v>41597</c:v>
                </c:pt>
                <c:pt idx="978">
                  <c:v>41598</c:v>
                </c:pt>
                <c:pt idx="979">
                  <c:v>41599</c:v>
                </c:pt>
                <c:pt idx="980">
                  <c:v>41600</c:v>
                </c:pt>
                <c:pt idx="981">
                  <c:v>41603</c:v>
                </c:pt>
                <c:pt idx="982">
                  <c:v>41604</c:v>
                </c:pt>
                <c:pt idx="983">
                  <c:v>41605</c:v>
                </c:pt>
                <c:pt idx="984">
                  <c:v>41607</c:v>
                </c:pt>
                <c:pt idx="985">
                  <c:v>41610</c:v>
                </c:pt>
                <c:pt idx="986">
                  <c:v>41611</c:v>
                </c:pt>
                <c:pt idx="987">
                  <c:v>41612</c:v>
                </c:pt>
                <c:pt idx="988">
                  <c:v>41613</c:v>
                </c:pt>
                <c:pt idx="989">
                  <c:v>41614</c:v>
                </c:pt>
                <c:pt idx="990">
                  <c:v>41617</c:v>
                </c:pt>
                <c:pt idx="991">
                  <c:v>41618</c:v>
                </c:pt>
                <c:pt idx="992">
                  <c:v>41619</c:v>
                </c:pt>
                <c:pt idx="993">
                  <c:v>41620</c:v>
                </c:pt>
                <c:pt idx="994">
                  <c:v>41621</c:v>
                </c:pt>
                <c:pt idx="995">
                  <c:v>41624</c:v>
                </c:pt>
                <c:pt idx="996">
                  <c:v>41625</c:v>
                </c:pt>
                <c:pt idx="997">
                  <c:v>41626</c:v>
                </c:pt>
                <c:pt idx="998">
                  <c:v>41627</c:v>
                </c:pt>
                <c:pt idx="999">
                  <c:v>41628</c:v>
                </c:pt>
                <c:pt idx="1000">
                  <c:v>41631</c:v>
                </c:pt>
                <c:pt idx="1001">
                  <c:v>41632</c:v>
                </c:pt>
                <c:pt idx="1002">
                  <c:v>41634</c:v>
                </c:pt>
                <c:pt idx="1003">
                  <c:v>41635</c:v>
                </c:pt>
                <c:pt idx="1004">
                  <c:v>41638</c:v>
                </c:pt>
                <c:pt idx="1005">
                  <c:v>41639</c:v>
                </c:pt>
                <c:pt idx="1006">
                  <c:v>41641</c:v>
                </c:pt>
                <c:pt idx="1007">
                  <c:v>41642</c:v>
                </c:pt>
                <c:pt idx="1008">
                  <c:v>41645</c:v>
                </c:pt>
                <c:pt idx="1009">
                  <c:v>41646</c:v>
                </c:pt>
                <c:pt idx="1010">
                  <c:v>41647</c:v>
                </c:pt>
                <c:pt idx="1011">
                  <c:v>41648</c:v>
                </c:pt>
                <c:pt idx="1012">
                  <c:v>41649</c:v>
                </c:pt>
                <c:pt idx="1013">
                  <c:v>41652</c:v>
                </c:pt>
                <c:pt idx="1014">
                  <c:v>41653</c:v>
                </c:pt>
                <c:pt idx="1015">
                  <c:v>41654</c:v>
                </c:pt>
                <c:pt idx="1016">
                  <c:v>41655</c:v>
                </c:pt>
                <c:pt idx="1017">
                  <c:v>41656</c:v>
                </c:pt>
                <c:pt idx="1018">
                  <c:v>41660</c:v>
                </c:pt>
                <c:pt idx="1019">
                  <c:v>41661</c:v>
                </c:pt>
                <c:pt idx="1020">
                  <c:v>41662</c:v>
                </c:pt>
                <c:pt idx="1021">
                  <c:v>41663</c:v>
                </c:pt>
                <c:pt idx="1022">
                  <c:v>41666</c:v>
                </c:pt>
                <c:pt idx="1023">
                  <c:v>41667</c:v>
                </c:pt>
                <c:pt idx="1024">
                  <c:v>41668</c:v>
                </c:pt>
                <c:pt idx="1025">
                  <c:v>41669</c:v>
                </c:pt>
                <c:pt idx="1026">
                  <c:v>41670</c:v>
                </c:pt>
                <c:pt idx="1027">
                  <c:v>41673</c:v>
                </c:pt>
                <c:pt idx="1028">
                  <c:v>41674</c:v>
                </c:pt>
                <c:pt idx="1029">
                  <c:v>41675</c:v>
                </c:pt>
                <c:pt idx="1030">
                  <c:v>41676</c:v>
                </c:pt>
                <c:pt idx="1031">
                  <c:v>41677</c:v>
                </c:pt>
                <c:pt idx="1032">
                  <c:v>41680</c:v>
                </c:pt>
                <c:pt idx="1033">
                  <c:v>41681</c:v>
                </c:pt>
                <c:pt idx="1034">
                  <c:v>41682</c:v>
                </c:pt>
                <c:pt idx="1035">
                  <c:v>41683</c:v>
                </c:pt>
                <c:pt idx="1036">
                  <c:v>41684</c:v>
                </c:pt>
                <c:pt idx="1037">
                  <c:v>41688</c:v>
                </c:pt>
                <c:pt idx="1038">
                  <c:v>41689</c:v>
                </c:pt>
                <c:pt idx="1039">
                  <c:v>41690</c:v>
                </c:pt>
                <c:pt idx="1040">
                  <c:v>41691</c:v>
                </c:pt>
                <c:pt idx="1041">
                  <c:v>41694</c:v>
                </c:pt>
                <c:pt idx="1042">
                  <c:v>41695</c:v>
                </c:pt>
                <c:pt idx="1043">
                  <c:v>41696</c:v>
                </c:pt>
                <c:pt idx="1044">
                  <c:v>41697</c:v>
                </c:pt>
                <c:pt idx="1045">
                  <c:v>41698</c:v>
                </c:pt>
                <c:pt idx="1046">
                  <c:v>41701</c:v>
                </c:pt>
                <c:pt idx="1047">
                  <c:v>41702</c:v>
                </c:pt>
                <c:pt idx="1048">
                  <c:v>41703</c:v>
                </c:pt>
                <c:pt idx="1049">
                  <c:v>41704</c:v>
                </c:pt>
                <c:pt idx="1050">
                  <c:v>41705</c:v>
                </c:pt>
                <c:pt idx="1051">
                  <c:v>41708</c:v>
                </c:pt>
                <c:pt idx="1052">
                  <c:v>41709</c:v>
                </c:pt>
                <c:pt idx="1053">
                  <c:v>41710</c:v>
                </c:pt>
                <c:pt idx="1054">
                  <c:v>41711</c:v>
                </c:pt>
                <c:pt idx="1055">
                  <c:v>41712</c:v>
                </c:pt>
                <c:pt idx="1056">
                  <c:v>41715</c:v>
                </c:pt>
                <c:pt idx="1057">
                  <c:v>41716</c:v>
                </c:pt>
                <c:pt idx="1058">
                  <c:v>41717</c:v>
                </c:pt>
                <c:pt idx="1059">
                  <c:v>41718</c:v>
                </c:pt>
                <c:pt idx="1060">
                  <c:v>41719</c:v>
                </c:pt>
                <c:pt idx="1061">
                  <c:v>41722</c:v>
                </c:pt>
                <c:pt idx="1062">
                  <c:v>41723</c:v>
                </c:pt>
                <c:pt idx="1063">
                  <c:v>41724</c:v>
                </c:pt>
                <c:pt idx="1064">
                  <c:v>41725</c:v>
                </c:pt>
                <c:pt idx="1065">
                  <c:v>41726</c:v>
                </c:pt>
                <c:pt idx="1066">
                  <c:v>41729</c:v>
                </c:pt>
                <c:pt idx="1067">
                  <c:v>41730</c:v>
                </c:pt>
                <c:pt idx="1068">
                  <c:v>41731</c:v>
                </c:pt>
                <c:pt idx="1069">
                  <c:v>41732</c:v>
                </c:pt>
                <c:pt idx="1070">
                  <c:v>41733</c:v>
                </c:pt>
                <c:pt idx="1071">
                  <c:v>41736</c:v>
                </c:pt>
                <c:pt idx="1072">
                  <c:v>41737</c:v>
                </c:pt>
                <c:pt idx="1073">
                  <c:v>41738</c:v>
                </c:pt>
                <c:pt idx="1074">
                  <c:v>41739</c:v>
                </c:pt>
                <c:pt idx="1075">
                  <c:v>41740</c:v>
                </c:pt>
                <c:pt idx="1076">
                  <c:v>41743</c:v>
                </c:pt>
                <c:pt idx="1077">
                  <c:v>41744</c:v>
                </c:pt>
                <c:pt idx="1078">
                  <c:v>41745</c:v>
                </c:pt>
                <c:pt idx="1079">
                  <c:v>41746</c:v>
                </c:pt>
                <c:pt idx="1080">
                  <c:v>41750</c:v>
                </c:pt>
                <c:pt idx="1081">
                  <c:v>41751</c:v>
                </c:pt>
                <c:pt idx="1082">
                  <c:v>41752</c:v>
                </c:pt>
                <c:pt idx="1083">
                  <c:v>41753</c:v>
                </c:pt>
                <c:pt idx="1084">
                  <c:v>41754</c:v>
                </c:pt>
                <c:pt idx="1085">
                  <c:v>41757</c:v>
                </c:pt>
                <c:pt idx="1086">
                  <c:v>41758</c:v>
                </c:pt>
                <c:pt idx="1087">
                  <c:v>41759</c:v>
                </c:pt>
                <c:pt idx="1088">
                  <c:v>41760</c:v>
                </c:pt>
                <c:pt idx="1089">
                  <c:v>41761</c:v>
                </c:pt>
                <c:pt idx="1090">
                  <c:v>41764</c:v>
                </c:pt>
                <c:pt idx="1091">
                  <c:v>41765</c:v>
                </c:pt>
                <c:pt idx="1092">
                  <c:v>41766</c:v>
                </c:pt>
                <c:pt idx="1093">
                  <c:v>41767</c:v>
                </c:pt>
                <c:pt idx="1094">
                  <c:v>41768</c:v>
                </c:pt>
                <c:pt idx="1095">
                  <c:v>41771</c:v>
                </c:pt>
                <c:pt idx="1096">
                  <c:v>41772</c:v>
                </c:pt>
                <c:pt idx="1097">
                  <c:v>41773</c:v>
                </c:pt>
                <c:pt idx="1098">
                  <c:v>41774</c:v>
                </c:pt>
                <c:pt idx="1099">
                  <c:v>41775</c:v>
                </c:pt>
                <c:pt idx="1100">
                  <c:v>41778</c:v>
                </c:pt>
                <c:pt idx="1101">
                  <c:v>41779</c:v>
                </c:pt>
                <c:pt idx="1102">
                  <c:v>41780</c:v>
                </c:pt>
                <c:pt idx="1103">
                  <c:v>41781</c:v>
                </c:pt>
                <c:pt idx="1104">
                  <c:v>41782</c:v>
                </c:pt>
                <c:pt idx="1105">
                  <c:v>41786</c:v>
                </c:pt>
                <c:pt idx="1106">
                  <c:v>41787</c:v>
                </c:pt>
                <c:pt idx="1107">
                  <c:v>41788</c:v>
                </c:pt>
                <c:pt idx="1108">
                  <c:v>41789</c:v>
                </c:pt>
                <c:pt idx="1109">
                  <c:v>41792</c:v>
                </c:pt>
                <c:pt idx="1110">
                  <c:v>41793</c:v>
                </c:pt>
                <c:pt idx="1111">
                  <c:v>41794</c:v>
                </c:pt>
                <c:pt idx="1112">
                  <c:v>41795</c:v>
                </c:pt>
                <c:pt idx="1113">
                  <c:v>41796</c:v>
                </c:pt>
                <c:pt idx="1114">
                  <c:v>41799</c:v>
                </c:pt>
                <c:pt idx="1115">
                  <c:v>41800</c:v>
                </c:pt>
                <c:pt idx="1116">
                  <c:v>41801</c:v>
                </c:pt>
                <c:pt idx="1117">
                  <c:v>41802</c:v>
                </c:pt>
                <c:pt idx="1118">
                  <c:v>41803</c:v>
                </c:pt>
                <c:pt idx="1119">
                  <c:v>41806</c:v>
                </c:pt>
                <c:pt idx="1120">
                  <c:v>41807</c:v>
                </c:pt>
                <c:pt idx="1121">
                  <c:v>41808</c:v>
                </c:pt>
                <c:pt idx="1122">
                  <c:v>41809</c:v>
                </c:pt>
                <c:pt idx="1123">
                  <c:v>41810</c:v>
                </c:pt>
                <c:pt idx="1124">
                  <c:v>41813</c:v>
                </c:pt>
                <c:pt idx="1125">
                  <c:v>41814</c:v>
                </c:pt>
                <c:pt idx="1126">
                  <c:v>41815</c:v>
                </c:pt>
                <c:pt idx="1127">
                  <c:v>41816</c:v>
                </c:pt>
                <c:pt idx="1128">
                  <c:v>41817</c:v>
                </c:pt>
                <c:pt idx="1129">
                  <c:v>41820</c:v>
                </c:pt>
                <c:pt idx="1130">
                  <c:v>41821</c:v>
                </c:pt>
                <c:pt idx="1131">
                  <c:v>41822</c:v>
                </c:pt>
                <c:pt idx="1132">
                  <c:v>41823</c:v>
                </c:pt>
                <c:pt idx="1133">
                  <c:v>41827</c:v>
                </c:pt>
                <c:pt idx="1134">
                  <c:v>41828</c:v>
                </c:pt>
                <c:pt idx="1135">
                  <c:v>41829</c:v>
                </c:pt>
                <c:pt idx="1136">
                  <c:v>41830</c:v>
                </c:pt>
                <c:pt idx="1137">
                  <c:v>41831</c:v>
                </c:pt>
                <c:pt idx="1138">
                  <c:v>41834</c:v>
                </c:pt>
                <c:pt idx="1139">
                  <c:v>41835</c:v>
                </c:pt>
                <c:pt idx="1140">
                  <c:v>41836</c:v>
                </c:pt>
                <c:pt idx="1141">
                  <c:v>41837</c:v>
                </c:pt>
                <c:pt idx="1142">
                  <c:v>41838</c:v>
                </c:pt>
                <c:pt idx="1143">
                  <c:v>41841</c:v>
                </c:pt>
                <c:pt idx="1144">
                  <c:v>41842</c:v>
                </c:pt>
                <c:pt idx="1145">
                  <c:v>41843</c:v>
                </c:pt>
                <c:pt idx="1146">
                  <c:v>41844</c:v>
                </c:pt>
                <c:pt idx="1147">
                  <c:v>41845</c:v>
                </c:pt>
                <c:pt idx="1148">
                  <c:v>41848</c:v>
                </c:pt>
                <c:pt idx="1149">
                  <c:v>41849</c:v>
                </c:pt>
                <c:pt idx="1150">
                  <c:v>41850</c:v>
                </c:pt>
                <c:pt idx="1151">
                  <c:v>41851</c:v>
                </c:pt>
                <c:pt idx="1152">
                  <c:v>41852</c:v>
                </c:pt>
                <c:pt idx="1153">
                  <c:v>41855</c:v>
                </c:pt>
                <c:pt idx="1154">
                  <c:v>41856</c:v>
                </c:pt>
                <c:pt idx="1155">
                  <c:v>41857</c:v>
                </c:pt>
                <c:pt idx="1156">
                  <c:v>41858</c:v>
                </c:pt>
                <c:pt idx="1157">
                  <c:v>41859</c:v>
                </c:pt>
                <c:pt idx="1158">
                  <c:v>41862</c:v>
                </c:pt>
                <c:pt idx="1159">
                  <c:v>41863</c:v>
                </c:pt>
                <c:pt idx="1160">
                  <c:v>41864</c:v>
                </c:pt>
                <c:pt idx="1161">
                  <c:v>41865</c:v>
                </c:pt>
                <c:pt idx="1162">
                  <c:v>41866</c:v>
                </c:pt>
                <c:pt idx="1163">
                  <c:v>41869</c:v>
                </c:pt>
                <c:pt idx="1164">
                  <c:v>41870</c:v>
                </c:pt>
                <c:pt idx="1165">
                  <c:v>41871</c:v>
                </c:pt>
                <c:pt idx="1166">
                  <c:v>41872</c:v>
                </c:pt>
                <c:pt idx="1167">
                  <c:v>41873</c:v>
                </c:pt>
                <c:pt idx="1168">
                  <c:v>41876</c:v>
                </c:pt>
                <c:pt idx="1169">
                  <c:v>41877</c:v>
                </c:pt>
                <c:pt idx="1170">
                  <c:v>41878</c:v>
                </c:pt>
                <c:pt idx="1171">
                  <c:v>41879</c:v>
                </c:pt>
                <c:pt idx="1172">
                  <c:v>41880</c:v>
                </c:pt>
                <c:pt idx="1173">
                  <c:v>41884</c:v>
                </c:pt>
                <c:pt idx="1174">
                  <c:v>41885</c:v>
                </c:pt>
                <c:pt idx="1175">
                  <c:v>41886</c:v>
                </c:pt>
                <c:pt idx="1176">
                  <c:v>41887</c:v>
                </c:pt>
                <c:pt idx="1177">
                  <c:v>41890</c:v>
                </c:pt>
                <c:pt idx="1178">
                  <c:v>41891</c:v>
                </c:pt>
                <c:pt idx="1179">
                  <c:v>41892</c:v>
                </c:pt>
                <c:pt idx="1180">
                  <c:v>41893</c:v>
                </c:pt>
                <c:pt idx="1181">
                  <c:v>41894</c:v>
                </c:pt>
                <c:pt idx="1182">
                  <c:v>41897</c:v>
                </c:pt>
                <c:pt idx="1183">
                  <c:v>41898</c:v>
                </c:pt>
                <c:pt idx="1184">
                  <c:v>41899</c:v>
                </c:pt>
                <c:pt idx="1185">
                  <c:v>41900</c:v>
                </c:pt>
                <c:pt idx="1186">
                  <c:v>41901</c:v>
                </c:pt>
                <c:pt idx="1187">
                  <c:v>41904</c:v>
                </c:pt>
                <c:pt idx="1188">
                  <c:v>41905</c:v>
                </c:pt>
                <c:pt idx="1189">
                  <c:v>41906</c:v>
                </c:pt>
                <c:pt idx="1190">
                  <c:v>41907</c:v>
                </c:pt>
                <c:pt idx="1191">
                  <c:v>41908</c:v>
                </c:pt>
                <c:pt idx="1192">
                  <c:v>41911</c:v>
                </c:pt>
                <c:pt idx="1193">
                  <c:v>41912</c:v>
                </c:pt>
                <c:pt idx="1194">
                  <c:v>41913</c:v>
                </c:pt>
                <c:pt idx="1195">
                  <c:v>41914</c:v>
                </c:pt>
                <c:pt idx="1196">
                  <c:v>41915</c:v>
                </c:pt>
                <c:pt idx="1197">
                  <c:v>41918</c:v>
                </c:pt>
                <c:pt idx="1198">
                  <c:v>41919</c:v>
                </c:pt>
                <c:pt idx="1199">
                  <c:v>41920</c:v>
                </c:pt>
                <c:pt idx="1200">
                  <c:v>41921</c:v>
                </c:pt>
                <c:pt idx="1201">
                  <c:v>41922</c:v>
                </c:pt>
                <c:pt idx="1202">
                  <c:v>41925</c:v>
                </c:pt>
                <c:pt idx="1203">
                  <c:v>41926</c:v>
                </c:pt>
                <c:pt idx="1204">
                  <c:v>41927</c:v>
                </c:pt>
                <c:pt idx="1205">
                  <c:v>41928</c:v>
                </c:pt>
                <c:pt idx="1206">
                  <c:v>41929</c:v>
                </c:pt>
                <c:pt idx="1207">
                  <c:v>41932</c:v>
                </c:pt>
                <c:pt idx="1208">
                  <c:v>41933</c:v>
                </c:pt>
                <c:pt idx="1209">
                  <c:v>41934</c:v>
                </c:pt>
                <c:pt idx="1210">
                  <c:v>41935</c:v>
                </c:pt>
                <c:pt idx="1211">
                  <c:v>41936</c:v>
                </c:pt>
                <c:pt idx="1212">
                  <c:v>41939</c:v>
                </c:pt>
                <c:pt idx="1213">
                  <c:v>41940</c:v>
                </c:pt>
                <c:pt idx="1214">
                  <c:v>41941</c:v>
                </c:pt>
                <c:pt idx="1215">
                  <c:v>41942</c:v>
                </c:pt>
                <c:pt idx="1216">
                  <c:v>41943</c:v>
                </c:pt>
                <c:pt idx="1217">
                  <c:v>41946</c:v>
                </c:pt>
                <c:pt idx="1218">
                  <c:v>41947</c:v>
                </c:pt>
                <c:pt idx="1219">
                  <c:v>41948</c:v>
                </c:pt>
                <c:pt idx="1220">
                  <c:v>41949</c:v>
                </c:pt>
                <c:pt idx="1221">
                  <c:v>41950</c:v>
                </c:pt>
                <c:pt idx="1222">
                  <c:v>41953</c:v>
                </c:pt>
                <c:pt idx="1223">
                  <c:v>41954</c:v>
                </c:pt>
                <c:pt idx="1224">
                  <c:v>41955</c:v>
                </c:pt>
                <c:pt idx="1225">
                  <c:v>41956</c:v>
                </c:pt>
                <c:pt idx="1226">
                  <c:v>41957</c:v>
                </c:pt>
                <c:pt idx="1227">
                  <c:v>41960</c:v>
                </c:pt>
                <c:pt idx="1228">
                  <c:v>41961</c:v>
                </c:pt>
                <c:pt idx="1229">
                  <c:v>41962</c:v>
                </c:pt>
                <c:pt idx="1230">
                  <c:v>41963</c:v>
                </c:pt>
                <c:pt idx="1231">
                  <c:v>41964</c:v>
                </c:pt>
                <c:pt idx="1232">
                  <c:v>41967</c:v>
                </c:pt>
                <c:pt idx="1233">
                  <c:v>41968</c:v>
                </c:pt>
                <c:pt idx="1234">
                  <c:v>41969</c:v>
                </c:pt>
                <c:pt idx="1235">
                  <c:v>41971</c:v>
                </c:pt>
                <c:pt idx="1236">
                  <c:v>41974</c:v>
                </c:pt>
                <c:pt idx="1237">
                  <c:v>41975</c:v>
                </c:pt>
                <c:pt idx="1238">
                  <c:v>41976</c:v>
                </c:pt>
                <c:pt idx="1239">
                  <c:v>41977</c:v>
                </c:pt>
                <c:pt idx="1240">
                  <c:v>41978</c:v>
                </c:pt>
                <c:pt idx="1241">
                  <c:v>41981</c:v>
                </c:pt>
                <c:pt idx="1242">
                  <c:v>41982</c:v>
                </c:pt>
                <c:pt idx="1243">
                  <c:v>41983</c:v>
                </c:pt>
                <c:pt idx="1244">
                  <c:v>41984</c:v>
                </c:pt>
                <c:pt idx="1245">
                  <c:v>41985</c:v>
                </c:pt>
                <c:pt idx="1246">
                  <c:v>41988</c:v>
                </c:pt>
                <c:pt idx="1247">
                  <c:v>41989</c:v>
                </c:pt>
                <c:pt idx="1248">
                  <c:v>41990</c:v>
                </c:pt>
                <c:pt idx="1249">
                  <c:v>41991</c:v>
                </c:pt>
                <c:pt idx="1250">
                  <c:v>41992</c:v>
                </c:pt>
                <c:pt idx="1251">
                  <c:v>41995</c:v>
                </c:pt>
                <c:pt idx="1252">
                  <c:v>41996</c:v>
                </c:pt>
                <c:pt idx="1253">
                  <c:v>41997</c:v>
                </c:pt>
                <c:pt idx="1254">
                  <c:v>41999</c:v>
                </c:pt>
                <c:pt idx="1255">
                  <c:v>42002</c:v>
                </c:pt>
                <c:pt idx="1256">
                  <c:v>42003</c:v>
                </c:pt>
                <c:pt idx="1257">
                  <c:v>42004</c:v>
                </c:pt>
                <c:pt idx="1258">
                  <c:v>42006</c:v>
                </c:pt>
                <c:pt idx="1259">
                  <c:v>42009</c:v>
                </c:pt>
                <c:pt idx="1260">
                  <c:v>42010</c:v>
                </c:pt>
                <c:pt idx="1261">
                  <c:v>42011</c:v>
                </c:pt>
                <c:pt idx="1262">
                  <c:v>42012</c:v>
                </c:pt>
                <c:pt idx="1263">
                  <c:v>42013</c:v>
                </c:pt>
                <c:pt idx="1264">
                  <c:v>42016</c:v>
                </c:pt>
                <c:pt idx="1265">
                  <c:v>42017</c:v>
                </c:pt>
                <c:pt idx="1266">
                  <c:v>42018</c:v>
                </c:pt>
                <c:pt idx="1267">
                  <c:v>42019</c:v>
                </c:pt>
                <c:pt idx="1268">
                  <c:v>42020</c:v>
                </c:pt>
                <c:pt idx="1269">
                  <c:v>42024</c:v>
                </c:pt>
                <c:pt idx="1270">
                  <c:v>42025</c:v>
                </c:pt>
                <c:pt idx="1271">
                  <c:v>42026</c:v>
                </c:pt>
                <c:pt idx="1272">
                  <c:v>42027</c:v>
                </c:pt>
                <c:pt idx="1273">
                  <c:v>42030</c:v>
                </c:pt>
                <c:pt idx="1274">
                  <c:v>42031</c:v>
                </c:pt>
                <c:pt idx="1275">
                  <c:v>42032</c:v>
                </c:pt>
                <c:pt idx="1276">
                  <c:v>42033</c:v>
                </c:pt>
                <c:pt idx="1277">
                  <c:v>42034</c:v>
                </c:pt>
                <c:pt idx="1278">
                  <c:v>42037</c:v>
                </c:pt>
                <c:pt idx="1279">
                  <c:v>42038</c:v>
                </c:pt>
                <c:pt idx="1280">
                  <c:v>42039</c:v>
                </c:pt>
                <c:pt idx="1281">
                  <c:v>42040</c:v>
                </c:pt>
                <c:pt idx="1282">
                  <c:v>42041</c:v>
                </c:pt>
                <c:pt idx="1283">
                  <c:v>42044</c:v>
                </c:pt>
                <c:pt idx="1284">
                  <c:v>42045</c:v>
                </c:pt>
                <c:pt idx="1285">
                  <c:v>42046</c:v>
                </c:pt>
                <c:pt idx="1286">
                  <c:v>42047</c:v>
                </c:pt>
                <c:pt idx="1287">
                  <c:v>42048</c:v>
                </c:pt>
                <c:pt idx="1288">
                  <c:v>42052</c:v>
                </c:pt>
                <c:pt idx="1289">
                  <c:v>42053</c:v>
                </c:pt>
                <c:pt idx="1290">
                  <c:v>42054</c:v>
                </c:pt>
                <c:pt idx="1291">
                  <c:v>42055</c:v>
                </c:pt>
                <c:pt idx="1292">
                  <c:v>42058</c:v>
                </c:pt>
                <c:pt idx="1293">
                  <c:v>42059</c:v>
                </c:pt>
                <c:pt idx="1294">
                  <c:v>42060</c:v>
                </c:pt>
                <c:pt idx="1295">
                  <c:v>42061</c:v>
                </c:pt>
                <c:pt idx="1296">
                  <c:v>42062</c:v>
                </c:pt>
                <c:pt idx="1297">
                  <c:v>42065</c:v>
                </c:pt>
                <c:pt idx="1298">
                  <c:v>42066</c:v>
                </c:pt>
                <c:pt idx="1299">
                  <c:v>42067</c:v>
                </c:pt>
                <c:pt idx="1300">
                  <c:v>42068</c:v>
                </c:pt>
                <c:pt idx="1301">
                  <c:v>42069</c:v>
                </c:pt>
                <c:pt idx="1302">
                  <c:v>42072</c:v>
                </c:pt>
                <c:pt idx="1303">
                  <c:v>42073</c:v>
                </c:pt>
                <c:pt idx="1304">
                  <c:v>42074</c:v>
                </c:pt>
                <c:pt idx="1305">
                  <c:v>42075</c:v>
                </c:pt>
                <c:pt idx="1306">
                  <c:v>42076</c:v>
                </c:pt>
                <c:pt idx="1307">
                  <c:v>42079</c:v>
                </c:pt>
                <c:pt idx="1308">
                  <c:v>42080</c:v>
                </c:pt>
                <c:pt idx="1309">
                  <c:v>42081</c:v>
                </c:pt>
                <c:pt idx="1310">
                  <c:v>42082</c:v>
                </c:pt>
                <c:pt idx="1311">
                  <c:v>42083</c:v>
                </c:pt>
                <c:pt idx="1312">
                  <c:v>42086</c:v>
                </c:pt>
                <c:pt idx="1313">
                  <c:v>42087</c:v>
                </c:pt>
                <c:pt idx="1314">
                  <c:v>42088</c:v>
                </c:pt>
                <c:pt idx="1315">
                  <c:v>42089</c:v>
                </c:pt>
                <c:pt idx="1316">
                  <c:v>42090</c:v>
                </c:pt>
                <c:pt idx="1317">
                  <c:v>42093</c:v>
                </c:pt>
                <c:pt idx="1318">
                  <c:v>42094</c:v>
                </c:pt>
                <c:pt idx="1319">
                  <c:v>42095</c:v>
                </c:pt>
                <c:pt idx="1320">
                  <c:v>42096</c:v>
                </c:pt>
                <c:pt idx="1321">
                  <c:v>42100</c:v>
                </c:pt>
                <c:pt idx="1322">
                  <c:v>42101</c:v>
                </c:pt>
                <c:pt idx="1323">
                  <c:v>42102</c:v>
                </c:pt>
                <c:pt idx="1324">
                  <c:v>42103</c:v>
                </c:pt>
                <c:pt idx="1325">
                  <c:v>42104</c:v>
                </c:pt>
                <c:pt idx="1326">
                  <c:v>42107</c:v>
                </c:pt>
                <c:pt idx="1327">
                  <c:v>42108</c:v>
                </c:pt>
                <c:pt idx="1328">
                  <c:v>42109</c:v>
                </c:pt>
                <c:pt idx="1329">
                  <c:v>42110</c:v>
                </c:pt>
                <c:pt idx="1330">
                  <c:v>42111</c:v>
                </c:pt>
                <c:pt idx="1331">
                  <c:v>42114</c:v>
                </c:pt>
                <c:pt idx="1332">
                  <c:v>42115</c:v>
                </c:pt>
                <c:pt idx="1333">
                  <c:v>42116</c:v>
                </c:pt>
                <c:pt idx="1334">
                  <c:v>42117</c:v>
                </c:pt>
                <c:pt idx="1335">
                  <c:v>42118</c:v>
                </c:pt>
                <c:pt idx="1336">
                  <c:v>42121</c:v>
                </c:pt>
                <c:pt idx="1337">
                  <c:v>42122</c:v>
                </c:pt>
                <c:pt idx="1338">
                  <c:v>42123</c:v>
                </c:pt>
                <c:pt idx="1339">
                  <c:v>42124</c:v>
                </c:pt>
                <c:pt idx="1340">
                  <c:v>42125</c:v>
                </c:pt>
                <c:pt idx="1341">
                  <c:v>42128</c:v>
                </c:pt>
                <c:pt idx="1342">
                  <c:v>42129</c:v>
                </c:pt>
                <c:pt idx="1343">
                  <c:v>42130</c:v>
                </c:pt>
                <c:pt idx="1344">
                  <c:v>42131</c:v>
                </c:pt>
                <c:pt idx="1345">
                  <c:v>42132</c:v>
                </c:pt>
                <c:pt idx="1346">
                  <c:v>42135</c:v>
                </c:pt>
                <c:pt idx="1347">
                  <c:v>42136</c:v>
                </c:pt>
                <c:pt idx="1348">
                  <c:v>42137</c:v>
                </c:pt>
                <c:pt idx="1349">
                  <c:v>42138</c:v>
                </c:pt>
                <c:pt idx="1350">
                  <c:v>42139</c:v>
                </c:pt>
                <c:pt idx="1351">
                  <c:v>42142</c:v>
                </c:pt>
                <c:pt idx="1352">
                  <c:v>42143</c:v>
                </c:pt>
                <c:pt idx="1353">
                  <c:v>42144</c:v>
                </c:pt>
                <c:pt idx="1354">
                  <c:v>42145</c:v>
                </c:pt>
                <c:pt idx="1355">
                  <c:v>42146</c:v>
                </c:pt>
                <c:pt idx="1356">
                  <c:v>42150</c:v>
                </c:pt>
                <c:pt idx="1357">
                  <c:v>42151</c:v>
                </c:pt>
                <c:pt idx="1358">
                  <c:v>42152</c:v>
                </c:pt>
                <c:pt idx="1359">
                  <c:v>42153</c:v>
                </c:pt>
                <c:pt idx="1360">
                  <c:v>42156</c:v>
                </c:pt>
                <c:pt idx="1361">
                  <c:v>42157</c:v>
                </c:pt>
                <c:pt idx="1362">
                  <c:v>42158</c:v>
                </c:pt>
                <c:pt idx="1363">
                  <c:v>42159</c:v>
                </c:pt>
                <c:pt idx="1364">
                  <c:v>42160</c:v>
                </c:pt>
                <c:pt idx="1365">
                  <c:v>42163</c:v>
                </c:pt>
                <c:pt idx="1366">
                  <c:v>42164</c:v>
                </c:pt>
                <c:pt idx="1367">
                  <c:v>42165</c:v>
                </c:pt>
                <c:pt idx="1368">
                  <c:v>42166</c:v>
                </c:pt>
                <c:pt idx="1369">
                  <c:v>42167</c:v>
                </c:pt>
                <c:pt idx="1370">
                  <c:v>42170</c:v>
                </c:pt>
                <c:pt idx="1371">
                  <c:v>42171</c:v>
                </c:pt>
                <c:pt idx="1372">
                  <c:v>42172</c:v>
                </c:pt>
                <c:pt idx="1373">
                  <c:v>42173</c:v>
                </c:pt>
                <c:pt idx="1374">
                  <c:v>42174</c:v>
                </c:pt>
                <c:pt idx="1375">
                  <c:v>42177</c:v>
                </c:pt>
                <c:pt idx="1376">
                  <c:v>42178</c:v>
                </c:pt>
                <c:pt idx="1377">
                  <c:v>42179</c:v>
                </c:pt>
                <c:pt idx="1378">
                  <c:v>42180</c:v>
                </c:pt>
                <c:pt idx="1379">
                  <c:v>42181</c:v>
                </c:pt>
                <c:pt idx="1380">
                  <c:v>42184</c:v>
                </c:pt>
                <c:pt idx="1381">
                  <c:v>42185</c:v>
                </c:pt>
                <c:pt idx="1382">
                  <c:v>42186</c:v>
                </c:pt>
                <c:pt idx="1383">
                  <c:v>42187</c:v>
                </c:pt>
                <c:pt idx="1384">
                  <c:v>42191</c:v>
                </c:pt>
                <c:pt idx="1385">
                  <c:v>42192</c:v>
                </c:pt>
                <c:pt idx="1386">
                  <c:v>42193</c:v>
                </c:pt>
                <c:pt idx="1387">
                  <c:v>42194</c:v>
                </c:pt>
                <c:pt idx="1388">
                  <c:v>42195</c:v>
                </c:pt>
                <c:pt idx="1389">
                  <c:v>42198</c:v>
                </c:pt>
                <c:pt idx="1390">
                  <c:v>42199</c:v>
                </c:pt>
                <c:pt idx="1391">
                  <c:v>42200</c:v>
                </c:pt>
                <c:pt idx="1392">
                  <c:v>42201</c:v>
                </c:pt>
                <c:pt idx="1393">
                  <c:v>42202</c:v>
                </c:pt>
                <c:pt idx="1394">
                  <c:v>42205</c:v>
                </c:pt>
                <c:pt idx="1395">
                  <c:v>42206</c:v>
                </c:pt>
                <c:pt idx="1396">
                  <c:v>42207</c:v>
                </c:pt>
                <c:pt idx="1397">
                  <c:v>42208</c:v>
                </c:pt>
                <c:pt idx="1398">
                  <c:v>42209</c:v>
                </c:pt>
                <c:pt idx="1399">
                  <c:v>42212</c:v>
                </c:pt>
                <c:pt idx="1400">
                  <c:v>42213</c:v>
                </c:pt>
                <c:pt idx="1401">
                  <c:v>42214</c:v>
                </c:pt>
                <c:pt idx="1402">
                  <c:v>42215</c:v>
                </c:pt>
                <c:pt idx="1403">
                  <c:v>42216</c:v>
                </c:pt>
                <c:pt idx="1404">
                  <c:v>42219</c:v>
                </c:pt>
                <c:pt idx="1405">
                  <c:v>42220</c:v>
                </c:pt>
                <c:pt idx="1406">
                  <c:v>42221</c:v>
                </c:pt>
                <c:pt idx="1407">
                  <c:v>42222</c:v>
                </c:pt>
                <c:pt idx="1408">
                  <c:v>42223</c:v>
                </c:pt>
                <c:pt idx="1409">
                  <c:v>42226</c:v>
                </c:pt>
                <c:pt idx="1410">
                  <c:v>42227</c:v>
                </c:pt>
                <c:pt idx="1411">
                  <c:v>42228</c:v>
                </c:pt>
                <c:pt idx="1412">
                  <c:v>42229</c:v>
                </c:pt>
                <c:pt idx="1413">
                  <c:v>42230</c:v>
                </c:pt>
                <c:pt idx="1414">
                  <c:v>42233</c:v>
                </c:pt>
                <c:pt idx="1415">
                  <c:v>42234</c:v>
                </c:pt>
                <c:pt idx="1416">
                  <c:v>42235</c:v>
                </c:pt>
                <c:pt idx="1417">
                  <c:v>42236</c:v>
                </c:pt>
                <c:pt idx="1418">
                  <c:v>42237</c:v>
                </c:pt>
                <c:pt idx="1419">
                  <c:v>42240</c:v>
                </c:pt>
                <c:pt idx="1420">
                  <c:v>42241</c:v>
                </c:pt>
                <c:pt idx="1421">
                  <c:v>42242</c:v>
                </c:pt>
                <c:pt idx="1422">
                  <c:v>42243</c:v>
                </c:pt>
                <c:pt idx="1423">
                  <c:v>42244</c:v>
                </c:pt>
                <c:pt idx="1424">
                  <c:v>42247</c:v>
                </c:pt>
                <c:pt idx="1425">
                  <c:v>42248</c:v>
                </c:pt>
                <c:pt idx="1426">
                  <c:v>42249</c:v>
                </c:pt>
                <c:pt idx="1427">
                  <c:v>42250</c:v>
                </c:pt>
                <c:pt idx="1428">
                  <c:v>42251</c:v>
                </c:pt>
                <c:pt idx="1429">
                  <c:v>42255</c:v>
                </c:pt>
                <c:pt idx="1430">
                  <c:v>42256</c:v>
                </c:pt>
                <c:pt idx="1431">
                  <c:v>42257</c:v>
                </c:pt>
                <c:pt idx="1432">
                  <c:v>42258</c:v>
                </c:pt>
                <c:pt idx="1433">
                  <c:v>42261</c:v>
                </c:pt>
                <c:pt idx="1434">
                  <c:v>42262</c:v>
                </c:pt>
                <c:pt idx="1435">
                  <c:v>42263</c:v>
                </c:pt>
                <c:pt idx="1436">
                  <c:v>42264</c:v>
                </c:pt>
                <c:pt idx="1437">
                  <c:v>42265</c:v>
                </c:pt>
                <c:pt idx="1438">
                  <c:v>42268</c:v>
                </c:pt>
                <c:pt idx="1439">
                  <c:v>42269</c:v>
                </c:pt>
                <c:pt idx="1440">
                  <c:v>42270</c:v>
                </c:pt>
                <c:pt idx="1441">
                  <c:v>42271</c:v>
                </c:pt>
                <c:pt idx="1442">
                  <c:v>42272</c:v>
                </c:pt>
                <c:pt idx="1443">
                  <c:v>42275</c:v>
                </c:pt>
                <c:pt idx="1444">
                  <c:v>42276</c:v>
                </c:pt>
                <c:pt idx="1445">
                  <c:v>42277</c:v>
                </c:pt>
                <c:pt idx="1446">
                  <c:v>42278</c:v>
                </c:pt>
                <c:pt idx="1447">
                  <c:v>42279</c:v>
                </c:pt>
                <c:pt idx="1448">
                  <c:v>42282</c:v>
                </c:pt>
                <c:pt idx="1449">
                  <c:v>42283</c:v>
                </c:pt>
                <c:pt idx="1450">
                  <c:v>42284</c:v>
                </c:pt>
                <c:pt idx="1451">
                  <c:v>42285</c:v>
                </c:pt>
                <c:pt idx="1452">
                  <c:v>42286</c:v>
                </c:pt>
                <c:pt idx="1453">
                  <c:v>42289</c:v>
                </c:pt>
                <c:pt idx="1454">
                  <c:v>42290</c:v>
                </c:pt>
                <c:pt idx="1455">
                  <c:v>42291</c:v>
                </c:pt>
                <c:pt idx="1456">
                  <c:v>42292</c:v>
                </c:pt>
                <c:pt idx="1457">
                  <c:v>42293</c:v>
                </c:pt>
                <c:pt idx="1458">
                  <c:v>42296</c:v>
                </c:pt>
                <c:pt idx="1459">
                  <c:v>42297</c:v>
                </c:pt>
                <c:pt idx="1460">
                  <c:v>42298</c:v>
                </c:pt>
                <c:pt idx="1461">
                  <c:v>42299</c:v>
                </c:pt>
                <c:pt idx="1462">
                  <c:v>42300</c:v>
                </c:pt>
                <c:pt idx="1463">
                  <c:v>42303</c:v>
                </c:pt>
                <c:pt idx="1464">
                  <c:v>42304</c:v>
                </c:pt>
                <c:pt idx="1465">
                  <c:v>42305</c:v>
                </c:pt>
                <c:pt idx="1466">
                  <c:v>42306</c:v>
                </c:pt>
                <c:pt idx="1467">
                  <c:v>42307</c:v>
                </c:pt>
                <c:pt idx="1468">
                  <c:v>42310</c:v>
                </c:pt>
                <c:pt idx="1469">
                  <c:v>42311</c:v>
                </c:pt>
                <c:pt idx="1470">
                  <c:v>42312</c:v>
                </c:pt>
                <c:pt idx="1471">
                  <c:v>42313</c:v>
                </c:pt>
                <c:pt idx="1472">
                  <c:v>42314</c:v>
                </c:pt>
                <c:pt idx="1473">
                  <c:v>42317</c:v>
                </c:pt>
                <c:pt idx="1474">
                  <c:v>42318</c:v>
                </c:pt>
                <c:pt idx="1475">
                  <c:v>42319</c:v>
                </c:pt>
                <c:pt idx="1476">
                  <c:v>42320</c:v>
                </c:pt>
                <c:pt idx="1477">
                  <c:v>42321</c:v>
                </c:pt>
                <c:pt idx="1478">
                  <c:v>42324</c:v>
                </c:pt>
                <c:pt idx="1479">
                  <c:v>42325</c:v>
                </c:pt>
                <c:pt idx="1480">
                  <c:v>42326</c:v>
                </c:pt>
                <c:pt idx="1481">
                  <c:v>42327</c:v>
                </c:pt>
                <c:pt idx="1482">
                  <c:v>42328</c:v>
                </c:pt>
                <c:pt idx="1483">
                  <c:v>42331</c:v>
                </c:pt>
                <c:pt idx="1484">
                  <c:v>42332</c:v>
                </c:pt>
                <c:pt idx="1485">
                  <c:v>42333</c:v>
                </c:pt>
                <c:pt idx="1486">
                  <c:v>42335</c:v>
                </c:pt>
                <c:pt idx="1487">
                  <c:v>42338</c:v>
                </c:pt>
                <c:pt idx="1488">
                  <c:v>42339</c:v>
                </c:pt>
                <c:pt idx="1489">
                  <c:v>42340</c:v>
                </c:pt>
                <c:pt idx="1490">
                  <c:v>42341</c:v>
                </c:pt>
                <c:pt idx="1491">
                  <c:v>42342</c:v>
                </c:pt>
                <c:pt idx="1492">
                  <c:v>42345</c:v>
                </c:pt>
                <c:pt idx="1493">
                  <c:v>42346</c:v>
                </c:pt>
                <c:pt idx="1494">
                  <c:v>42347</c:v>
                </c:pt>
                <c:pt idx="1495">
                  <c:v>42348</c:v>
                </c:pt>
                <c:pt idx="1496">
                  <c:v>42349</c:v>
                </c:pt>
                <c:pt idx="1497">
                  <c:v>42352</c:v>
                </c:pt>
                <c:pt idx="1498">
                  <c:v>42353</c:v>
                </c:pt>
                <c:pt idx="1499">
                  <c:v>42354</c:v>
                </c:pt>
                <c:pt idx="1500">
                  <c:v>42355</c:v>
                </c:pt>
                <c:pt idx="1501">
                  <c:v>42356</c:v>
                </c:pt>
                <c:pt idx="1502">
                  <c:v>42359</c:v>
                </c:pt>
                <c:pt idx="1503">
                  <c:v>42360</c:v>
                </c:pt>
                <c:pt idx="1504">
                  <c:v>42361</c:v>
                </c:pt>
                <c:pt idx="1505">
                  <c:v>42362</c:v>
                </c:pt>
                <c:pt idx="1506">
                  <c:v>42366</c:v>
                </c:pt>
                <c:pt idx="1507">
                  <c:v>42367</c:v>
                </c:pt>
                <c:pt idx="1508">
                  <c:v>42368</c:v>
                </c:pt>
                <c:pt idx="1509">
                  <c:v>42369</c:v>
                </c:pt>
                <c:pt idx="1510">
                  <c:v>42373</c:v>
                </c:pt>
                <c:pt idx="1511">
                  <c:v>42374</c:v>
                </c:pt>
                <c:pt idx="1512">
                  <c:v>42375</c:v>
                </c:pt>
                <c:pt idx="1513">
                  <c:v>42376</c:v>
                </c:pt>
                <c:pt idx="1514">
                  <c:v>42377</c:v>
                </c:pt>
                <c:pt idx="1515">
                  <c:v>42380</c:v>
                </c:pt>
                <c:pt idx="1516">
                  <c:v>42381</c:v>
                </c:pt>
                <c:pt idx="1517">
                  <c:v>42382</c:v>
                </c:pt>
                <c:pt idx="1518">
                  <c:v>42383</c:v>
                </c:pt>
                <c:pt idx="1519">
                  <c:v>42384</c:v>
                </c:pt>
                <c:pt idx="1520">
                  <c:v>42388</c:v>
                </c:pt>
                <c:pt idx="1521">
                  <c:v>42389</c:v>
                </c:pt>
                <c:pt idx="1522">
                  <c:v>42390</c:v>
                </c:pt>
                <c:pt idx="1523">
                  <c:v>42391</c:v>
                </c:pt>
                <c:pt idx="1524">
                  <c:v>42394</c:v>
                </c:pt>
                <c:pt idx="1525">
                  <c:v>42395</c:v>
                </c:pt>
                <c:pt idx="1526">
                  <c:v>42396</c:v>
                </c:pt>
                <c:pt idx="1527">
                  <c:v>42397</c:v>
                </c:pt>
                <c:pt idx="1528">
                  <c:v>42398</c:v>
                </c:pt>
                <c:pt idx="1529">
                  <c:v>42401</c:v>
                </c:pt>
                <c:pt idx="1530">
                  <c:v>42402</c:v>
                </c:pt>
                <c:pt idx="1531">
                  <c:v>42403</c:v>
                </c:pt>
                <c:pt idx="1532">
                  <c:v>42404</c:v>
                </c:pt>
                <c:pt idx="1533">
                  <c:v>42405</c:v>
                </c:pt>
                <c:pt idx="1534">
                  <c:v>42408</c:v>
                </c:pt>
                <c:pt idx="1535">
                  <c:v>42409</c:v>
                </c:pt>
                <c:pt idx="1536">
                  <c:v>42410</c:v>
                </c:pt>
                <c:pt idx="1537">
                  <c:v>42411</c:v>
                </c:pt>
                <c:pt idx="1538">
                  <c:v>42412</c:v>
                </c:pt>
                <c:pt idx="1539">
                  <c:v>42416</c:v>
                </c:pt>
                <c:pt idx="1540">
                  <c:v>42417</c:v>
                </c:pt>
                <c:pt idx="1541">
                  <c:v>42418</c:v>
                </c:pt>
                <c:pt idx="1542">
                  <c:v>42419</c:v>
                </c:pt>
                <c:pt idx="1543">
                  <c:v>42422</c:v>
                </c:pt>
                <c:pt idx="1544">
                  <c:v>42423</c:v>
                </c:pt>
                <c:pt idx="1545">
                  <c:v>42424</c:v>
                </c:pt>
                <c:pt idx="1546">
                  <c:v>42425</c:v>
                </c:pt>
                <c:pt idx="1547">
                  <c:v>42426</c:v>
                </c:pt>
                <c:pt idx="1548">
                  <c:v>42429</c:v>
                </c:pt>
                <c:pt idx="1549">
                  <c:v>42430</c:v>
                </c:pt>
                <c:pt idx="1550">
                  <c:v>42431</c:v>
                </c:pt>
                <c:pt idx="1551">
                  <c:v>42432</c:v>
                </c:pt>
                <c:pt idx="1552">
                  <c:v>42433</c:v>
                </c:pt>
                <c:pt idx="1553">
                  <c:v>42436</c:v>
                </c:pt>
                <c:pt idx="1554">
                  <c:v>42437</c:v>
                </c:pt>
                <c:pt idx="1555">
                  <c:v>42438</c:v>
                </c:pt>
                <c:pt idx="1556">
                  <c:v>42439</c:v>
                </c:pt>
                <c:pt idx="1557">
                  <c:v>42440</c:v>
                </c:pt>
                <c:pt idx="1558">
                  <c:v>42443</c:v>
                </c:pt>
                <c:pt idx="1559">
                  <c:v>42444</c:v>
                </c:pt>
                <c:pt idx="1560">
                  <c:v>42445</c:v>
                </c:pt>
                <c:pt idx="1561">
                  <c:v>42446</c:v>
                </c:pt>
                <c:pt idx="1562">
                  <c:v>42447</c:v>
                </c:pt>
                <c:pt idx="1563">
                  <c:v>42450</c:v>
                </c:pt>
                <c:pt idx="1564">
                  <c:v>42451</c:v>
                </c:pt>
                <c:pt idx="1565">
                  <c:v>42452</c:v>
                </c:pt>
                <c:pt idx="1566">
                  <c:v>42453</c:v>
                </c:pt>
                <c:pt idx="1567">
                  <c:v>42457</c:v>
                </c:pt>
                <c:pt idx="1568">
                  <c:v>42458</c:v>
                </c:pt>
                <c:pt idx="1569">
                  <c:v>42459</c:v>
                </c:pt>
                <c:pt idx="1570">
                  <c:v>42460</c:v>
                </c:pt>
                <c:pt idx="1571">
                  <c:v>42461</c:v>
                </c:pt>
                <c:pt idx="1572">
                  <c:v>42464</c:v>
                </c:pt>
                <c:pt idx="1573">
                  <c:v>42465</c:v>
                </c:pt>
                <c:pt idx="1574">
                  <c:v>42466</c:v>
                </c:pt>
                <c:pt idx="1575">
                  <c:v>42467</c:v>
                </c:pt>
                <c:pt idx="1576">
                  <c:v>42468</c:v>
                </c:pt>
                <c:pt idx="1577">
                  <c:v>42471</c:v>
                </c:pt>
                <c:pt idx="1578">
                  <c:v>42472</c:v>
                </c:pt>
                <c:pt idx="1579">
                  <c:v>42473</c:v>
                </c:pt>
                <c:pt idx="1580">
                  <c:v>42474</c:v>
                </c:pt>
                <c:pt idx="1581">
                  <c:v>42475</c:v>
                </c:pt>
                <c:pt idx="1582">
                  <c:v>42478</c:v>
                </c:pt>
                <c:pt idx="1583">
                  <c:v>42479</c:v>
                </c:pt>
                <c:pt idx="1584">
                  <c:v>42480</c:v>
                </c:pt>
                <c:pt idx="1585">
                  <c:v>42481</c:v>
                </c:pt>
                <c:pt idx="1586">
                  <c:v>42482</c:v>
                </c:pt>
                <c:pt idx="1587">
                  <c:v>42485</c:v>
                </c:pt>
                <c:pt idx="1588">
                  <c:v>42486</c:v>
                </c:pt>
                <c:pt idx="1589">
                  <c:v>42487</c:v>
                </c:pt>
                <c:pt idx="1590">
                  <c:v>42488</c:v>
                </c:pt>
                <c:pt idx="1591">
                  <c:v>42489</c:v>
                </c:pt>
                <c:pt idx="1592">
                  <c:v>42492</c:v>
                </c:pt>
                <c:pt idx="1593">
                  <c:v>42493</c:v>
                </c:pt>
                <c:pt idx="1594">
                  <c:v>42494</c:v>
                </c:pt>
                <c:pt idx="1595">
                  <c:v>42495</c:v>
                </c:pt>
                <c:pt idx="1596">
                  <c:v>42496</c:v>
                </c:pt>
                <c:pt idx="1597">
                  <c:v>42499</c:v>
                </c:pt>
                <c:pt idx="1598">
                  <c:v>42500</c:v>
                </c:pt>
                <c:pt idx="1599">
                  <c:v>42501</c:v>
                </c:pt>
                <c:pt idx="1600">
                  <c:v>42502</c:v>
                </c:pt>
                <c:pt idx="1601">
                  <c:v>42503</c:v>
                </c:pt>
                <c:pt idx="1602">
                  <c:v>42506</c:v>
                </c:pt>
                <c:pt idx="1603">
                  <c:v>42507</c:v>
                </c:pt>
                <c:pt idx="1604">
                  <c:v>42508</c:v>
                </c:pt>
                <c:pt idx="1605">
                  <c:v>42509</c:v>
                </c:pt>
                <c:pt idx="1606">
                  <c:v>42510</c:v>
                </c:pt>
                <c:pt idx="1607">
                  <c:v>42513</c:v>
                </c:pt>
                <c:pt idx="1608">
                  <c:v>42514</c:v>
                </c:pt>
                <c:pt idx="1609">
                  <c:v>42515</c:v>
                </c:pt>
                <c:pt idx="1610">
                  <c:v>42516</c:v>
                </c:pt>
                <c:pt idx="1611">
                  <c:v>42517</c:v>
                </c:pt>
                <c:pt idx="1612">
                  <c:v>42521</c:v>
                </c:pt>
                <c:pt idx="1613">
                  <c:v>42522</c:v>
                </c:pt>
                <c:pt idx="1614">
                  <c:v>42523</c:v>
                </c:pt>
                <c:pt idx="1615">
                  <c:v>42524</c:v>
                </c:pt>
                <c:pt idx="1616">
                  <c:v>42527</c:v>
                </c:pt>
                <c:pt idx="1617">
                  <c:v>42528</c:v>
                </c:pt>
                <c:pt idx="1618">
                  <c:v>42529</c:v>
                </c:pt>
                <c:pt idx="1619">
                  <c:v>42530</c:v>
                </c:pt>
                <c:pt idx="1620">
                  <c:v>42531</c:v>
                </c:pt>
                <c:pt idx="1621">
                  <c:v>42534</c:v>
                </c:pt>
                <c:pt idx="1622">
                  <c:v>42535</c:v>
                </c:pt>
                <c:pt idx="1623">
                  <c:v>42536</c:v>
                </c:pt>
                <c:pt idx="1624">
                  <c:v>42537</c:v>
                </c:pt>
                <c:pt idx="1625">
                  <c:v>42538</c:v>
                </c:pt>
                <c:pt idx="1626">
                  <c:v>42541</c:v>
                </c:pt>
                <c:pt idx="1627">
                  <c:v>42542</c:v>
                </c:pt>
                <c:pt idx="1628">
                  <c:v>42543</c:v>
                </c:pt>
                <c:pt idx="1629">
                  <c:v>42544</c:v>
                </c:pt>
                <c:pt idx="1630">
                  <c:v>42545</c:v>
                </c:pt>
                <c:pt idx="1631">
                  <c:v>42548</c:v>
                </c:pt>
                <c:pt idx="1632">
                  <c:v>42549</c:v>
                </c:pt>
                <c:pt idx="1633">
                  <c:v>42550</c:v>
                </c:pt>
                <c:pt idx="1634">
                  <c:v>42551</c:v>
                </c:pt>
                <c:pt idx="1635">
                  <c:v>42552</c:v>
                </c:pt>
                <c:pt idx="1636">
                  <c:v>42556</c:v>
                </c:pt>
                <c:pt idx="1637">
                  <c:v>42557</c:v>
                </c:pt>
                <c:pt idx="1638">
                  <c:v>42558</c:v>
                </c:pt>
                <c:pt idx="1639">
                  <c:v>42559</c:v>
                </c:pt>
                <c:pt idx="1640">
                  <c:v>42562</c:v>
                </c:pt>
                <c:pt idx="1641">
                  <c:v>42563</c:v>
                </c:pt>
                <c:pt idx="1642">
                  <c:v>42564</c:v>
                </c:pt>
                <c:pt idx="1643">
                  <c:v>42565</c:v>
                </c:pt>
                <c:pt idx="1644">
                  <c:v>42566</c:v>
                </c:pt>
                <c:pt idx="1645">
                  <c:v>42569</c:v>
                </c:pt>
                <c:pt idx="1646">
                  <c:v>42570</c:v>
                </c:pt>
                <c:pt idx="1647">
                  <c:v>42571</c:v>
                </c:pt>
                <c:pt idx="1648">
                  <c:v>42572</c:v>
                </c:pt>
                <c:pt idx="1649">
                  <c:v>42573</c:v>
                </c:pt>
                <c:pt idx="1650">
                  <c:v>42576</c:v>
                </c:pt>
                <c:pt idx="1651">
                  <c:v>42577</c:v>
                </c:pt>
                <c:pt idx="1652">
                  <c:v>42578</c:v>
                </c:pt>
                <c:pt idx="1653">
                  <c:v>42579</c:v>
                </c:pt>
                <c:pt idx="1654">
                  <c:v>42580</c:v>
                </c:pt>
                <c:pt idx="1655">
                  <c:v>42583</c:v>
                </c:pt>
                <c:pt idx="1656">
                  <c:v>42584</c:v>
                </c:pt>
                <c:pt idx="1657">
                  <c:v>42585</c:v>
                </c:pt>
                <c:pt idx="1658">
                  <c:v>42586</c:v>
                </c:pt>
                <c:pt idx="1659">
                  <c:v>42587</c:v>
                </c:pt>
                <c:pt idx="1660">
                  <c:v>42590</c:v>
                </c:pt>
                <c:pt idx="1661">
                  <c:v>42591</c:v>
                </c:pt>
                <c:pt idx="1662">
                  <c:v>42592</c:v>
                </c:pt>
                <c:pt idx="1663">
                  <c:v>42593</c:v>
                </c:pt>
                <c:pt idx="1664">
                  <c:v>42594</c:v>
                </c:pt>
                <c:pt idx="1665">
                  <c:v>42597</c:v>
                </c:pt>
                <c:pt idx="1666">
                  <c:v>42598</c:v>
                </c:pt>
                <c:pt idx="1667">
                  <c:v>42599</c:v>
                </c:pt>
                <c:pt idx="1668">
                  <c:v>42600</c:v>
                </c:pt>
                <c:pt idx="1669">
                  <c:v>42601</c:v>
                </c:pt>
                <c:pt idx="1670">
                  <c:v>42604</c:v>
                </c:pt>
                <c:pt idx="1671">
                  <c:v>42605</c:v>
                </c:pt>
                <c:pt idx="1672">
                  <c:v>42606</c:v>
                </c:pt>
                <c:pt idx="1673">
                  <c:v>42607</c:v>
                </c:pt>
                <c:pt idx="1674">
                  <c:v>42608</c:v>
                </c:pt>
                <c:pt idx="1675">
                  <c:v>42611</c:v>
                </c:pt>
                <c:pt idx="1676">
                  <c:v>42612</c:v>
                </c:pt>
                <c:pt idx="1677">
                  <c:v>42613</c:v>
                </c:pt>
                <c:pt idx="1678">
                  <c:v>42614</c:v>
                </c:pt>
                <c:pt idx="1679">
                  <c:v>42615</c:v>
                </c:pt>
                <c:pt idx="1680">
                  <c:v>42619</c:v>
                </c:pt>
                <c:pt idx="1681">
                  <c:v>42620</c:v>
                </c:pt>
                <c:pt idx="1682">
                  <c:v>42621</c:v>
                </c:pt>
                <c:pt idx="1683">
                  <c:v>42622</c:v>
                </c:pt>
                <c:pt idx="1684">
                  <c:v>42625</c:v>
                </c:pt>
                <c:pt idx="1685">
                  <c:v>42626</c:v>
                </c:pt>
                <c:pt idx="1686">
                  <c:v>42627</c:v>
                </c:pt>
                <c:pt idx="1687">
                  <c:v>42628</c:v>
                </c:pt>
                <c:pt idx="1688">
                  <c:v>42629</c:v>
                </c:pt>
                <c:pt idx="1689">
                  <c:v>42632</c:v>
                </c:pt>
                <c:pt idx="1690">
                  <c:v>42633</c:v>
                </c:pt>
                <c:pt idx="1691">
                  <c:v>42634</c:v>
                </c:pt>
                <c:pt idx="1692">
                  <c:v>42635</c:v>
                </c:pt>
                <c:pt idx="1693">
                  <c:v>42636</c:v>
                </c:pt>
                <c:pt idx="1694">
                  <c:v>42639</c:v>
                </c:pt>
                <c:pt idx="1695">
                  <c:v>42640</c:v>
                </c:pt>
                <c:pt idx="1696">
                  <c:v>42641</c:v>
                </c:pt>
                <c:pt idx="1697">
                  <c:v>42642</c:v>
                </c:pt>
                <c:pt idx="1698">
                  <c:v>42643</c:v>
                </c:pt>
                <c:pt idx="1699">
                  <c:v>42646</c:v>
                </c:pt>
                <c:pt idx="1700">
                  <c:v>42647</c:v>
                </c:pt>
                <c:pt idx="1701">
                  <c:v>42648</c:v>
                </c:pt>
                <c:pt idx="1702">
                  <c:v>42649</c:v>
                </c:pt>
                <c:pt idx="1703">
                  <c:v>42650</c:v>
                </c:pt>
                <c:pt idx="1704">
                  <c:v>42653</c:v>
                </c:pt>
                <c:pt idx="1705">
                  <c:v>42654</c:v>
                </c:pt>
                <c:pt idx="1706">
                  <c:v>42655</c:v>
                </c:pt>
                <c:pt idx="1707">
                  <c:v>42656</c:v>
                </c:pt>
                <c:pt idx="1708">
                  <c:v>42657</c:v>
                </c:pt>
                <c:pt idx="1709">
                  <c:v>42660</c:v>
                </c:pt>
                <c:pt idx="1710">
                  <c:v>42661</c:v>
                </c:pt>
                <c:pt idx="1711">
                  <c:v>42662</c:v>
                </c:pt>
                <c:pt idx="1712">
                  <c:v>42663</c:v>
                </c:pt>
                <c:pt idx="1713">
                  <c:v>42664</c:v>
                </c:pt>
                <c:pt idx="1714">
                  <c:v>42667</c:v>
                </c:pt>
                <c:pt idx="1715">
                  <c:v>42668</c:v>
                </c:pt>
                <c:pt idx="1716">
                  <c:v>42669</c:v>
                </c:pt>
                <c:pt idx="1717">
                  <c:v>42670</c:v>
                </c:pt>
                <c:pt idx="1718">
                  <c:v>42671</c:v>
                </c:pt>
                <c:pt idx="1719">
                  <c:v>42674</c:v>
                </c:pt>
                <c:pt idx="1720">
                  <c:v>42675</c:v>
                </c:pt>
                <c:pt idx="1721">
                  <c:v>42676</c:v>
                </c:pt>
                <c:pt idx="1722">
                  <c:v>42677</c:v>
                </c:pt>
                <c:pt idx="1723">
                  <c:v>42678</c:v>
                </c:pt>
                <c:pt idx="1724">
                  <c:v>42681</c:v>
                </c:pt>
                <c:pt idx="1725">
                  <c:v>42682</c:v>
                </c:pt>
                <c:pt idx="1726">
                  <c:v>42683</c:v>
                </c:pt>
                <c:pt idx="1727">
                  <c:v>42684</c:v>
                </c:pt>
                <c:pt idx="1728">
                  <c:v>42685</c:v>
                </c:pt>
                <c:pt idx="1729">
                  <c:v>42688</c:v>
                </c:pt>
                <c:pt idx="1730">
                  <c:v>42689</c:v>
                </c:pt>
                <c:pt idx="1731">
                  <c:v>42690</c:v>
                </c:pt>
                <c:pt idx="1732">
                  <c:v>42691</c:v>
                </c:pt>
                <c:pt idx="1733">
                  <c:v>42692</c:v>
                </c:pt>
                <c:pt idx="1734">
                  <c:v>42695</c:v>
                </c:pt>
                <c:pt idx="1735">
                  <c:v>42696</c:v>
                </c:pt>
                <c:pt idx="1736">
                  <c:v>42697</c:v>
                </c:pt>
                <c:pt idx="1737">
                  <c:v>42699</c:v>
                </c:pt>
                <c:pt idx="1738">
                  <c:v>42702</c:v>
                </c:pt>
                <c:pt idx="1739">
                  <c:v>42703</c:v>
                </c:pt>
                <c:pt idx="1740">
                  <c:v>42704</c:v>
                </c:pt>
                <c:pt idx="1741">
                  <c:v>42705</c:v>
                </c:pt>
                <c:pt idx="1742">
                  <c:v>42706</c:v>
                </c:pt>
                <c:pt idx="1743">
                  <c:v>42709</c:v>
                </c:pt>
                <c:pt idx="1744">
                  <c:v>42710</c:v>
                </c:pt>
                <c:pt idx="1745">
                  <c:v>42711</c:v>
                </c:pt>
                <c:pt idx="1746">
                  <c:v>42712</c:v>
                </c:pt>
                <c:pt idx="1747">
                  <c:v>42713</c:v>
                </c:pt>
                <c:pt idx="1748">
                  <c:v>42716</c:v>
                </c:pt>
                <c:pt idx="1749">
                  <c:v>42717</c:v>
                </c:pt>
                <c:pt idx="1750">
                  <c:v>42718</c:v>
                </c:pt>
                <c:pt idx="1751">
                  <c:v>42719</c:v>
                </c:pt>
                <c:pt idx="1752">
                  <c:v>42720</c:v>
                </c:pt>
                <c:pt idx="1753">
                  <c:v>42723</c:v>
                </c:pt>
                <c:pt idx="1754">
                  <c:v>42724</c:v>
                </c:pt>
                <c:pt idx="1755">
                  <c:v>42725</c:v>
                </c:pt>
                <c:pt idx="1756">
                  <c:v>42726</c:v>
                </c:pt>
                <c:pt idx="1757">
                  <c:v>42727</c:v>
                </c:pt>
                <c:pt idx="1758">
                  <c:v>42731</c:v>
                </c:pt>
                <c:pt idx="1759">
                  <c:v>42732</c:v>
                </c:pt>
                <c:pt idx="1760">
                  <c:v>42733</c:v>
                </c:pt>
                <c:pt idx="1761">
                  <c:v>42734</c:v>
                </c:pt>
                <c:pt idx="1762">
                  <c:v>42738</c:v>
                </c:pt>
                <c:pt idx="1763">
                  <c:v>42739</c:v>
                </c:pt>
                <c:pt idx="1764">
                  <c:v>42740</c:v>
                </c:pt>
                <c:pt idx="1765">
                  <c:v>42741</c:v>
                </c:pt>
                <c:pt idx="1766">
                  <c:v>42744</c:v>
                </c:pt>
                <c:pt idx="1767">
                  <c:v>42745</c:v>
                </c:pt>
                <c:pt idx="1768">
                  <c:v>42746</c:v>
                </c:pt>
                <c:pt idx="1769">
                  <c:v>42747</c:v>
                </c:pt>
                <c:pt idx="1770">
                  <c:v>42748</c:v>
                </c:pt>
                <c:pt idx="1771">
                  <c:v>42752</c:v>
                </c:pt>
                <c:pt idx="1772">
                  <c:v>42753</c:v>
                </c:pt>
                <c:pt idx="1773">
                  <c:v>42754</c:v>
                </c:pt>
                <c:pt idx="1774">
                  <c:v>42755</c:v>
                </c:pt>
                <c:pt idx="1775">
                  <c:v>42758</c:v>
                </c:pt>
                <c:pt idx="1776">
                  <c:v>42759</c:v>
                </c:pt>
                <c:pt idx="1777">
                  <c:v>42760</c:v>
                </c:pt>
                <c:pt idx="1778">
                  <c:v>42761</c:v>
                </c:pt>
                <c:pt idx="1779">
                  <c:v>42762</c:v>
                </c:pt>
                <c:pt idx="1780">
                  <c:v>42765</c:v>
                </c:pt>
                <c:pt idx="1781">
                  <c:v>42766</c:v>
                </c:pt>
                <c:pt idx="1782">
                  <c:v>42767</c:v>
                </c:pt>
                <c:pt idx="1783">
                  <c:v>42768</c:v>
                </c:pt>
                <c:pt idx="1784">
                  <c:v>42769</c:v>
                </c:pt>
                <c:pt idx="1785">
                  <c:v>42772</c:v>
                </c:pt>
                <c:pt idx="1786">
                  <c:v>42773</c:v>
                </c:pt>
                <c:pt idx="1787">
                  <c:v>42774</c:v>
                </c:pt>
                <c:pt idx="1788">
                  <c:v>42775</c:v>
                </c:pt>
                <c:pt idx="1789">
                  <c:v>42776</c:v>
                </c:pt>
                <c:pt idx="1790">
                  <c:v>42779</c:v>
                </c:pt>
                <c:pt idx="1791">
                  <c:v>42780</c:v>
                </c:pt>
                <c:pt idx="1792">
                  <c:v>42781</c:v>
                </c:pt>
                <c:pt idx="1793">
                  <c:v>42782</c:v>
                </c:pt>
                <c:pt idx="1794">
                  <c:v>42783</c:v>
                </c:pt>
                <c:pt idx="1795">
                  <c:v>42787</c:v>
                </c:pt>
                <c:pt idx="1796">
                  <c:v>42788</c:v>
                </c:pt>
                <c:pt idx="1797">
                  <c:v>42789</c:v>
                </c:pt>
                <c:pt idx="1798">
                  <c:v>42790</c:v>
                </c:pt>
                <c:pt idx="1799">
                  <c:v>42793</c:v>
                </c:pt>
                <c:pt idx="1800">
                  <c:v>42794</c:v>
                </c:pt>
                <c:pt idx="1801">
                  <c:v>42795</c:v>
                </c:pt>
                <c:pt idx="1802">
                  <c:v>42796</c:v>
                </c:pt>
                <c:pt idx="1803">
                  <c:v>42797</c:v>
                </c:pt>
                <c:pt idx="1804">
                  <c:v>42800</c:v>
                </c:pt>
                <c:pt idx="1805">
                  <c:v>42801</c:v>
                </c:pt>
                <c:pt idx="1806">
                  <c:v>42802</c:v>
                </c:pt>
                <c:pt idx="1807">
                  <c:v>42803</c:v>
                </c:pt>
                <c:pt idx="1808">
                  <c:v>42804</c:v>
                </c:pt>
                <c:pt idx="1809">
                  <c:v>42807</c:v>
                </c:pt>
                <c:pt idx="1810">
                  <c:v>42808</c:v>
                </c:pt>
                <c:pt idx="1811">
                  <c:v>42809</c:v>
                </c:pt>
                <c:pt idx="1812">
                  <c:v>42810</c:v>
                </c:pt>
                <c:pt idx="1813">
                  <c:v>42811</c:v>
                </c:pt>
                <c:pt idx="1814">
                  <c:v>42814</c:v>
                </c:pt>
                <c:pt idx="1815">
                  <c:v>42815</c:v>
                </c:pt>
                <c:pt idx="1816">
                  <c:v>42816</c:v>
                </c:pt>
                <c:pt idx="1817">
                  <c:v>42817</c:v>
                </c:pt>
                <c:pt idx="1818">
                  <c:v>42818</c:v>
                </c:pt>
                <c:pt idx="1819">
                  <c:v>42821</c:v>
                </c:pt>
                <c:pt idx="1820">
                  <c:v>42822</c:v>
                </c:pt>
                <c:pt idx="1821">
                  <c:v>42823</c:v>
                </c:pt>
                <c:pt idx="1822">
                  <c:v>42824</c:v>
                </c:pt>
                <c:pt idx="1823">
                  <c:v>42825</c:v>
                </c:pt>
                <c:pt idx="1824">
                  <c:v>42828</c:v>
                </c:pt>
                <c:pt idx="1825">
                  <c:v>42829</c:v>
                </c:pt>
                <c:pt idx="1826">
                  <c:v>42830</c:v>
                </c:pt>
                <c:pt idx="1827">
                  <c:v>42831</c:v>
                </c:pt>
                <c:pt idx="1828">
                  <c:v>42832</c:v>
                </c:pt>
                <c:pt idx="1829">
                  <c:v>42835</c:v>
                </c:pt>
                <c:pt idx="1830">
                  <c:v>42836</c:v>
                </c:pt>
                <c:pt idx="1831">
                  <c:v>42837</c:v>
                </c:pt>
                <c:pt idx="1832">
                  <c:v>42838</c:v>
                </c:pt>
                <c:pt idx="1833">
                  <c:v>42842</c:v>
                </c:pt>
                <c:pt idx="1834">
                  <c:v>42843</c:v>
                </c:pt>
                <c:pt idx="1835">
                  <c:v>42844</c:v>
                </c:pt>
                <c:pt idx="1836">
                  <c:v>42845</c:v>
                </c:pt>
                <c:pt idx="1837">
                  <c:v>42846</c:v>
                </c:pt>
                <c:pt idx="1838">
                  <c:v>42849</c:v>
                </c:pt>
                <c:pt idx="1839">
                  <c:v>42850</c:v>
                </c:pt>
                <c:pt idx="1840">
                  <c:v>42851</c:v>
                </c:pt>
                <c:pt idx="1841">
                  <c:v>42852</c:v>
                </c:pt>
                <c:pt idx="1842">
                  <c:v>42853</c:v>
                </c:pt>
                <c:pt idx="1843">
                  <c:v>42856</c:v>
                </c:pt>
                <c:pt idx="1844">
                  <c:v>42857</c:v>
                </c:pt>
                <c:pt idx="1845">
                  <c:v>42858</c:v>
                </c:pt>
                <c:pt idx="1846">
                  <c:v>42859</c:v>
                </c:pt>
                <c:pt idx="1847">
                  <c:v>42860</c:v>
                </c:pt>
                <c:pt idx="1848">
                  <c:v>42863</c:v>
                </c:pt>
                <c:pt idx="1849">
                  <c:v>42864</c:v>
                </c:pt>
                <c:pt idx="1850">
                  <c:v>42865</c:v>
                </c:pt>
                <c:pt idx="1851">
                  <c:v>42866</c:v>
                </c:pt>
                <c:pt idx="1852">
                  <c:v>42867</c:v>
                </c:pt>
                <c:pt idx="1853">
                  <c:v>42870</c:v>
                </c:pt>
                <c:pt idx="1854">
                  <c:v>42871</c:v>
                </c:pt>
                <c:pt idx="1855">
                  <c:v>42872</c:v>
                </c:pt>
                <c:pt idx="1856">
                  <c:v>42873</c:v>
                </c:pt>
                <c:pt idx="1857">
                  <c:v>42874</c:v>
                </c:pt>
                <c:pt idx="1858">
                  <c:v>42877</c:v>
                </c:pt>
                <c:pt idx="1859">
                  <c:v>42878</c:v>
                </c:pt>
                <c:pt idx="1860">
                  <c:v>42879</c:v>
                </c:pt>
                <c:pt idx="1861">
                  <c:v>42880</c:v>
                </c:pt>
                <c:pt idx="1862">
                  <c:v>42881</c:v>
                </c:pt>
                <c:pt idx="1863">
                  <c:v>42885</c:v>
                </c:pt>
                <c:pt idx="1864">
                  <c:v>42886</c:v>
                </c:pt>
                <c:pt idx="1865">
                  <c:v>42887</c:v>
                </c:pt>
                <c:pt idx="1866">
                  <c:v>42888</c:v>
                </c:pt>
                <c:pt idx="1867">
                  <c:v>42891</c:v>
                </c:pt>
                <c:pt idx="1868">
                  <c:v>42892</c:v>
                </c:pt>
                <c:pt idx="1869">
                  <c:v>42893</c:v>
                </c:pt>
                <c:pt idx="1870">
                  <c:v>42894</c:v>
                </c:pt>
                <c:pt idx="1871">
                  <c:v>42895</c:v>
                </c:pt>
                <c:pt idx="1872">
                  <c:v>42898</c:v>
                </c:pt>
                <c:pt idx="1873">
                  <c:v>42899</c:v>
                </c:pt>
                <c:pt idx="1874">
                  <c:v>42900</c:v>
                </c:pt>
                <c:pt idx="1875">
                  <c:v>42901</c:v>
                </c:pt>
                <c:pt idx="1876">
                  <c:v>42902</c:v>
                </c:pt>
                <c:pt idx="1877">
                  <c:v>42905</c:v>
                </c:pt>
                <c:pt idx="1878">
                  <c:v>42906</c:v>
                </c:pt>
                <c:pt idx="1879">
                  <c:v>42907</c:v>
                </c:pt>
                <c:pt idx="1880">
                  <c:v>42908</c:v>
                </c:pt>
                <c:pt idx="1881">
                  <c:v>42909</c:v>
                </c:pt>
                <c:pt idx="1882">
                  <c:v>42912</c:v>
                </c:pt>
                <c:pt idx="1883">
                  <c:v>42913</c:v>
                </c:pt>
                <c:pt idx="1884">
                  <c:v>42914</c:v>
                </c:pt>
                <c:pt idx="1885">
                  <c:v>42915</c:v>
                </c:pt>
                <c:pt idx="1886">
                  <c:v>42916</c:v>
                </c:pt>
                <c:pt idx="1887">
                  <c:v>42919</c:v>
                </c:pt>
                <c:pt idx="1888">
                  <c:v>42921</c:v>
                </c:pt>
                <c:pt idx="1889">
                  <c:v>42922</c:v>
                </c:pt>
                <c:pt idx="1890">
                  <c:v>42923</c:v>
                </c:pt>
                <c:pt idx="1891">
                  <c:v>42926</c:v>
                </c:pt>
                <c:pt idx="1892">
                  <c:v>42927</c:v>
                </c:pt>
                <c:pt idx="1893">
                  <c:v>42928</c:v>
                </c:pt>
                <c:pt idx="1894">
                  <c:v>42929</c:v>
                </c:pt>
                <c:pt idx="1895">
                  <c:v>42930</c:v>
                </c:pt>
                <c:pt idx="1896">
                  <c:v>42933</c:v>
                </c:pt>
                <c:pt idx="1897">
                  <c:v>42934</c:v>
                </c:pt>
                <c:pt idx="1898">
                  <c:v>42935</c:v>
                </c:pt>
                <c:pt idx="1899">
                  <c:v>42936</c:v>
                </c:pt>
                <c:pt idx="1900">
                  <c:v>42937</c:v>
                </c:pt>
                <c:pt idx="1901">
                  <c:v>42940</c:v>
                </c:pt>
                <c:pt idx="1902">
                  <c:v>42941</c:v>
                </c:pt>
                <c:pt idx="1903">
                  <c:v>42942</c:v>
                </c:pt>
                <c:pt idx="1904">
                  <c:v>42943</c:v>
                </c:pt>
                <c:pt idx="1905">
                  <c:v>42944</c:v>
                </c:pt>
                <c:pt idx="1906">
                  <c:v>42947</c:v>
                </c:pt>
                <c:pt idx="1907">
                  <c:v>42948</c:v>
                </c:pt>
                <c:pt idx="1908">
                  <c:v>42949</c:v>
                </c:pt>
                <c:pt idx="1909">
                  <c:v>42950</c:v>
                </c:pt>
                <c:pt idx="1910">
                  <c:v>42951</c:v>
                </c:pt>
                <c:pt idx="1911">
                  <c:v>42954</c:v>
                </c:pt>
                <c:pt idx="1912">
                  <c:v>42955</c:v>
                </c:pt>
                <c:pt idx="1913">
                  <c:v>42956</c:v>
                </c:pt>
                <c:pt idx="1914">
                  <c:v>42957</c:v>
                </c:pt>
                <c:pt idx="1915">
                  <c:v>42958</c:v>
                </c:pt>
                <c:pt idx="1916">
                  <c:v>42961</c:v>
                </c:pt>
                <c:pt idx="1917">
                  <c:v>42962</c:v>
                </c:pt>
                <c:pt idx="1918">
                  <c:v>42963</c:v>
                </c:pt>
                <c:pt idx="1919">
                  <c:v>42964</c:v>
                </c:pt>
                <c:pt idx="1920">
                  <c:v>42965</c:v>
                </c:pt>
                <c:pt idx="1921">
                  <c:v>42968</c:v>
                </c:pt>
                <c:pt idx="1922">
                  <c:v>42969</c:v>
                </c:pt>
                <c:pt idx="1923">
                  <c:v>42970</c:v>
                </c:pt>
                <c:pt idx="1924">
                  <c:v>42971</c:v>
                </c:pt>
                <c:pt idx="1925">
                  <c:v>42972</c:v>
                </c:pt>
                <c:pt idx="1926">
                  <c:v>42975</c:v>
                </c:pt>
                <c:pt idx="1927">
                  <c:v>42976</c:v>
                </c:pt>
                <c:pt idx="1928">
                  <c:v>42977</c:v>
                </c:pt>
                <c:pt idx="1929">
                  <c:v>42978</c:v>
                </c:pt>
                <c:pt idx="1930">
                  <c:v>42979</c:v>
                </c:pt>
                <c:pt idx="1931">
                  <c:v>42983</c:v>
                </c:pt>
                <c:pt idx="1932">
                  <c:v>42984</c:v>
                </c:pt>
                <c:pt idx="1933">
                  <c:v>42985</c:v>
                </c:pt>
                <c:pt idx="1934">
                  <c:v>42986</c:v>
                </c:pt>
                <c:pt idx="1935">
                  <c:v>42989</c:v>
                </c:pt>
                <c:pt idx="1936">
                  <c:v>42990</c:v>
                </c:pt>
                <c:pt idx="1937">
                  <c:v>42991</c:v>
                </c:pt>
                <c:pt idx="1938">
                  <c:v>42992</c:v>
                </c:pt>
                <c:pt idx="1939">
                  <c:v>42993</c:v>
                </c:pt>
                <c:pt idx="1940">
                  <c:v>42996</c:v>
                </c:pt>
                <c:pt idx="1941">
                  <c:v>42997</c:v>
                </c:pt>
                <c:pt idx="1942">
                  <c:v>42998</c:v>
                </c:pt>
                <c:pt idx="1943">
                  <c:v>42999</c:v>
                </c:pt>
                <c:pt idx="1944">
                  <c:v>43000</c:v>
                </c:pt>
                <c:pt idx="1945">
                  <c:v>43003</c:v>
                </c:pt>
                <c:pt idx="1946">
                  <c:v>43004</c:v>
                </c:pt>
                <c:pt idx="1947">
                  <c:v>43005</c:v>
                </c:pt>
                <c:pt idx="1948">
                  <c:v>43006</c:v>
                </c:pt>
                <c:pt idx="1949">
                  <c:v>43007</c:v>
                </c:pt>
                <c:pt idx="1950">
                  <c:v>43010</c:v>
                </c:pt>
                <c:pt idx="1951">
                  <c:v>43011</c:v>
                </c:pt>
                <c:pt idx="1952">
                  <c:v>43012</c:v>
                </c:pt>
                <c:pt idx="1953">
                  <c:v>43013</c:v>
                </c:pt>
                <c:pt idx="1954">
                  <c:v>43014</c:v>
                </c:pt>
                <c:pt idx="1955">
                  <c:v>43017</c:v>
                </c:pt>
                <c:pt idx="1956">
                  <c:v>43018</c:v>
                </c:pt>
                <c:pt idx="1957">
                  <c:v>43019</c:v>
                </c:pt>
                <c:pt idx="1958">
                  <c:v>43020</c:v>
                </c:pt>
                <c:pt idx="1959">
                  <c:v>43021</c:v>
                </c:pt>
                <c:pt idx="1960">
                  <c:v>43024</c:v>
                </c:pt>
                <c:pt idx="1961">
                  <c:v>43025</c:v>
                </c:pt>
                <c:pt idx="1962">
                  <c:v>43026</c:v>
                </c:pt>
                <c:pt idx="1963">
                  <c:v>43027</c:v>
                </c:pt>
                <c:pt idx="1964">
                  <c:v>43028</c:v>
                </c:pt>
                <c:pt idx="1965">
                  <c:v>43031</c:v>
                </c:pt>
                <c:pt idx="1966">
                  <c:v>43032</c:v>
                </c:pt>
                <c:pt idx="1967">
                  <c:v>43033</c:v>
                </c:pt>
                <c:pt idx="1968">
                  <c:v>43034</c:v>
                </c:pt>
                <c:pt idx="1969">
                  <c:v>43035</c:v>
                </c:pt>
                <c:pt idx="1970">
                  <c:v>43038</c:v>
                </c:pt>
                <c:pt idx="1971">
                  <c:v>43039</c:v>
                </c:pt>
                <c:pt idx="1972">
                  <c:v>43040</c:v>
                </c:pt>
                <c:pt idx="1973">
                  <c:v>43041</c:v>
                </c:pt>
                <c:pt idx="1974">
                  <c:v>43042</c:v>
                </c:pt>
                <c:pt idx="1975">
                  <c:v>43045</c:v>
                </c:pt>
                <c:pt idx="1976">
                  <c:v>43046</c:v>
                </c:pt>
                <c:pt idx="1977">
                  <c:v>43047</c:v>
                </c:pt>
                <c:pt idx="1978">
                  <c:v>43048</c:v>
                </c:pt>
                <c:pt idx="1979">
                  <c:v>43049</c:v>
                </c:pt>
                <c:pt idx="1980">
                  <c:v>43052</c:v>
                </c:pt>
                <c:pt idx="1981">
                  <c:v>43053</c:v>
                </c:pt>
                <c:pt idx="1982">
                  <c:v>43054</c:v>
                </c:pt>
                <c:pt idx="1983">
                  <c:v>43055</c:v>
                </c:pt>
                <c:pt idx="1984">
                  <c:v>43056</c:v>
                </c:pt>
                <c:pt idx="1985">
                  <c:v>43059</c:v>
                </c:pt>
                <c:pt idx="1986">
                  <c:v>43060</c:v>
                </c:pt>
                <c:pt idx="1987">
                  <c:v>43061</c:v>
                </c:pt>
                <c:pt idx="1988">
                  <c:v>43063</c:v>
                </c:pt>
                <c:pt idx="1989">
                  <c:v>43066</c:v>
                </c:pt>
                <c:pt idx="1990">
                  <c:v>43067</c:v>
                </c:pt>
                <c:pt idx="1991">
                  <c:v>43068</c:v>
                </c:pt>
                <c:pt idx="1992">
                  <c:v>43069</c:v>
                </c:pt>
                <c:pt idx="1993">
                  <c:v>43070</c:v>
                </c:pt>
                <c:pt idx="1994">
                  <c:v>43073</c:v>
                </c:pt>
                <c:pt idx="1995">
                  <c:v>43074</c:v>
                </c:pt>
                <c:pt idx="1996">
                  <c:v>43075</c:v>
                </c:pt>
                <c:pt idx="1997">
                  <c:v>43076</c:v>
                </c:pt>
                <c:pt idx="1998">
                  <c:v>43077</c:v>
                </c:pt>
                <c:pt idx="1999">
                  <c:v>43080</c:v>
                </c:pt>
                <c:pt idx="2000">
                  <c:v>43081</c:v>
                </c:pt>
                <c:pt idx="2001">
                  <c:v>43082</c:v>
                </c:pt>
                <c:pt idx="2002">
                  <c:v>43083</c:v>
                </c:pt>
                <c:pt idx="2003">
                  <c:v>43084</c:v>
                </c:pt>
                <c:pt idx="2004">
                  <c:v>43087</c:v>
                </c:pt>
                <c:pt idx="2005">
                  <c:v>43088</c:v>
                </c:pt>
                <c:pt idx="2006">
                  <c:v>43089</c:v>
                </c:pt>
                <c:pt idx="2007">
                  <c:v>43090</c:v>
                </c:pt>
                <c:pt idx="2008">
                  <c:v>43091</c:v>
                </c:pt>
                <c:pt idx="2009">
                  <c:v>43095</c:v>
                </c:pt>
                <c:pt idx="2010">
                  <c:v>43096</c:v>
                </c:pt>
                <c:pt idx="2011">
                  <c:v>43097</c:v>
                </c:pt>
                <c:pt idx="2012">
                  <c:v>43098</c:v>
                </c:pt>
                <c:pt idx="2013">
                  <c:v>43102</c:v>
                </c:pt>
                <c:pt idx="2014">
                  <c:v>43103</c:v>
                </c:pt>
                <c:pt idx="2015">
                  <c:v>43104</c:v>
                </c:pt>
                <c:pt idx="2016">
                  <c:v>43105</c:v>
                </c:pt>
                <c:pt idx="2017">
                  <c:v>43108</c:v>
                </c:pt>
                <c:pt idx="2018">
                  <c:v>43109</c:v>
                </c:pt>
                <c:pt idx="2019">
                  <c:v>43110</c:v>
                </c:pt>
                <c:pt idx="2020">
                  <c:v>43111</c:v>
                </c:pt>
                <c:pt idx="2021">
                  <c:v>43112</c:v>
                </c:pt>
                <c:pt idx="2022">
                  <c:v>43116</c:v>
                </c:pt>
                <c:pt idx="2023">
                  <c:v>43117</c:v>
                </c:pt>
                <c:pt idx="2024">
                  <c:v>43118</c:v>
                </c:pt>
                <c:pt idx="2025">
                  <c:v>43119</c:v>
                </c:pt>
                <c:pt idx="2026">
                  <c:v>43122</c:v>
                </c:pt>
                <c:pt idx="2027">
                  <c:v>43123</c:v>
                </c:pt>
                <c:pt idx="2028">
                  <c:v>43124</c:v>
                </c:pt>
                <c:pt idx="2029">
                  <c:v>43125</c:v>
                </c:pt>
                <c:pt idx="2030">
                  <c:v>43126</c:v>
                </c:pt>
                <c:pt idx="2031">
                  <c:v>43129</c:v>
                </c:pt>
                <c:pt idx="2032">
                  <c:v>43130</c:v>
                </c:pt>
                <c:pt idx="2033">
                  <c:v>43131</c:v>
                </c:pt>
                <c:pt idx="2034">
                  <c:v>43132</c:v>
                </c:pt>
                <c:pt idx="2035">
                  <c:v>43133</c:v>
                </c:pt>
                <c:pt idx="2036">
                  <c:v>43136</c:v>
                </c:pt>
                <c:pt idx="2037">
                  <c:v>43137</c:v>
                </c:pt>
                <c:pt idx="2038">
                  <c:v>43138</c:v>
                </c:pt>
                <c:pt idx="2039">
                  <c:v>43139</c:v>
                </c:pt>
                <c:pt idx="2040">
                  <c:v>43140</c:v>
                </c:pt>
                <c:pt idx="2041">
                  <c:v>43143</c:v>
                </c:pt>
                <c:pt idx="2042">
                  <c:v>43144</c:v>
                </c:pt>
                <c:pt idx="2043">
                  <c:v>43145</c:v>
                </c:pt>
                <c:pt idx="2044">
                  <c:v>43146</c:v>
                </c:pt>
                <c:pt idx="2045">
                  <c:v>43147</c:v>
                </c:pt>
                <c:pt idx="2046">
                  <c:v>43151</c:v>
                </c:pt>
                <c:pt idx="2047">
                  <c:v>43152</c:v>
                </c:pt>
                <c:pt idx="2048">
                  <c:v>43153</c:v>
                </c:pt>
                <c:pt idx="2049">
                  <c:v>43154</c:v>
                </c:pt>
                <c:pt idx="2050">
                  <c:v>43157</c:v>
                </c:pt>
                <c:pt idx="2051">
                  <c:v>43158</c:v>
                </c:pt>
                <c:pt idx="2052">
                  <c:v>43159</c:v>
                </c:pt>
                <c:pt idx="2053">
                  <c:v>43160</c:v>
                </c:pt>
                <c:pt idx="2054">
                  <c:v>43161</c:v>
                </c:pt>
                <c:pt idx="2055">
                  <c:v>43164</c:v>
                </c:pt>
                <c:pt idx="2056">
                  <c:v>43165</c:v>
                </c:pt>
                <c:pt idx="2057">
                  <c:v>43166</c:v>
                </c:pt>
                <c:pt idx="2058">
                  <c:v>43167</c:v>
                </c:pt>
                <c:pt idx="2059">
                  <c:v>43168</c:v>
                </c:pt>
                <c:pt idx="2060">
                  <c:v>43171</c:v>
                </c:pt>
                <c:pt idx="2061">
                  <c:v>43172</c:v>
                </c:pt>
                <c:pt idx="2062">
                  <c:v>43173</c:v>
                </c:pt>
                <c:pt idx="2063">
                  <c:v>43174</c:v>
                </c:pt>
                <c:pt idx="2064">
                  <c:v>43175</c:v>
                </c:pt>
                <c:pt idx="2065">
                  <c:v>43178</c:v>
                </c:pt>
                <c:pt idx="2066">
                  <c:v>43179</c:v>
                </c:pt>
                <c:pt idx="2067">
                  <c:v>43180</c:v>
                </c:pt>
                <c:pt idx="2068">
                  <c:v>43181</c:v>
                </c:pt>
                <c:pt idx="2069">
                  <c:v>43182</c:v>
                </c:pt>
                <c:pt idx="2070">
                  <c:v>43185</c:v>
                </c:pt>
                <c:pt idx="2071">
                  <c:v>43186</c:v>
                </c:pt>
                <c:pt idx="2072">
                  <c:v>43187</c:v>
                </c:pt>
                <c:pt idx="2073">
                  <c:v>43188</c:v>
                </c:pt>
                <c:pt idx="2074">
                  <c:v>43192</c:v>
                </c:pt>
                <c:pt idx="2075">
                  <c:v>43193</c:v>
                </c:pt>
                <c:pt idx="2076">
                  <c:v>43194</c:v>
                </c:pt>
                <c:pt idx="2077">
                  <c:v>43195</c:v>
                </c:pt>
                <c:pt idx="2078">
                  <c:v>43196</c:v>
                </c:pt>
                <c:pt idx="2079">
                  <c:v>43199</c:v>
                </c:pt>
                <c:pt idx="2080">
                  <c:v>43200</c:v>
                </c:pt>
                <c:pt idx="2081">
                  <c:v>43201</c:v>
                </c:pt>
                <c:pt idx="2082">
                  <c:v>43202</c:v>
                </c:pt>
                <c:pt idx="2083">
                  <c:v>43203</c:v>
                </c:pt>
                <c:pt idx="2084">
                  <c:v>43206</c:v>
                </c:pt>
                <c:pt idx="2085">
                  <c:v>43207</c:v>
                </c:pt>
                <c:pt idx="2086">
                  <c:v>43208</c:v>
                </c:pt>
                <c:pt idx="2087">
                  <c:v>43209</c:v>
                </c:pt>
                <c:pt idx="2088">
                  <c:v>43210</c:v>
                </c:pt>
                <c:pt idx="2089">
                  <c:v>43213</c:v>
                </c:pt>
                <c:pt idx="2090">
                  <c:v>43214</c:v>
                </c:pt>
                <c:pt idx="2091">
                  <c:v>43215</c:v>
                </c:pt>
                <c:pt idx="2092">
                  <c:v>43216</c:v>
                </c:pt>
                <c:pt idx="2093">
                  <c:v>43217</c:v>
                </c:pt>
                <c:pt idx="2094">
                  <c:v>43220</c:v>
                </c:pt>
                <c:pt idx="2095">
                  <c:v>43221</c:v>
                </c:pt>
                <c:pt idx="2096">
                  <c:v>43222</c:v>
                </c:pt>
                <c:pt idx="2097">
                  <c:v>43223</c:v>
                </c:pt>
                <c:pt idx="2098">
                  <c:v>43224</c:v>
                </c:pt>
                <c:pt idx="2099">
                  <c:v>43227</c:v>
                </c:pt>
                <c:pt idx="2100">
                  <c:v>43228</c:v>
                </c:pt>
                <c:pt idx="2101">
                  <c:v>43229</c:v>
                </c:pt>
                <c:pt idx="2102">
                  <c:v>43230</c:v>
                </c:pt>
                <c:pt idx="2103">
                  <c:v>43231</c:v>
                </c:pt>
                <c:pt idx="2104">
                  <c:v>43234</c:v>
                </c:pt>
                <c:pt idx="2105">
                  <c:v>43235</c:v>
                </c:pt>
                <c:pt idx="2106">
                  <c:v>43236</c:v>
                </c:pt>
                <c:pt idx="2107">
                  <c:v>43237</c:v>
                </c:pt>
                <c:pt idx="2108">
                  <c:v>43238</c:v>
                </c:pt>
                <c:pt idx="2109">
                  <c:v>43241</c:v>
                </c:pt>
                <c:pt idx="2110">
                  <c:v>43242</c:v>
                </c:pt>
                <c:pt idx="2111">
                  <c:v>43243</c:v>
                </c:pt>
                <c:pt idx="2112">
                  <c:v>43244</c:v>
                </c:pt>
                <c:pt idx="2113">
                  <c:v>43245</c:v>
                </c:pt>
                <c:pt idx="2114">
                  <c:v>43249</c:v>
                </c:pt>
                <c:pt idx="2115">
                  <c:v>43250</c:v>
                </c:pt>
                <c:pt idx="2116">
                  <c:v>43251</c:v>
                </c:pt>
                <c:pt idx="2117">
                  <c:v>43252</c:v>
                </c:pt>
                <c:pt idx="2118">
                  <c:v>43255</c:v>
                </c:pt>
                <c:pt idx="2119">
                  <c:v>43256</c:v>
                </c:pt>
                <c:pt idx="2120">
                  <c:v>43257</c:v>
                </c:pt>
                <c:pt idx="2121">
                  <c:v>43258</c:v>
                </c:pt>
                <c:pt idx="2122">
                  <c:v>43259</c:v>
                </c:pt>
                <c:pt idx="2123">
                  <c:v>43262</c:v>
                </c:pt>
                <c:pt idx="2124">
                  <c:v>43263</c:v>
                </c:pt>
                <c:pt idx="2125">
                  <c:v>43264</c:v>
                </c:pt>
                <c:pt idx="2126">
                  <c:v>43265</c:v>
                </c:pt>
                <c:pt idx="2127">
                  <c:v>43266</c:v>
                </c:pt>
                <c:pt idx="2128">
                  <c:v>43269</c:v>
                </c:pt>
                <c:pt idx="2129">
                  <c:v>43270</c:v>
                </c:pt>
                <c:pt idx="2130">
                  <c:v>43271</c:v>
                </c:pt>
                <c:pt idx="2131">
                  <c:v>43272</c:v>
                </c:pt>
                <c:pt idx="2132">
                  <c:v>43273</c:v>
                </c:pt>
                <c:pt idx="2133">
                  <c:v>43276</c:v>
                </c:pt>
                <c:pt idx="2134">
                  <c:v>43277</c:v>
                </c:pt>
                <c:pt idx="2135">
                  <c:v>43278</c:v>
                </c:pt>
                <c:pt idx="2136">
                  <c:v>43279</c:v>
                </c:pt>
                <c:pt idx="2137">
                  <c:v>43280</c:v>
                </c:pt>
                <c:pt idx="2138">
                  <c:v>43283</c:v>
                </c:pt>
                <c:pt idx="2139">
                  <c:v>43284</c:v>
                </c:pt>
                <c:pt idx="2140">
                  <c:v>43286</c:v>
                </c:pt>
                <c:pt idx="2141">
                  <c:v>43287</c:v>
                </c:pt>
                <c:pt idx="2142">
                  <c:v>43290</c:v>
                </c:pt>
                <c:pt idx="2143">
                  <c:v>43291</c:v>
                </c:pt>
                <c:pt idx="2144">
                  <c:v>43292</c:v>
                </c:pt>
                <c:pt idx="2145">
                  <c:v>43293</c:v>
                </c:pt>
                <c:pt idx="2146">
                  <c:v>43294</c:v>
                </c:pt>
                <c:pt idx="2147">
                  <c:v>43297</c:v>
                </c:pt>
                <c:pt idx="2148">
                  <c:v>43298</c:v>
                </c:pt>
                <c:pt idx="2149">
                  <c:v>43299</c:v>
                </c:pt>
                <c:pt idx="2150">
                  <c:v>43300</c:v>
                </c:pt>
                <c:pt idx="2151">
                  <c:v>43301</c:v>
                </c:pt>
                <c:pt idx="2152">
                  <c:v>43304</c:v>
                </c:pt>
                <c:pt idx="2153">
                  <c:v>43305</c:v>
                </c:pt>
                <c:pt idx="2154">
                  <c:v>43306</c:v>
                </c:pt>
                <c:pt idx="2155">
                  <c:v>43307</c:v>
                </c:pt>
                <c:pt idx="2156">
                  <c:v>43308</c:v>
                </c:pt>
                <c:pt idx="2157">
                  <c:v>43311</c:v>
                </c:pt>
                <c:pt idx="2158">
                  <c:v>43312</c:v>
                </c:pt>
                <c:pt idx="2159">
                  <c:v>43313</c:v>
                </c:pt>
                <c:pt idx="2160">
                  <c:v>43314</c:v>
                </c:pt>
                <c:pt idx="2161">
                  <c:v>43315</c:v>
                </c:pt>
                <c:pt idx="2162">
                  <c:v>43318</c:v>
                </c:pt>
                <c:pt idx="2163">
                  <c:v>43319</c:v>
                </c:pt>
                <c:pt idx="2164">
                  <c:v>43320</c:v>
                </c:pt>
                <c:pt idx="2165">
                  <c:v>43321</c:v>
                </c:pt>
                <c:pt idx="2166">
                  <c:v>43322</c:v>
                </c:pt>
                <c:pt idx="2167">
                  <c:v>43325</c:v>
                </c:pt>
                <c:pt idx="2168">
                  <c:v>43326</c:v>
                </c:pt>
                <c:pt idx="2169">
                  <c:v>43327</c:v>
                </c:pt>
                <c:pt idx="2170">
                  <c:v>43328</c:v>
                </c:pt>
                <c:pt idx="2171">
                  <c:v>43329</c:v>
                </c:pt>
                <c:pt idx="2172">
                  <c:v>43332</c:v>
                </c:pt>
                <c:pt idx="2173">
                  <c:v>43333</c:v>
                </c:pt>
                <c:pt idx="2174">
                  <c:v>43334</c:v>
                </c:pt>
                <c:pt idx="2175">
                  <c:v>43335</c:v>
                </c:pt>
                <c:pt idx="2176">
                  <c:v>43336</c:v>
                </c:pt>
                <c:pt idx="2177">
                  <c:v>43339</c:v>
                </c:pt>
                <c:pt idx="2178">
                  <c:v>43340</c:v>
                </c:pt>
                <c:pt idx="2179">
                  <c:v>43341</c:v>
                </c:pt>
                <c:pt idx="2180">
                  <c:v>43342</c:v>
                </c:pt>
                <c:pt idx="2181">
                  <c:v>43343</c:v>
                </c:pt>
                <c:pt idx="2182">
                  <c:v>43347</c:v>
                </c:pt>
                <c:pt idx="2183">
                  <c:v>43348</c:v>
                </c:pt>
                <c:pt idx="2184">
                  <c:v>43349</c:v>
                </c:pt>
                <c:pt idx="2185">
                  <c:v>43350</c:v>
                </c:pt>
                <c:pt idx="2186">
                  <c:v>43353</c:v>
                </c:pt>
                <c:pt idx="2187">
                  <c:v>43354</c:v>
                </c:pt>
                <c:pt idx="2188">
                  <c:v>43355</c:v>
                </c:pt>
                <c:pt idx="2189">
                  <c:v>43356</c:v>
                </c:pt>
                <c:pt idx="2190">
                  <c:v>43357</c:v>
                </c:pt>
                <c:pt idx="2191">
                  <c:v>43360</c:v>
                </c:pt>
                <c:pt idx="2192">
                  <c:v>43361</c:v>
                </c:pt>
                <c:pt idx="2193">
                  <c:v>43362</c:v>
                </c:pt>
                <c:pt idx="2194">
                  <c:v>43363</c:v>
                </c:pt>
                <c:pt idx="2195">
                  <c:v>43364</c:v>
                </c:pt>
                <c:pt idx="2196">
                  <c:v>43367</c:v>
                </c:pt>
                <c:pt idx="2197">
                  <c:v>43368</c:v>
                </c:pt>
                <c:pt idx="2198">
                  <c:v>43369</c:v>
                </c:pt>
                <c:pt idx="2199">
                  <c:v>43370</c:v>
                </c:pt>
                <c:pt idx="2200">
                  <c:v>43371</c:v>
                </c:pt>
                <c:pt idx="2201">
                  <c:v>43374</c:v>
                </c:pt>
                <c:pt idx="2202">
                  <c:v>43375</c:v>
                </c:pt>
                <c:pt idx="2203">
                  <c:v>43376</c:v>
                </c:pt>
                <c:pt idx="2204">
                  <c:v>43377</c:v>
                </c:pt>
                <c:pt idx="2205">
                  <c:v>43378</c:v>
                </c:pt>
                <c:pt idx="2206">
                  <c:v>43381</c:v>
                </c:pt>
                <c:pt idx="2207">
                  <c:v>43382</c:v>
                </c:pt>
                <c:pt idx="2208">
                  <c:v>43383</c:v>
                </c:pt>
                <c:pt idx="2209">
                  <c:v>43384</c:v>
                </c:pt>
                <c:pt idx="2210">
                  <c:v>43385</c:v>
                </c:pt>
                <c:pt idx="2211">
                  <c:v>43388</c:v>
                </c:pt>
                <c:pt idx="2212">
                  <c:v>43389</c:v>
                </c:pt>
                <c:pt idx="2213">
                  <c:v>43390</c:v>
                </c:pt>
                <c:pt idx="2214">
                  <c:v>43391</c:v>
                </c:pt>
                <c:pt idx="2215">
                  <c:v>43392</c:v>
                </c:pt>
                <c:pt idx="2216">
                  <c:v>43395</c:v>
                </c:pt>
                <c:pt idx="2217">
                  <c:v>43396</c:v>
                </c:pt>
                <c:pt idx="2218">
                  <c:v>43397</c:v>
                </c:pt>
                <c:pt idx="2219">
                  <c:v>43398</c:v>
                </c:pt>
                <c:pt idx="2220">
                  <c:v>43399</c:v>
                </c:pt>
                <c:pt idx="2221">
                  <c:v>43402</c:v>
                </c:pt>
                <c:pt idx="2222">
                  <c:v>43403</c:v>
                </c:pt>
                <c:pt idx="2223">
                  <c:v>43404</c:v>
                </c:pt>
                <c:pt idx="2224">
                  <c:v>43405</c:v>
                </c:pt>
                <c:pt idx="2225">
                  <c:v>43406</c:v>
                </c:pt>
                <c:pt idx="2226">
                  <c:v>43409</c:v>
                </c:pt>
                <c:pt idx="2227">
                  <c:v>43410</c:v>
                </c:pt>
                <c:pt idx="2228">
                  <c:v>43411</c:v>
                </c:pt>
                <c:pt idx="2229">
                  <c:v>43412</c:v>
                </c:pt>
                <c:pt idx="2230">
                  <c:v>43413</c:v>
                </c:pt>
                <c:pt idx="2231">
                  <c:v>43416</c:v>
                </c:pt>
                <c:pt idx="2232">
                  <c:v>43417</c:v>
                </c:pt>
                <c:pt idx="2233">
                  <c:v>43418</c:v>
                </c:pt>
                <c:pt idx="2234">
                  <c:v>43419</c:v>
                </c:pt>
                <c:pt idx="2235">
                  <c:v>43420</c:v>
                </c:pt>
                <c:pt idx="2236">
                  <c:v>43423</c:v>
                </c:pt>
                <c:pt idx="2237">
                  <c:v>43424</c:v>
                </c:pt>
                <c:pt idx="2238">
                  <c:v>43425</c:v>
                </c:pt>
                <c:pt idx="2239">
                  <c:v>43427</c:v>
                </c:pt>
                <c:pt idx="2240">
                  <c:v>43430</c:v>
                </c:pt>
                <c:pt idx="2241">
                  <c:v>43431</c:v>
                </c:pt>
                <c:pt idx="2242">
                  <c:v>43432</c:v>
                </c:pt>
                <c:pt idx="2243">
                  <c:v>43433</c:v>
                </c:pt>
                <c:pt idx="2244">
                  <c:v>43434</c:v>
                </c:pt>
                <c:pt idx="2245">
                  <c:v>43437</c:v>
                </c:pt>
                <c:pt idx="2246">
                  <c:v>43438</c:v>
                </c:pt>
                <c:pt idx="2247">
                  <c:v>43440</c:v>
                </c:pt>
                <c:pt idx="2248">
                  <c:v>43441</c:v>
                </c:pt>
                <c:pt idx="2249">
                  <c:v>43444</c:v>
                </c:pt>
                <c:pt idx="2250">
                  <c:v>43445</c:v>
                </c:pt>
                <c:pt idx="2251">
                  <c:v>43446</c:v>
                </c:pt>
                <c:pt idx="2252">
                  <c:v>43447</c:v>
                </c:pt>
                <c:pt idx="2253">
                  <c:v>43448</c:v>
                </c:pt>
                <c:pt idx="2254">
                  <c:v>43451</c:v>
                </c:pt>
                <c:pt idx="2255">
                  <c:v>43452</c:v>
                </c:pt>
                <c:pt idx="2256">
                  <c:v>43453</c:v>
                </c:pt>
                <c:pt idx="2257">
                  <c:v>43454</c:v>
                </c:pt>
                <c:pt idx="2258">
                  <c:v>43455</c:v>
                </c:pt>
                <c:pt idx="2259">
                  <c:v>43458</c:v>
                </c:pt>
                <c:pt idx="2260">
                  <c:v>43460</c:v>
                </c:pt>
                <c:pt idx="2261">
                  <c:v>43461</c:v>
                </c:pt>
                <c:pt idx="2262">
                  <c:v>43462</c:v>
                </c:pt>
                <c:pt idx="2263">
                  <c:v>43465</c:v>
                </c:pt>
                <c:pt idx="2264">
                  <c:v>43467</c:v>
                </c:pt>
                <c:pt idx="2265">
                  <c:v>43468</c:v>
                </c:pt>
                <c:pt idx="2266">
                  <c:v>43469</c:v>
                </c:pt>
                <c:pt idx="2267">
                  <c:v>43472</c:v>
                </c:pt>
                <c:pt idx="2268">
                  <c:v>43473</c:v>
                </c:pt>
                <c:pt idx="2269">
                  <c:v>43474</c:v>
                </c:pt>
                <c:pt idx="2270">
                  <c:v>43475</c:v>
                </c:pt>
                <c:pt idx="2271">
                  <c:v>43476</c:v>
                </c:pt>
                <c:pt idx="2272">
                  <c:v>43479</c:v>
                </c:pt>
                <c:pt idx="2273">
                  <c:v>43480</c:v>
                </c:pt>
                <c:pt idx="2274">
                  <c:v>43481</c:v>
                </c:pt>
                <c:pt idx="2275">
                  <c:v>43482</c:v>
                </c:pt>
                <c:pt idx="2276">
                  <c:v>43483</c:v>
                </c:pt>
                <c:pt idx="2277">
                  <c:v>43487</c:v>
                </c:pt>
                <c:pt idx="2278">
                  <c:v>43488</c:v>
                </c:pt>
                <c:pt idx="2279">
                  <c:v>43489</c:v>
                </c:pt>
                <c:pt idx="2280">
                  <c:v>43490</c:v>
                </c:pt>
                <c:pt idx="2281">
                  <c:v>43493</c:v>
                </c:pt>
                <c:pt idx="2282">
                  <c:v>43494</c:v>
                </c:pt>
                <c:pt idx="2283">
                  <c:v>43495</c:v>
                </c:pt>
                <c:pt idx="2284">
                  <c:v>43496</c:v>
                </c:pt>
                <c:pt idx="2285">
                  <c:v>43497</c:v>
                </c:pt>
                <c:pt idx="2286">
                  <c:v>43500</c:v>
                </c:pt>
                <c:pt idx="2287">
                  <c:v>43501</c:v>
                </c:pt>
                <c:pt idx="2288">
                  <c:v>43502</c:v>
                </c:pt>
                <c:pt idx="2289">
                  <c:v>43503</c:v>
                </c:pt>
                <c:pt idx="2290">
                  <c:v>43504</c:v>
                </c:pt>
                <c:pt idx="2291">
                  <c:v>43507</c:v>
                </c:pt>
                <c:pt idx="2292">
                  <c:v>43508</c:v>
                </c:pt>
                <c:pt idx="2293">
                  <c:v>43509</c:v>
                </c:pt>
                <c:pt idx="2294">
                  <c:v>43510</c:v>
                </c:pt>
                <c:pt idx="2295">
                  <c:v>43511</c:v>
                </c:pt>
                <c:pt idx="2296">
                  <c:v>43515</c:v>
                </c:pt>
                <c:pt idx="2297">
                  <c:v>43516</c:v>
                </c:pt>
                <c:pt idx="2298">
                  <c:v>43517</c:v>
                </c:pt>
                <c:pt idx="2299">
                  <c:v>43518</c:v>
                </c:pt>
                <c:pt idx="2300">
                  <c:v>43521</c:v>
                </c:pt>
                <c:pt idx="2301">
                  <c:v>43522</c:v>
                </c:pt>
                <c:pt idx="2302">
                  <c:v>43523</c:v>
                </c:pt>
                <c:pt idx="2303">
                  <c:v>43524</c:v>
                </c:pt>
                <c:pt idx="2304">
                  <c:v>43525</c:v>
                </c:pt>
                <c:pt idx="2305">
                  <c:v>43528</c:v>
                </c:pt>
                <c:pt idx="2306">
                  <c:v>43529</c:v>
                </c:pt>
                <c:pt idx="2307">
                  <c:v>43530</c:v>
                </c:pt>
                <c:pt idx="2308">
                  <c:v>43531</c:v>
                </c:pt>
                <c:pt idx="2309">
                  <c:v>43532</c:v>
                </c:pt>
                <c:pt idx="2310">
                  <c:v>43535</c:v>
                </c:pt>
                <c:pt idx="2311">
                  <c:v>43536</c:v>
                </c:pt>
                <c:pt idx="2312">
                  <c:v>43537</c:v>
                </c:pt>
                <c:pt idx="2313">
                  <c:v>43538</c:v>
                </c:pt>
                <c:pt idx="2314">
                  <c:v>43539</c:v>
                </c:pt>
                <c:pt idx="2315">
                  <c:v>43542</c:v>
                </c:pt>
                <c:pt idx="2316">
                  <c:v>43543</c:v>
                </c:pt>
                <c:pt idx="2317">
                  <c:v>43544</c:v>
                </c:pt>
                <c:pt idx="2318">
                  <c:v>43545</c:v>
                </c:pt>
                <c:pt idx="2319">
                  <c:v>43546</c:v>
                </c:pt>
                <c:pt idx="2320">
                  <c:v>43549</c:v>
                </c:pt>
                <c:pt idx="2321">
                  <c:v>43550</c:v>
                </c:pt>
                <c:pt idx="2322">
                  <c:v>43551</c:v>
                </c:pt>
                <c:pt idx="2323">
                  <c:v>43552</c:v>
                </c:pt>
                <c:pt idx="2324">
                  <c:v>43553</c:v>
                </c:pt>
                <c:pt idx="2325">
                  <c:v>43556</c:v>
                </c:pt>
                <c:pt idx="2326">
                  <c:v>43557</c:v>
                </c:pt>
                <c:pt idx="2327">
                  <c:v>43558</c:v>
                </c:pt>
                <c:pt idx="2328">
                  <c:v>43559</c:v>
                </c:pt>
                <c:pt idx="2329">
                  <c:v>43560</c:v>
                </c:pt>
                <c:pt idx="2330">
                  <c:v>43563</c:v>
                </c:pt>
                <c:pt idx="2331">
                  <c:v>43564</c:v>
                </c:pt>
                <c:pt idx="2332">
                  <c:v>43565</c:v>
                </c:pt>
                <c:pt idx="2333">
                  <c:v>43566</c:v>
                </c:pt>
                <c:pt idx="2334">
                  <c:v>43567</c:v>
                </c:pt>
                <c:pt idx="2335">
                  <c:v>43570</c:v>
                </c:pt>
                <c:pt idx="2336">
                  <c:v>43571</c:v>
                </c:pt>
                <c:pt idx="2337">
                  <c:v>43572</c:v>
                </c:pt>
                <c:pt idx="2338">
                  <c:v>43573</c:v>
                </c:pt>
                <c:pt idx="2339">
                  <c:v>43574</c:v>
                </c:pt>
                <c:pt idx="2340">
                  <c:v>43577</c:v>
                </c:pt>
                <c:pt idx="2341">
                  <c:v>43578</c:v>
                </c:pt>
                <c:pt idx="2342">
                  <c:v>43579</c:v>
                </c:pt>
                <c:pt idx="2343">
                  <c:v>43580</c:v>
                </c:pt>
                <c:pt idx="2344">
                  <c:v>43581</c:v>
                </c:pt>
                <c:pt idx="2345">
                  <c:v>43584</c:v>
                </c:pt>
                <c:pt idx="2346">
                  <c:v>43585</c:v>
                </c:pt>
                <c:pt idx="2347">
                  <c:v>43586</c:v>
                </c:pt>
                <c:pt idx="2348">
                  <c:v>43587</c:v>
                </c:pt>
                <c:pt idx="2349">
                  <c:v>43588</c:v>
                </c:pt>
                <c:pt idx="2350">
                  <c:v>43591</c:v>
                </c:pt>
                <c:pt idx="2351">
                  <c:v>43592</c:v>
                </c:pt>
                <c:pt idx="2352">
                  <c:v>43593</c:v>
                </c:pt>
                <c:pt idx="2353">
                  <c:v>43594</c:v>
                </c:pt>
                <c:pt idx="2354">
                  <c:v>43595</c:v>
                </c:pt>
                <c:pt idx="2355">
                  <c:v>43598</c:v>
                </c:pt>
                <c:pt idx="2356">
                  <c:v>43599</c:v>
                </c:pt>
                <c:pt idx="2357">
                  <c:v>43600</c:v>
                </c:pt>
                <c:pt idx="2358">
                  <c:v>43601</c:v>
                </c:pt>
                <c:pt idx="2359">
                  <c:v>43602</c:v>
                </c:pt>
                <c:pt idx="2360">
                  <c:v>43605</c:v>
                </c:pt>
                <c:pt idx="2361">
                  <c:v>43606</c:v>
                </c:pt>
                <c:pt idx="2362">
                  <c:v>43607</c:v>
                </c:pt>
                <c:pt idx="2363">
                  <c:v>43608</c:v>
                </c:pt>
                <c:pt idx="2364">
                  <c:v>43609</c:v>
                </c:pt>
                <c:pt idx="2365">
                  <c:v>43613</c:v>
                </c:pt>
                <c:pt idx="2366">
                  <c:v>43614</c:v>
                </c:pt>
                <c:pt idx="2367">
                  <c:v>43615</c:v>
                </c:pt>
                <c:pt idx="2368">
                  <c:v>43616</c:v>
                </c:pt>
                <c:pt idx="2369">
                  <c:v>43619</c:v>
                </c:pt>
                <c:pt idx="2370">
                  <c:v>43620</c:v>
                </c:pt>
                <c:pt idx="2371">
                  <c:v>43621</c:v>
                </c:pt>
                <c:pt idx="2372">
                  <c:v>43622</c:v>
                </c:pt>
                <c:pt idx="2373">
                  <c:v>43623</c:v>
                </c:pt>
                <c:pt idx="2374">
                  <c:v>43626</c:v>
                </c:pt>
                <c:pt idx="2375">
                  <c:v>43627</c:v>
                </c:pt>
                <c:pt idx="2376">
                  <c:v>43628</c:v>
                </c:pt>
                <c:pt idx="2377">
                  <c:v>43629</c:v>
                </c:pt>
                <c:pt idx="2378">
                  <c:v>43630</c:v>
                </c:pt>
                <c:pt idx="2379">
                  <c:v>43633</c:v>
                </c:pt>
                <c:pt idx="2380">
                  <c:v>43634</c:v>
                </c:pt>
                <c:pt idx="2381">
                  <c:v>43635</c:v>
                </c:pt>
                <c:pt idx="2382">
                  <c:v>43636</c:v>
                </c:pt>
                <c:pt idx="2383">
                  <c:v>43637</c:v>
                </c:pt>
                <c:pt idx="2384">
                  <c:v>43640</c:v>
                </c:pt>
                <c:pt idx="2385">
                  <c:v>43641</c:v>
                </c:pt>
                <c:pt idx="2386">
                  <c:v>43642</c:v>
                </c:pt>
                <c:pt idx="2387">
                  <c:v>43643</c:v>
                </c:pt>
                <c:pt idx="2388">
                  <c:v>43644</c:v>
                </c:pt>
                <c:pt idx="2389">
                  <c:v>43647</c:v>
                </c:pt>
                <c:pt idx="2390">
                  <c:v>43648</c:v>
                </c:pt>
                <c:pt idx="2391">
                  <c:v>43649</c:v>
                </c:pt>
                <c:pt idx="2392">
                  <c:v>43651</c:v>
                </c:pt>
                <c:pt idx="2393">
                  <c:v>43654</c:v>
                </c:pt>
                <c:pt idx="2394">
                  <c:v>43655</c:v>
                </c:pt>
                <c:pt idx="2395">
                  <c:v>43656</c:v>
                </c:pt>
                <c:pt idx="2396">
                  <c:v>43657</c:v>
                </c:pt>
                <c:pt idx="2397">
                  <c:v>43658</c:v>
                </c:pt>
                <c:pt idx="2398">
                  <c:v>43661</c:v>
                </c:pt>
                <c:pt idx="2399">
                  <c:v>43662</c:v>
                </c:pt>
                <c:pt idx="2400">
                  <c:v>43663</c:v>
                </c:pt>
                <c:pt idx="2401">
                  <c:v>43664</c:v>
                </c:pt>
                <c:pt idx="2402">
                  <c:v>43665</c:v>
                </c:pt>
                <c:pt idx="2403">
                  <c:v>43668</c:v>
                </c:pt>
                <c:pt idx="2404">
                  <c:v>43669</c:v>
                </c:pt>
                <c:pt idx="2405">
                  <c:v>43670</c:v>
                </c:pt>
                <c:pt idx="2406">
                  <c:v>43671</c:v>
                </c:pt>
                <c:pt idx="2407">
                  <c:v>43672</c:v>
                </c:pt>
                <c:pt idx="2408">
                  <c:v>43675</c:v>
                </c:pt>
                <c:pt idx="2409">
                  <c:v>43676</c:v>
                </c:pt>
                <c:pt idx="2410">
                  <c:v>43677</c:v>
                </c:pt>
                <c:pt idx="2411">
                  <c:v>43678</c:v>
                </c:pt>
                <c:pt idx="2412">
                  <c:v>43679</c:v>
                </c:pt>
                <c:pt idx="2413">
                  <c:v>43682</c:v>
                </c:pt>
                <c:pt idx="2414">
                  <c:v>43683</c:v>
                </c:pt>
                <c:pt idx="2415">
                  <c:v>43684</c:v>
                </c:pt>
                <c:pt idx="2416">
                  <c:v>43685</c:v>
                </c:pt>
                <c:pt idx="2417">
                  <c:v>43686</c:v>
                </c:pt>
                <c:pt idx="2418">
                  <c:v>43689</c:v>
                </c:pt>
                <c:pt idx="2419">
                  <c:v>43690</c:v>
                </c:pt>
                <c:pt idx="2420">
                  <c:v>43691</c:v>
                </c:pt>
                <c:pt idx="2421">
                  <c:v>43692</c:v>
                </c:pt>
                <c:pt idx="2422">
                  <c:v>43693</c:v>
                </c:pt>
                <c:pt idx="2423">
                  <c:v>43696</c:v>
                </c:pt>
                <c:pt idx="2424">
                  <c:v>43697</c:v>
                </c:pt>
                <c:pt idx="2425">
                  <c:v>43698</c:v>
                </c:pt>
                <c:pt idx="2426">
                  <c:v>43699</c:v>
                </c:pt>
                <c:pt idx="2427">
                  <c:v>43700</c:v>
                </c:pt>
                <c:pt idx="2428">
                  <c:v>43703</c:v>
                </c:pt>
                <c:pt idx="2429">
                  <c:v>43704</c:v>
                </c:pt>
                <c:pt idx="2430">
                  <c:v>43705</c:v>
                </c:pt>
                <c:pt idx="2431">
                  <c:v>43706</c:v>
                </c:pt>
                <c:pt idx="2432">
                  <c:v>43707</c:v>
                </c:pt>
                <c:pt idx="2433">
                  <c:v>43711</c:v>
                </c:pt>
                <c:pt idx="2434">
                  <c:v>43712</c:v>
                </c:pt>
                <c:pt idx="2435">
                  <c:v>43713</c:v>
                </c:pt>
                <c:pt idx="2436">
                  <c:v>43714</c:v>
                </c:pt>
                <c:pt idx="2437">
                  <c:v>43717</c:v>
                </c:pt>
                <c:pt idx="2438">
                  <c:v>43718</c:v>
                </c:pt>
                <c:pt idx="2439">
                  <c:v>43719</c:v>
                </c:pt>
                <c:pt idx="2440">
                  <c:v>43720</c:v>
                </c:pt>
                <c:pt idx="2441">
                  <c:v>43721</c:v>
                </c:pt>
                <c:pt idx="2442">
                  <c:v>43724</c:v>
                </c:pt>
                <c:pt idx="2443">
                  <c:v>43725</c:v>
                </c:pt>
                <c:pt idx="2444">
                  <c:v>43726</c:v>
                </c:pt>
                <c:pt idx="2445">
                  <c:v>43727</c:v>
                </c:pt>
                <c:pt idx="2446">
                  <c:v>43728</c:v>
                </c:pt>
                <c:pt idx="2447">
                  <c:v>43731</c:v>
                </c:pt>
                <c:pt idx="2448">
                  <c:v>43732</c:v>
                </c:pt>
                <c:pt idx="2449">
                  <c:v>43733</c:v>
                </c:pt>
                <c:pt idx="2450">
                  <c:v>43734</c:v>
                </c:pt>
                <c:pt idx="2451">
                  <c:v>43735</c:v>
                </c:pt>
                <c:pt idx="2452">
                  <c:v>43738</c:v>
                </c:pt>
                <c:pt idx="2453">
                  <c:v>43739</c:v>
                </c:pt>
                <c:pt idx="2454">
                  <c:v>43740</c:v>
                </c:pt>
                <c:pt idx="2455">
                  <c:v>43741</c:v>
                </c:pt>
                <c:pt idx="2456">
                  <c:v>43742</c:v>
                </c:pt>
                <c:pt idx="2457">
                  <c:v>43745</c:v>
                </c:pt>
                <c:pt idx="2458">
                  <c:v>43746</c:v>
                </c:pt>
                <c:pt idx="2459">
                  <c:v>43747</c:v>
                </c:pt>
                <c:pt idx="2460">
                  <c:v>43748</c:v>
                </c:pt>
                <c:pt idx="2461">
                  <c:v>43749</c:v>
                </c:pt>
                <c:pt idx="2462">
                  <c:v>43752</c:v>
                </c:pt>
                <c:pt idx="2463">
                  <c:v>43753</c:v>
                </c:pt>
                <c:pt idx="2464">
                  <c:v>43754</c:v>
                </c:pt>
                <c:pt idx="2465">
                  <c:v>43755</c:v>
                </c:pt>
                <c:pt idx="2466">
                  <c:v>43756</c:v>
                </c:pt>
                <c:pt idx="2467">
                  <c:v>43759</c:v>
                </c:pt>
                <c:pt idx="2468">
                  <c:v>43760</c:v>
                </c:pt>
                <c:pt idx="2469">
                  <c:v>43761</c:v>
                </c:pt>
                <c:pt idx="2470">
                  <c:v>43762</c:v>
                </c:pt>
                <c:pt idx="2471">
                  <c:v>43763</c:v>
                </c:pt>
                <c:pt idx="2472">
                  <c:v>43766</c:v>
                </c:pt>
                <c:pt idx="2473">
                  <c:v>43767</c:v>
                </c:pt>
                <c:pt idx="2474">
                  <c:v>43768</c:v>
                </c:pt>
                <c:pt idx="2475">
                  <c:v>43769</c:v>
                </c:pt>
                <c:pt idx="2476">
                  <c:v>43770</c:v>
                </c:pt>
                <c:pt idx="2477">
                  <c:v>43773</c:v>
                </c:pt>
                <c:pt idx="2478">
                  <c:v>43774</c:v>
                </c:pt>
                <c:pt idx="2479">
                  <c:v>43775</c:v>
                </c:pt>
                <c:pt idx="2480">
                  <c:v>43776</c:v>
                </c:pt>
                <c:pt idx="2481">
                  <c:v>43777</c:v>
                </c:pt>
                <c:pt idx="2482">
                  <c:v>43780</c:v>
                </c:pt>
                <c:pt idx="2483">
                  <c:v>43781</c:v>
                </c:pt>
                <c:pt idx="2484">
                  <c:v>43782</c:v>
                </c:pt>
                <c:pt idx="2485">
                  <c:v>43783</c:v>
                </c:pt>
                <c:pt idx="2486">
                  <c:v>43784</c:v>
                </c:pt>
                <c:pt idx="2487">
                  <c:v>43787</c:v>
                </c:pt>
                <c:pt idx="2488">
                  <c:v>43788</c:v>
                </c:pt>
                <c:pt idx="2489">
                  <c:v>43789</c:v>
                </c:pt>
                <c:pt idx="2490">
                  <c:v>43790</c:v>
                </c:pt>
                <c:pt idx="2491">
                  <c:v>43791</c:v>
                </c:pt>
                <c:pt idx="2492">
                  <c:v>43794</c:v>
                </c:pt>
                <c:pt idx="2493">
                  <c:v>43795</c:v>
                </c:pt>
                <c:pt idx="2494">
                  <c:v>43796</c:v>
                </c:pt>
                <c:pt idx="2495">
                  <c:v>43798</c:v>
                </c:pt>
                <c:pt idx="2496">
                  <c:v>43801</c:v>
                </c:pt>
                <c:pt idx="2497">
                  <c:v>43802</c:v>
                </c:pt>
                <c:pt idx="2498">
                  <c:v>43803</c:v>
                </c:pt>
                <c:pt idx="2499">
                  <c:v>43804</c:v>
                </c:pt>
                <c:pt idx="2500">
                  <c:v>43805</c:v>
                </c:pt>
                <c:pt idx="2501">
                  <c:v>43808</c:v>
                </c:pt>
                <c:pt idx="2502">
                  <c:v>43809</c:v>
                </c:pt>
                <c:pt idx="2503">
                  <c:v>43810</c:v>
                </c:pt>
                <c:pt idx="2504">
                  <c:v>43811</c:v>
                </c:pt>
                <c:pt idx="2505">
                  <c:v>43812</c:v>
                </c:pt>
                <c:pt idx="2506">
                  <c:v>43815</c:v>
                </c:pt>
                <c:pt idx="2507">
                  <c:v>43816</c:v>
                </c:pt>
                <c:pt idx="2508">
                  <c:v>43817</c:v>
                </c:pt>
                <c:pt idx="2509">
                  <c:v>43818</c:v>
                </c:pt>
                <c:pt idx="2510">
                  <c:v>43819</c:v>
                </c:pt>
                <c:pt idx="2511">
                  <c:v>43822</c:v>
                </c:pt>
                <c:pt idx="2512">
                  <c:v>43823</c:v>
                </c:pt>
                <c:pt idx="2513">
                  <c:v>43825</c:v>
                </c:pt>
                <c:pt idx="2514">
                  <c:v>43826</c:v>
                </c:pt>
                <c:pt idx="2515">
                  <c:v>43829</c:v>
                </c:pt>
                <c:pt idx="2516">
                  <c:v>43830</c:v>
                </c:pt>
                <c:pt idx="2517">
                  <c:v>43832</c:v>
                </c:pt>
                <c:pt idx="2518">
                  <c:v>43833</c:v>
                </c:pt>
                <c:pt idx="2519">
                  <c:v>43836</c:v>
                </c:pt>
                <c:pt idx="2520">
                  <c:v>43837</c:v>
                </c:pt>
                <c:pt idx="2521">
                  <c:v>43838</c:v>
                </c:pt>
                <c:pt idx="2522">
                  <c:v>43839</c:v>
                </c:pt>
                <c:pt idx="2523">
                  <c:v>43840</c:v>
                </c:pt>
                <c:pt idx="2524">
                  <c:v>43843</c:v>
                </c:pt>
                <c:pt idx="2525">
                  <c:v>43844</c:v>
                </c:pt>
                <c:pt idx="2526">
                  <c:v>43845</c:v>
                </c:pt>
                <c:pt idx="2527">
                  <c:v>43846</c:v>
                </c:pt>
                <c:pt idx="2528">
                  <c:v>43847</c:v>
                </c:pt>
                <c:pt idx="2529">
                  <c:v>43851</c:v>
                </c:pt>
                <c:pt idx="2530">
                  <c:v>43852</c:v>
                </c:pt>
                <c:pt idx="2531">
                  <c:v>43853</c:v>
                </c:pt>
                <c:pt idx="2532">
                  <c:v>43854</c:v>
                </c:pt>
                <c:pt idx="2533">
                  <c:v>43857</c:v>
                </c:pt>
                <c:pt idx="2534">
                  <c:v>43858</c:v>
                </c:pt>
                <c:pt idx="2535">
                  <c:v>43859</c:v>
                </c:pt>
                <c:pt idx="2536">
                  <c:v>43860</c:v>
                </c:pt>
                <c:pt idx="2537">
                  <c:v>43861</c:v>
                </c:pt>
                <c:pt idx="2538">
                  <c:v>43864</c:v>
                </c:pt>
                <c:pt idx="2539">
                  <c:v>43865</c:v>
                </c:pt>
                <c:pt idx="2540">
                  <c:v>43866</c:v>
                </c:pt>
                <c:pt idx="2541">
                  <c:v>43867</c:v>
                </c:pt>
                <c:pt idx="2542">
                  <c:v>43868</c:v>
                </c:pt>
                <c:pt idx="2543">
                  <c:v>43871</c:v>
                </c:pt>
                <c:pt idx="2544">
                  <c:v>43872</c:v>
                </c:pt>
                <c:pt idx="2545">
                  <c:v>43873</c:v>
                </c:pt>
                <c:pt idx="2546">
                  <c:v>43874</c:v>
                </c:pt>
                <c:pt idx="2547">
                  <c:v>43875</c:v>
                </c:pt>
                <c:pt idx="2548">
                  <c:v>43879</c:v>
                </c:pt>
                <c:pt idx="2549">
                  <c:v>43880</c:v>
                </c:pt>
                <c:pt idx="2550">
                  <c:v>43881</c:v>
                </c:pt>
                <c:pt idx="2551">
                  <c:v>43882</c:v>
                </c:pt>
                <c:pt idx="2552">
                  <c:v>43885</c:v>
                </c:pt>
                <c:pt idx="2553">
                  <c:v>43886</c:v>
                </c:pt>
                <c:pt idx="2554">
                  <c:v>43887</c:v>
                </c:pt>
                <c:pt idx="2555">
                  <c:v>43888</c:v>
                </c:pt>
                <c:pt idx="2556">
                  <c:v>43889</c:v>
                </c:pt>
                <c:pt idx="2557">
                  <c:v>43892</c:v>
                </c:pt>
                <c:pt idx="2558">
                  <c:v>43893</c:v>
                </c:pt>
                <c:pt idx="2559">
                  <c:v>43894</c:v>
                </c:pt>
                <c:pt idx="2560">
                  <c:v>43895</c:v>
                </c:pt>
                <c:pt idx="2561">
                  <c:v>43896</c:v>
                </c:pt>
                <c:pt idx="2562">
                  <c:v>43899</c:v>
                </c:pt>
                <c:pt idx="2563">
                  <c:v>43900</c:v>
                </c:pt>
                <c:pt idx="2564">
                  <c:v>43901</c:v>
                </c:pt>
                <c:pt idx="2565">
                  <c:v>43902</c:v>
                </c:pt>
                <c:pt idx="2566">
                  <c:v>43903</c:v>
                </c:pt>
                <c:pt idx="2567">
                  <c:v>43906</c:v>
                </c:pt>
                <c:pt idx="2568">
                  <c:v>43907</c:v>
                </c:pt>
                <c:pt idx="2569">
                  <c:v>43908</c:v>
                </c:pt>
                <c:pt idx="2570">
                  <c:v>43909</c:v>
                </c:pt>
                <c:pt idx="2571">
                  <c:v>43910</c:v>
                </c:pt>
                <c:pt idx="2572">
                  <c:v>43913</c:v>
                </c:pt>
                <c:pt idx="2573">
                  <c:v>43914</c:v>
                </c:pt>
                <c:pt idx="2574">
                  <c:v>43915</c:v>
                </c:pt>
                <c:pt idx="2575">
                  <c:v>43916</c:v>
                </c:pt>
                <c:pt idx="2576">
                  <c:v>43917</c:v>
                </c:pt>
                <c:pt idx="2577">
                  <c:v>43920</c:v>
                </c:pt>
                <c:pt idx="2578">
                  <c:v>43921</c:v>
                </c:pt>
                <c:pt idx="2579">
                  <c:v>43922</c:v>
                </c:pt>
                <c:pt idx="2580">
                  <c:v>43923</c:v>
                </c:pt>
                <c:pt idx="2581">
                  <c:v>43924</c:v>
                </c:pt>
                <c:pt idx="2582">
                  <c:v>43927</c:v>
                </c:pt>
                <c:pt idx="2583">
                  <c:v>43928</c:v>
                </c:pt>
                <c:pt idx="2584">
                  <c:v>43929</c:v>
                </c:pt>
                <c:pt idx="2585">
                  <c:v>43930</c:v>
                </c:pt>
                <c:pt idx="2586">
                  <c:v>43934</c:v>
                </c:pt>
                <c:pt idx="2587">
                  <c:v>43935</c:v>
                </c:pt>
                <c:pt idx="2588">
                  <c:v>43936</c:v>
                </c:pt>
                <c:pt idx="2589">
                  <c:v>43937</c:v>
                </c:pt>
                <c:pt idx="2590">
                  <c:v>43938</c:v>
                </c:pt>
                <c:pt idx="2591">
                  <c:v>43941</c:v>
                </c:pt>
                <c:pt idx="2592">
                  <c:v>43942</c:v>
                </c:pt>
                <c:pt idx="2593">
                  <c:v>43943</c:v>
                </c:pt>
                <c:pt idx="2594">
                  <c:v>43944</c:v>
                </c:pt>
                <c:pt idx="2595">
                  <c:v>43945</c:v>
                </c:pt>
                <c:pt idx="2596">
                  <c:v>43948</c:v>
                </c:pt>
                <c:pt idx="2597">
                  <c:v>43949</c:v>
                </c:pt>
                <c:pt idx="2598">
                  <c:v>43950</c:v>
                </c:pt>
                <c:pt idx="2599">
                  <c:v>43951</c:v>
                </c:pt>
                <c:pt idx="2600">
                  <c:v>43952</c:v>
                </c:pt>
                <c:pt idx="2601">
                  <c:v>43955</c:v>
                </c:pt>
                <c:pt idx="2602">
                  <c:v>43956</c:v>
                </c:pt>
                <c:pt idx="2603">
                  <c:v>43957</c:v>
                </c:pt>
                <c:pt idx="2604">
                  <c:v>43958</c:v>
                </c:pt>
                <c:pt idx="2605">
                  <c:v>43959</c:v>
                </c:pt>
                <c:pt idx="2606">
                  <c:v>43962</c:v>
                </c:pt>
                <c:pt idx="2607">
                  <c:v>43963</c:v>
                </c:pt>
                <c:pt idx="2608">
                  <c:v>43964</c:v>
                </c:pt>
                <c:pt idx="2609">
                  <c:v>43965</c:v>
                </c:pt>
                <c:pt idx="2610">
                  <c:v>43966</c:v>
                </c:pt>
                <c:pt idx="2611">
                  <c:v>43969</c:v>
                </c:pt>
                <c:pt idx="2612">
                  <c:v>43970</c:v>
                </c:pt>
                <c:pt idx="2613">
                  <c:v>43971</c:v>
                </c:pt>
                <c:pt idx="2614">
                  <c:v>43972</c:v>
                </c:pt>
                <c:pt idx="2615">
                  <c:v>43973</c:v>
                </c:pt>
                <c:pt idx="2616">
                  <c:v>43977</c:v>
                </c:pt>
                <c:pt idx="2617">
                  <c:v>43978</c:v>
                </c:pt>
                <c:pt idx="2618">
                  <c:v>43979</c:v>
                </c:pt>
                <c:pt idx="2619">
                  <c:v>43980</c:v>
                </c:pt>
                <c:pt idx="2620">
                  <c:v>43983</c:v>
                </c:pt>
                <c:pt idx="2621">
                  <c:v>43984</c:v>
                </c:pt>
                <c:pt idx="2622">
                  <c:v>43985</c:v>
                </c:pt>
                <c:pt idx="2623">
                  <c:v>43986</c:v>
                </c:pt>
                <c:pt idx="2624">
                  <c:v>43987</c:v>
                </c:pt>
                <c:pt idx="2625">
                  <c:v>43990</c:v>
                </c:pt>
                <c:pt idx="2626">
                  <c:v>43991</c:v>
                </c:pt>
                <c:pt idx="2627">
                  <c:v>43992</c:v>
                </c:pt>
                <c:pt idx="2628">
                  <c:v>43993</c:v>
                </c:pt>
                <c:pt idx="2629">
                  <c:v>43994</c:v>
                </c:pt>
                <c:pt idx="2630">
                  <c:v>43997</c:v>
                </c:pt>
                <c:pt idx="2631">
                  <c:v>43998</c:v>
                </c:pt>
                <c:pt idx="2632">
                  <c:v>43999</c:v>
                </c:pt>
                <c:pt idx="2633">
                  <c:v>44000</c:v>
                </c:pt>
                <c:pt idx="2634">
                  <c:v>44001</c:v>
                </c:pt>
                <c:pt idx="2635">
                  <c:v>44004</c:v>
                </c:pt>
                <c:pt idx="2636">
                  <c:v>44005</c:v>
                </c:pt>
                <c:pt idx="2637">
                  <c:v>44006</c:v>
                </c:pt>
                <c:pt idx="2638">
                  <c:v>44007</c:v>
                </c:pt>
                <c:pt idx="2639">
                  <c:v>44008</c:v>
                </c:pt>
                <c:pt idx="2640">
                  <c:v>44011</c:v>
                </c:pt>
                <c:pt idx="2641">
                  <c:v>44012</c:v>
                </c:pt>
                <c:pt idx="2642">
                  <c:v>44013</c:v>
                </c:pt>
                <c:pt idx="2643">
                  <c:v>44014</c:v>
                </c:pt>
                <c:pt idx="2644">
                  <c:v>44015</c:v>
                </c:pt>
                <c:pt idx="2645">
                  <c:v>44018</c:v>
                </c:pt>
                <c:pt idx="2646">
                  <c:v>44019</c:v>
                </c:pt>
                <c:pt idx="2647">
                  <c:v>44020</c:v>
                </c:pt>
                <c:pt idx="2648">
                  <c:v>44021</c:v>
                </c:pt>
                <c:pt idx="2649">
                  <c:v>44022</c:v>
                </c:pt>
                <c:pt idx="2650">
                  <c:v>44025</c:v>
                </c:pt>
                <c:pt idx="2651">
                  <c:v>44026</c:v>
                </c:pt>
                <c:pt idx="2652">
                  <c:v>44027</c:v>
                </c:pt>
                <c:pt idx="2653">
                  <c:v>44028</c:v>
                </c:pt>
                <c:pt idx="2654">
                  <c:v>44029</c:v>
                </c:pt>
                <c:pt idx="2655">
                  <c:v>44032</c:v>
                </c:pt>
                <c:pt idx="2656">
                  <c:v>44033</c:v>
                </c:pt>
                <c:pt idx="2657">
                  <c:v>44034</c:v>
                </c:pt>
                <c:pt idx="2658">
                  <c:v>44035</c:v>
                </c:pt>
                <c:pt idx="2659">
                  <c:v>44036</c:v>
                </c:pt>
                <c:pt idx="2660">
                  <c:v>44039</c:v>
                </c:pt>
                <c:pt idx="2661">
                  <c:v>44040</c:v>
                </c:pt>
                <c:pt idx="2662">
                  <c:v>44041</c:v>
                </c:pt>
                <c:pt idx="2663">
                  <c:v>44042</c:v>
                </c:pt>
                <c:pt idx="2664">
                  <c:v>44043</c:v>
                </c:pt>
                <c:pt idx="2665">
                  <c:v>44046</c:v>
                </c:pt>
                <c:pt idx="2666">
                  <c:v>44047</c:v>
                </c:pt>
                <c:pt idx="2667">
                  <c:v>44048</c:v>
                </c:pt>
                <c:pt idx="2668">
                  <c:v>44049</c:v>
                </c:pt>
                <c:pt idx="2669">
                  <c:v>44050</c:v>
                </c:pt>
                <c:pt idx="2670">
                  <c:v>44053</c:v>
                </c:pt>
                <c:pt idx="2671">
                  <c:v>44054</c:v>
                </c:pt>
                <c:pt idx="2672">
                  <c:v>44055</c:v>
                </c:pt>
                <c:pt idx="2673">
                  <c:v>44056</c:v>
                </c:pt>
                <c:pt idx="2674">
                  <c:v>44057</c:v>
                </c:pt>
                <c:pt idx="2675">
                  <c:v>44060</c:v>
                </c:pt>
                <c:pt idx="2676">
                  <c:v>44061</c:v>
                </c:pt>
                <c:pt idx="2677">
                  <c:v>44062</c:v>
                </c:pt>
                <c:pt idx="2678">
                  <c:v>44063</c:v>
                </c:pt>
                <c:pt idx="2679">
                  <c:v>44064</c:v>
                </c:pt>
                <c:pt idx="2680">
                  <c:v>44067</c:v>
                </c:pt>
                <c:pt idx="2681">
                  <c:v>44068</c:v>
                </c:pt>
                <c:pt idx="2682">
                  <c:v>44069</c:v>
                </c:pt>
                <c:pt idx="2683">
                  <c:v>44070</c:v>
                </c:pt>
                <c:pt idx="2684">
                  <c:v>44071</c:v>
                </c:pt>
                <c:pt idx="2685">
                  <c:v>44074</c:v>
                </c:pt>
                <c:pt idx="2686">
                  <c:v>44075</c:v>
                </c:pt>
                <c:pt idx="2687">
                  <c:v>44076</c:v>
                </c:pt>
                <c:pt idx="2688">
                  <c:v>44077</c:v>
                </c:pt>
                <c:pt idx="2689">
                  <c:v>44078</c:v>
                </c:pt>
                <c:pt idx="2690">
                  <c:v>44082</c:v>
                </c:pt>
                <c:pt idx="2691">
                  <c:v>44083</c:v>
                </c:pt>
                <c:pt idx="2692">
                  <c:v>44084</c:v>
                </c:pt>
                <c:pt idx="2693">
                  <c:v>44085</c:v>
                </c:pt>
                <c:pt idx="2694">
                  <c:v>44088</c:v>
                </c:pt>
                <c:pt idx="2695">
                  <c:v>44089</c:v>
                </c:pt>
                <c:pt idx="2696">
                  <c:v>44090</c:v>
                </c:pt>
                <c:pt idx="2697">
                  <c:v>44091</c:v>
                </c:pt>
                <c:pt idx="2698">
                  <c:v>44092</c:v>
                </c:pt>
                <c:pt idx="2699">
                  <c:v>44095</c:v>
                </c:pt>
                <c:pt idx="2700">
                  <c:v>44096</c:v>
                </c:pt>
                <c:pt idx="2701">
                  <c:v>44097</c:v>
                </c:pt>
                <c:pt idx="2702">
                  <c:v>44098</c:v>
                </c:pt>
                <c:pt idx="2703">
                  <c:v>44099</c:v>
                </c:pt>
                <c:pt idx="2704">
                  <c:v>44102</c:v>
                </c:pt>
                <c:pt idx="2705">
                  <c:v>44103</c:v>
                </c:pt>
                <c:pt idx="2706">
                  <c:v>44104</c:v>
                </c:pt>
                <c:pt idx="2707">
                  <c:v>44105</c:v>
                </c:pt>
                <c:pt idx="2708">
                  <c:v>44106</c:v>
                </c:pt>
                <c:pt idx="2709">
                  <c:v>44109</c:v>
                </c:pt>
                <c:pt idx="2710">
                  <c:v>44110</c:v>
                </c:pt>
                <c:pt idx="2711">
                  <c:v>44111</c:v>
                </c:pt>
                <c:pt idx="2712">
                  <c:v>44112</c:v>
                </c:pt>
                <c:pt idx="2713">
                  <c:v>44113</c:v>
                </c:pt>
                <c:pt idx="2714">
                  <c:v>44116</c:v>
                </c:pt>
                <c:pt idx="2715">
                  <c:v>44117</c:v>
                </c:pt>
                <c:pt idx="2716">
                  <c:v>44118</c:v>
                </c:pt>
                <c:pt idx="2717">
                  <c:v>44119</c:v>
                </c:pt>
                <c:pt idx="2718">
                  <c:v>44120</c:v>
                </c:pt>
                <c:pt idx="2719">
                  <c:v>44123</c:v>
                </c:pt>
                <c:pt idx="2720">
                  <c:v>44124</c:v>
                </c:pt>
                <c:pt idx="2721">
                  <c:v>44125</c:v>
                </c:pt>
                <c:pt idx="2722">
                  <c:v>44126</c:v>
                </c:pt>
                <c:pt idx="2723">
                  <c:v>44127</c:v>
                </c:pt>
                <c:pt idx="2724">
                  <c:v>44130</c:v>
                </c:pt>
                <c:pt idx="2725">
                  <c:v>44131</c:v>
                </c:pt>
                <c:pt idx="2726">
                  <c:v>44132</c:v>
                </c:pt>
                <c:pt idx="2727">
                  <c:v>44133</c:v>
                </c:pt>
                <c:pt idx="2728">
                  <c:v>44134</c:v>
                </c:pt>
                <c:pt idx="2729">
                  <c:v>44137</c:v>
                </c:pt>
                <c:pt idx="2730">
                  <c:v>44138</c:v>
                </c:pt>
                <c:pt idx="2731">
                  <c:v>44139</c:v>
                </c:pt>
                <c:pt idx="2732">
                  <c:v>44140</c:v>
                </c:pt>
                <c:pt idx="2733">
                  <c:v>44141</c:v>
                </c:pt>
                <c:pt idx="2734">
                  <c:v>44144</c:v>
                </c:pt>
                <c:pt idx="2735">
                  <c:v>44145</c:v>
                </c:pt>
                <c:pt idx="2736">
                  <c:v>44146</c:v>
                </c:pt>
                <c:pt idx="2737">
                  <c:v>44147</c:v>
                </c:pt>
                <c:pt idx="2738">
                  <c:v>44148</c:v>
                </c:pt>
                <c:pt idx="2739">
                  <c:v>44151</c:v>
                </c:pt>
                <c:pt idx="2740">
                  <c:v>44152</c:v>
                </c:pt>
                <c:pt idx="2741">
                  <c:v>44153</c:v>
                </c:pt>
                <c:pt idx="2742">
                  <c:v>44154</c:v>
                </c:pt>
                <c:pt idx="2743">
                  <c:v>44155</c:v>
                </c:pt>
                <c:pt idx="2744">
                  <c:v>44158</c:v>
                </c:pt>
                <c:pt idx="2745">
                  <c:v>44159</c:v>
                </c:pt>
                <c:pt idx="2746">
                  <c:v>44160</c:v>
                </c:pt>
                <c:pt idx="2747">
                  <c:v>44161</c:v>
                </c:pt>
                <c:pt idx="2748">
                  <c:v>44162</c:v>
                </c:pt>
                <c:pt idx="2749">
                  <c:v>44165</c:v>
                </c:pt>
                <c:pt idx="2750">
                  <c:v>44166</c:v>
                </c:pt>
                <c:pt idx="2751">
                  <c:v>44167</c:v>
                </c:pt>
                <c:pt idx="2752">
                  <c:v>44168</c:v>
                </c:pt>
                <c:pt idx="2753">
                  <c:v>44169</c:v>
                </c:pt>
                <c:pt idx="2754">
                  <c:v>44172</c:v>
                </c:pt>
                <c:pt idx="2755">
                  <c:v>44173</c:v>
                </c:pt>
                <c:pt idx="2756">
                  <c:v>44174</c:v>
                </c:pt>
                <c:pt idx="2757">
                  <c:v>44175</c:v>
                </c:pt>
                <c:pt idx="2758">
                  <c:v>44176</c:v>
                </c:pt>
                <c:pt idx="2759">
                  <c:v>44179</c:v>
                </c:pt>
                <c:pt idx="2760">
                  <c:v>44180</c:v>
                </c:pt>
                <c:pt idx="2761">
                  <c:v>44181</c:v>
                </c:pt>
                <c:pt idx="2762">
                  <c:v>44182</c:v>
                </c:pt>
                <c:pt idx="2763">
                  <c:v>44183</c:v>
                </c:pt>
                <c:pt idx="2764">
                  <c:v>44186</c:v>
                </c:pt>
                <c:pt idx="2765">
                  <c:v>44187</c:v>
                </c:pt>
                <c:pt idx="2766">
                  <c:v>44188</c:v>
                </c:pt>
                <c:pt idx="2767">
                  <c:v>44189</c:v>
                </c:pt>
                <c:pt idx="2768">
                  <c:v>44190</c:v>
                </c:pt>
                <c:pt idx="2769">
                  <c:v>44193</c:v>
                </c:pt>
                <c:pt idx="2770">
                  <c:v>44194</c:v>
                </c:pt>
                <c:pt idx="2771">
                  <c:v>44195</c:v>
                </c:pt>
                <c:pt idx="2772">
                  <c:v>44196</c:v>
                </c:pt>
                <c:pt idx="2773">
                  <c:v>44200</c:v>
                </c:pt>
                <c:pt idx="2774">
                  <c:v>44201</c:v>
                </c:pt>
                <c:pt idx="2775">
                  <c:v>44202</c:v>
                </c:pt>
                <c:pt idx="2776">
                  <c:v>44203</c:v>
                </c:pt>
                <c:pt idx="2777">
                  <c:v>44204</c:v>
                </c:pt>
                <c:pt idx="2778">
                  <c:v>44207</c:v>
                </c:pt>
                <c:pt idx="2779">
                  <c:v>44208</c:v>
                </c:pt>
                <c:pt idx="2780">
                  <c:v>44209</c:v>
                </c:pt>
                <c:pt idx="2781">
                  <c:v>44210</c:v>
                </c:pt>
                <c:pt idx="2782">
                  <c:v>44211</c:v>
                </c:pt>
                <c:pt idx="2783">
                  <c:v>44215</c:v>
                </c:pt>
                <c:pt idx="2784">
                  <c:v>44216</c:v>
                </c:pt>
                <c:pt idx="2785">
                  <c:v>44217</c:v>
                </c:pt>
                <c:pt idx="2786">
                  <c:v>44218</c:v>
                </c:pt>
                <c:pt idx="2787">
                  <c:v>44221</c:v>
                </c:pt>
                <c:pt idx="2788">
                  <c:v>44222</c:v>
                </c:pt>
                <c:pt idx="2789">
                  <c:v>44223</c:v>
                </c:pt>
                <c:pt idx="2790">
                  <c:v>44224</c:v>
                </c:pt>
                <c:pt idx="2791">
                  <c:v>44225</c:v>
                </c:pt>
                <c:pt idx="2792">
                  <c:v>44228</c:v>
                </c:pt>
                <c:pt idx="2793">
                  <c:v>44229</c:v>
                </c:pt>
                <c:pt idx="2794">
                  <c:v>44230</c:v>
                </c:pt>
                <c:pt idx="2795">
                  <c:v>44231</c:v>
                </c:pt>
                <c:pt idx="2796">
                  <c:v>44232</c:v>
                </c:pt>
                <c:pt idx="2797">
                  <c:v>44235</c:v>
                </c:pt>
                <c:pt idx="2798">
                  <c:v>44236</c:v>
                </c:pt>
                <c:pt idx="2799">
                  <c:v>44237</c:v>
                </c:pt>
                <c:pt idx="2800">
                  <c:v>44238</c:v>
                </c:pt>
                <c:pt idx="2801">
                  <c:v>44239</c:v>
                </c:pt>
                <c:pt idx="2802">
                  <c:v>44243</c:v>
                </c:pt>
                <c:pt idx="2803">
                  <c:v>44244</c:v>
                </c:pt>
                <c:pt idx="2804">
                  <c:v>44245</c:v>
                </c:pt>
                <c:pt idx="2805">
                  <c:v>44246</c:v>
                </c:pt>
                <c:pt idx="2806">
                  <c:v>44249</c:v>
                </c:pt>
                <c:pt idx="2807">
                  <c:v>44250</c:v>
                </c:pt>
                <c:pt idx="2808">
                  <c:v>44251</c:v>
                </c:pt>
                <c:pt idx="2809">
                  <c:v>44252</c:v>
                </c:pt>
                <c:pt idx="2810">
                  <c:v>44253</c:v>
                </c:pt>
                <c:pt idx="2811">
                  <c:v>44256</c:v>
                </c:pt>
                <c:pt idx="2812">
                  <c:v>44257</c:v>
                </c:pt>
                <c:pt idx="2813">
                  <c:v>44258</c:v>
                </c:pt>
                <c:pt idx="2814">
                  <c:v>44259</c:v>
                </c:pt>
                <c:pt idx="2815">
                  <c:v>44260</c:v>
                </c:pt>
                <c:pt idx="2816">
                  <c:v>44263</c:v>
                </c:pt>
                <c:pt idx="2817">
                  <c:v>44264</c:v>
                </c:pt>
                <c:pt idx="2818">
                  <c:v>44265</c:v>
                </c:pt>
                <c:pt idx="2819">
                  <c:v>44266</c:v>
                </c:pt>
                <c:pt idx="2820">
                  <c:v>44267</c:v>
                </c:pt>
                <c:pt idx="2821">
                  <c:v>44270</c:v>
                </c:pt>
                <c:pt idx="2822">
                  <c:v>44271</c:v>
                </c:pt>
                <c:pt idx="2823">
                  <c:v>44272</c:v>
                </c:pt>
                <c:pt idx="2824">
                  <c:v>44273</c:v>
                </c:pt>
                <c:pt idx="2825">
                  <c:v>44274</c:v>
                </c:pt>
                <c:pt idx="2826">
                  <c:v>44277</c:v>
                </c:pt>
                <c:pt idx="2827">
                  <c:v>44278</c:v>
                </c:pt>
                <c:pt idx="2828">
                  <c:v>44279</c:v>
                </c:pt>
                <c:pt idx="2829">
                  <c:v>44280</c:v>
                </c:pt>
                <c:pt idx="2830">
                  <c:v>44281</c:v>
                </c:pt>
                <c:pt idx="2831">
                  <c:v>44284</c:v>
                </c:pt>
                <c:pt idx="2832">
                  <c:v>44285</c:v>
                </c:pt>
                <c:pt idx="2833">
                  <c:v>44286</c:v>
                </c:pt>
                <c:pt idx="2834">
                  <c:v>44287</c:v>
                </c:pt>
                <c:pt idx="2835">
                  <c:v>44288</c:v>
                </c:pt>
                <c:pt idx="2836">
                  <c:v>44291</c:v>
                </c:pt>
                <c:pt idx="2837">
                  <c:v>44292</c:v>
                </c:pt>
                <c:pt idx="2838">
                  <c:v>44293</c:v>
                </c:pt>
                <c:pt idx="2839">
                  <c:v>44294</c:v>
                </c:pt>
                <c:pt idx="2840">
                  <c:v>44295</c:v>
                </c:pt>
                <c:pt idx="2841">
                  <c:v>44298</c:v>
                </c:pt>
                <c:pt idx="2842">
                  <c:v>44299</c:v>
                </c:pt>
                <c:pt idx="2843">
                  <c:v>44300</c:v>
                </c:pt>
                <c:pt idx="2844">
                  <c:v>44301</c:v>
                </c:pt>
                <c:pt idx="2845">
                  <c:v>44302</c:v>
                </c:pt>
                <c:pt idx="2846">
                  <c:v>44305</c:v>
                </c:pt>
                <c:pt idx="2847">
                  <c:v>44306</c:v>
                </c:pt>
                <c:pt idx="2848">
                  <c:v>44307</c:v>
                </c:pt>
                <c:pt idx="2849">
                  <c:v>44308</c:v>
                </c:pt>
                <c:pt idx="2850">
                  <c:v>44309</c:v>
                </c:pt>
                <c:pt idx="2851">
                  <c:v>44312</c:v>
                </c:pt>
                <c:pt idx="2852">
                  <c:v>44313</c:v>
                </c:pt>
                <c:pt idx="2853">
                  <c:v>44314</c:v>
                </c:pt>
                <c:pt idx="2854">
                  <c:v>44315</c:v>
                </c:pt>
                <c:pt idx="2855">
                  <c:v>44316</c:v>
                </c:pt>
                <c:pt idx="2856">
                  <c:v>44319</c:v>
                </c:pt>
                <c:pt idx="2857">
                  <c:v>44320</c:v>
                </c:pt>
                <c:pt idx="2858">
                  <c:v>44321</c:v>
                </c:pt>
                <c:pt idx="2859">
                  <c:v>44322</c:v>
                </c:pt>
                <c:pt idx="2860">
                  <c:v>44323</c:v>
                </c:pt>
                <c:pt idx="2861">
                  <c:v>44326</c:v>
                </c:pt>
                <c:pt idx="2862">
                  <c:v>44327</c:v>
                </c:pt>
                <c:pt idx="2863">
                  <c:v>44328</c:v>
                </c:pt>
                <c:pt idx="2864">
                  <c:v>44329</c:v>
                </c:pt>
                <c:pt idx="2865">
                  <c:v>44330</c:v>
                </c:pt>
                <c:pt idx="2866">
                  <c:v>44333</c:v>
                </c:pt>
                <c:pt idx="2867">
                  <c:v>44334</c:v>
                </c:pt>
                <c:pt idx="2868">
                  <c:v>44335</c:v>
                </c:pt>
                <c:pt idx="2869">
                  <c:v>44336</c:v>
                </c:pt>
                <c:pt idx="2870">
                  <c:v>44337</c:v>
                </c:pt>
                <c:pt idx="2871">
                  <c:v>44340</c:v>
                </c:pt>
                <c:pt idx="2872">
                  <c:v>44341</c:v>
                </c:pt>
                <c:pt idx="2873">
                  <c:v>44342</c:v>
                </c:pt>
                <c:pt idx="2874">
                  <c:v>44343</c:v>
                </c:pt>
                <c:pt idx="2875">
                  <c:v>44344</c:v>
                </c:pt>
                <c:pt idx="2876">
                  <c:v>44348</c:v>
                </c:pt>
                <c:pt idx="2877">
                  <c:v>44349</c:v>
                </c:pt>
                <c:pt idx="2878">
                  <c:v>44350</c:v>
                </c:pt>
                <c:pt idx="2879">
                  <c:v>44351</c:v>
                </c:pt>
                <c:pt idx="2880">
                  <c:v>44354</c:v>
                </c:pt>
                <c:pt idx="2881">
                  <c:v>44355</c:v>
                </c:pt>
                <c:pt idx="2882">
                  <c:v>44356</c:v>
                </c:pt>
                <c:pt idx="2883">
                  <c:v>44357</c:v>
                </c:pt>
                <c:pt idx="2884">
                  <c:v>44358</c:v>
                </c:pt>
                <c:pt idx="2885">
                  <c:v>44361</c:v>
                </c:pt>
                <c:pt idx="2886">
                  <c:v>44362</c:v>
                </c:pt>
                <c:pt idx="2887">
                  <c:v>44363</c:v>
                </c:pt>
                <c:pt idx="2888">
                  <c:v>44364</c:v>
                </c:pt>
                <c:pt idx="2889">
                  <c:v>44365</c:v>
                </c:pt>
                <c:pt idx="2890">
                  <c:v>44368</c:v>
                </c:pt>
                <c:pt idx="2891">
                  <c:v>44369</c:v>
                </c:pt>
                <c:pt idx="2892">
                  <c:v>44370</c:v>
                </c:pt>
                <c:pt idx="2893">
                  <c:v>44371</c:v>
                </c:pt>
                <c:pt idx="2894">
                  <c:v>44372</c:v>
                </c:pt>
                <c:pt idx="2895">
                  <c:v>44375</c:v>
                </c:pt>
                <c:pt idx="2896">
                  <c:v>44376</c:v>
                </c:pt>
                <c:pt idx="2897">
                  <c:v>44377</c:v>
                </c:pt>
                <c:pt idx="2898">
                  <c:v>44378</c:v>
                </c:pt>
                <c:pt idx="2899">
                  <c:v>44379</c:v>
                </c:pt>
                <c:pt idx="2900">
                  <c:v>44383</c:v>
                </c:pt>
                <c:pt idx="2901">
                  <c:v>44384</c:v>
                </c:pt>
                <c:pt idx="2902">
                  <c:v>44385</c:v>
                </c:pt>
                <c:pt idx="2903">
                  <c:v>44386</c:v>
                </c:pt>
                <c:pt idx="2904">
                  <c:v>44389</c:v>
                </c:pt>
                <c:pt idx="2905">
                  <c:v>44390</c:v>
                </c:pt>
                <c:pt idx="2906">
                  <c:v>44391</c:v>
                </c:pt>
                <c:pt idx="2907">
                  <c:v>44392</c:v>
                </c:pt>
                <c:pt idx="2908">
                  <c:v>44393</c:v>
                </c:pt>
                <c:pt idx="2909">
                  <c:v>44396</c:v>
                </c:pt>
                <c:pt idx="2910">
                  <c:v>44397</c:v>
                </c:pt>
                <c:pt idx="2911">
                  <c:v>44398</c:v>
                </c:pt>
                <c:pt idx="2912">
                  <c:v>44399</c:v>
                </c:pt>
                <c:pt idx="2913">
                  <c:v>44400</c:v>
                </c:pt>
                <c:pt idx="2914">
                  <c:v>44403</c:v>
                </c:pt>
                <c:pt idx="2915">
                  <c:v>44404</c:v>
                </c:pt>
                <c:pt idx="2916">
                  <c:v>44405</c:v>
                </c:pt>
                <c:pt idx="2917">
                  <c:v>44406</c:v>
                </c:pt>
                <c:pt idx="2918">
                  <c:v>44407</c:v>
                </c:pt>
                <c:pt idx="2919">
                  <c:v>44410</c:v>
                </c:pt>
                <c:pt idx="2920">
                  <c:v>44411</c:v>
                </c:pt>
                <c:pt idx="2921">
                  <c:v>44412</c:v>
                </c:pt>
                <c:pt idx="2922">
                  <c:v>44413</c:v>
                </c:pt>
                <c:pt idx="2923">
                  <c:v>44414</c:v>
                </c:pt>
                <c:pt idx="2924">
                  <c:v>44417</c:v>
                </c:pt>
                <c:pt idx="2925">
                  <c:v>44418</c:v>
                </c:pt>
                <c:pt idx="2926">
                  <c:v>44419</c:v>
                </c:pt>
                <c:pt idx="2927">
                  <c:v>44420</c:v>
                </c:pt>
                <c:pt idx="2928">
                  <c:v>44421</c:v>
                </c:pt>
                <c:pt idx="2929">
                  <c:v>44424</c:v>
                </c:pt>
                <c:pt idx="2930">
                  <c:v>44425</c:v>
                </c:pt>
                <c:pt idx="2931">
                  <c:v>44426</c:v>
                </c:pt>
                <c:pt idx="2932">
                  <c:v>44427</c:v>
                </c:pt>
                <c:pt idx="2933">
                  <c:v>44428</c:v>
                </c:pt>
                <c:pt idx="2934">
                  <c:v>44431</c:v>
                </c:pt>
                <c:pt idx="2935">
                  <c:v>44432</c:v>
                </c:pt>
                <c:pt idx="2936">
                  <c:v>44433</c:v>
                </c:pt>
                <c:pt idx="2937">
                  <c:v>44434</c:v>
                </c:pt>
                <c:pt idx="2938">
                  <c:v>44435</c:v>
                </c:pt>
                <c:pt idx="2939">
                  <c:v>44438</c:v>
                </c:pt>
                <c:pt idx="2940">
                  <c:v>44439</c:v>
                </c:pt>
                <c:pt idx="2941">
                  <c:v>44440</c:v>
                </c:pt>
                <c:pt idx="2942">
                  <c:v>44441</c:v>
                </c:pt>
                <c:pt idx="2943">
                  <c:v>44442</c:v>
                </c:pt>
                <c:pt idx="2944">
                  <c:v>44446</c:v>
                </c:pt>
                <c:pt idx="2945">
                  <c:v>44447</c:v>
                </c:pt>
                <c:pt idx="2946">
                  <c:v>44448</c:v>
                </c:pt>
                <c:pt idx="2947">
                  <c:v>44449</c:v>
                </c:pt>
                <c:pt idx="2948">
                  <c:v>44452</c:v>
                </c:pt>
                <c:pt idx="2949">
                  <c:v>44453</c:v>
                </c:pt>
                <c:pt idx="2950">
                  <c:v>44454</c:v>
                </c:pt>
                <c:pt idx="2951">
                  <c:v>44455</c:v>
                </c:pt>
                <c:pt idx="2952">
                  <c:v>44456</c:v>
                </c:pt>
                <c:pt idx="2953">
                  <c:v>44459</c:v>
                </c:pt>
                <c:pt idx="2954">
                  <c:v>44460</c:v>
                </c:pt>
                <c:pt idx="2955">
                  <c:v>44461</c:v>
                </c:pt>
                <c:pt idx="2956">
                  <c:v>44462</c:v>
                </c:pt>
                <c:pt idx="2957">
                  <c:v>44463</c:v>
                </c:pt>
                <c:pt idx="2958">
                  <c:v>44466</c:v>
                </c:pt>
                <c:pt idx="2959">
                  <c:v>44467</c:v>
                </c:pt>
                <c:pt idx="2960">
                  <c:v>44468</c:v>
                </c:pt>
                <c:pt idx="2961">
                  <c:v>44469</c:v>
                </c:pt>
                <c:pt idx="2962">
                  <c:v>44470</c:v>
                </c:pt>
                <c:pt idx="2963">
                  <c:v>44473</c:v>
                </c:pt>
                <c:pt idx="2964">
                  <c:v>44474</c:v>
                </c:pt>
                <c:pt idx="2965">
                  <c:v>44475</c:v>
                </c:pt>
                <c:pt idx="2966">
                  <c:v>44476</c:v>
                </c:pt>
                <c:pt idx="2967">
                  <c:v>44477</c:v>
                </c:pt>
                <c:pt idx="2968">
                  <c:v>44480</c:v>
                </c:pt>
                <c:pt idx="2969">
                  <c:v>44481</c:v>
                </c:pt>
                <c:pt idx="2970">
                  <c:v>44482</c:v>
                </c:pt>
                <c:pt idx="2971">
                  <c:v>44483</c:v>
                </c:pt>
                <c:pt idx="2972">
                  <c:v>44484</c:v>
                </c:pt>
                <c:pt idx="2973">
                  <c:v>44487</c:v>
                </c:pt>
                <c:pt idx="2974">
                  <c:v>44488</c:v>
                </c:pt>
                <c:pt idx="2975">
                  <c:v>44489</c:v>
                </c:pt>
                <c:pt idx="2976">
                  <c:v>44490</c:v>
                </c:pt>
                <c:pt idx="2977">
                  <c:v>44491</c:v>
                </c:pt>
                <c:pt idx="2978">
                  <c:v>44494</c:v>
                </c:pt>
                <c:pt idx="2979">
                  <c:v>44495</c:v>
                </c:pt>
                <c:pt idx="2980">
                  <c:v>44496</c:v>
                </c:pt>
                <c:pt idx="2981">
                  <c:v>44497</c:v>
                </c:pt>
                <c:pt idx="2982">
                  <c:v>44498</c:v>
                </c:pt>
                <c:pt idx="2983">
                  <c:v>44501</c:v>
                </c:pt>
                <c:pt idx="2984">
                  <c:v>44502</c:v>
                </c:pt>
                <c:pt idx="2985">
                  <c:v>44503</c:v>
                </c:pt>
                <c:pt idx="2986">
                  <c:v>44504</c:v>
                </c:pt>
                <c:pt idx="2987">
                  <c:v>44505</c:v>
                </c:pt>
                <c:pt idx="2988">
                  <c:v>44508</c:v>
                </c:pt>
                <c:pt idx="2989">
                  <c:v>44509</c:v>
                </c:pt>
                <c:pt idx="2990">
                  <c:v>44510</c:v>
                </c:pt>
                <c:pt idx="2991">
                  <c:v>44511</c:v>
                </c:pt>
                <c:pt idx="2992">
                  <c:v>44512</c:v>
                </c:pt>
                <c:pt idx="2993">
                  <c:v>44515</c:v>
                </c:pt>
                <c:pt idx="2994">
                  <c:v>44516</c:v>
                </c:pt>
                <c:pt idx="2995">
                  <c:v>44517</c:v>
                </c:pt>
                <c:pt idx="2996">
                  <c:v>44518</c:v>
                </c:pt>
                <c:pt idx="2997">
                  <c:v>44519</c:v>
                </c:pt>
                <c:pt idx="2998">
                  <c:v>44522</c:v>
                </c:pt>
                <c:pt idx="2999">
                  <c:v>44523</c:v>
                </c:pt>
                <c:pt idx="3000">
                  <c:v>44524</c:v>
                </c:pt>
                <c:pt idx="3001">
                  <c:v>44525</c:v>
                </c:pt>
                <c:pt idx="3002">
                  <c:v>44526</c:v>
                </c:pt>
                <c:pt idx="3003">
                  <c:v>44529</c:v>
                </c:pt>
                <c:pt idx="3004">
                  <c:v>44530</c:v>
                </c:pt>
                <c:pt idx="3005">
                  <c:v>44531</c:v>
                </c:pt>
                <c:pt idx="3006">
                  <c:v>44532</c:v>
                </c:pt>
                <c:pt idx="3007">
                  <c:v>44533</c:v>
                </c:pt>
                <c:pt idx="3008">
                  <c:v>44536</c:v>
                </c:pt>
                <c:pt idx="3009">
                  <c:v>44537</c:v>
                </c:pt>
                <c:pt idx="3010">
                  <c:v>44538</c:v>
                </c:pt>
                <c:pt idx="3011">
                  <c:v>44539</c:v>
                </c:pt>
                <c:pt idx="3012">
                  <c:v>44540</c:v>
                </c:pt>
                <c:pt idx="3013">
                  <c:v>44543</c:v>
                </c:pt>
                <c:pt idx="3014">
                  <c:v>44544</c:v>
                </c:pt>
                <c:pt idx="3015">
                  <c:v>44545</c:v>
                </c:pt>
                <c:pt idx="3016">
                  <c:v>44546</c:v>
                </c:pt>
                <c:pt idx="3017">
                  <c:v>44547</c:v>
                </c:pt>
                <c:pt idx="3018">
                  <c:v>44550</c:v>
                </c:pt>
                <c:pt idx="3019">
                  <c:v>44551</c:v>
                </c:pt>
                <c:pt idx="3020">
                  <c:v>44552</c:v>
                </c:pt>
                <c:pt idx="3021">
                  <c:v>44553</c:v>
                </c:pt>
                <c:pt idx="3022">
                  <c:v>44554</c:v>
                </c:pt>
                <c:pt idx="3023">
                  <c:v>44557</c:v>
                </c:pt>
                <c:pt idx="3024">
                  <c:v>44558</c:v>
                </c:pt>
                <c:pt idx="3025">
                  <c:v>44559</c:v>
                </c:pt>
                <c:pt idx="3026">
                  <c:v>44560</c:v>
                </c:pt>
                <c:pt idx="3027">
                  <c:v>44561</c:v>
                </c:pt>
                <c:pt idx="3028">
                  <c:v>44564</c:v>
                </c:pt>
                <c:pt idx="3029">
                  <c:v>44565</c:v>
                </c:pt>
                <c:pt idx="3030">
                  <c:v>44566</c:v>
                </c:pt>
                <c:pt idx="3031">
                  <c:v>44567</c:v>
                </c:pt>
                <c:pt idx="3032">
                  <c:v>44568</c:v>
                </c:pt>
                <c:pt idx="3033">
                  <c:v>44571</c:v>
                </c:pt>
                <c:pt idx="3034">
                  <c:v>44572</c:v>
                </c:pt>
                <c:pt idx="3035">
                  <c:v>44573</c:v>
                </c:pt>
                <c:pt idx="3036">
                  <c:v>44574</c:v>
                </c:pt>
                <c:pt idx="3037">
                  <c:v>44575</c:v>
                </c:pt>
                <c:pt idx="3038">
                  <c:v>44579</c:v>
                </c:pt>
                <c:pt idx="3039">
                  <c:v>44580</c:v>
                </c:pt>
                <c:pt idx="3040">
                  <c:v>44581</c:v>
                </c:pt>
                <c:pt idx="3041">
                  <c:v>44582</c:v>
                </c:pt>
                <c:pt idx="3042">
                  <c:v>44585</c:v>
                </c:pt>
                <c:pt idx="3043">
                  <c:v>44586</c:v>
                </c:pt>
                <c:pt idx="3044">
                  <c:v>44587</c:v>
                </c:pt>
                <c:pt idx="3045">
                  <c:v>44588</c:v>
                </c:pt>
                <c:pt idx="3046">
                  <c:v>44589</c:v>
                </c:pt>
                <c:pt idx="3047">
                  <c:v>44592</c:v>
                </c:pt>
                <c:pt idx="3048">
                  <c:v>44593</c:v>
                </c:pt>
                <c:pt idx="3049">
                  <c:v>44594</c:v>
                </c:pt>
                <c:pt idx="3050">
                  <c:v>44595</c:v>
                </c:pt>
                <c:pt idx="3051">
                  <c:v>44596</c:v>
                </c:pt>
                <c:pt idx="3052">
                  <c:v>44599</c:v>
                </c:pt>
                <c:pt idx="3053">
                  <c:v>44600</c:v>
                </c:pt>
                <c:pt idx="3054">
                  <c:v>44601</c:v>
                </c:pt>
                <c:pt idx="3055">
                  <c:v>44602</c:v>
                </c:pt>
                <c:pt idx="3056">
                  <c:v>44603</c:v>
                </c:pt>
                <c:pt idx="3057">
                  <c:v>44606</c:v>
                </c:pt>
                <c:pt idx="3058">
                  <c:v>44607</c:v>
                </c:pt>
                <c:pt idx="3059">
                  <c:v>44608</c:v>
                </c:pt>
                <c:pt idx="3060">
                  <c:v>44609</c:v>
                </c:pt>
                <c:pt idx="3061">
                  <c:v>44610</c:v>
                </c:pt>
                <c:pt idx="3062">
                  <c:v>44614</c:v>
                </c:pt>
                <c:pt idx="3063">
                  <c:v>44615</c:v>
                </c:pt>
                <c:pt idx="3064">
                  <c:v>44616</c:v>
                </c:pt>
                <c:pt idx="3065">
                  <c:v>44617</c:v>
                </c:pt>
                <c:pt idx="3066">
                  <c:v>44620</c:v>
                </c:pt>
                <c:pt idx="3067">
                  <c:v>44621</c:v>
                </c:pt>
                <c:pt idx="3068">
                  <c:v>44622</c:v>
                </c:pt>
                <c:pt idx="3069">
                  <c:v>44623</c:v>
                </c:pt>
                <c:pt idx="3070">
                  <c:v>44624</c:v>
                </c:pt>
                <c:pt idx="3071">
                  <c:v>44627</c:v>
                </c:pt>
                <c:pt idx="3072">
                  <c:v>44628</c:v>
                </c:pt>
                <c:pt idx="3073">
                  <c:v>44629</c:v>
                </c:pt>
                <c:pt idx="3074">
                  <c:v>44630</c:v>
                </c:pt>
                <c:pt idx="3075">
                  <c:v>44631</c:v>
                </c:pt>
                <c:pt idx="3076">
                  <c:v>44634</c:v>
                </c:pt>
                <c:pt idx="3077">
                  <c:v>44635</c:v>
                </c:pt>
                <c:pt idx="3078">
                  <c:v>44636</c:v>
                </c:pt>
                <c:pt idx="3079">
                  <c:v>44637</c:v>
                </c:pt>
                <c:pt idx="3080">
                  <c:v>44638</c:v>
                </c:pt>
                <c:pt idx="3081">
                  <c:v>44641</c:v>
                </c:pt>
                <c:pt idx="3082">
                  <c:v>44642</c:v>
                </c:pt>
                <c:pt idx="3083">
                  <c:v>44643</c:v>
                </c:pt>
                <c:pt idx="3084">
                  <c:v>44644</c:v>
                </c:pt>
                <c:pt idx="3085">
                  <c:v>44645</c:v>
                </c:pt>
                <c:pt idx="3086">
                  <c:v>44648</c:v>
                </c:pt>
                <c:pt idx="3087">
                  <c:v>44649</c:v>
                </c:pt>
                <c:pt idx="3088">
                  <c:v>44650</c:v>
                </c:pt>
                <c:pt idx="3089">
                  <c:v>44651</c:v>
                </c:pt>
                <c:pt idx="3090">
                  <c:v>44652</c:v>
                </c:pt>
                <c:pt idx="3091">
                  <c:v>44655</c:v>
                </c:pt>
                <c:pt idx="3092">
                  <c:v>44656</c:v>
                </c:pt>
                <c:pt idx="3093">
                  <c:v>44657</c:v>
                </c:pt>
                <c:pt idx="3094">
                  <c:v>44658</c:v>
                </c:pt>
                <c:pt idx="3095">
                  <c:v>44659</c:v>
                </c:pt>
                <c:pt idx="3096">
                  <c:v>44662</c:v>
                </c:pt>
                <c:pt idx="3097">
                  <c:v>44663</c:v>
                </c:pt>
                <c:pt idx="3098">
                  <c:v>44664</c:v>
                </c:pt>
                <c:pt idx="3099">
                  <c:v>44665</c:v>
                </c:pt>
                <c:pt idx="3100">
                  <c:v>44666</c:v>
                </c:pt>
                <c:pt idx="3101">
                  <c:v>44669</c:v>
                </c:pt>
                <c:pt idx="3102">
                  <c:v>44670</c:v>
                </c:pt>
                <c:pt idx="3103">
                  <c:v>44671</c:v>
                </c:pt>
                <c:pt idx="3104">
                  <c:v>44672</c:v>
                </c:pt>
                <c:pt idx="3105">
                  <c:v>44673</c:v>
                </c:pt>
                <c:pt idx="3106">
                  <c:v>44676</c:v>
                </c:pt>
                <c:pt idx="3107">
                  <c:v>44677</c:v>
                </c:pt>
                <c:pt idx="3108">
                  <c:v>44678</c:v>
                </c:pt>
                <c:pt idx="3109">
                  <c:v>44679</c:v>
                </c:pt>
                <c:pt idx="3110">
                  <c:v>44680</c:v>
                </c:pt>
                <c:pt idx="3111">
                  <c:v>44683</c:v>
                </c:pt>
                <c:pt idx="3112">
                  <c:v>44684</c:v>
                </c:pt>
                <c:pt idx="3113">
                  <c:v>44685</c:v>
                </c:pt>
                <c:pt idx="3114">
                  <c:v>44686</c:v>
                </c:pt>
                <c:pt idx="3115">
                  <c:v>44687</c:v>
                </c:pt>
                <c:pt idx="3116">
                  <c:v>44690</c:v>
                </c:pt>
                <c:pt idx="3117">
                  <c:v>44691</c:v>
                </c:pt>
                <c:pt idx="3118">
                  <c:v>44692</c:v>
                </c:pt>
                <c:pt idx="3119">
                  <c:v>44693</c:v>
                </c:pt>
                <c:pt idx="3120">
                  <c:v>44694</c:v>
                </c:pt>
                <c:pt idx="3121">
                  <c:v>44697</c:v>
                </c:pt>
                <c:pt idx="3122">
                  <c:v>44698</c:v>
                </c:pt>
                <c:pt idx="3123">
                  <c:v>44699</c:v>
                </c:pt>
                <c:pt idx="3124">
                  <c:v>44700</c:v>
                </c:pt>
                <c:pt idx="3125">
                  <c:v>44701</c:v>
                </c:pt>
                <c:pt idx="3126">
                  <c:v>44704</c:v>
                </c:pt>
                <c:pt idx="3127">
                  <c:v>44705</c:v>
                </c:pt>
                <c:pt idx="3128">
                  <c:v>44706</c:v>
                </c:pt>
                <c:pt idx="3129">
                  <c:v>44707</c:v>
                </c:pt>
                <c:pt idx="3130">
                  <c:v>44708</c:v>
                </c:pt>
                <c:pt idx="3131">
                  <c:v>44711</c:v>
                </c:pt>
                <c:pt idx="3132">
                  <c:v>44712</c:v>
                </c:pt>
                <c:pt idx="3133">
                  <c:v>44713</c:v>
                </c:pt>
                <c:pt idx="3134">
                  <c:v>44714</c:v>
                </c:pt>
                <c:pt idx="3135">
                  <c:v>44715</c:v>
                </c:pt>
                <c:pt idx="3136">
                  <c:v>44718</c:v>
                </c:pt>
                <c:pt idx="3137">
                  <c:v>44719</c:v>
                </c:pt>
                <c:pt idx="3138">
                  <c:v>44720</c:v>
                </c:pt>
                <c:pt idx="3139">
                  <c:v>44721</c:v>
                </c:pt>
                <c:pt idx="3140">
                  <c:v>44722</c:v>
                </c:pt>
                <c:pt idx="3141">
                  <c:v>44725</c:v>
                </c:pt>
                <c:pt idx="3142">
                  <c:v>44726</c:v>
                </c:pt>
                <c:pt idx="3143">
                  <c:v>44727</c:v>
                </c:pt>
                <c:pt idx="3144">
                  <c:v>44728</c:v>
                </c:pt>
                <c:pt idx="3145">
                  <c:v>44729</c:v>
                </c:pt>
                <c:pt idx="3146">
                  <c:v>44732</c:v>
                </c:pt>
                <c:pt idx="3147">
                  <c:v>44733</c:v>
                </c:pt>
                <c:pt idx="3148">
                  <c:v>44734</c:v>
                </c:pt>
                <c:pt idx="3149">
                  <c:v>44735</c:v>
                </c:pt>
                <c:pt idx="3150">
                  <c:v>44736</c:v>
                </c:pt>
                <c:pt idx="3151">
                  <c:v>44739</c:v>
                </c:pt>
                <c:pt idx="3152">
                  <c:v>44740</c:v>
                </c:pt>
                <c:pt idx="3153">
                  <c:v>44741</c:v>
                </c:pt>
                <c:pt idx="3154">
                  <c:v>44742</c:v>
                </c:pt>
                <c:pt idx="3155">
                  <c:v>44743</c:v>
                </c:pt>
                <c:pt idx="3156">
                  <c:v>44746</c:v>
                </c:pt>
                <c:pt idx="3157">
                  <c:v>44747</c:v>
                </c:pt>
                <c:pt idx="3158">
                  <c:v>44748</c:v>
                </c:pt>
                <c:pt idx="3159">
                  <c:v>44749</c:v>
                </c:pt>
                <c:pt idx="3160">
                  <c:v>44750</c:v>
                </c:pt>
                <c:pt idx="3161">
                  <c:v>44753</c:v>
                </c:pt>
                <c:pt idx="3162">
                  <c:v>44754</c:v>
                </c:pt>
                <c:pt idx="3163">
                  <c:v>44755</c:v>
                </c:pt>
                <c:pt idx="3164">
                  <c:v>44756</c:v>
                </c:pt>
                <c:pt idx="3165">
                  <c:v>44757</c:v>
                </c:pt>
                <c:pt idx="3166">
                  <c:v>44760</c:v>
                </c:pt>
                <c:pt idx="3167">
                  <c:v>44761</c:v>
                </c:pt>
                <c:pt idx="3168">
                  <c:v>44762</c:v>
                </c:pt>
                <c:pt idx="3169">
                  <c:v>44763</c:v>
                </c:pt>
                <c:pt idx="3170">
                  <c:v>44764</c:v>
                </c:pt>
                <c:pt idx="3171">
                  <c:v>44767</c:v>
                </c:pt>
                <c:pt idx="3172">
                  <c:v>44768</c:v>
                </c:pt>
                <c:pt idx="3173">
                  <c:v>44769</c:v>
                </c:pt>
                <c:pt idx="3174">
                  <c:v>44770</c:v>
                </c:pt>
                <c:pt idx="3175">
                  <c:v>44771</c:v>
                </c:pt>
                <c:pt idx="3176">
                  <c:v>44774</c:v>
                </c:pt>
                <c:pt idx="3177">
                  <c:v>44775</c:v>
                </c:pt>
                <c:pt idx="3178">
                  <c:v>44776</c:v>
                </c:pt>
                <c:pt idx="3179">
                  <c:v>44777</c:v>
                </c:pt>
                <c:pt idx="3180">
                  <c:v>44778</c:v>
                </c:pt>
                <c:pt idx="3181">
                  <c:v>44781</c:v>
                </c:pt>
                <c:pt idx="3182">
                  <c:v>44782</c:v>
                </c:pt>
                <c:pt idx="3183">
                  <c:v>44783</c:v>
                </c:pt>
                <c:pt idx="3184">
                  <c:v>44784</c:v>
                </c:pt>
                <c:pt idx="3185">
                  <c:v>44785</c:v>
                </c:pt>
                <c:pt idx="3186">
                  <c:v>44788</c:v>
                </c:pt>
                <c:pt idx="3187">
                  <c:v>44789</c:v>
                </c:pt>
                <c:pt idx="3188">
                  <c:v>44790</c:v>
                </c:pt>
                <c:pt idx="3189">
                  <c:v>44791</c:v>
                </c:pt>
                <c:pt idx="3190">
                  <c:v>44792</c:v>
                </c:pt>
                <c:pt idx="3191">
                  <c:v>44795</c:v>
                </c:pt>
                <c:pt idx="3192">
                  <c:v>44796</c:v>
                </c:pt>
                <c:pt idx="3193">
                  <c:v>44797</c:v>
                </c:pt>
                <c:pt idx="3194">
                  <c:v>44798</c:v>
                </c:pt>
                <c:pt idx="3195">
                  <c:v>44799</c:v>
                </c:pt>
                <c:pt idx="3196">
                  <c:v>44802</c:v>
                </c:pt>
                <c:pt idx="3197">
                  <c:v>44803</c:v>
                </c:pt>
                <c:pt idx="3198">
                  <c:v>44804</c:v>
                </c:pt>
                <c:pt idx="3199">
                  <c:v>44805</c:v>
                </c:pt>
                <c:pt idx="3200">
                  <c:v>44806</c:v>
                </c:pt>
                <c:pt idx="3201">
                  <c:v>44809</c:v>
                </c:pt>
                <c:pt idx="3202">
                  <c:v>44810</c:v>
                </c:pt>
                <c:pt idx="3203">
                  <c:v>44811</c:v>
                </c:pt>
                <c:pt idx="3204">
                  <c:v>44812</c:v>
                </c:pt>
                <c:pt idx="3205">
                  <c:v>44813</c:v>
                </c:pt>
                <c:pt idx="3206">
                  <c:v>44816</c:v>
                </c:pt>
                <c:pt idx="3207">
                  <c:v>44817</c:v>
                </c:pt>
                <c:pt idx="3208">
                  <c:v>44818</c:v>
                </c:pt>
                <c:pt idx="3209">
                  <c:v>44819</c:v>
                </c:pt>
                <c:pt idx="3210">
                  <c:v>44820</c:v>
                </c:pt>
                <c:pt idx="3211">
                  <c:v>44823</c:v>
                </c:pt>
                <c:pt idx="3212">
                  <c:v>44824</c:v>
                </c:pt>
                <c:pt idx="3213">
                  <c:v>44825</c:v>
                </c:pt>
                <c:pt idx="3214">
                  <c:v>44826</c:v>
                </c:pt>
                <c:pt idx="3215">
                  <c:v>44827</c:v>
                </c:pt>
                <c:pt idx="3216">
                  <c:v>44830</c:v>
                </c:pt>
                <c:pt idx="3217">
                  <c:v>44831</c:v>
                </c:pt>
                <c:pt idx="3218">
                  <c:v>44832</c:v>
                </c:pt>
                <c:pt idx="3219">
                  <c:v>44833</c:v>
                </c:pt>
                <c:pt idx="3220">
                  <c:v>44834</c:v>
                </c:pt>
                <c:pt idx="3221">
                  <c:v>44837</c:v>
                </c:pt>
                <c:pt idx="3222">
                  <c:v>44838</c:v>
                </c:pt>
                <c:pt idx="3223">
                  <c:v>44839</c:v>
                </c:pt>
                <c:pt idx="3224">
                  <c:v>44840</c:v>
                </c:pt>
                <c:pt idx="3225">
                  <c:v>44841</c:v>
                </c:pt>
                <c:pt idx="3226">
                  <c:v>44844</c:v>
                </c:pt>
                <c:pt idx="3227">
                  <c:v>44845</c:v>
                </c:pt>
                <c:pt idx="3228">
                  <c:v>44846</c:v>
                </c:pt>
                <c:pt idx="3229">
                  <c:v>44847</c:v>
                </c:pt>
                <c:pt idx="3230">
                  <c:v>44848</c:v>
                </c:pt>
                <c:pt idx="3231">
                  <c:v>44851</c:v>
                </c:pt>
                <c:pt idx="3232">
                  <c:v>44852</c:v>
                </c:pt>
                <c:pt idx="3233">
                  <c:v>44853</c:v>
                </c:pt>
                <c:pt idx="3234">
                  <c:v>44854</c:v>
                </c:pt>
                <c:pt idx="3235">
                  <c:v>44855</c:v>
                </c:pt>
                <c:pt idx="3236">
                  <c:v>44858</c:v>
                </c:pt>
                <c:pt idx="3237">
                  <c:v>44859</c:v>
                </c:pt>
                <c:pt idx="3238">
                  <c:v>44860</c:v>
                </c:pt>
                <c:pt idx="3239">
                  <c:v>44861</c:v>
                </c:pt>
                <c:pt idx="3240">
                  <c:v>44862</c:v>
                </c:pt>
                <c:pt idx="3241">
                  <c:v>44865</c:v>
                </c:pt>
                <c:pt idx="3242">
                  <c:v>44866</c:v>
                </c:pt>
                <c:pt idx="3243">
                  <c:v>44867</c:v>
                </c:pt>
                <c:pt idx="3244">
                  <c:v>44868</c:v>
                </c:pt>
                <c:pt idx="3245">
                  <c:v>44869</c:v>
                </c:pt>
                <c:pt idx="3246">
                  <c:v>44872</c:v>
                </c:pt>
                <c:pt idx="3247">
                  <c:v>44873</c:v>
                </c:pt>
                <c:pt idx="3248">
                  <c:v>44874</c:v>
                </c:pt>
                <c:pt idx="3249">
                  <c:v>44875</c:v>
                </c:pt>
                <c:pt idx="3250">
                  <c:v>44876</c:v>
                </c:pt>
                <c:pt idx="3251">
                  <c:v>44879</c:v>
                </c:pt>
                <c:pt idx="3252">
                  <c:v>44880</c:v>
                </c:pt>
                <c:pt idx="3253">
                  <c:v>44881</c:v>
                </c:pt>
                <c:pt idx="3254">
                  <c:v>44882</c:v>
                </c:pt>
                <c:pt idx="3255">
                  <c:v>44883</c:v>
                </c:pt>
                <c:pt idx="3256">
                  <c:v>44886</c:v>
                </c:pt>
                <c:pt idx="3257">
                  <c:v>44887</c:v>
                </c:pt>
                <c:pt idx="3258">
                  <c:v>44888</c:v>
                </c:pt>
                <c:pt idx="3259">
                  <c:v>44889</c:v>
                </c:pt>
                <c:pt idx="3260">
                  <c:v>44890</c:v>
                </c:pt>
                <c:pt idx="3261">
                  <c:v>44893</c:v>
                </c:pt>
                <c:pt idx="3262">
                  <c:v>44894</c:v>
                </c:pt>
                <c:pt idx="3263">
                  <c:v>44895</c:v>
                </c:pt>
                <c:pt idx="3264">
                  <c:v>44896</c:v>
                </c:pt>
                <c:pt idx="3265">
                  <c:v>44897</c:v>
                </c:pt>
                <c:pt idx="3266">
                  <c:v>44900</c:v>
                </c:pt>
                <c:pt idx="3267">
                  <c:v>44901</c:v>
                </c:pt>
                <c:pt idx="3268">
                  <c:v>44902</c:v>
                </c:pt>
                <c:pt idx="3269">
                  <c:v>44903</c:v>
                </c:pt>
                <c:pt idx="3270">
                  <c:v>44904</c:v>
                </c:pt>
                <c:pt idx="3271">
                  <c:v>44907</c:v>
                </c:pt>
                <c:pt idx="3272">
                  <c:v>44908</c:v>
                </c:pt>
                <c:pt idx="3273">
                  <c:v>44909</c:v>
                </c:pt>
                <c:pt idx="3274">
                  <c:v>44910</c:v>
                </c:pt>
                <c:pt idx="3275">
                  <c:v>44911</c:v>
                </c:pt>
                <c:pt idx="3276">
                  <c:v>44914</c:v>
                </c:pt>
                <c:pt idx="3277">
                  <c:v>44915</c:v>
                </c:pt>
                <c:pt idx="3278">
                  <c:v>44916</c:v>
                </c:pt>
                <c:pt idx="3279">
                  <c:v>44917</c:v>
                </c:pt>
                <c:pt idx="3280">
                  <c:v>44918</c:v>
                </c:pt>
                <c:pt idx="3281">
                  <c:v>44921</c:v>
                </c:pt>
                <c:pt idx="3282">
                  <c:v>44922</c:v>
                </c:pt>
                <c:pt idx="3283">
                  <c:v>44923</c:v>
                </c:pt>
                <c:pt idx="3284">
                  <c:v>44924</c:v>
                </c:pt>
                <c:pt idx="3285">
                  <c:v>44925</c:v>
                </c:pt>
                <c:pt idx="3286">
                  <c:v>44929</c:v>
                </c:pt>
                <c:pt idx="3287">
                  <c:v>44930</c:v>
                </c:pt>
                <c:pt idx="3288">
                  <c:v>44931</c:v>
                </c:pt>
                <c:pt idx="3289">
                  <c:v>44932</c:v>
                </c:pt>
                <c:pt idx="3290">
                  <c:v>44935</c:v>
                </c:pt>
                <c:pt idx="3291">
                  <c:v>44936</c:v>
                </c:pt>
                <c:pt idx="3292">
                  <c:v>44937</c:v>
                </c:pt>
                <c:pt idx="3293">
                  <c:v>44938</c:v>
                </c:pt>
                <c:pt idx="3294">
                  <c:v>44939</c:v>
                </c:pt>
                <c:pt idx="3295">
                  <c:v>44942</c:v>
                </c:pt>
                <c:pt idx="3296">
                  <c:v>44943</c:v>
                </c:pt>
                <c:pt idx="3297">
                  <c:v>44944</c:v>
                </c:pt>
                <c:pt idx="3298">
                  <c:v>44945</c:v>
                </c:pt>
                <c:pt idx="3299">
                  <c:v>44946</c:v>
                </c:pt>
                <c:pt idx="3300">
                  <c:v>44949</c:v>
                </c:pt>
                <c:pt idx="3301">
                  <c:v>44950</c:v>
                </c:pt>
                <c:pt idx="3302">
                  <c:v>44951</c:v>
                </c:pt>
                <c:pt idx="3303">
                  <c:v>44952</c:v>
                </c:pt>
                <c:pt idx="3304">
                  <c:v>44953</c:v>
                </c:pt>
                <c:pt idx="3305">
                  <c:v>44956</c:v>
                </c:pt>
                <c:pt idx="3306">
                  <c:v>44957</c:v>
                </c:pt>
                <c:pt idx="3307">
                  <c:v>44958</c:v>
                </c:pt>
                <c:pt idx="3308">
                  <c:v>44959</c:v>
                </c:pt>
                <c:pt idx="3309">
                  <c:v>44960</c:v>
                </c:pt>
                <c:pt idx="3310">
                  <c:v>44963</c:v>
                </c:pt>
                <c:pt idx="3311">
                  <c:v>44964</c:v>
                </c:pt>
                <c:pt idx="3312">
                  <c:v>44965</c:v>
                </c:pt>
                <c:pt idx="3313">
                  <c:v>44966</c:v>
                </c:pt>
                <c:pt idx="3314">
                  <c:v>44967</c:v>
                </c:pt>
                <c:pt idx="3315">
                  <c:v>44970</c:v>
                </c:pt>
                <c:pt idx="3316">
                  <c:v>44971</c:v>
                </c:pt>
                <c:pt idx="3317">
                  <c:v>44972</c:v>
                </c:pt>
                <c:pt idx="3318">
                  <c:v>44973</c:v>
                </c:pt>
                <c:pt idx="3319">
                  <c:v>44974</c:v>
                </c:pt>
                <c:pt idx="3320">
                  <c:v>44977</c:v>
                </c:pt>
                <c:pt idx="3321">
                  <c:v>44978</c:v>
                </c:pt>
                <c:pt idx="3322">
                  <c:v>44979</c:v>
                </c:pt>
                <c:pt idx="3323">
                  <c:v>44980</c:v>
                </c:pt>
                <c:pt idx="3324">
                  <c:v>44981</c:v>
                </c:pt>
                <c:pt idx="3325">
                  <c:v>44984</c:v>
                </c:pt>
                <c:pt idx="3326">
                  <c:v>44985</c:v>
                </c:pt>
                <c:pt idx="3327">
                  <c:v>44986</c:v>
                </c:pt>
                <c:pt idx="3328">
                  <c:v>44987</c:v>
                </c:pt>
                <c:pt idx="3329">
                  <c:v>44988</c:v>
                </c:pt>
                <c:pt idx="3330">
                  <c:v>44991</c:v>
                </c:pt>
                <c:pt idx="3331">
                  <c:v>44992</c:v>
                </c:pt>
                <c:pt idx="3332">
                  <c:v>44993</c:v>
                </c:pt>
                <c:pt idx="3333">
                  <c:v>44994</c:v>
                </c:pt>
                <c:pt idx="3334">
                  <c:v>44995</c:v>
                </c:pt>
                <c:pt idx="3335">
                  <c:v>44998</c:v>
                </c:pt>
                <c:pt idx="3336">
                  <c:v>44999</c:v>
                </c:pt>
                <c:pt idx="3337">
                  <c:v>45000</c:v>
                </c:pt>
                <c:pt idx="3338">
                  <c:v>45001</c:v>
                </c:pt>
                <c:pt idx="3339">
                  <c:v>45002</c:v>
                </c:pt>
                <c:pt idx="3340">
                  <c:v>45005</c:v>
                </c:pt>
                <c:pt idx="3341">
                  <c:v>45006</c:v>
                </c:pt>
                <c:pt idx="3342">
                  <c:v>45007</c:v>
                </c:pt>
                <c:pt idx="3343">
                  <c:v>45008</c:v>
                </c:pt>
                <c:pt idx="3344">
                  <c:v>45009</c:v>
                </c:pt>
                <c:pt idx="3345">
                  <c:v>45012</c:v>
                </c:pt>
                <c:pt idx="3346">
                  <c:v>45013</c:v>
                </c:pt>
                <c:pt idx="3347">
                  <c:v>45014</c:v>
                </c:pt>
                <c:pt idx="3348">
                  <c:v>45015</c:v>
                </c:pt>
                <c:pt idx="3349">
                  <c:v>45016</c:v>
                </c:pt>
                <c:pt idx="3350">
                  <c:v>45019</c:v>
                </c:pt>
                <c:pt idx="3351">
                  <c:v>45020</c:v>
                </c:pt>
                <c:pt idx="3352">
                  <c:v>45021</c:v>
                </c:pt>
                <c:pt idx="3353">
                  <c:v>45022</c:v>
                </c:pt>
                <c:pt idx="3354">
                  <c:v>45023</c:v>
                </c:pt>
                <c:pt idx="3355">
                  <c:v>45026</c:v>
                </c:pt>
                <c:pt idx="3356">
                  <c:v>45027</c:v>
                </c:pt>
                <c:pt idx="3357">
                  <c:v>45028</c:v>
                </c:pt>
                <c:pt idx="3358">
                  <c:v>45029</c:v>
                </c:pt>
                <c:pt idx="3359">
                  <c:v>45030</c:v>
                </c:pt>
                <c:pt idx="3360">
                  <c:v>45033</c:v>
                </c:pt>
                <c:pt idx="3361">
                  <c:v>45034</c:v>
                </c:pt>
                <c:pt idx="3362">
                  <c:v>45035</c:v>
                </c:pt>
                <c:pt idx="3363">
                  <c:v>45036</c:v>
                </c:pt>
                <c:pt idx="3364">
                  <c:v>45037</c:v>
                </c:pt>
                <c:pt idx="3365">
                  <c:v>45040</c:v>
                </c:pt>
                <c:pt idx="3366">
                  <c:v>45041</c:v>
                </c:pt>
                <c:pt idx="3367">
                  <c:v>45042</c:v>
                </c:pt>
                <c:pt idx="3368">
                  <c:v>45043</c:v>
                </c:pt>
                <c:pt idx="3369">
                  <c:v>45044</c:v>
                </c:pt>
                <c:pt idx="3370">
                  <c:v>45047</c:v>
                </c:pt>
                <c:pt idx="3371">
                  <c:v>45048</c:v>
                </c:pt>
                <c:pt idx="3372">
                  <c:v>45049</c:v>
                </c:pt>
                <c:pt idx="3373">
                  <c:v>45050</c:v>
                </c:pt>
                <c:pt idx="3374">
                  <c:v>45051</c:v>
                </c:pt>
                <c:pt idx="3375">
                  <c:v>45054</c:v>
                </c:pt>
                <c:pt idx="3376">
                  <c:v>45055</c:v>
                </c:pt>
                <c:pt idx="3377">
                  <c:v>45056</c:v>
                </c:pt>
                <c:pt idx="3378">
                  <c:v>45057</c:v>
                </c:pt>
                <c:pt idx="3379">
                  <c:v>45058</c:v>
                </c:pt>
                <c:pt idx="3380">
                  <c:v>45061</c:v>
                </c:pt>
                <c:pt idx="3381">
                  <c:v>45062</c:v>
                </c:pt>
                <c:pt idx="3382">
                  <c:v>45063</c:v>
                </c:pt>
                <c:pt idx="3383">
                  <c:v>45064</c:v>
                </c:pt>
                <c:pt idx="3384">
                  <c:v>45065</c:v>
                </c:pt>
                <c:pt idx="3385">
                  <c:v>45068</c:v>
                </c:pt>
                <c:pt idx="3386">
                  <c:v>45069</c:v>
                </c:pt>
                <c:pt idx="3387">
                  <c:v>45070</c:v>
                </c:pt>
                <c:pt idx="3388">
                  <c:v>45071</c:v>
                </c:pt>
                <c:pt idx="3389">
                  <c:v>45072</c:v>
                </c:pt>
                <c:pt idx="3390">
                  <c:v>45075</c:v>
                </c:pt>
                <c:pt idx="3391">
                  <c:v>45076</c:v>
                </c:pt>
                <c:pt idx="3392">
                  <c:v>45077</c:v>
                </c:pt>
                <c:pt idx="3393">
                  <c:v>45078</c:v>
                </c:pt>
              </c:numCache>
            </c:numRef>
          </c:cat>
          <c:val>
            <c:numRef>
              <c:f>[2]VIX!$B$2:$B$3395</c:f>
              <c:numCache>
                <c:formatCode>General</c:formatCode>
                <c:ptCount val="3394"/>
                <c:pt idx="0">
                  <c:v>20.04</c:v>
                </c:pt>
                <c:pt idx="1">
                  <c:v>19.350000000000001</c:v>
                </c:pt>
                <c:pt idx="2">
                  <c:v>19.16</c:v>
                </c:pt>
                <c:pt idx="3">
                  <c:v>19.059999999999999</c:v>
                </c:pt>
                <c:pt idx="4">
                  <c:v>18.13</c:v>
                </c:pt>
                <c:pt idx="5">
                  <c:v>17.55</c:v>
                </c:pt>
                <c:pt idx="6">
                  <c:v>18.25</c:v>
                </c:pt>
                <c:pt idx="7">
                  <c:v>17.850000000000001</c:v>
                </c:pt>
                <c:pt idx="8">
                  <c:v>17.63</c:v>
                </c:pt>
                <c:pt idx="9">
                  <c:v>17.91</c:v>
                </c:pt>
                <c:pt idx="10">
                  <c:v>17.579999999999998</c:v>
                </c:pt>
                <c:pt idx="11">
                  <c:v>18.68</c:v>
                </c:pt>
                <c:pt idx="12">
                  <c:v>22.27</c:v>
                </c:pt>
                <c:pt idx="13">
                  <c:v>27.31</c:v>
                </c:pt>
                <c:pt idx="14">
                  <c:v>25.41</c:v>
                </c:pt>
                <c:pt idx="15">
                  <c:v>24.55</c:v>
                </c:pt>
                <c:pt idx="16">
                  <c:v>23.14</c:v>
                </c:pt>
                <c:pt idx="17">
                  <c:v>23.73</c:v>
                </c:pt>
                <c:pt idx="18">
                  <c:v>24.62</c:v>
                </c:pt>
                <c:pt idx="19">
                  <c:v>22.59</c:v>
                </c:pt>
                <c:pt idx="20">
                  <c:v>21.48</c:v>
                </c:pt>
                <c:pt idx="21">
                  <c:v>21.6</c:v>
                </c:pt>
                <c:pt idx="22">
                  <c:v>26.08</c:v>
                </c:pt>
                <c:pt idx="23">
                  <c:v>26.11</c:v>
                </c:pt>
                <c:pt idx="24">
                  <c:v>26.51</c:v>
                </c:pt>
                <c:pt idx="25">
                  <c:v>26</c:v>
                </c:pt>
                <c:pt idx="26">
                  <c:v>25.4</c:v>
                </c:pt>
                <c:pt idx="27">
                  <c:v>23.96</c:v>
                </c:pt>
                <c:pt idx="28">
                  <c:v>22.73</c:v>
                </c:pt>
                <c:pt idx="29">
                  <c:v>22.25</c:v>
                </c:pt>
                <c:pt idx="30">
                  <c:v>21.72</c:v>
                </c:pt>
                <c:pt idx="31">
                  <c:v>20.63</c:v>
                </c:pt>
                <c:pt idx="32">
                  <c:v>20.02</c:v>
                </c:pt>
                <c:pt idx="33">
                  <c:v>19.940000000000001</c:v>
                </c:pt>
                <c:pt idx="34">
                  <c:v>21.37</c:v>
                </c:pt>
                <c:pt idx="35">
                  <c:v>20.27</c:v>
                </c:pt>
                <c:pt idx="36">
                  <c:v>20.100000000000001</c:v>
                </c:pt>
                <c:pt idx="37">
                  <c:v>19.5</c:v>
                </c:pt>
                <c:pt idx="38">
                  <c:v>19.260000000000002</c:v>
                </c:pt>
                <c:pt idx="39">
                  <c:v>19.059999999999999</c:v>
                </c:pt>
                <c:pt idx="40">
                  <c:v>18.829999999999998</c:v>
                </c:pt>
                <c:pt idx="41">
                  <c:v>18.72</c:v>
                </c:pt>
                <c:pt idx="42">
                  <c:v>17.420000000000002</c:v>
                </c:pt>
                <c:pt idx="43">
                  <c:v>17.79</c:v>
                </c:pt>
                <c:pt idx="44">
                  <c:v>17.920000000000002</c:v>
                </c:pt>
                <c:pt idx="45">
                  <c:v>18.57</c:v>
                </c:pt>
                <c:pt idx="46">
                  <c:v>18.059999999999999</c:v>
                </c:pt>
                <c:pt idx="47">
                  <c:v>17.579999999999998</c:v>
                </c:pt>
                <c:pt idx="48">
                  <c:v>18</c:v>
                </c:pt>
                <c:pt idx="49">
                  <c:v>17.690000000000001</c:v>
                </c:pt>
                <c:pt idx="50">
                  <c:v>16.91</c:v>
                </c:pt>
                <c:pt idx="51">
                  <c:v>16.62</c:v>
                </c:pt>
                <c:pt idx="52">
                  <c:v>16.97</c:v>
                </c:pt>
                <c:pt idx="53">
                  <c:v>16.87</c:v>
                </c:pt>
                <c:pt idx="54">
                  <c:v>16.350000000000001</c:v>
                </c:pt>
                <c:pt idx="55">
                  <c:v>17.55</c:v>
                </c:pt>
                <c:pt idx="56">
                  <c:v>18.399999999999999</c:v>
                </c:pt>
                <c:pt idx="57">
                  <c:v>17.77</c:v>
                </c:pt>
                <c:pt idx="58">
                  <c:v>17.59</c:v>
                </c:pt>
                <c:pt idx="59">
                  <c:v>17.13</c:v>
                </c:pt>
                <c:pt idx="60">
                  <c:v>17.59</c:v>
                </c:pt>
                <c:pt idx="61">
                  <c:v>17.47</c:v>
                </c:pt>
                <c:pt idx="62">
                  <c:v>17.02</c:v>
                </c:pt>
                <c:pt idx="63">
                  <c:v>16.23</c:v>
                </c:pt>
                <c:pt idx="64">
                  <c:v>16.62</c:v>
                </c:pt>
                <c:pt idx="65">
                  <c:v>16.48</c:v>
                </c:pt>
                <c:pt idx="66">
                  <c:v>16.14</c:v>
                </c:pt>
                <c:pt idx="67">
                  <c:v>15.58</c:v>
                </c:pt>
                <c:pt idx="68">
                  <c:v>16.2</c:v>
                </c:pt>
                <c:pt idx="69">
                  <c:v>15.59</c:v>
                </c:pt>
                <c:pt idx="70">
                  <c:v>15.89</c:v>
                </c:pt>
                <c:pt idx="71">
                  <c:v>18.36</c:v>
                </c:pt>
                <c:pt idx="72">
                  <c:v>17.34</c:v>
                </c:pt>
                <c:pt idx="73">
                  <c:v>15.73</c:v>
                </c:pt>
                <c:pt idx="74">
                  <c:v>16.32</c:v>
                </c:pt>
                <c:pt idx="75">
                  <c:v>16.47</c:v>
                </c:pt>
                <c:pt idx="76">
                  <c:v>16.62</c:v>
                </c:pt>
                <c:pt idx="77">
                  <c:v>17.47</c:v>
                </c:pt>
                <c:pt idx="78">
                  <c:v>22.81</c:v>
                </c:pt>
                <c:pt idx="79">
                  <c:v>21.08</c:v>
                </c:pt>
                <c:pt idx="80">
                  <c:v>18.440000000000001</c:v>
                </c:pt>
                <c:pt idx="81">
                  <c:v>22.05</c:v>
                </c:pt>
                <c:pt idx="82">
                  <c:v>20.190000000000001</c:v>
                </c:pt>
                <c:pt idx="83">
                  <c:v>23.84</c:v>
                </c:pt>
                <c:pt idx="84">
                  <c:v>24.91</c:v>
                </c:pt>
                <c:pt idx="85">
                  <c:v>32.799999999999997</c:v>
                </c:pt>
                <c:pt idx="86">
                  <c:v>40.950000000000003</c:v>
                </c:pt>
                <c:pt idx="87">
                  <c:v>28.84</c:v>
                </c:pt>
                <c:pt idx="88">
                  <c:v>28.32</c:v>
                </c:pt>
                <c:pt idx="89">
                  <c:v>25.52</c:v>
                </c:pt>
                <c:pt idx="90">
                  <c:v>26.68</c:v>
                </c:pt>
                <c:pt idx="91">
                  <c:v>31.24</c:v>
                </c:pt>
                <c:pt idx="92">
                  <c:v>30.84</c:v>
                </c:pt>
                <c:pt idx="93">
                  <c:v>33.549999999999997</c:v>
                </c:pt>
                <c:pt idx="94">
                  <c:v>35.32</c:v>
                </c:pt>
                <c:pt idx="95">
                  <c:v>45.79</c:v>
                </c:pt>
                <c:pt idx="96">
                  <c:v>40.1</c:v>
                </c:pt>
                <c:pt idx="97">
                  <c:v>38.32</c:v>
                </c:pt>
                <c:pt idx="98">
                  <c:v>34.61</c:v>
                </c:pt>
                <c:pt idx="99">
                  <c:v>35.020000000000003</c:v>
                </c:pt>
                <c:pt idx="100">
                  <c:v>29.68</c:v>
                </c:pt>
                <c:pt idx="101">
                  <c:v>32.07</c:v>
                </c:pt>
                <c:pt idx="102">
                  <c:v>35.54</c:v>
                </c:pt>
                <c:pt idx="103">
                  <c:v>30.17</c:v>
                </c:pt>
                <c:pt idx="104">
                  <c:v>29.46</c:v>
                </c:pt>
                <c:pt idx="105">
                  <c:v>35.479999999999997</c:v>
                </c:pt>
                <c:pt idx="106">
                  <c:v>36.57</c:v>
                </c:pt>
                <c:pt idx="107">
                  <c:v>33.700000000000003</c:v>
                </c:pt>
                <c:pt idx="108">
                  <c:v>33.729999999999997</c:v>
                </c:pt>
                <c:pt idx="109">
                  <c:v>30.57</c:v>
                </c:pt>
                <c:pt idx="110">
                  <c:v>28.79</c:v>
                </c:pt>
                <c:pt idx="111">
                  <c:v>28.58</c:v>
                </c:pt>
                <c:pt idx="112">
                  <c:v>25.87</c:v>
                </c:pt>
                <c:pt idx="113">
                  <c:v>25.92</c:v>
                </c:pt>
                <c:pt idx="114">
                  <c:v>25.05</c:v>
                </c:pt>
                <c:pt idx="115">
                  <c:v>23.95</c:v>
                </c:pt>
                <c:pt idx="116">
                  <c:v>24.88</c:v>
                </c:pt>
                <c:pt idx="117">
                  <c:v>27.05</c:v>
                </c:pt>
                <c:pt idx="118">
                  <c:v>26.91</c:v>
                </c:pt>
                <c:pt idx="119">
                  <c:v>29.74</c:v>
                </c:pt>
                <c:pt idx="120">
                  <c:v>28.53</c:v>
                </c:pt>
                <c:pt idx="121">
                  <c:v>29</c:v>
                </c:pt>
                <c:pt idx="122">
                  <c:v>34.130000000000003</c:v>
                </c:pt>
                <c:pt idx="123">
                  <c:v>34.54</c:v>
                </c:pt>
                <c:pt idx="124">
                  <c:v>32.86</c:v>
                </c:pt>
                <c:pt idx="125">
                  <c:v>30.12</c:v>
                </c:pt>
                <c:pt idx="126">
                  <c:v>29.65</c:v>
                </c:pt>
                <c:pt idx="127">
                  <c:v>26.84</c:v>
                </c:pt>
                <c:pt idx="128">
                  <c:v>25.71</c:v>
                </c:pt>
                <c:pt idx="129">
                  <c:v>24.98</c:v>
                </c:pt>
                <c:pt idx="130">
                  <c:v>24.43</c:v>
                </c:pt>
                <c:pt idx="131">
                  <c:v>24.56</c:v>
                </c:pt>
                <c:pt idx="132">
                  <c:v>24.89</c:v>
                </c:pt>
                <c:pt idx="133">
                  <c:v>25.14</c:v>
                </c:pt>
                <c:pt idx="134">
                  <c:v>26.25</c:v>
                </c:pt>
                <c:pt idx="135">
                  <c:v>25.97</c:v>
                </c:pt>
                <c:pt idx="136">
                  <c:v>23.93</c:v>
                </c:pt>
                <c:pt idx="137">
                  <c:v>25.64</c:v>
                </c:pt>
                <c:pt idx="138">
                  <c:v>24.63</c:v>
                </c:pt>
                <c:pt idx="139">
                  <c:v>23.47</c:v>
                </c:pt>
                <c:pt idx="140">
                  <c:v>22.73</c:v>
                </c:pt>
                <c:pt idx="141">
                  <c:v>23.19</c:v>
                </c:pt>
                <c:pt idx="142">
                  <c:v>24.25</c:v>
                </c:pt>
                <c:pt idx="143">
                  <c:v>24.13</c:v>
                </c:pt>
                <c:pt idx="144">
                  <c:v>23.5</c:v>
                </c:pt>
                <c:pt idx="145">
                  <c:v>22.01</c:v>
                </c:pt>
                <c:pt idx="146">
                  <c:v>22.63</c:v>
                </c:pt>
                <c:pt idx="147">
                  <c:v>22.21</c:v>
                </c:pt>
                <c:pt idx="148">
                  <c:v>22.1</c:v>
                </c:pt>
                <c:pt idx="149">
                  <c:v>21.74</c:v>
                </c:pt>
                <c:pt idx="150">
                  <c:v>22.14</c:v>
                </c:pt>
                <c:pt idx="151">
                  <c:v>22.37</c:v>
                </c:pt>
                <c:pt idx="152">
                  <c:v>25.39</c:v>
                </c:pt>
                <c:pt idx="153">
                  <c:v>25.73</c:v>
                </c:pt>
                <c:pt idx="154">
                  <c:v>26.24</c:v>
                </c:pt>
                <c:pt idx="155">
                  <c:v>26.1</c:v>
                </c:pt>
                <c:pt idx="156">
                  <c:v>24.33</c:v>
                </c:pt>
                <c:pt idx="157">
                  <c:v>24.59</c:v>
                </c:pt>
                <c:pt idx="158">
                  <c:v>26.44</c:v>
                </c:pt>
                <c:pt idx="159">
                  <c:v>25.49</c:v>
                </c:pt>
                <c:pt idx="160">
                  <c:v>25.66</c:v>
                </c:pt>
                <c:pt idx="161">
                  <c:v>27.46</c:v>
                </c:pt>
                <c:pt idx="162">
                  <c:v>26.7</c:v>
                </c:pt>
                <c:pt idx="163">
                  <c:v>27.37</c:v>
                </c:pt>
                <c:pt idx="164">
                  <c:v>24.45</c:v>
                </c:pt>
                <c:pt idx="165">
                  <c:v>27.21</c:v>
                </c:pt>
                <c:pt idx="166">
                  <c:v>26.05</c:v>
                </c:pt>
                <c:pt idx="167">
                  <c:v>23.89</c:v>
                </c:pt>
                <c:pt idx="168">
                  <c:v>23.19</c:v>
                </c:pt>
                <c:pt idx="169">
                  <c:v>21.31</c:v>
                </c:pt>
                <c:pt idx="170">
                  <c:v>23.8</c:v>
                </c:pt>
                <c:pt idx="171">
                  <c:v>23.25</c:v>
                </c:pt>
                <c:pt idx="172">
                  <c:v>22.81</c:v>
                </c:pt>
                <c:pt idx="173">
                  <c:v>21.99</c:v>
                </c:pt>
                <c:pt idx="174">
                  <c:v>21.21</c:v>
                </c:pt>
                <c:pt idx="175">
                  <c:v>21.56</c:v>
                </c:pt>
                <c:pt idx="176">
                  <c:v>22.1</c:v>
                </c:pt>
                <c:pt idx="177">
                  <c:v>21.72</c:v>
                </c:pt>
                <c:pt idx="178">
                  <c:v>22.01</c:v>
                </c:pt>
                <c:pt idx="179">
                  <c:v>21.5</c:v>
                </c:pt>
                <c:pt idx="180">
                  <c:v>22.35</c:v>
                </c:pt>
                <c:pt idx="181">
                  <c:v>22.51</c:v>
                </c:pt>
                <c:pt idx="182">
                  <c:v>23.87</c:v>
                </c:pt>
                <c:pt idx="183">
                  <c:v>21.71</c:v>
                </c:pt>
                <c:pt idx="184">
                  <c:v>22.54</c:v>
                </c:pt>
                <c:pt idx="185">
                  <c:v>22.6</c:v>
                </c:pt>
                <c:pt idx="186">
                  <c:v>23.25</c:v>
                </c:pt>
                <c:pt idx="187">
                  <c:v>23.7</c:v>
                </c:pt>
                <c:pt idx="188">
                  <c:v>22.5</c:v>
                </c:pt>
                <c:pt idx="189">
                  <c:v>23.53</c:v>
                </c:pt>
                <c:pt idx="190">
                  <c:v>21.76</c:v>
                </c:pt>
                <c:pt idx="191">
                  <c:v>21.49</c:v>
                </c:pt>
                <c:pt idx="192">
                  <c:v>21.56</c:v>
                </c:pt>
                <c:pt idx="193">
                  <c:v>20.71</c:v>
                </c:pt>
                <c:pt idx="194">
                  <c:v>18.96</c:v>
                </c:pt>
                <c:pt idx="195">
                  <c:v>18.93</c:v>
                </c:pt>
                <c:pt idx="196">
                  <c:v>19.07</c:v>
                </c:pt>
                <c:pt idx="197">
                  <c:v>19.88</c:v>
                </c:pt>
                <c:pt idx="198">
                  <c:v>19.03</c:v>
                </c:pt>
                <c:pt idx="199">
                  <c:v>19.09</c:v>
                </c:pt>
                <c:pt idx="200">
                  <c:v>20.63</c:v>
                </c:pt>
                <c:pt idx="201">
                  <c:v>19.79</c:v>
                </c:pt>
                <c:pt idx="202">
                  <c:v>19.27</c:v>
                </c:pt>
                <c:pt idx="203">
                  <c:v>18.78</c:v>
                </c:pt>
                <c:pt idx="204">
                  <c:v>19.850000000000001</c:v>
                </c:pt>
                <c:pt idx="205">
                  <c:v>20.22</c:v>
                </c:pt>
                <c:pt idx="206">
                  <c:v>20.71</c:v>
                </c:pt>
                <c:pt idx="207">
                  <c:v>20.88</c:v>
                </c:pt>
                <c:pt idx="208">
                  <c:v>21.2</c:v>
                </c:pt>
                <c:pt idx="209">
                  <c:v>21.83</c:v>
                </c:pt>
                <c:pt idx="210">
                  <c:v>21.57</c:v>
                </c:pt>
                <c:pt idx="211">
                  <c:v>19.559999999999999</c:v>
                </c:pt>
                <c:pt idx="212">
                  <c:v>18.52</c:v>
                </c:pt>
                <c:pt idx="213">
                  <c:v>18.260000000000002</c:v>
                </c:pt>
                <c:pt idx="214">
                  <c:v>18.29</c:v>
                </c:pt>
                <c:pt idx="215">
                  <c:v>19.079999999999998</c:v>
                </c:pt>
                <c:pt idx="216">
                  <c:v>18.47</c:v>
                </c:pt>
                <c:pt idx="217">
                  <c:v>18.64</c:v>
                </c:pt>
                <c:pt idx="218">
                  <c:v>20.61</c:v>
                </c:pt>
                <c:pt idx="219">
                  <c:v>20.2</c:v>
                </c:pt>
                <c:pt idx="220">
                  <c:v>22.58</c:v>
                </c:pt>
                <c:pt idx="221">
                  <c:v>21.76</c:v>
                </c:pt>
                <c:pt idx="222">
                  <c:v>18.75</c:v>
                </c:pt>
                <c:pt idx="223">
                  <c:v>18.04</c:v>
                </c:pt>
                <c:pt idx="224">
                  <c:v>18.37</c:v>
                </c:pt>
                <c:pt idx="225">
                  <c:v>20.63</c:v>
                </c:pt>
                <c:pt idx="226">
                  <c:v>19.559999999999999</c:v>
                </c:pt>
                <c:pt idx="227">
                  <c:v>22.22</c:v>
                </c:pt>
                <c:pt idx="228">
                  <c:v>21.53</c:v>
                </c:pt>
                <c:pt idx="229">
                  <c:v>23.54</c:v>
                </c:pt>
                <c:pt idx="230">
                  <c:v>21.36</c:v>
                </c:pt>
                <c:pt idx="231">
                  <c:v>19.39</c:v>
                </c:pt>
                <c:pt idx="232">
                  <c:v>18.010000000000002</c:v>
                </c:pt>
                <c:pt idx="233">
                  <c:v>18.02</c:v>
                </c:pt>
                <c:pt idx="234">
                  <c:v>17.989999999999998</c:v>
                </c:pt>
                <c:pt idx="235">
                  <c:v>17.739999999999998</c:v>
                </c:pt>
                <c:pt idx="236">
                  <c:v>17.25</c:v>
                </c:pt>
                <c:pt idx="237">
                  <c:v>17.61</c:v>
                </c:pt>
                <c:pt idx="238">
                  <c:v>17.55</c:v>
                </c:pt>
                <c:pt idx="239">
                  <c:v>17.61</c:v>
                </c:pt>
                <c:pt idx="240">
                  <c:v>17.940000000000001</c:v>
                </c:pt>
                <c:pt idx="241">
                  <c:v>17.39</c:v>
                </c:pt>
                <c:pt idx="242">
                  <c:v>16.11</c:v>
                </c:pt>
                <c:pt idx="243">
                  <c:v>16.41</c:v>
                </c:pt>
                <c:pt idx="244">
                  <c:v>16.489999999999998</c:v>
                </c:pt>
                <c:pt idx="245">
                  <c:v>15.45</c:v>
                </c:pt>
                <c:pt idx="246">
                  <c:v>16.47</c:v>
                </c:pt>
                <c:pt idx="247">
                  <c:v>17.670000000000002</c:v>
                </c:pt>
                <c:pt idx="248">
                  <c:v>17.52</c:v>
                </c:pt>
                <c:pt idx="249">
                  <c:v>17.28</c:v>
                </c:pt>
                <c:pt idx="250">
                  <c:v>17.52</c:v>
                </c:pt>
                <c:pt idx="251">
                  <c:v>17.75</c:v>
                </c:pt>
                <c:pt idx="252">
                  <c:v>17.61</c:v>
                </c:pt>
                <c:pt idx="253">
                  <c:v>17.38</c:v>
                </c:pt>
                <c:pt idx="254">
                  <c:v>17.02</c:v>
                </c:pt>
                <c:pt idx="255">
                  <c:v>17.399999999999999</c:v>
                </c:pt>
                <c:pt idx="256">
                  <c:v>17.14</c:v>
                </c:pt>
                <c:pt idx="257">
                  <c:v>17.54</c:v>
                </c:pt>
                <c:pt idx="258">
                  <c:v>16.89</c:v>
                </c:pt>
                <c:pt idx="259">
                  <c:v>16.239999999999998</c:v>
                </c:pt>
                <c:pt idx="260">
                  <c:v>16.39</c:v>
                </c:pt>
                <c:pt idx="261">
                  <c:v>15.46</c:v>
                </c:pt>
                <c:pt idx="262">
                  <c:v>15.87</c:v>
                </c:pt>
                <c:pt idx="263">
                  <c:v>17.309999999999999</c:v>
                </c:pt>
                <c:pt idx="264">
                  <c:v>17.989999999999998</c:v>
                </c:pt>
                <c:pt idx="265">
                  <c:v>18.47</c:v>
                </c:pt>
                <c:pt idx="266">
                  <c:v>17.649999999999999</c:v>
                </c:pt>
                <c:pt idx="267">
                  <c:v>17.59</c:v>
                </c:pt>
                <c:pt idx="268">
                  <c:v>16.64</c:v>
                </c:pt>
                <c:pt idx="269">
                  <c:v>16.149999999999999</c:v>
                </c:pt>
                <c:pt idx="270">
                  <c:v>20.04</c:v>
                </c:pt>
                <c:pt idx="271">
                  <c:v>19.53</c:v>
                </c:pt>
                <c:pt idx="272">
                  <c:v>17.63</c:v>
                </c:pt>
                <c:pt idx="273">
                  <c:v>17.3</c:v>
                </c:pt>
                <c:pt idx="274">
                  <c:v>16.690000000000001</c:v>
                </c:pt>
                <c:pt idx="275">
                  <c:v>15.93</c:v>
                </c:pt>
                <c:pt idx="276">
                  <c:v>16.28</c:v>
                </c:pt>
                <c:pt idx="277">
                  <c:v>15.81</c:v>
                </c:pt>
                <c:pt idx="278">
                  <c:v>15.87</c:v>
                </c:pt>
                <c:pt idx="279">
                  <c:v>16.09</c:v>
                </c:pt>
                <c:pt idx="280">
                  <c:v>15.69</c:v>
                </c:pt>
                <c:pt idx="281">
                  <c:v>15.95</c:v>
                </c:pt>
                <c:pt idx="282">
                  <c:v>16.37</c:v>
                </c:pt>
                <c:pt idx="283">
                  <c:v>16.72</c:v>
                </c:pt>
                <c:pt idx="284">
                  <c:v>16.59</c:v>
                </c:pt>
                <c:pt idx="285">
                  <c:v>16.43</c:v>
                </c:pt>
                <c:pt idx="286">
                  <c:v>20.8</c:v>
                </c:pt>
                <c:pt idx="287">
                  <c:v>22.13</c:v>
                </c:pt>
                <c:pt idx="288">
                  <c:v>21.32</c:v>
                </c:pt>
                <c:pt idx="289">
                  <c:v>19.22</c:v>
                </c:pt>
                <c:pt idx="290">
                  <c:v>18.350000000000001</c:v>
                </c:pt>
                <c:pt idx="291">
                  <c:v>21.01</c:v>
                </c:pt>
                <c:pt idx="292">
                  <c:v>20.7</c:v>
                </c:pt>
                <c:pt idx="293">
                  <c:v>18.600000000000001</c:v>
                </c:pt>
                <c:pt idx="294">
                  <c:v>19.059999999999999</c:v>
                </c:pt>
                <c:pt idx="295">
                  <c:v>20.66</c:v>
                </c:pt>
                <c:pt idx="296">
                  <c:v>19.82</c:v>
                </c:pt>
                <c:pt idx="297">
                  <c:v>20.22</c:v>
                </c:pt>
                <c:pt idx="298">
                  <c:v>21.88</c:v>
                </c:pt>
                <c:pt idx="299">
                  <c:v>20.079999999999998</c:v>
                </c:pt>
                <c:pt idx="300">
                  <c:v>21.13</c:v>
                </c:pt>
                <c:pt idx="301">
                  <c:v>24.32</c:v>
                </c:pt>
                <c:pt idx="302">
                  <c:v>29.4</c:v>
                </c:pt>
                <c:pt idx="303">
                  <c:v>26.37</c:v>
                </c:pt>
                <c:pt idx="304">
                  <c:v>24.44</c:v>
                </c:pt>
                <c:pt idx="305">
                  <c:v>20.61</c:v>
                </c:pt>
                <c:pt idx="306">
                  <c:v>20.21</c:v>
                </c:pt>
                <c:pt idx="307">
                  <c:v>19.170000000000002</c:v>
                </c:pt>
                <c:pt idx="308">
                  <c:v>18</c:v>
                </c:pt>
                <c:pt idx="309">
                  <c:v>17.91</c:v>
                </c:pt>
                <c:pt idx="310">
                  <c:v>19.440000000000001</c:v>
                </c:pt>
                <c:pt idx="311">
                  <c:v>18.16</c:v>
                </c:pt>
                <c:pt idx="312">
                  <c:v>17.71</c:v>
                </c:pt>
                <c:pt idx="313">
                  <c:v>17.739999999999998</c:v>
                </c:pt>
                <c:pt idx="314">
                  <c:v>17.399999999999999</c:v>
                </c:pt>
                <c:pt idx="315">
                  <c:v>17.5</c:v>
                </c:pt>
                <c:pt idx="316">
                  <c:v>17.25</c:v>
                </c:pt>
                <c:pt idx="317">
                  <c:v>16.899999999999999</c:v>
                </c:pt>
                <c:pt idx="318">
                  <c:v>17.11</c:v>
                </c:pt>
                <c:pt idx="319">
                  <c:v>17.87</c:v>
                </c:pt>
                <c:pt idx="320">
                  <c:v>16.59</c:v>
                </c:pt>
                <c:pt idx="321">
                  <c:v>17.09</c:v>
                </c:pt>
                <c:pt idx="322">
                  <c:v>16.920000000000002</c:v>
                </c:pt>
                <c:pt idx="323">
                  <c:v>16.27</c:v>
                </c:pt>
                <c:pt idx="324">
                  <c:v>15.32</c:v>
                </c:pt>
                <c:pt idx="325">
                  <c:v>16.96</c:v>
                </c:pt>
                <c:pt idx="326">
                  <c:v>15.83</c:v>
                </c:pt>
                <c:pt idx="327">
                  <c:v>15.07</c:v>
                </c:pt>
                <c:pt idx="328">
                  <c:v>14.69</c:v>
                </c:pt>
                <c:pt idx="329">
                  <c:v>15.77</c:v>
                </c:pt>
                <c:pt idx="330">
                  <c:v>15.62</c:v>
                </c:pt>
                <c:pt idx="331">
                  <c:v>15.35</c:v>
                </c:pt>
                <c:pt idx="332">
                  <c:v>14.62</c:v>
                </c:pt>
                <c:pt idx="333">
                  <c:v>14.75</c:v>
                </c:pt>
                <c:pt idx="334">
                  <c:v>15.99</c:v>
                </c:pt>
                <c:pt idx="335">
                  <c:v>16.7</c:v>
                </c:pt>
                <c:pt idx="336">
                  <c:v>17.079999999999998</c:v>
                </c:pt>
                <c:pt idx="337">
                  <c:v>18.2</c:v>
                </c:pt>
                <c:pt idx="338">
                  <c:v>18.399999999999999</c:v>
                </c:pt>
                <c:pt idx="339">
                  <c:v>17.16</c:v>
                </c:pt>
                <c:pt idx="340">
                  <c:v>15.91</c:v>
                </c:pt>
                <c:pt idx="341">
                  <c:v>16.95</c:v>
                </c:pt>
                <c:pt idx="342">
                  <c:v>16.03</c:v>
                </c:pt>
                <c:pt idx="343">
                  <c:v>17.07</c:v>
                </c:pt>
                <c:pt idx="344">
                  <c:v>18.239999999999998</c:v>
                </c:pt>
                <c:pt idx="345">
                  <c:v>17.55</c:v>
                </c:pt>
                <c:pt idx="346">
                  <c:v>16.23</c:v>
                </c:pt>
                <c:pt idx="347">
                  <c:v>15.52</c:v>
                </c:pt>
                <c:pt idx="348">
                  <c:v>17.43</c:v>
                </c:pt>
                <c:pt idx="349">
                  <c:v>18.27</c:v>
                </c:pt>
                <c:pt idx="350">
                  <c:v>17.82</c:v>
                </c:pt>
                <c:pt idx="351">
                  <c:v>17.07</c:v>
                </c:pt>
                <c:pt idx="352">
                  <c:v>16.09</c:v>
                </c:pt>
                <c:pt idx="353">
                  <c:v>15.98</c:v>
                </c:pt>
                <c:pt idx="354">
                  <c:v>15.45</c:v>
                </c:pt>
                <c:pt idx="355">
                  <c:v>18.3</c:v>
                </c:pt>
                <c:pt idx="356">
                  <c:v>18.09</c:v>
                </c:pt>
                <c:pt idx="357">
                  <c:v>17.95</c:v>
                </c:pt>
                <c:pt idx="358">
                  <c:v>18.489999999999998</c:v>
                </c:pt>
                <c:pt idx="359">
                  <c:v>18.07</c:v>
                </c:pt>
                <c:pt idx="360">
                  <c:v>18.79</c:v>
                </c:pt>
                <c:pt idx="361">
                  <c:v>17.77</c:v>
                </c:pt>
                <c:pt idx="362">
                  <c:v>18.86</c:v>
                </c:pt>
                <c:pt idx="363">
                  <c:v>19.61</c:v>
                </c:pt>
                <c:pt idx="364">
                  <c:v>18.260000000000002</c:v>
                </c:pt>
                <c:pt idx="365">
                  <c:v>21.32</c:v>
                </c:pt>
                <c:pt idx="366">
                  <c:v>22.73</c:v>
                </c:pt>
                <c:pt idx="367">
                  <c:v>21.85</c:v>
                </c:pt>
                <c:pt idx="368">
                  <c:v>19.989999999999998</c:v>
                </c:pt>
                <c:pt idx="369">
                  <c:v>18.86</c:v>
                </c:pt>
                <c:pt idx="370">
                  <c:v>18.52</c:v>
                </c:pt>
                <c:pt idx="371">
                  <c:v>19.29</c:v>
                </c:pt>
                <c:pt idx="372">
                  <c:v>21.1</c:v>
                </c:pt>
                <c:pt idx="373">
                  <c:v>20.56</c:v>
                </c:pt>
                <c:pt idx="374">
                  <c:v>19.170000000000002</c:v>
                </c:pt>
                <c:pt idx="375">
                  <c:v>17.27</c:v>
                </c:pt>
                <c:pt idx="376">
                  <c:v>16.52</c:v>
                </c:pt>
                <c:pt idx="377">
                  <c:v>15.87</c:v>
                </c:pt>
                <c:pt idx="378">
                  <c:v>16.059999999999999</c:v>
                </c:pt>
                <c:pt idx="379">
                  <c:v>16.34</c:v>
                </c:pt>
                <c:pt idx="380">
                  <c:v>15.95</c:v>
                </c:pt>
                <c:pt idx="381">
                  <c:v>15.95</c:v>
                </c:pt>
                <c:pt idx="382">
                  <c:v>18.39</c:v>
                </c:pt>
                <c:pt idx="383">
                  <c:v>19.87</c:v>
                </c:pt>
                <c:pt idx="384">
                  <c:v>19.91</c:v>
                </c:pt>
                <c:pt idx="385">
                  <c:v>20.8</c:v>
                </c:pt>
                <c:pt idx="386">
                  <c:v>19.53</c:v>
                </c:pt>
                <c:pt idx="387">
                  <c:v>20.95</c:v>
                </c:pt>
                <c:pt idx="388">
                  <c:v>19.21</c:v>
                </c:pt>
                <c:pt idx="389">
                  <c:v>19.09</c:v>
                </c:pt>
                <c:pt idx="390">
                  <c:v>17.559999999999999</c:v>
                </c:pt>
                <c:pt idx="391">
                  <c:v>17.52</c:v>
                </c:pt>
                <c:pt idx="392">
                  <c:v>19.350000000000001</c:v>
                </c:pt>
                <c:pt idx="393">
                  <c:v>20.23</c:v>
                </c:pt>
                <c:pt idx="394">
                  <c:v>22.98</c:v>
                </c:pt>
                <c:pt idx="395">
                  <c:v>23.74</c:v>
                </c:pt>
                <c:pt idx="396">
                  <c:v>25.25</c:v>
                </c:pt>
                <c:pt idx="397">
                  <c:v>23.66</c:v>
                </c:pt>
                <c:pt idx="398">
                  <c:v>24.79</c:v>
                </c:pt>
                <c:pt idx="399">
                  <c:v>23.38</c:v>
                </c:pt>
                <c:pt idx="400">
                  <c:v>31.66</c:v>
                </c:pt>
                <c:pt idx="401">
                  <c:v>32</c:v>
                </c:pt>
                <c:pt idx="402">
                  <c:v>48</c:v>
                </c:pt>
                <c:pt idx="403">
                  <c:v>35.06</c:v>
                </c:pt>
                <c:pt idx="404">
                  <c:v>42.99</c:v>
                </c:pt>
                <c:pt idx="405">
                  <c:v>39</c:v>
                </c:pt>
                <c:pt idx="406">
                  <c:v>36.36</c:v>
                </c:pt>
                <c:pt idx="407">
                  <c:v>31.87</c:v>
                </c:pt>
                <c:pt idx="408">
                  <c:v>32.85</c:v>
                </c:pt>
                <c:pt idx="409">
                  <c:v>31.58</c:v>
                </c:pt>
                <c:pt idx="410">
                  <c:v>42.67</c:v>
                </c:pt>
                <c:pt idx="411">
                  <c:v>43.05</c:v>
                </c:pt>
                <c:pt idx="412">
                  <c:v>42.44</c:v>
                </c:pt>
                <c:pt idx="413">
                  <c:v>36.270000000000003</c:v>
                </c:pt>
                <c:pt idx="414">
                  <c:v>35.9</c:v>
                </c:pt>
                <c:pt idx="415">
                  <c:v>39.76</c:v>
                </c:pt>
                <c:pt idx="416">
                  <c:v>35.590000000000003</c:v>
                </c:pt>
                <c:pt idx="417">
                  <c:v>32.28</c:v>
                </c:pt>
                <c:pt idx="418">
                  <c:v>32.89</c:v>
                </c:pt>
                <c:pt idx="419">
                  <c:v>31.62</c:v>
                </c:pt>
                <c:pt idx="420">
                  <c:v>31.82</c:v>
                </c:pt>
                <c:pt idx="421">
                  <c:v>33.92</c:v>
                </c:pt>
                <c:pt idx="422">
                  <c:v>37</c:v>
                </c:pt>
                <c:pt idx="423">
                  <c:v>33.380000000000003</c:v>
                </c:pt>
                <c:pt idx="424">
                  <c:v>34.32</c:v>
                </c:pt>
                <c:pt idx="425">
                  <c:v>38.520000000000003</c:v>
                </c:pt>
                <c:pt idx="426">
                  <c:v>38.590000000000003</c:v>
                </c:pt>
                <c:pt idx="427">
                  <c:v>36.909999999999997</c:v>
                </c:pt>
                <c:pt idx="428">
                  <c:v>34.6</c:v>
                </c:pt>
                <c:pt idx="429">
                  <c:v>31.97</c:v>
                </c:pt>
                <c:pt idx="430">
                  <c:v>30.98</c:v>
                </c:pt>
                <c:pt idx="431">
                  <c:v>32.729999999999997</c:v>
                </c:pt>
                <c:pt idx="432">
                  <c:v>32.86</c:v>
                </c:pt>
                <c:pt idx="433">
                  <c:v>37.32</c:v>
                </c:pt>
                <c:pt idx="434">
                  <c:v>41.35</c:v>
                </c:pt>
                <c:pt idx="435">
                  <c:v>41.25</c:v>
                </c:pt>
                <c:pt idx="436">
                  <c:v>39.020000000000003</c:v>
                </c:pt>
                <c:pt idx="437">
                  <c:v>37.71</c:v>
                </c:pt>
                <c:pt idx="438">
                  <c:v>41.08</c:v>
                </c:pt>
                <c:pt idx="439">
                  <c:v>38.840000000000003</c:v>
                </c:pt>
                <c:pt idx="440">
                  <c:v>42.96</c:v>
                </c:pt>
                <c:pt idx="441">
                  <c:v>45.45</c:v>
                </c:pt>
                <c:pt idx="442">
                  <c:v>40.82</c:v>
                </c:pt>
                <c:pt idx="443">
                  <c:v>37.81</c:v>
                </c:pt>
                <c:pt idx="444">
                  <c:v>36.270000000000003</c:v>
                </c:pt>
                <c:pt idx="445">
                  <c:v>36.200000000000003</c:v>
                </c:pt>
                <c:pt idx="446">
                  <c:v>33.020000000000003</c:v>
                </c:pt>
                <c:pt idx="447">
                  <c:v>32.86</c:v>
                </c:pt>
                <c:pt idx="448">
                  <c:v>31.26</c:v>
                </c:pt>
                <c:pt idx="449">
                  <c:v>30.7</c:v>
                </c:pt>
                <c:pt idx="450">
                  <c:v>28.24</c:v>
                </c:pt>
                <c:pt idx="451">
                  <c:v>33.39</c:v>
                </c:pt>
                <c:pt idx="452">
                  <c:v>31.56</c:v>
                </c:pt>
                <c:pt idx="453">
                  <c:v>34.44</c:v>
                </c:pt>
                <c:pt idx="454">
                  <c:v>34.78</c:v>
                </c:pt>
                <c:pt idx="455">
                  <c:v>31.32</c:v>
                </c:pt>
                <c:pt idx="456">
                  <c:v>29.26</c:v>
                </c:pt>
                <c:pt idx="457">
                  <c:v>32.22</c:v>
                </c:pt>
                <c:pt idx="458">
                  <c:v>29.86</c:v>
                </c:pt>
                <c:pt idx="459">
                  <c:v>25.46</c:v>
                </c:pt>
                <c:pt idx="460">
                  <c:v>24.53</c:v>
                </c:pt>
                <c:pt idx="461">
                  <c:v>29.96</c:v>
                </c:pt>
                <c:pt idx="462">
                  <c:v>34.770000000000003</c:v>
                </c:pt>
                <c:pt idx="463">
                  <c:v>32.74</c:v>
                </c:pt>
                <c:pt idx="464">
                  <c:v>30.5</c:v>
                </c:pt>
                <c:pt idx="465">
                  <c:v>30.16</c:v>
                </c:pt>
                <c:pt idx="466">
                  <c:v>29.85</c:v>
                </c:pt>
                <c:pt idx="467">
                  <c:v>27.48</c:v>
                </c:pt>
                <c:pt idx="468">
                  <c:v>36.159999999999997</c:v>
                </c:pt>
                <c:pt idx="469">
                  <c:v>32.81</c:v>
                </c:pt>
                <c:pt idx="470">
                  <c:v>30.04</c:v>
                </c:pt>
                <c:pt idx="471">
                  <c:v>31.13</c:v>
                </c:pt>
                <c:pt idx="472">
                  <c:v>31.22</c:v>
                </c:pt>
                <c:pt idx="473">
                  <c:v>33.51</c:v>
                </c:pt>
                <c:pt idx="474">
                  <c:v>34.51</c:v>
                </c:pt>
                <c:pt idx="475">
                  <c:v>32</c:v>
                </c:pt>
                <c:pt idx="476">
                  <c:v>32.909999999999997</c:v>
                </c:pt>
                <c:pt idx="477">
                  <c:v>31.97</c:v>
                </c:pt>
                <c:pt idx="478">
                  <c:v>33.979999999999997</c:v>
                </c:pt>
                <c:pt idx="479">
                  <c:v>34.47</c:v>
                </c:pt>
                <c:pt idx="480">
                  <c:v>32.130000000000003</c:v>
                </c:pt>
                <c:pt idx="481">
                  <c:v>30.64</c:v>
                </c:pt>
                <c:pt idx="482">
                  <c:v>27.8</c:v>
                </c:pt>
                <c:pt idx="483">
                  <c:v>27.41</c:v>
                </c:pt>
                <c:pt idx="484">
                  <c:v>27.52</c:v>
                </c:pt>
                <c:pt idx="485">
                  <c:v>27.84</c:v>
                </c:pt>
                <c:pt idx="486">
                  <c:v>28.13</c:v>
                </c:pt>
                <c:pt idx="487">
                  <c:v>28.67</c:v>
                </c:pt>
                <c:pt idx="488">
                  <c:v>30.59</c:v>
                </c:pt>
                <c:pt idx="489">
                  <c:v>26.38</c:v>
                </c:pt>
                <c:pt idx="490">
                  <c:v>25.67</c:v>
                </c:pt>
                <c:pt idx="491">
                  <c:v>25.41</c:v>
                </c:pt>
                <c:pt idx="492">
                  <c:v>26.04</c:v>
                </c:pt>
                <c:pt idx="493">
                  <c:v>25.11</c:v>
                </c:pt>
                <c:pt idx="494">
                  <c:v>24.29</c:v>
                </c:pt>
                <c:pt idx="495">
                  <c:v>24.92</c:v>
                </c:pt>
                <c:pt idx="496">
                  <c:v>23.22</c:v>
                </c:pt>
                <c:pt idx="497">
                  <c:v>21.43</c:v>
                </c:pt>
                <c:pt idx="498">
                  <c:v>21.16</c:v>
                </c:pt>
                <c:pt idx="499">
                  <c:v>20.73</c:v>
                </c:pt>
                <c:pt idx="500">
                  <c:v>21.91</c:v>
                </c:pt>
                <c:pt idx="501">
                  <c:v>23.52</c:v>
                </c:pt>
                <c:pt idx="502">
                  <c:v>22.65</c:v>
                </c:pt>
                <c:pt idx="503">
                  <c:v>23.4</c:v>
                </c:pt>
                <c:pt idx="504">
                  <c:v>22.97</c:v>
                </c:pt>
                <c:pt idx="505">
                  <c:v>22.22</c:v>
                </c:pt>
                <c:pt idx="506">
                  <c:v>21.48</c:v>
                </c:pt>
                <c:pt idx="507">
                  <c:v>20.63</c:v>
                </c:pt>
                <c:pt idx="508">
                  <c:v>21.07</c:v>
                </c:pt>
                <c:pt idx="509">
                  <c:v>20.69</c:v>
                </c:pt>
                <c:pt idx="510">
                  <c:v>21.05</c:v>
                </c:pt>
                <c:pt idx="511">
                  <c:v>20.47</c:v>
                </c:pt>
                <c:pt idx="512">
                  <c:v>20.91</c:v>
                </c:pt>
                <c:pt idx="513">
                  <c:v>22.2</c:v>
                </c:pt>
                <c:pt idx="514">
                  <c:v>20.89</c:v>
                </c:pt>
                <c:pt idx="515">
                  <c:v>19.87</c:v>
                </c:pt>
                <c:pt idx="516">
                  <c:v>18.28</c:v>
                </c:pt>
                <c:pt idx="517">
                  <c:v>18.670000000000002</c:v>
                </c:pt>
                <c:pt idx="518">
                  <c:v>18.91</c:v>
                </c:pt>
                <c:pt idx="519">
                  <c:v>18.309999999999999</c:v>
                </c:pt>
                <c:pt idx="520">
                  <c:v>18.57</c:v>
                </c:pt>
                <c:pt idx="521">
                  <c:v>18.53</c:v>
                </c:pt>
                <c:pt idx="522">
                  <c:v>19.399999999999999</c:v>
                </c:pt>
                <c:pt idx="523">
                  <c:v>19.440000000000001</c:v>
                </c:pt>
                <c:pt idx="524">
                  <c:v>18.55</c:v>
                </c:pt>
                <c:pt idx="525">
                  <c:v>17.98</c:v>
                </c:pt>
                <c:pt idx="526">
                  <c:v>17.100000000000001</c:v>
                </c:pt>
                <c:pt idx="527">
                  <c:v>17.760000000000002</c:v>
                </c:pt>
                <c:pt idx="528">
                  <c:v>17.649999999999999</c:v>
                </c:pt>
                <c:pt idx="529">
                  <c:v>18.16</c:v>
                </c:pt>
                <c:pt idx="530">
                  <c:v>18.63</c:v>
                </c:pt>
                <c:pt idx="531">
                  <c:v>20.79</c:v>
                </c:pt>
                <c:pt idx="532">
                  <c:v>19.04</c:v>
                </c:pt>
                <c:pt idx="533">
                  <c:v>19.54</c:v>
                </c:pt>
                <c:pt idx="534">
                  <c:v>21.14</c:v>
                </c:pt>
                <c:pt idx="535">
                  <c:v>19.22</c:v>
                </c:pt>
                <c:pt idx="536">
                  <c:v>17.78</c:v>
                </c:pt>
                <c:pt idx="537">
                  <c:v>18.190000000000001</c:v>
                </c:pt>
                <c:pt idx="538">
                  <c:v>18.190000000000001</c:v>
                </c:pt>
                <c:pt idx="539">
                  <c:v>16.8</c:v>
                </c:pt>
                <c:pt idx="540">
                  <c:v>17.309999999999999</c:v>
                </c:pt>
                <c:pt idx="541">
                  <c:v>18.190000000000001</c:v>
                </c:pt>
                <c:pt idx="542">
                  <c:v>17.96</c:v>
                </c:pt>
                <c:pt idx="543">
                  <c:v>18.43</c:v>
                </c:pt>
                <c:pt idx="544">
                  <c:v>17.260000000000002</c:v>
                </c:pt>
                <c:pt idx="545">
                  <c:v>17.29</c:v>
                </c:pt>
                <c:pt idx="546">
                  <c:v>18.05</c:v>
                </c:pt>
                <c:pt idx="547">
                  <c:v>20.87</c:v>
                </c:pt>
                <c:pt idx="548">
                  <c:v>19.07</c:v>
                </c:pt>
                <c:pt idx="549">
                  <c:v>17.95</c:v>
                </c:pt>
                <c:pt idx="550">
                  <c:v>17.11</c:v>
                </c:pt>
                <c:pt idx="551">
                  <c:v>15.64</c:v>
                </c:pt>
                <c:pt idx="552">
                  <c:v>14.8</c:v>
                </c:pt>
                <c:pt idx="553">
                  <c:v>15.31</c:v>
                </c:pt>
                <c:pt idx="554">
                  <c:v>15.42</c:v>
                </c:pt>
                <c:pt idx="555">
                  <c:v>14.47</c:v>
                </c:pt>
                <c:pt idx="556">
                  <c:v>15.04</c:v>
                </c:pt>
                <c:pt idx="557">
                  <c:v>15.58</c:v>
                </c:pt>
                <c:pt idx="558">
                  <c:v>15.13</c:v>
                </c:pt>
                <c:pt idx="559">
                  <c:v>15.57</c:v>
                </c:pt>
                <c:pt idx="560">
                  <c:v>14.82</c:v>
                </c:pt>
                <c:pt idx="561">
                  <c:v>14.26</c:v>
                </c:pt>
                <c:pt idx="562">
                  <c:v>15.59</c:v>
                </c:pt>
                <c:pt idx="563">
                  <c:v>15.47</c:v>
                </c:pt>
                <c:pt idx="564">
                  <c:v>15.48</c:v>
                </c:pt>
                <c:pt idx="565">
                  <c:v>15.5</c:v>
                </c:pt>
                <c:pt idx="566">
                  <c:v>15.64</c:v>
                </c:pt>
                <c:pt idx="567">
                  <c:v>15.66</c:v>
                </c:pt>
                <c:pt idx="568">
                  <c:v>16.440000000000001</c:v>
                </c:pt>
                <c:pt idx="569">
                  <c:v>16.7</c:v>
                </c:pt>
                <c:pt idx="570">
                  <c:v>18.809999999999999</c:v>
                </c:pt>
                <c:pt idx="571">
                  <c:v>20.39</c:v>
                </c:pt>
                <c:pt idx="572">
                  <c:v>20.02</c:v>
                </c:pt>
                <c:pt idx="573">
                  <c:v>17.2</c:v>
                </c:pt>
                <c:pt idx="574">
                  <c:v>19.55</c:v>
                </c:pt>
                <c:pt idx="575">
                  <c:v>19.55</c:v>
                </c:pt>
                <c:pt idx="576">
                  <c:v>18.46</c:v>
                </c:pt>
                <c:pt idx="577">
                  <c:v>18.64</c:v>
                </c:pt>
                <c:pt idx="578">
                  <c:v>18.36</c:v>
                </c:pt>
                <c:pt idx="579">
                  <c:v>17.440000000000001</c:v>
                </c:pt>
                <c:pt idx="580">
                  <c:v>18.97</c:v>
                </c:pt>
                <c:pt idx="581">
                  <c:v>18.100000000000001</c:v>
                </c:pt>
                <c:pt idx="582">
                  <c:v>16.82</c:v>
                </c:pt>
                <c:pt idx="583">
                  <c:v>16.239999999999998</c:v>
                </c:pt>
                <c:pt idx="584">
                  <c:v>16.32</c:v>
                </c:pt>
                <c:pt idx="585">
                  <c:v>17.149999999999999</c:v>
                </c:pt>
                <c:pt idx="586">
                  <c:v>16.600000000000001</c:v>
                </c:pt>
                <c:pt idx="587">
                  <c:v>16.88</c:v>
                </c:pt>
                <c:pt idx="588">
                  <c:v>17.559999999999999</c:v>
                </c:pt>
                <c:pt idx="589">
                  <c:v>19.16</c:v>
                </c:pt>
                <c:pt idx="590">
                  <c:v>18.940000000000001</c:v>
                </c:pt>
                <c:pt idx="591">
                  <c:v>19.05</c:v>
                </c:pt>
                <c:pt idx="592">
                  <c:v>20.079999999999998</c:v>
                </c:pt>
                <c:pt idx="593">
                  <c:v>18.829999999999998</c:v>
                </c:pt>
                <c:pt idx="594">
                  <c:v>19.89</c:v>
                </c:pt>
                <c:pt idx="595">
                  <c:v>21.87</c:v>
                </c:pt>
                <c:pt idx="596">
                  <c:v>21.97</c:v>
                </c:pt>
                <c:pt idx="597">
                  <c:v>22.27</c:v>
                </c:pt>
                <c:pt idx="598">
                  <c:v>24.49</c:v>
                </c:pt>
                <c:pt idx="599">
                  <c:v>25.1</c:v>
                </c:pt>
                <c:pt idx="600">
                  <c:v>22.01</c:v>
                </c:pt>
                <c:pt idx="601">
                  <c:v>22.48</c:v>
                </c:pt>
                <c:pt idx="602">
                  <c:v>22.33</c:v>
                </c:pt>
                <c:pt idx="603">
                  <c:v>21.54</c:v>
                </c:pt>
                <c:pt idx="604">
                  <c:v>21.76</c:v>
                </c:pt>
                <c:pt idx="605">
                  <c:v>21.03</c:v>
                </c:pt>
                <c:pt idx="606">
                  <c:v>24.14</c:v>
                </c:pt>
                <c:pt idx="607">
                  <c:v>24.06</c:v>
                </c:pt>
                <c:pt idx="608">
                  <c:v>26.66</c:v>
                </c:pt>
                <c:pt idx="609">
                  <c:v>26.12</c:v>
                </c:pt>
                <c:pt idx="610">
                  <c:v>24.68</c:v>
                </c:pt>
                <c:pt idx="611">
                  <c:v>22.16</c:v>
                </c:pt>
                <c:pt idx="612">
                  <c:v>21.72</c:v>
                </c:pt>
                <c:pt idx="613">
                  <c:v>21.23</c:v>
                </c:pt>
                <c:pt idx="614">
                  <c:v>23.56</c:v>
                </c:pt>
                <c:pt idx="615">
                  <c:v>22.09</c:v>
                </c:pt>
                <c:pt idx="616">
                  <c:v>24.27</c:v>
                </c:pt>
                <c:pt idx="617">
                  <c:v>21.68</c:v>
                </c:pt>
                <c:pt idx="618">
                  <c:v>21.11</c:v>
                </c:pt>
                <c:pt idx="619">
                  <c:v>18.32</c:v>
                </c:pt>
                <c:pt idx="620">
                  <c:v>18.38</c:v>
                </c:pt>
                <c:pt idx="621">
                  <c:v>17.239999999999998</c:v>
                </c:pt>
                <c:pt idx="622">
                  <c:v>20.079999999999998</c:v>
                </c:pt>
                <c:pt idx="623">
                  <c:v>18.11</c:v>
                </c:pt>
                <c:pt idx="624">
                  <c:v>20.38</c:v>
                </c:pt>
                <c:pt idx="625">
                  <c:v>19.72</c:v>
                </c:pt>
                <c:pt idx="626">
                  <c:v>19.45</c:v>
                </c:pt>
                <c:pt idx="627">
                  <c:v>19.71</c:v>
                </c:pt>
                <c:pt idx="628">
                  <c:v>17.079999999999998</c:v>
                </c:pt>
                <c:pt idx="629">
                  <c:v>16.739999999999998</c:v>
                </c:pt>
                <c:pt idx="630">
                  <c:v>16.66</c:v>
                </c:pt>
                <c:pt idx="631">
                  <c:v>17.5</c:v>
                </c:pt>
                <c:pt idx="632">
                  <c:v>17.100000000000001</c:v>
                </c:pt>
                <c:pt idx="633">
                  <c:v>17.98</c:v>
                </c:pt>
                <c:pt idx="634">
                  <c:v>18.72</c:v>
                </c:pt>
                <c:pt idx="635">
                  <c:v>17.95</c:v>
                </c:pt>
                <c:pt idx="636">
                  <c:v>18.329999999999998</c:v>
                </c:pt>
                <c:pt idx="637">
                  <c:v>16.739999999999998</c:v>
                </c:pt>
                <c:pt idx="638">
                  <c:v>17.11</c:v>
                </c:pt>
                <c:pt idx="639">
                  <c:v>16.48</c:v>
                </c:pt>
                <c:pt idx="640">
                  <c:v>16.16</c:v>
                </c:pt>
                <c:pt idx="641">
                  <c:v>15.45</c:v>
                </c:pt>
                <c:pt idx="642">
                  <c:v>16.27</c:v>
                </c:pt>
                <c:pt idx="643">
                  <c:v>18.62</c:v>
                </c:pt>
                <c:pt idx="644">
                  <c:v>20.47</c:v>
                </c:pt>
                <c:pt idx="645">
                  <c:v>19.34</c:v>
                </c:pt>
                <c:pt idx="646">
                  <c:v>17.53</c:v>
                </c:pt>
                <c:pt idx="647">
                  <c:v>16.7</c:v>
                </c:pt>
                <c:pt idx="648">
                  <c:v>18.03</c:v>
                </c:pt>
                <c:pt idx="649">
                  <c:v>18.93</c:v>
                </c:pt>
                <c:pt idx="650">
                  <c:v>18.96</c:v>
                </c:pt>
                <c:pt idx="651">
                  <c:v>17.57</c:v>
                </c:pt>
                <c:pt idx="652">
                  <c:v>15.64</c:v>
                </c:pt>
                <c:pt idx="653">
                  <c:v>15.95</c:v>
                </c:pt>
                <c:pt idx="654">
                  <c:v>15.99</c:v>
                </c:pt>
                <c:pt idx="655">
                  <c:v>15.32</c:v>
                </c:pt>
                <c:pt idx="656">
                  <c:v>15.28</c:v>
                </c:pt>
                <c:pt idx="657">
                  <c:v>14.74</c:v>
                </c:pt>
                <c:pt idx="658">
                  <c:v>13.7</c:v>
                </c:pt>
                <c:pt idx="659">
                  <c:v>14.85</c:v>
                </c:pt>
                <c:pt idx="660">
                  <c:v>14.63</c:v>
                </c:pt>
                <c:pt idx="661">
                  <c:v>14.29</c:v>
                </c:pt>
                <c:pt idx="662">
                  <c:v>13.45</c:v>
                </c:pt>
                <c:pt idx="663">
                  <c:v>14.02</c:v>
                </c:pt>
                <c:pt idx="664">
                  <c:v>15.02</c:v>
                </c:pt>
                <c:pt idx="665">
                  <c:v>15.11</c:v>
                </c:pt>
                <c:pt idx="666">
                  <c:v>15.96</c:v>
                </c:pt>
                <c:pt idx="667">
                  <c:v>15.18</c:v>
                </c:pt>
                <c:pt idx="668">
                  <c:v>16.350000000000001</c:v>
                </c:pt>
                <c:pt idx="669">
                  <c:v>16.489999999999998</c:v>
                </c:pt>
                <c:pt idx="670">
                  <c:v>17.059999999999999</c:v>
                </c:pt>
                <c:pt idx="671">
                  <c:v>17.829999999999998</c:v>
                </c:pt>
                <c:pt idx="672">
                  <c:v>17.47</c:v>
                </c:pt>
                <c:pt idx="673">
                  <c:v>17.98</c:v>
                </c:pt>
                <c:pt idx="674">
                  <c:v>17.739999999999998</c:v>
                </c:pt>
                <c:pt idx="675">
                  <c:v>15.6</c:v>
                </c:pt>
                <c:pt idx="676">
                  <c:v>14.38</c:v>
                </c:pt>
                <c:pt idx="677">
                  <c:v>16.28</c:v>
                </c:pt>
                <c:pt idx="678">
                  <c:v>16.41</c:v>
                </c:pt>
                <c:pt idx="679">
                  <c:v>15.8</c:v>
                </c:pt>
                <c:pt idx="680">
                  <c:v>14.05</c:v>
                </c:pt>
                <c:pt idx="681">
                  <c:v>14.51</c:v>
                </c:pt>
                <c:pt idx="682">
                  <c:v>14.59</c:v>
                </c:pt>
                <c:pt idx="683">
                  <c:v>14.18</c:v>
                </c:pt>
                <c:pt idx="684">
                  <c:v>13.88</c:v>
                </c:pt>
                <c:pt idx="685">
                  <c:v>14.07</c:v>
                </c:pt>
                <c:pt idx="686">
                  <c:v>13.98</c:v>
                </c:pt>
                <c:pt idx="687">
                  <c:v>14.15</c:v>
                </c:pt>
                <c:pt idx="688">
                  <c:v>15.43</c:v>
                </c:pt>
                <c:pt idx="689">
                  <c:v>16.809999999999999</c:v>
                </c:pt>
                <c:pt idx="690">
                  <c:v>14.84</c:v>
                </c:pt>
                <c:pt idx="691">
                  <c:v>15.73</c:v>
                </c:pt>
                <c:pt idx="692">
                  <c:v>16.32</c:v>
                </c:pt>
                <c:pt idx="693">
                  <c:v>15.71</c:v>
                </c:pt>
                <c:pt idx="694">
                  <c:v>15.43</c:v>
                </c:pt>
                <c:pt idx="695">
                  <c:v>14.55</c:v>
                </c:pt>
                <c:pt idx="696">
                  <c:v>14.33</c:v>
                </c:pt>
                <c:pt idx="697">
                  <c:v>15.11</c:v>
                </c:pt>
                <c:pt idx="698">
                  <c:v>16.37</c:v>
                </c:pt>
                <c:pt idx="699">
                  <c:v>16.29</c:v>
                </c:pt>
                <c:pt idx="700">
                  <c:v>15.59</c:v>
                </c:pt>
                <c:pt idx="701">
                  <c:v>16.14</c:v>
                </c:pt>
                <c:pt idx="702">
                  <c:v>15.27</c:v>
                </c:pt>
                <c:pt idx="703">
                  <c:v>15.22</c:v>
                </c:pt>
                <c:pt idx="704">
                  <c:v>15.07</c:v>
                </c:pt>
                <c:pt idx="705">
                  <c:v>15.03</c:v>
                </c:pt>
                <c:pt idx="706">
                  <c:v>17.059999999999999</c:v>
                </c:pt>
                <c:pt idx="707">
                  <c:v>16.62</c:v>
                </c:pt>
                <c:pt idx="708">
                  <c:v>18.829999999999998</c:v>
                </c:pt>
                <c:pt idx="709">
                  <c:v>18.329999999999998</c:v>
                </c:pt>
                <c:pt idx="710">
                  <c:v>18.12</c:v>
                </c:pt>
                <c:pt idx="711">
                  <c:v>17.809999999999999</c:v>
                </c:pt>
                <c:pt idx="712">
                  <c:v>18.600000000000001</c:v>
                </c:pt>
                <c:pt idx="713">
                  <c:v>16.690000000000001</c:v>
                </c:pt>
                <c:pt idx="714">
                  <c:v>17.59</c:v>
                </c:pt>
                <c:pt idx="715">
                  <c:v>18.420000000000002</c:v>
                </c:pt>
                <c:pt idx="716">
                  <c:v>17.579999999999998</c:v>
                </c:pt>
                <c:pt idx="717">
                  <c:v>19.079999999999998</c:v>
                </c:pt>
                <c:pt idx="718">
                  <c:v>18.489999999999998</c:v>
                </c:pt>
                <c:pt idx="719">
                  <c:v>18.61</c:v>
                </c:pt>
                <c:pt idx="720">
                  <c:v>16.68</c:v>
                </c:pt>
                <c:pt idx="721">
                  <c:v>16.649999999999999</c:v>
                </c:pt>
                <c:pt idx="722">
                  <c:v>17.920000000000002</c:v>
                </c:pt>
                <c:pt idx="723">
                  <c:v>17.989999999999998</c:v>
                </c:pt>
                <c:pt idx="724">
                  <c:v>16.41</c:v>
                </c:pt>
                <c:pt idx="725">
                  <c:v>15.24</c:v>
                </c:pt>
                <c:pt idx="726">
                  <c:v>15.08</c:v>
                </c:pt>
                <c:pt idx="727">
                  <c:v>15.31</c:v>
                </c:pt>
                <c:pt idx="728">
                  <c:v>15.14</c:v>
                </c:pt>
                <c:pt idx="729">
                  <c:v>15.5</c:v>
                </c:pt>
                <c:pt idx="730">
                  <c:v>15.92</c:v>
                </c:pt>
                <c:pt idx="731">
                  <c:v>15.51</c:v>
                </c:pt>
                <c:pt idx="732">
                  <c:v>15.06</c:v>
                </c:pt>
                <c:pt idx="733">
                  <c:v>15.87</c:v>
                </c:pt>
                <c:pt idx="734">
                  <c:v>16.64</c:v>
                </c:pt>
                <c:pt idx="735">
                  <c:v>17.12</c:v>
                </c:pt>
                <c:pt idx="736">
                  <c:v>16.46</c:v>
                </c:pt>
                <c:pt idx="737">
                  <c:v>16.579999999999998</c:v>
                </c:pt>
                <c:pt idx="738">
                  <c:v>15.9</c:v>
                </c:pt>
                <c:pt idx="739">
                  <c:v>16.05</c:v>
                </c:pt>
                <c:pt idx="740">
                  <c:v>15.57</c:v>
                </c:pt>
                <c:pt idx="741">
                  <c:v>15.95</c:v>
                </c:pt>
                <c:pt idx="742">
                  <c:v>16.559999999999999</c:v>
                </c:pt>
                <c:pt idx="743">
                  <c:v>17</c:v>
                </c:pt>
                <c:pt idx="744">
                  <c:v>16.34</c:v>
                </c:pt>
                <c:pt idx="745">
                  <c:v>15.57</c:v>
                </c:pt>
                <c:pt idx="746">
                  <c:v>17.36</c:v>
                </c:pt>
                <c:pt idx="747">
                  <c:v>17.670000000000002</c:v>
                </c:pt>
                <c:pt idx="748">
                  <c:v>17.84</c:v>
                </c:pt>
                <c:pt idx="749">
                  <c:v>18.59</c:v>
                </c:pt>
                <c:pt idx="750">
                  <c:v>19.48</c:v>
                </c:pt>
                <c:pt idx="751">
                  <c:v>19.47</c:v>
                </c:pt>
                <c:pt idx="752">
                  <c:v>22.72</c:v>
                </c:pt>
                <c:pt idx="753">
                  <c:v>18.02</c:v>
                </c:pt>
                <c:pt idx="754">
                  <c:v>14.68</c:v>
                </c:pt>
                <c:pt idx="755">
                  <c:v>14.56</c:v>
                </c:pt>
                <c:pt idx="756">
                  <c:v>13.83</c:v>
                </c:pt>
                <c:pt idx="757">
                  <c:v>13.79</c:v>
                </c:pt>
                <c:pt idx="758">
                  <c:v>13.62</c:v>
                </c:pt>
                <c:pt idx="759">
                  <c:v>13.81</c:v>
                </c:pt>
                <c:pt idx="760">
                  <c:v>13.49</c:v>
                </c:pt>
                <c:pt idx="761">
                  <c:v>13.36</c:v>
                </c:pt>
                <c:pt idx="762">
                  <c:v>13.52</c:v>
                </c:pt>
                <c:pt idx="763">
                  <c:v>13.55</c:v>
                </c:pt>
                <c:pt idx="764">
                  <c:v>13.42</c:v>
                </c:pt>
                <c:pt idx="765">
                  <c:v>13.57</c:v>
                </c:pt>
                <c:pt idx="766">
                  <c:v>12.46</c:v>
                </c:pt>
                <c:pt idx="767">
                  <c:v>12.43</c:v>
                </c:pt>
                <c:pt idx="768">
                  <c:v>12.46</c:v>
                </c:pt>
                <c:pt idx="769">
                  <c:v>12.69</c:v>
                </c:pt>
                <c:pt idx="770">
                  <c:v>12.89</c:v>
                </c:pt>
                <c:pt idx="771">
                  <c:v>13.57</c:v>
                </c:pt>
                <c:pt idx="772">
                  <c:v>13.31</c:v>
                </c:pt>
                <c:pt idx="773">
                  <c:v>14.32</c:v>
                </c:pt>
                <c:pt idx="774">
                  <c:v>14.28</c:v>
                </c:pt>
                <c:pt idx="775">
                  <c:v>12.9</c:v>
                </c:pt>
                <c:pt idx="776">
                  <c:v>14.67</c:v>
                </c:pt>
                <c:pt idx="777">
                  <c:v>13.72</c:v>
                </c:pt>
                <c:pt idx="778">
                  <c:v>13.41</c:v>
                </c:pt>
                <c:pt idx="779">
                  <c:v>13.5</c:v>
                </c:pt>
                <c:pt idx="780">
                  <c:v>13.02</c:v>
                </c:pt>
                <c:pt idx="781">
                  <c:v>12.94</c:v>
                </c:pt>
                <c:pt idx="782">
                  <c:v>12.64</c:v>
                </c:pt>
                <c:pt idx="783">
                  <c:v>12.98</c:v>
                </c:pt>
                <c:pt idx="784">
                  <c:v>12.66</c:v>
                </c:pt>
                <c:pt idx="785">
                  <c:v>12.46</c:v>
                </c:pt>
                <c:pt idx="786">
                  <c:v>12.31</c:v>
                </c:pt>
                <c:pt idx="787">
                  <c:v>14.68</c:v>
                </c:pt>
                <c:pt idx="788">
                  <c:v>15.22</c:v>
                </c:pt>
                <c:pt idx="789">
                  <c:v>14.17</c:v>
                </c:pt>
                <c:pt idx="790">
                  <c:v>18.989999999999998</c:v>
                </c:pt>
                <c:pt idx="791">
                  <c:v>16.87</c:v>
                </c:pt>
                <c:pt idx="792">
                  <c:v>14.73</c:v>
                </c:pt>
                <c:pt idx="793">
                  <c:v>15.51</c:v>
                </c:pt>
                <c:pt idx="794">
                  <c:v>15.36</c:v>
                </c:pt>
                <c:pt idx="795">
                  <c:v>14.01</c:v>
                </c:pt>
                <c:pt idx="796">
                  <c:v>13.48</c:v>
                </c:pt>
                <c:pt idx="797">
                  <c:v>13.53</c:v>
                </c:pt>
                <c:pt idx="798">
                  <c:v>13.06</c:v>
                </c:pt>
                <c:pt idx="799">
                  <c:v>12.59</c:v>
                </c:pt>
                <c:pt idx="800">
                  <c:v>11.56</c:v>
                </c:pt>
                <c:pt idx="801">
                  <c:v>12.27</c:v>
                </c:pt>
                <c:pt idx="802">
                  <c:v>11.83</c:v>
                </c:pt>
                <c:pt idx="803">
                  <c:v>11.3</c:v>
                </c:pt>
                <c:pt idx="804">
                  <c:v>11.3</c:v>
                </c:pt>
                <c:pt idx="805">
                  <c:v>13.36</c:v>
                </c:pt>
                <c:pt idx="806">
                  <c:v>14.39</c:v>
                </c:pt>
                <c:pt idx="807">
                  <c:v>12.67</c:v>
                </c:pt>
                <c:pt idx="808">
                  <c:v>13.99</c:v>
                </c:pt>
                <c:pt idx="809">
                  <c:v>13.57</c:v>
                </c:pt>
                <c:pt idx="810">
                  <c:v>13.74</c:v>
                </c:pt>
                <c:pt idx="811">
                  <c:v>12.77</c:v>
                </c:pt>
                <c:pt idx="812">
                  <c:v>13.15</c:v>
                </c:pt>
                <c:pt idx="813">
                  <c:v>12.7</c:v>
                </c:pt>
                <c:pt idx="814">
                  <c:v>13.58</c:v>
                </c:pt>
                <c:pt idx="815">
                  <c:v>12.78</c:v>
                </c:pt>
                <c:pt idx="816">
                  <c:v>14.21</c:v>
                </c:pt>
                <c:pt idx="817">
                  <c:v>13.89</c:v>
                </c:pt>
                <c:pt idx="818">
                  <c:v>13.92</c:v>
                </c:pt>
                <c:pt idx="819">
                  <c:v>13.19</c:v>
                </c:pt>
                <c:pt idx="820">
                  <c:v>12.84</c:v>
                </c:pt>
                <c:pt idx="821">
                  <c:v>12.36</c:v>
                </c:pt>
                <c:pt idx="822">
                  <c:v>12.24</c:v>
                </c:pt>
                <c:pt idx="823">
                  <c:v>12.06</c:v>
                </c:pt>
                <c:pt idx="824">
                  <c:v>17.27</c:v>
                </c:pt>
                <c:pt idx="825">
                  <c:v>13.96</c:v>
                </c:pt>
                <c:pt idx="826">
                  <c:v>16.510000000000002</c:v>
                </c:pt>
                <c:pt idx="827">
                  <c:v>17.559999999999999</c:v>
                </c:pt>
                <c:pt idx="828">
                  <c:v>14.97</c:v>
                </c:pt>
                <c:pt idx="829">
                  <c:v>14.39</c:v>
                </c:pt>
                <c:pt idx="830">
                  <c:v>13.48</c:v>
                </c:pt>
                <c:pt idx="831">
                  <c:v>13.61</c:v>
                </c:pt>
                <c:pt idx="832">
                  <c:v>13.62</c:v>
                </c:pt>
                <c:pt idx="833">
                  <c:v>13.61</c:v>
                </c:pt>
                <c:pt idx="834">
                  <c:v>13.71</c:v>
                </c:pt>
                <c:pt idx="835">
                  <c:v>13.52</c:v>
                </c:pt>
                <c:pt idx="836">
                  <c:v>14.49</c:v>
                </c:pt>
                <c:pt idx="837">
                  <c:v>13.59</c:v>
                </c:pt>
                <c:pt idx="838">
                  <c:v>12.85</c:v>
                </c:pt>
                <c:pt idx="839">
                  <c:v>12.66</c:v>
                </c:pt>
                <c:pt idx="840">
                  <c:v>12.83</c:v>
                </c:pt>
                <c:pt idx="841">
                  <c:v>12.66</c:v>
                </c:pt>
                <c:pt idx="842">
                  <c:v>13.13</c:v>
                </c:pt>
                <c:pt idx="843">
                  <c:v>12.59</c:v>
                </c:pt>
                <c:pt idx="844">
                  <c:v>12.55</c:v>
                </c:pt>
                <c:pt idx="845">
                  <c:v>12.77</c:v>
                </c:pt>
                <c:pt idx="846">
                  <c:v>12.81</c:v>
                </c:pt>
                <c:pt idx="847">
                  <c:v>13.07</c:v>
                </c:pt>
                <c:pt idx="848">
                  <c:v>12.45</c:v>
                </c:pt>
                <c:pt idx="849">
                  <c:v>13.02</c:v>
                </c:pt>
                <c:pt idx="850">
                  <c:v>13.37</c:v>
                </c:pt>
                <c:pt idx="851">
                  <c:v>13.82</c:v>
                </c:pt>
                <c:pt idx="852">
                  <c:v>14.07</c:v>
                </c:pt>
                <c:pt idx="853">
                  <c:v>13.99</c:v>
                </c:pt>
                <c:pt idx="854">
                  <c:v>14.48</c:v>
                </c:pt>
                <c:pt idx="855">
                  <c:v>14.83</c:v>
                </c:pt>
                <c:pt idx="856">
                  <c:v>14.53</c:v>
                </c:pt>
                <c:pt idx="857">
                  <c:v>16.3</c:v>
                </c:pt>
                <c:pt idx="858">
                  <c:v>16.28</c:v>
                </c:pt>
                <c:pt idx="859">
                  <c:v>16.27</c:v>
                </c:pt>
                <c:pt idx="860">
                  <c:v>17.5</c:v>
                </c:pt>
                <c:pt idx="861">
                  <c:v>16.63</c:v>
                </c:pt>
                <c:pt idx="862">
                  <c:v>15.14</c:v>
                </c:pt>
                <c:pt idx="863">
                  <c:v>15.44</c:v>
                </c:pt>
                <c:pt idx="864">
                  <c:v>17.07</c:v>
                </c:pt>
                <c:pt idx="865">
                  <c:v>18.59</c:v>
                </c:pt>
                <c:pt idx="866">
                  <c:v>16.41</c:v>
                </c:pt>
                <c:pt idx="867">
                  <c:v>17.149999999999999</c:v>
                </c:pt>
                <c:pt idx="868">
                  <c:v>16.8</c:v>
                </c:pt>
                <c:pt idx="869">
                  <c:v>16.61</c:v>
                </c:pt>
                <c:pt idx="870">
                  <c:v>16.64</c:v>
                </c:pt>
                <c:pt idx="871">
                  <c:v>20.49</c:v>
                </c:pt>
                <c:pt idx="872">
                  <c:v>18.899999999999999</c:v>
                </c:pt>
                <c:pt idx="873">
                  <c:v>20.11</c:v>
                </c:pt>
                <c:pt idx="874">
                  <c:v>18.47</c:v>
                </c:pt>
                <c:pt idx="875">
                  <c:v>17.21</c:v>
                </c:pt>
                <c:pt idx="876">
                  <c:v>16.86</c:v>
                </c:pt>
                <c:pt idx="877">
                  <c:v>16.86</c:v>
                </c:pt>
                <c:pt idx="878">
                  <c:v>16.37</c:v>
                </c:pt>
                <c:pt idx="879">
                  <c:v>16.440000000000001</c:v>
                </c:pt>
                <c:pt idx="880">
                  <c:v>16.2</c:v>
                </c:pt>
                <c:pt idx="881">
                  <c:v>14.89</c:v>
                </c:pt>
                <c:pt idx="882">
                  <c:v>14.78</c:v>
                </c:pt>
                <c:pt idx="883">
                  <c:v>14.35</c:v>
                </c:pt>
                <c:pt idx="884">
                  <c:v>14.21</c:v>
                </c:pt>
                <c:pt idx="885">
                  <c:v>14.01</c:v>
                </c:pt>
                <c:pt idx="886">
                  <c:v>13.84</c:v>
                </c:pt>
                <c:pt idx="887">
                  <c:v>13.79</c:v>
                </c:pt>
                <c:pt idx="888">
                  <c:v>14.42</c:v>
                </c:pt>
                <c:pt idx="889">
                  <c:v>13.78</c:v>
                </c:pt>
                <c:pt idx="890">
                  <c:v>13.77</c:v>
                </c:pt>
                <c:pt idx="891">
                  <c:v>12.54</c:v>
                </c:pt>
                <c:pt idx="892">
                  <c:v>12.29</c:v>
                </c:pt>
                <c:pt idx="893">
                  <c:v>12.66</c:v>
                </c:pt>
                <c:pt idx="894">
                  <c:v>13.18</c:v>
                </c:pt>
                <c:pt idx="895">
                  <c:v>12.97</c:v>
                </c:pt>
                <c:pt idx="896">
                  <c:v>12.72</c:v>
                </c:pt>
                <c:pt idx="897">
                  <c:v>13.39</c:v>
                </c:pt>
                <c:pt idx="898">
                  <c:v>13.39</c:v>
                </c:pt>
                <c:pt idx="899">
                  <c:v>13.45</c:v>
                </c:pt>
                <c:pt idx="900">
                  <c:v>12.94</c:v>
                </c:pt>
                <c:pt idx="901">
                  <c:v>11.98</c:v>
                </c:pt>
                <c:pt idx="902">
                  <c:v>11.84</c:v>
                </c:pt>
                <c:pt idx="903">
                  <c:v>12.72</c:v>
                </c:pt>
                <c:pt idx="904">
                  <c:v>12.98</c:v>
                </c:pt>
                <c:pt idx="905">
                  <c:v>12.73</c:v>
                </c:pt>
                <c:pt idx="906">
                  <c:v>13.41</c:v>
                </c:pt>
                <c:pt idx="907">
                  <c:v>12.81</c:v>
                </c:pt>
                <c:pt idx="908">
                  <c:v>12.31</c:v>
                </c:pt>
                <c:pt idx="909">
                  <c:v>13.04</c:v>
                </c:pt>
                <c:pt idx="910">
                  <c:v>14.73</c:v>
                </c:pt>
                <c:pt idx="911">
                  <c:v>14.37</c:v>
                </c:pt>
                <c:pt idx="912">
                  <c:v>15.1</c:v>
                </c:pt>
                <c:pt idx="913">
                  <c:v>14.91</c:v>
                </c:pt>
                <c:pt idx="914">
                  <c:v>15.94</c:v>
                </c:pt>
                <c:pt idx="915">
                  <c:v>14.76</c:v>
                </c:pt>
                <c:pt idx="916">
                  <c:v>13.98</c:v>
                </c:pt>
                <c:pt idx="917">
                  <c:v>14.99</c:v>
                </c:pt>
                <c:pt idx="918">
                  <c:v>16.77</c:v>
                </c:pt>
                <c:pt idx="919">
                  <c:v>16.489999999999998</c:v>
                </c:pt>
                <c:pt idx="920">
                  <c:v>16.809999999999999</c:v>
                </c:pt>
                <c:pt idx="921">
                  <c:v>17.010000000000002</c:v>
                </c:pt>
                <c:pt idx="922">
                  <c:v>16.61</c:v>
                </c:pt>
                <c:pt idx="923">
                  <c:v>15.88</c:v>
                </c:pt>
                <c:pt idx="924">
                  <c:v>15.77</c:v>
                </c:pt>
                <c:pt idx="925">
                  <c:v>15.85</c:v>
                </c:pt>
                <c:pt idx="926">
                  <c:v>15.63</c:v>
                </c:pt>
                <c:pt idx="927">
                  <c:v>14.53</c:v>
                </c:pt>
                <c:pt idx="928">
                  <c:v>13.82</c:v>
                </c:pt>
                <c:pt idx="929">
                  <c:v>14.29</c:v>
                </c:pt>
                <c:pt idx="930">
                  <c:v>14.16</c:v>
                </c:pt>
                <c:pt idx="931">
                  <c:v>14.38</c:v>
                </c:pt>
                <c:pt idx="932">
                  <c:v>14.53</c:v>
                </c:pt>
                <c:pt idx="933">
                  <c:v>13.59</c:v>
                </c:pt>
                <c:pt idx="934">
                  <c:v>13.16</c:v>
                </c:pt>
                <c:pt idx="935">
                  <c:v>13.12</c:v>
                </c:pt>
                <c:pt idx="936">
                  <c:v>14.31</c:v>
                </c:pt>
                <c:pt idx="937">
                  <c:v>14.08</c:v>
                </c:pt>
                <c:pt idx="938">
                  <c:v>14.01</c:v>
                </c:pt>
                <c:pt idx="939">
                  <c:v>14.06</c:v>
                </c:pt>
                <c:pt idx="940">
                  <c:v>15.46</c:v>
                </c:pt>
                <c:pt idx="941">
                  <c:v>16.600000000000001</c:v>
                </c:pt>
                <c:pt idx="942">
                  <c:v>15.54</c:v>
                </c:pt>
                <c:pt idx="943">
                  <c:v>16.600000000000001</c:v>
                </c:pt>
                <c:pt idx="944">
                  <c:v>17.670000000000002</c:v>
                </c:pt>
                <c:pt idx="945">
                  <c:v>16.739999999999998</c:v>
                </c:pt>
                <c:pt idx="946">
                  <c:v>19.41</c:v>
                </c:pt>
                <c:pt idx="947">
                  <c:v>20.34</c:v>
                </c:pt>
                <c:pt idx="948">
                  <c:v>19.600000000000001</c:v>
                </c:pt>
                <c:pt idx="949">
                  <c:v>16.48</c:v>
                </c:pt>
                <c:pt idx="950">
                  <c:v>15.72</c:v>
                </c:pt>
                <c:pt idx="951">
                  <c:v>16.07</c:v>
                </c:pt>
                <c:pt idx="952">
                  <c:v>18.66</c:v>
                </c:pt>
                <c:pt idx="953">
                  <c:v>14.71</c:v>
                </c:pt>
                <c:pt idx="954">
                  <c:v>13.48</c:v>
                </c:pt>
                <c:pt idx="955">
                  <c:v>13.04</c:v>
                </c:pt>
                <c:pt idx="956">
                  <c:v>13.16</c:v>
                </c:pt>
                <c:pt idx="957">
                  <c:v>13.33</c:v>
                </c:pt>
                <c:pt idx="958">
                  <c:v>13.42</c:v>
                </c:pt>
                <c:pt idx="959">
                  <c:v>13.2</c:v>
                </c:pt>
                <c:pt idx="960">
                  <c:v>13.09</c:v>
                </c:pt>
                <c:pt idx="961">
                  <c:v>13.31</c:v>
                </c:pt>
                <c:pt idx="962">
                  <c:v>13.41</c:v>
                </c:pt>
                <c:pt idx="963">
                  <c:v>13.65</c:v>
                </c:pt>
                <c:pt idx="964">
                  <c:v>13.75</c:v>
                </c:pt>
                <c:pt idx="965">
                  <c:v>13.28</c:v>
                </c:pt>
                <c:pt idx="966">
                  <c:v>12.93</c:v>
                </c:pt>
                <c:pt idx="967">
                  <c:v>13.27</c:v>
                </c:pt>
                <c:pt idx="968">
                  <c:v>12.67</c:v>
                </c:pt>
                <c:pt idx="969">
                  <c:v>13.91</c:v>
                </c:pt>
                <c:pt idx="970">
                  <c:v>12.9</c:v>
                </c:pt>
                <c:pt idx="971">
                  <c:v>12.53</c:v>
                </c:pt>
                <c:pt idx="972">
                  <c:v>12.82</c:v>
                </c:pt>
                <c:pt idx="973">
                  <c:v>12.52</c:v>
                </c:pt>
                <c:pt idx="974">
                  <c:v>12.37</c:v>
                </c:pt>
                <c:pt idx="975">
                  <c:v>12.19</c:v>
                </c:pt>
                <c:pt idx="976">
                  <c:v>13.1</c:v>
                </c:pt>
                <c:pt idx="977">
                  <c:v>13.39</c:v>
                </c:pt>
                <c:pt idx="978">
                  <c:v>13.4</c:v>
                </c:pt>
                <c:pt idx="979">
                  <c:v>12.66</c:v>
                </c:pt>
                <c:pt idx="980">
                  <c:v>12.26</c:v>
                </c:pt>
                <c:pt idx="981">
                  <c:v>12.79</c:v>
                </c:pt>
                <c:pt idx="982">
                  <c:v>12.81</c:v>
                </c:pt>
                <c:pt idx="983">
                  <c:v>12.98</c:v>
                </c:pt>
                <c:pt idx="984">
                  <c:v>13.7</c:v>
                </c:pt>
                <c:pt idx="985">
                  <c:v>14.23</c:v>
                </c:pt>
                <c:pt idx="986">
                  <c:v>14.55</c:v>
                </c:pt>
                <c:pt idx="987">
                  <c:v>14.7</c:v>
                </c:pt>
                <c:pt idx="988">
                  <c:v>15.08</c:v>
                </c:pt>
                <c:pt idx="989">
                  <c:v>13.79</c:v>
                </c:pt>
                <c:pt idx="990">
                  <c:v>13.49</c:v>
                </c:pt>
                <c:pt idx="991">
                  <c:v>13.91</c:v>
                </c:pt>
                <c:pt idx="992">
                  <c:v>15.42</c:v>
                </c:pt>
                <c:pt idx="993">
                  <c:v>15.54</c:v>
                </c:pt>
                <c:pt idx="994">
                  <c:v>15.76</c:v>
                </c:pt>
                <c:pt idx="995">
                  <c:v>16.03</c:v>
                </c:pt>
                <c:pt idx="996">
                  <c:v>16.21</c:v>
                </c:pt>
                <c:pt idx="997">
                  <c:v>13.8</c:v>
                </c:pt>
                <c:pt idx="998">
                  <c:v>14.15</c:v>
                </c:pt>
                <c:pt idx="999">
                  <c:v>13.79</c:v>
                </c:pt>
                <c:pt idx="1000">
                  <c:v>13.04</c:v>
                </c:pt>
                <c:pt idx="1001">
                  <c:v>12.48</c:v>
                </c:pt>
                <c:pt idx="1002">
                  <c:v>12.33</c:v>
                </c:pt>
                <c:pt idx="1003">
                  <c:v>12.46</c:v>
                </c:pt>
                <c:pt idx="1004">
                  <c:v>13.56</c:v>
                </c:pt>
                <c:pt idx="1005">
                  <c:v>13.72</c:v>
                </c:pt>
                <c:pt idx="1006">
                  <c:v>14.23</c:v>
                </c:pt>
                <c:pt idx="1007">
                  <c:v>13.76</c:v>
                </c:pt>
                <c:pt idx="1008">
                  <c:v>13.55</c:v>
                </c:pt>
                <c:pt idx="1009">
                  <c:v>12.92</c:v>
                </c:pt>
                <c:pt idx="1010">
                  <c:v>12.87</c:v>
                </c:pt>
                <c:pt idx="1011">
                  <c:v>12.89</c:v>
                </c:pt>
                <c:pt idx="1012">
                  <c:v>12.14</c:v>
                </c:pt>
                <c:pt idx="1013">
                  <c:v>13.28</c:v>
                </c:pt>
                <c:pt idx="1014">
                  <c:v>12.28</c:v>
                </c:pt>
                <c:pt idx="1015">
                  <c:v>12.28</c:v>
                </c:pt>
                <c:pt idx="1016">
                  <c:v>12.53</c:v>
                </c:pt>
                <c:pt idx="1017">
                  <c:v>12.44</c:v>
                </c:pt>
                <c:pt idx="1018">
                  <c:v>12.87</c:v>
                </c:pt>
                <c:pt idx="1019">
                  <c:v>12.84</c:v>
                </c:pt>
                <c:pt idx="1020">
                  <c:v>13.77</c:v>
                </c:pt>
                <c:pt idx="1021">
                  <c:v>18.14</c:v>
                </c:pt>
                <c:pt idx="1022">
                  <c:v>17.420000000000002</c:v>
                </c:pt>
                <c:pt idx="1023">
                  <c:v>15.8</c:v>
                </c:pt>
                <c:pt idx="1024">
                  <c:v>17.350000000000001</c:v>
                </c:pt>
                <c:pt idx="1025">
                  <c:v>17.29</c:v>
                </c:pt>
                <c:pt idx="1026">
                  <c:v>18.41</c:v>
                </c:pt>
                <c:pt idx="1027">
                  <c:v>21.44</c:v>
                </c:pt>
                <c:pt idx="1028">
                  <c:v>19.11</c:v>
                </c:pt>
                <c:pt idx="1029">
                  <c:v>19.95</c:v>
                </c:pt>
                <c:pt idx="1030">
                  <c:v>17.23</c:v>
                </c:pt>
                <c:pt idx="1031">
                  <c:v>15.29</c:v>
                </c:pt>
                <c:pt idx="1032">
                  <c:v>15.26</c:v>
                </c:pt>
                <c:pt idx="1033">
                  <c:v>14.51</c:v>
                </c:pt>
                <c:pt idx="1034">
                  <c:v>14.3</c:v>
                </c:pt>
                <c:pt idx="1035">
                  <c:v>14.14</c:v>
                </c:pt>
                <c:pt idx="1036">
                  <c:v>13.57</c:v>
                </c:pt>
                <c:pt idx="1037">
                  <c:v>13.87</c:v>
                </c:pt>
                <c:pt idx="1038">
                  <c:v>15.5</c:v>
                </c:pt>
                <c:pt idx="1039">
                  <c:v>14.79</c:v>
                </c:pt>
                <c:pt idx="1040">
                  <c:v>14.68</c:v>
                </c:pt>
                <c:pt idx="1041">
                  <c:v>14.23</c:v>
                </c:pt>
                <c:pt idx="1042">
                  <c:v>13.67</c:v>
                </c:pt>
                <c:pt idx="1043">
                  <c:v>14.35</c:v>
                </c:pt>
                <c:pt idx="1044">
                  <c:v>14.04</c:v>
                </c:pt>
                <c:pt idx="1045">
                  <c:v>14</c:v>
                </c:pt>
                <c:pt idx="1046">
                  <c:v>16</c:v>
                </c:pt>
                <c:pt idx="1047">
                  <c:v>14.1</c:v>
                </c:pt>
                <c:pt idx="1048">
                  <c:v>13.89</c:v>
                </c:pt>
                <c:pt idx="1049">
                  <c:v>14.21</c:v>
                </c:pt>
                <c:pt idx="1050">
                  <c:v>14.11</c:v>
                </c:pt>
                <c:pt idx="1051">
                  <c:v>14.2</c:v>
                </c:pt>
                <c:pt idx="1052">
                  <c:v>14.8</c:v>
                </c:pt>
                <c:pt idx="1053">
                  <c:v>14.47</c:v>
                </c:pt>
                <c:pt idx="1054">
                  <c:v>16.22</c:v>
                </c:pt>
                <c:pt idx="1055">
                  <c:v>17.82</c:v>
                </c:pt>
                <c:pt idx="1056">
                  <c:v>15.64</c:v>
                </c:pt>
                <c:pt idx="1057">
                  <c:v>14.52</c:v>
                </c:pt>
                <c:pt idx="1058">
                  <c:v>15.12</c:v>
                </c:pt>
                <c:pt idx="1059">
                  <c:v>14.52</c:v>
                </c:pt>
                <c:pt idx="1060">
                  <c:v>15</c:v>
                </c:pt>
                <c:pt idx="1061">
                  <c:v>15.09</c:v>
                </c:pt>
                <c:pt idx="1062">
                  <c:v>14.02</c:v>
                </c:pt>
                <c:pt idx="1063">
                  <c:v>14.93</c:v>
                </c:pt>
                <c:pt idx="1064">
                  <c:v>14.62</c:v>
                </c:pt>
                <c:pt idx="1065">
                  <c:v>14.41</c:v>
                </c:pt>
                <c:pt idx="1066">
                  <c:v>13.88</c:v>
                </c:pt>
                <c:pt idx="1067">
                  <c:v>13.1</c:v>
                </c:pt>
                <c:pt idx="1068">
                  <c:v>13.09</c:v>
                </c:pt>
                <c:pt idx="1069">
                  <c:v>13.37</c:v>
                </c:pt>
                <c:pt idx="1070">
                  <c:v>13.96</c:v>
                </c:pt>
                <c:pt idx="1071">
                  <c:v>15.57</c:v>
                </c:pt>
                <c:pt idx="1072">
                  <c:v>14.89</c:v>
                </c:pt>
                <c:pt idx="1073">
                  <c:v>13.82</c:v>
                </c:pt>
                <c:pt idx="1074">
                  <c:v>15.89</c:v>
                </c:pt>
                <c:pt idx="1075">
                  <c:v>17.03</c:v>
                </c:pt>
                <c:pt idx="1076">
                  <c:v>16.11</c:v>
                </c:pt>
                <c:pt idx="1077">
                  <c:v>15.61</c:v>
                </c:pt>
                <c:pt idx="1078">
                  <c:v>14.18</c:v>
                </c:pt>
                <c:pt idx="1079">
                  <c:v>13.36</c:v>
                </c:pt>
                <c:pt idx="1080">
                  <c:v>13.25</c:v>
                </c:pt>
                <c:pt idx="1081">
                  <c:v>13.19</c:v>
                </c:pt>
                <c:pt idx="1082">
                  <c:v>13.27</c:v>
                </c:pt>
                <c:pt idx="1083">
                  <c:v>13.32</c:v>
                </c:pt>
                <c:pt idx="1084">
                  <c:v>14.06</c:v>
                </c:pt>
                <c:pt idx="1085">
                  <c:v>13.97</c:v>
                </c:pt>
                <c:pt idx="1086">
                  <c:v>13.71</c:v>
                </c:pt>
                <c:pt idx="1087">
                  <c:v>13.41</c:v>
                </c:pt>
                <c:pt idx="1088">
                  <c:v>13.25</c:v>
                </c:pt>
                <c:pt idx="1089">
                  <c:v>12.91</c:v>
                </c:pt>
                <c:pt idx="1090">
                  <c:v>13.29</c:v>
                </c:pt>
                <c:pt idx="1091">
                  <c:v>13.8</c:v>
                </c:pt>
                <c:pt idx="1092">
                  <c:v>13.4</c:v>
                </c:pt>
                <c:pt idx="1093">
                  <c:v>13.43</c:v>
                </c:pt>
                <c:pt idx="1094">
                  <c:v>12.92</c:v>
                </c:pt>
                <c:pt idx="1095">
                  <c:v>12.23</c:v>
                </c:pt>
                <c:pt idx="1096">
                  <c:v>12.13</c:v>
                </c:pt>
                <c:pt idx="1097">
                  <c:v>12.17</c:v>
                </c:pt>
                <c:pt idx="1098">
                  <c:v>13.17</c:v>
                </c:pt>
                <c:pt idx="1099">
                  <c:v>12.44</c:v>
                </c:pt>
                <c:pt idx="1100">
                  <c:v>12.42</c:v>
                </c:pt>
                <c:pt idx="1101">
                  <c:v>12.96</c:v>
                </c:pt>
                <c:pt idx="1102">
                  <c:v>11.91</c:v>
                </c:pt>
                <c:pt idx="1103">
                  <c:v>12.03</c:v>
                </c:pt>
                <c:pt idx="1104">
                  <c:v>11.36</c:v>
                </c:pt>
                <c:pt idx="1105">
                  <c:v>11.51</c:v>
                </c:pt>
                <c:pt idx="1106">
                  <c:v>11.68</c:v>
                </c:pt>
                <c:pt idx="1107">
                  <c:v>11.57</c:v>
                </c:pt>
                <c:pt idx="1108">
                  <c:v>11.4</c:v>
                </c:pt>
                <c:pt idx="1109">
                  <c:v>11.58</c:v>
                </c:pt>
                <c:pt idx="1110">
                  <c:v>11.87</c:v>
                </c:pt>
                <c:pt idx="1111">
                  <c:v>12.08</c:v>
                </c:pt>
                <c:pt idx="1112">
                  <c:v>11.68</c:v>
                </c:pt>
                <c:pt idx="1113">
                  <c:v>10.73</c:v>
                </c:pt>
                <c:pt idx="1114">
                  <c:v>11.15</c:v>
                </c:pt>
                <c:pt idx="1115">
                  <c:v>10.99</c:v>
                </c:pt>
                <c:pt idx="1116">
                  <c:v>11.6</c:v>
                </c:pt>
                <c:pt idx="1117">
                  <c:v>12.56</c:v>
                </c:pt>
                <c:pt idx="1118">
                  <c:v>12.18</c:v>
                </c:pt>
                <c:pt idx="1119">
                  <c:v>12.65</c:v>
                </c:pt>
                <c:pt idx="1120">
                  <c:v>12.06</c:v>
                </c:pt>
                <c:pt idx="1121">
                  <c:v>10.61</c:v>
                </c:pt>
                <c:pt idx="1122">
                  <c:v>10.62</c:v>
                </c:pt>
                <c:pt idx="1123">
                  <c:v>10.85</c:v>
                </c:pt>
                <c:pt idx="1124">
                  <c:v>10.98</c:v>
                </c:pt>
                <c:pt idx="1125">
                  <c:v>12.13</c:v>
                </c:pt>
                <c:pt idx="1126">
                  <c:v>11.59</c:v>
                </c:pt>
                <c:pt idx="1127">
                  <c:v>11.63</c:v>
                </c:pt>
                <c:pt idx="1128">
                  <c:v>11.26</c:v>
                </c:pt>
                <c:pt idx="1129">
                  <c:v>11.57</c:v>
                </c:pt>
                <c:pt idx="1130">
                  <c:v>11.15</c:v>
                </c:pt>
                <c:pt idx="1131">
                  <c:v>10.82</c:v>
                </c:pt>
                <c:pt idx="1132">
                  <c:v>10.32</c:v>
                </c:pt>
                <c:pt idx="1133">
                  <c:v>11.33</c:v>
                </c:pt>
                <c:pt idx="1134">
                  <c:v>11.98</c:v>
                </c:pt>
                <c:pt idx="1135">
                  <c:v>11.65</c:v>
                </c:pt>
                <c:pt idx="1136">
                  <c:v>12.59</c:v>
                </c:pt>
                <c:pt idx="1137">
                  <c:v>12.08</c:v>
                </c:pt>
                <c:pt idx="1138">
                  <c:v>11.82</c:v>
                </c:pt>
                <c:pt idx="1139">
                  <c:v>11.96</c:v>
                </c:pt>
                <c:pt idx="1140">
                  <c:v>11</c:v>
                </c:pt>
                <c:pt idx="1141">
                  <c:v>14.54</c:v>
                </c:pt>
                <c:pt idx="1142">
                  <c:v>12.06</c:v>
                </c:pt>
                <c:pt idx="1143">
                  <c:v>12.81</c:v>
                </c:pt>
                <c:pt idx="1144">
                  <c:v>12.24</c:v>
                </c:pt>
                <c:pt idx="1145">
                  <c:v>11.52</c:v>
                </c:pt>
                <c:pt idx="1146">
                  <c:v>11.84</c:v>
                </c:pt>
                <c:pt idx="1147">
                  <c:v>12.69</c:v>
                </c:pt>
                <c:pt idx="1148">
                  <c:v>12.56</c:v>
                </c:pt>
                <c:pt idx="1149">
                  <c:v>13.28</c:v>
                </c:pt>
                <c:pt idx="1150">
                  <c:v>13.33</c:v>
                </c:pt>
                <c:pt idx="1151">
                  <c:v>16.95</c:v>
                </c:pt>
                <c:pt idx="1152">
                  <c:v>17.03</c:v>
                </c:pt>
                <c:pt idx="1153">
                  <c:v>15.12</c:v>
                </c:pt>
                <c:pt idx="1154">
                  <c:v>16.87</c:v>
                </c:pt>
                <c:pt idx="1155">
                  <c:v>16.37</c:v>
                </c:pt>
                <c:pt idx="1156">
                  <c:v>16.66</c:v>
                </c:pt>
                <c:pt idx="1157">
                  <c:v>15.77</c:v>
                </c:pt>
                <c:pt idx="1158">
                  <c:v>14.23</c:v>
                </c:pt>
                <c:pt idx="1159">
                  <c:v>14.13</c:v>
                </c:pt>
                <c:pt idx="1160">
                  <c:v>12.9</c:v>
                </c:pt>
                <c:pt idx="1161">
                  <c:v>12.42</c:v>
                </c:pt>
                <c:pt idx="1162">
                  <c:v>13.15</c:v>
                </c:pt>
                <c:pt idx="1163">
                  <c:v>12.32</c:v>
                </c:pt>
                <c:pt idx="1164">
                  <c:v>12.21</c:v>
                </c:pt>
                <c:pt idx="1165">
                  <c:v>11.78</c:v>
                </c:pt>
                <c:pt idx="1166">
                  <c:v>11.76</c:v>
                </c:pt>
                <c:pt idx="1167">
                  <c:v>11.47</c:v>
                </c:pt>
                <c:pt idx="1168">
                  <c:v>11.7</c:v>
                </c:pt>
                <c:pt idx="1169">
                  <c:v>11.63</c:v>
                </c:pt>
                <c:pt idx="1170">
                  <c:v>11.78</c:v>
                </c:pt>
                <c:pt idx="1171">
                  <c:v>12.05</c:v>
                </c:pt>
                <c:pt idx="1172">
                  <c:v>11.98</c:v>
                </c:pt>
                <c:pt idx="1173">
                  <c:v>12.25</c:v>
                </c:pt>
                <c:pt idx="1174">
                  <c:v>12.36</c:v>
                </c:pt>
                <c:pt idx="1175">
                  <c:v>12.64</c:v>
                </c:pt>
                <c:pt idx="1176">
                  <c:v>12.09</c:v>
                </c:pt>
                <c:pt idx="1177">
                  <c:v>12.66</c:v>
                </c:pt>
                <c:pt idx="1178">
                  <c:v>13.5</c:v>
                </c:pt>
                <c:pt idx="1179">
                  <c:v>12.88</c:v>
                </c:pt>
                <c:pt idx="1180">
                  <c:v>12.8</c:v>
                </c:pt>
                <c:pt idx="1181">
                  <c:v>13.31</c:v>
                </c:pt>
                <c:pt idx="1182">
                  <c:v>14.12</c:v>
                </c:pt>
                <c:pt idx="1183">
                  <c:v>12.73</c:v>
                </c:pt>
                <c:pt idx="1184">
                  <c:v>12.65</c:v>
                </c:pt>
                <c:pt idx="1185">
                  <c:v>12.03</c:v>
                </c:pt>
                <c:pt idx="1186">
                  <c:v>12.11</c:v>
                </c:pt>
                <c:pt idx="1187">
                  <c:v>13.69</c:v>
                </c:pt>
                <c:pt idx="1188">
                  <c:v>14.93</c:v>
                </c:pt>
                <c:pt idx="1189">
                  <c:v>13.27</c:v>
                </c:pt>
                <c:pt idx="1190">
                  <c:v>15.64</c:v>
                </c:pt>
                <c:pt idx="1191">
                  <c:v>14.85</c:v>
                </c:pt>
                <c:pt idx="1192">
                  <c:v>15.98</c:v>
                </c:pt>
                <c:pt idx="1193">
                  <c:v>16.309999999999999</c:v>
                </c:pt>
                <c:pt idx="1194">
                  <c:v>16.71</c:v>
                </c:pt>
                <c:pt idx="1195">
                  <c:v>16.16</c:v>
                </c:pt>
                <c:pt idx="1196">
                  <c:v>14.55</c:v>
                </c:pt>
                <c:pt idx="1197">
                  <c:v>15.46</c:v>
                </c:pt>
                <c:pt idx="1198">
                  <c:v>17.2</c:v>
                </c:pt>
                <c:pt idx="1199">
                  <c:v>15.11</c:v>
                </c:pt>
                <c:pt idx="1200">
                  <c:v>18.760000000000002</c:v>
                </c:pt>
                <c:pt idx="1201">
                  <c:v>21.24</c:v>
                </c:pt>
                <c:pt idx="1202">
                  <c:v>24.64</c:v>
                </c:pt>
                <c:pt idx="1203">
                  <c:v>22.79</c:v>
                </c:pt>
                <c:pt idx="1204">
                  <c:v>26.25</c:v>
                </c:pt>
                <c:pt idx="1205">
                  <c:v>25.2</c:v>
                </c:pt>
                <c:pt idx="1206">
                  <c:v>21.99</c:v>
                </c:pt>
                <c:pt idx="1207">
                  <c:v>18.57</c:v>
                </c:pt>
                <c:pt idx="1208">
                  <c:v>16.079999999999998</c:v>
                </c:pt>
                <c:pt idx="1209">
                  <c:v>17.87</c:v>
                </c:pt>
                <c:pt idx="1210">
                  <c:v>16.53</c:v>
                </c:pt>
                <c:pt idx="1211">
                  <c:v>16.11</c:v>
                </c:pt>
                <c:pt idx="1212">
                  <c:v>16.04</c:v>
                </c:pt>
                <c:pt idx="1213">
                  <c:v>14.39</c:v>
                </c:pt>
                <c:pt idx="1214">
                  <c:v>15.15</c:v>
                </c:pt>
                <c:pt idx="1215">
                  <c:v>14.52</c:v>
                </c:pt>
                <c:pt idx="1216">
                  <c:v>14.03</c:v>
                </c:pt>
                <c:pt idx="1217">
                  <c:v>14.73</c:v>
                </c:pt>
                <c:pt idx="1218">
                  <c:v>14.89</c:v>
                </c:pt>
                <c:pt idx="1219">
                  <c:v>14.17</c:v>
                </c:pt>
                <c:pt idx="1220">
                  <c:v>13.67</c:v>
                </c:pt>
                <c:pt idx="1221">
                  <c:v>13.12</c:v>
                </c:pt>
                <c:pt idx="1222">
                  <c:v>12.67</c:v>
                </c:pt>
                <c:pt idx="1223">
                  <c:v>12.92</c:v>
                </c:pt>
                <c:pt idx="1224">
                  <c:v>13.02</c:v>
                </c:pt>
                <c:pt idx="1225">
                  <c:v>13.79</c:v>
                </c:pt>
                <c:pt idx="1226">
                  <c:v>13.31</c:v>
                </c:pt>
                <c:pt idx="1227">
                  <c:v>13.99</c:v>
                </c:pt>
                <c:pt idx="1228">
                  <c:v>13.86</c:v>
                </c:pt>
                <c:pt idx="1229">
                  <c:v>13.96</c:v>
                </c:pt>
                <c:pt idx="1230">
                  <c:v>13.58</c:v>
                </c:pt>
                <c:pt idx="1231">
                  <c:v>12.9</c:v>
                </c:pt>
                <c:pt idx="1232">
                  <c:v>12.62</c:v>
                </c:pt>
                <c:pt idx="1233">
                  <c:v>12.25</c:v>
                </c:pt>
                <c:pt idx="1234">
                  <c:v>12.07</c:v>
                </c:pt>
                <c:pt idx="1235">
                  <c:v>13.33</c:v>
                </c:pt>
                <c:pt idx="1236">
                  <c:v>14.29</c:v>
                </c:pt>
                <c:pt idx="1237">
                  <c:v>12.85</c:v>
                </c:pt>
                <c:pt idx="1238">
                  <c:v>12.47</c:v>
                </c:pt>
                <c:pt idx="1239">
                  <c:v>12.38</c:v>
                </c:pt>
                <c:pt idx="1240">
                  <c:v>11.82</c:v>
                </c:pt>
                <c:pt idx="1241">
                  <c:v>14.21</c:v>
                </c:pt>
                <c:pt idx="1242">
                  <c:v>14.89</c:v>
                </c:pt>
                <c:pt idx="1243">
                  <c:v>18.53</c:v>
                </c:pt>
                <c:pt idx="1244">
                  <c:v>20.079999999999998</c:v>
                </c:pt>
                <c:pt idx="1245">
                  <c:v>21.08</c:v>
                </c:pt>
                <c:pt idx="1246">
                  <c:v>20.420000000000002</c:v>
                </c:pt>
                <c:pt idx="1247">
                  <c:v>23.57</c:v>
                </c:pt>
                <c:pt idx="1248">
                  <c:v>19.440000000000001</c:v>
                </c:pt>
                <c:pt idx="1249">
                  <c:v>16.809999999999999</c:v>
                </c:pt>
                <c:pt idx="1250">
                  <c:v>16.489999999999998</c:v>
                </c:pt>
                <c:pt idx="1251">
                  <c:v>15.25</c:v>
                </c:pt>
                <c:pt idx="1252">
                  <c:v>14.8</c:v>
                </c:pt>
                <c:pt idx="1253">
                  <c:v>14.37</c:v>
                </c:pt>
                <c:pt idx="1254">
                  <c:v>14.5</c:v>
                </c:pt>
                <c:pt idx="1255">
                  <c:v>15.06</c:v>
                </c:pt>
                <c:pt idx="1256">
                  <c:v>15.92</c:v>
                </c:pt>
                <c:pt idx="1257">
                  <c:v>19.2</c:v>
                </c:pt>
                <c:pt idx="1258">
                  <c:v>17.79</c:v>
                </c:pt>
                <c:pt idx="1259">
                  <c:v>19.920000000000002</c:v>
                </c:pt>
                <c:pt idx="1260">
                  <c:v>21.12</c:v>
                </c:pt>
                <c:pt idx="1261">
                  <c:v>19.309999999999999</c:v>
                </c:pt>
                <c:pt idx="1262">
                  <c:v>17.010000000000002</c:v>
                </c:pt>
                <c:pt idx="1263">
                  <c:v>17.55</c:v>
                </c:pt>
                <c:pt idx="1264">
                  <c:v>19.600000000000001</c:v>
                </c:pt>
                <c:pt idx="1265">
                  <c:v>20.56</c:v>
                </c:pt>
                <c:pt idx="1266">
                  <c:v>21.48</c:v>
                </c:pt>
                <c:pt idx="1267">
                  <c:v>22.39</c:v>
                </c:pt>
                <c:pt idx="1268">
                  <c:v>20.95</c:v>
                </c:pt>
                <c:pt idx="1269">
                  <c:v>19.89</c:v>
                </c:pt>
                <c:pt idx="1270">
                  <c:v>18.850000000000001</c:v>
                </c:pt>
                <c:pt idx="1271">
                  <c:v>16.399999999999999</c:v>
                </c:pt>
                <c:pt idx="1272">
                  <c:v>16.66</c:v>
                </c:pt>
                <c:pt idx="1273">
                  <c:v>15.52</c:v>
                </c:pt>
                <c:pt idx="1274">
                  <c:v>17.22</c:v>
                </c:pt>
                <c:pt idx="1275">
                  <c:v>20.440000000000001</c:v>
                </c:pt>
                <c:pt idx="1276">
                  <c:v>18.760000000000002</c:v>
                </c:pt>
                <c:pt idx="1277">
                  <c:v>20.97</c:v>
                </c:pt>
                <c:pt idx="1278">
                  <c:v>19.43</c:v>
                </c:pt>
                <c:pt idx="1279">
                  <c:v>17.329999999999998</c:v>
                </c:pt>
                <c:pt idx="1280">
                  <c:v>18.329999999999998</c:v>
                </c:pt>
                <c:pt idx="1281">
                  <c:v>16.850000000000001</c:v>
                </c:pt>
                <c:pt idx="1282">
                  <c:v>17.29</c:v>
                </c:pt>
                <c:pt idx="1283">
                  <c:v>18.55</c:v>
                </c:pt>
                <c:pt idx="1284">
                  <c:v>17.23</c:v>
                </c:pt>
                <c:pt idx="1285">
                  <c:v>16.96</c:v>
                </c:pt>
                <c:pt idx="1286">
                  <c:v>15.34</c:v>
                </c:pt>
                <c:pt idx="1287">
                  <c:v>14.69</c:v>
                </c:pt>
                <c:pt idx="1288">
                  <c:v>15.8</c:v>
                </c:pt>
                <c:pt idx="1289">
                  <c:v>15.45</c:v>
                </c:pt>
                <c:pt idx="1290">
                  <c:v>15.29</c:v>
                </c:pt>
                <c:pt idx="1291">
                  <c:v>14.3</c:v>
                </c:pt>
                <c:pt idx="1292">
                  <c:v>14.56</c:v>
                </c:pt>
                <c:pt idx="1293">
                  <c:v>13.69</c:v>
                </c:pt>
                <c:pt idx="1294">
                  <c:v>13.84</c:v>
                </c:pt>
                <c:pt idx="1295">
                  <c:v>13.91</c:v>
                </c:pt>
                <c:pt idx="1296">
                  <c:v>13.34</c:v>
                </c:pt>
                <c:pt idx="1297">
                  <c:v>13.04</c:v>
                </c:pt>
                <c:pt idx="1298">
                  <c:v>13.86</c:v>
                </c:pt>
                <c:pt idx="1299">
                  <c:v>14.23</c:v>
                </c:pt>
                <c:pt idx="1300">
                  <c:v>14.04</c:v>
                </c:pt>
                <c:pt idx="1301">
                  <c:v>15.2</c:v>
                </c:pt>
                <c:pt idx="1302">
                  <c:v>15.06</c:v>
                </c:pt>
                <c:pt idx="1303">
                  <c:v>16.690000000000001</c:v>
                </c:pt>
                <c:pt idx="1304">
                  <c:v>16.87</c:v>
                </c:pt>
                <c:pt idx="1305">
                  <c:v>15.42</c:v>
                </c:pt>
                <c:pt idx="1306">
                  <c:v>16</c:v>
                </c:pt>
                <c:pt idx="1307">
                  <c:v>15.61</c:v>
                </c:pt>
                <c:pt idx="1308">
                  <c:v>15.66</c:v>
                </c:pt>
                <c:pt idx="1309">
                  <c:v>13.97</c:v>
                </c:pt>
                <c:pt idx="1310">
                  <c:v>14.07</c:v>
                </c:pt>
                <c:pt idx="1311">
                  <c:v>13.02</c:v>
                </c:pt>
                <c:pt idx="1312">
                  <c:v>13.41</c:v>
                </c:pt>
                <c:pt idx="1313">
                  <c:v>13.62</c:v>
                </c:pt>
                <c:pt idx="1314">
                  <c:v>15.44</c:v>
                </c:pt>
                <c:pt idx="1315">
                  <c:v>15.8</c:v>
                </c:pt>
                <c:pt idx="1316">
                  <c:v>15.07</c:v>
                </c:pt>
                <c:pt idx="1317">
                  <c:v>14.51</c:v>
                </c:pt>
                <c:pt idx="1318">
                  <c:v>15.29</c:v>
                </c:pt>
                <c:pt idx="1319">
                  <c:v>15.11</c:v>
                </c:pt>
                <c:pt idx="1320">
                  <c:v>14.67</c:v>
                </c:pt>
                <c:pt idx="1321">
                  <c:v>14.74</c:v>
                </c:pt>
                <c:pt idx="1322">
                  <c:v>14.78</c:v>
                </c:pt>
                <c:pt idx="1323">
                  <c:v>13.98</c:v>
                </c:pt>
                <c:pt idx="1324">
                  <c:v>13.09</c:v>
                </c:pt>
                <c:pt idx="1325">
                  <c:v>12.58</c:v>
                </c:pt>
                <c:pt idx="1326">
                  <c:v>13.94</c:v>
                </c:pt>
                <c:pt idx="1327">
                  <c:v>13.67</c:v>
                </c:pt>
                <c:pt idx="1328">
                  <c:v>12.84</c:v>
                </c:pt>
                <c:pt idx="1329">
                  <c:v>12.6</c:v>
                </c:pt>
                <c:pt idx="1330">
                  <c:v>13.89</c:v>
                </c:pt>
                <c:pt idx="1331">
                  <c:v>13.3</c:v>
                </c:pt>
                <c:pt idx="1332">
                  <c:v>13.25</c:v>
                </c:pt>
                <c:pt idx="1333">
                  <c:v>12.71</c:v>
                </c:pt>
                <c:pt idx="1334">
                  <c:v>12.48</c:v>
                </c:pt>
                <c:pt idx="1335">
                  <c:v>12.29</c:v>
                </c:pt>
                <c:pt idx="1336">
                  <c:v>13.12</c:v>
                </c:pt>
                <c:pt idx="1337">
                  <c:v>12.41</c:v>
                </c:pt>
                <c:pt idx="1338">
                  <c:v>13.39</c:v>
                </c:pt>
                <c:pt idx="1339">
                  <c:v>14.55</c:v>
                </c:pt>
                <c:pt idx="1340">
                  <c:v>12.7</c:v>
                </c:pt>
                <c:pt idx="1341">
                  <c:v>12.85</c:v>
                </c:pt>
                <c:pt idx="1342">
                  <c:v>14.31</c:v>
                </c:pt>
                <c:pt idx="1343">
                  <c:v>15.15</c:v>
                </c:pt>
                <c:pt idx="1344">
                  <c:v>15.13</c:v>
                </c:pt>
                <c:pt idx="1345">
                  <c:v>12.86</c:v>
                </c:pt>
                <c:pt idx="1346">
                  <c:v>13.85</c:v>
                </c:pt>
                <c:pt idx="1347">
                  <c:v>13.86</c:v>
                </c:pt>
                <c:pt idx="1348">
                  <c:v>13.76</c:v>
                </c:pt>
                <c:pt idx="1349">
                  <c:v>12.74</c:v>
                </c:pt>
                <c:pt idx="1350">
                  <c:v>12.38</c:v>
                </c:pt>
                <c:pt idx="1351">
                  <c:v>12.73</c:v>
                </c:pt>
                <c:pt idx="1352">
                  <c:v>12.85</c:v>
                </c:pt>
                <c:pt idx="1353">
                  <c:v>12.88</c:v>
                </c:pt>
                <c:pt idx="1354">
                  <c:v>12.11</c:v>
                </c:pt>
                <c:pt idx="1355">
                  <c:v>12.13</c:v>
                </c:pt>
                <c:pt idx="1356">
                  <c:v>14.06</c:v>
                </c:pt>
                <c:pt idx="1357">
                  <c:v>13.27</c:v>
                </c:pt>
                <c:pt idx="1358">
                  <c:v>13.31</c:v>
                </c:pt>
                <c:pt idx="1359">
                  <c:v>13.84</c:v>
                </c:pt>
                <c:pt idx="1360">
                  <c:v>13.97</c:v>
                </c:pt>
                <c:pt idx="1361">
                  <c:v>14.24</c:v>
                </c:pt>
                <c:pt idx="1362">
                  <c:v>13.66</c:v>
                </c:pt>
                <c:pt idx="1363">
                  <c:v>14.71</c:v>
                </c:pt>
                <c:pt idx="1364">
                  <c:v>14.21</c:v>
                </c:pt>
                <c:pt idx="1365">
                  <c:v>15.29</c:v>
                </c:pt>
                <c:pt idx="1366">
                  <c:v>14.47</c:v>
                </c:pt>
                <c:pt idx="1367">
                  <c:v>13.22</c:v>
                </c:pt>
                <c:pt idx="1368">
                  <c:v>12.85</c:v>
                </c:pt>
                <c:pt idx="1369">
                  <c:v>13.78</c:v>
                </c:pt>
                <c:pt idx="1370">
                  <c:v>15.39</c:v>
                </c:pt>
                <c:pt idx="1371">
                  <c:v>14.81</c:v>
                </c:pt>
                <c:pt idx="1372">
                  <c:v>14.5</c:v>
                </c:pt>
                <c:pt idx="1373">
                  <c:v>13.19</c:v>
                </c:pt>
                <c:pt idx="1374">
                  <c:v>13.96</c:v>
                </c:pt>
                <c:pt idx="1375">
                  <c:v>12.74</c:v>
                </c:pt>
                <c:pt idx="1376">
                  <c:v>12.11</c:v>
                </c:pt>
                <c:pt idx="1377">
                  <c:v>13.26</c:v>
                </c:pt>
                <c:pt idx="1378">
                  <c:v>14.01</c:v>
                </c:pt>
                <c:pt idx="1379">
                  <c:v>14.02</c:v>
                </c:pt>
                <c:pt idx="1380">
                  <c:v>18.850000000000001</c:v>
                </c:pt>
                <c:pt idx="1381">
                  <c:v>18.23</c:v>
                </c:pt>
                <c:pt idx="1382">
                  <c:v>16.09</c:v>
                </c:pt>
                <c:pt idx="1383">
                  <c:v>16.79</c:v>
                </c:pt>
                <c:pt idx="1384">
                  <c:v>17.010000000000002</c:v>
                </c:pt>
                <c:pt idx="1385">
                  <c:v>16.09</c:v>
                </c:pt>
                <c:pt idx="1386">
                  <c:v>19.66</c:v>
                </c:pt>
                <c:pt idx="1387">
                  <c:v>19.97</c:v>
                </c:pt>
                <c:pt idx="1388">
                  <c:v>16.829999999999998</c:v>
                </c:pt>
                <c:pt idx="1389">
                  <c:v>13.9</c:v>
                </c:pt>
                <c:pt idx="1390">
                  <c:v>13.37</c:v>
                </c:pt>
                <c:pt idx="1391">
                  <c:v>13.23</c:v>
                </c:pt>
                <c:pt idx="1392">
                  <c:v>12.11</c:v>
                </c:pt>
                <c:pt idx="1393">
                  <c:v>11.95</c:v>
                </c:pt>
                <c:pt idx="1394">
                  <c:v>12.25</c:v>
                </c:pt>
                <c:pt idx="1395">
                  <c:v>12.22</c:v>
                </c:pt>
                <c:pt idx="1396">
                  <c:v>12.12</c:v>
                </c:pt>
                <c:pt idx="1397">
                  <c:v>12.64</c:v>
                </c:pt>
                <c:pt idx="1398">
                  <c:v>13.74</c:v>
                </c:pt>
                <c:pt idx="1399">
                  <c:v>15.6</c:v>
                </c:pt>
                <c:pt idx="1400">
                  <c:v>13.44</c:v>
                </c:pt>
                <c:pt idx="1401">
                  <c:v>12.5</c:v>
                </c:pt>
                <c:pt idx="1402">
                  <c:v>12.13</c:v>
                </c:pt>
                <c:pt idx="1403">
                  <c:v>12.12</c:v>
                </c:pt>
                <c:pt idx="1404">
                  <c:v>12.56</c:v>
                </c:pt>
                <c:pt idx="1405">
                  <c:v>13</c:v>
                </c:pt>
                <c:pt idx="1406">
                  <c:v>12.51</c:v>
                </c:pt>
                <c:pt idx="1407">
                  <c:v>13.77</c:v>
                </c:pt>
                <c:pt idx="1408">
                  <c:v>13.39</c:v>
                </c:pt>
                <c:pt idx="1409">
                  <c:v>12.23</c:v>
                </c:pt>
                <c:pt idx="1410">
                  <c:v>13.71</c:v>
                </c:pt>
                <c:pt idx="1411">
                  <c:v>13.61</c:v>
                </c:pt>
                <c:pt idx="1412">
                  <c:v>13.49</c:v>
                </c:pt>
                <c:pt idx="1413">
                  <c:v>12.83</c:v>
                </c:pt>
                <c:pt idx="1414">
                  <c:v>13.02</c:v>
                </c:pt>
                <c:pt idx="1415">
                  <c:v>13.79</c:v>
                </c:pt>
                <c:pt idx="1416">
                  <c:v>15.25</c:v>
                </c:pt>
                <c:pt idx="1417">
                  <c:v>19.14</c:v>
                </c:pt>
                <c:pt idx="1418">
                  <c:v>28.03</c:v>
                </c:pt>
                <c:pt idx="1419">
                  <c:v>40.74</c:v>
                </c:pt>
                <c:pt idx="1420">
                  <c:v>36.020000000000003</c:v>
                </c:pt>
                <c:pt idx="1421">
                  <c:v>30.32</c:v>
                </c:pt>
                <c:pt idx="1422">
                  <c:v>26.1</c:v>
                </c:pt>
                <c:pt idx="1423">
                  <c:v>26.05</c:v>
                </c:pt>
                <c:pt idx="1424">
                  <c:v>28.43</c:v>
                </c:pt>
                <c:pt idx="1425">
                  <c:v>31.4</c:v>
                </c:pt>
                <c:pt idx="1426">
                  <c:v>26.09</c:v>
                </c:pt>
                <c:pt idx="1427">
                  <c:v>25.61</c:v>
                </c:pt>
                <c:pt idx="1428">
                  <c:v>27.8</c:v>
                </c:pt>
                <c:pt idx="1429">
                  <c:v>24.9</c:v>
                </c:pt>
                <c:pt idx="1430">
                  <c:v>26.23</c:v>
                </c:pt>
                <c:pt idx="1431">
                  <c:v>24.37</c:v>
                </c:pt>
                <c:pt idx="1432">
                  <c:v>23.2</c:v>
                </c:pt>
                <c:pt idx="1433">
                  <c:v>24.25</c:v>
                </c:pt>
                <c:pt idx="1434">
                  <c:v>22.54</c:v>
                </c:pt>
                <c:pt idx="1435">
                  <c:v>21.35</c:v>
                </c:pt>
                <c:pt idx="1436">
                  <c:v>21.14</c:v>
                </c:pt>
                <c:pt idx="1437">
                  <c:v>22.28</c:v>
                </c:pt>
                <c:pt idx="1438">
                  <c:v>20.14</c:v>
                </c:pt>
                <c:pt idx="1439">
                  <c:v>22.44</c:v>
                </c:pt>
                <c:pt idx="1440">
                  <c:v>22.13</c:v>
                </c:pt>
                <c:pt idx="1441">
                  <c:v>23.47</c:v>
                </c:pt>
                <c:pt idx="1442">
                  <c:v>23.62</c:v>
                </c:pt>
                <c:pt idx="1443">
                  <c:v>27.63</c:v>
                </c:pt>
                <c:pt idx="1444">
                  <c:v>26.83</c:v>
                </c:pt>
                <c:pt idx="1445">
                  <c:v>24.5</c:v>
                </c:pt>
                <c:pt idx="1446">
                  <c:v>22.55</c:v>
                </c:pt>
                <c:pt idx="1447">
                  <c:v>20.94</c:v>
                </c:pt>
                <c:pt idx="1448">
                  <c:v>19.54</c:v>
                </c:pt>
                <c:pt idx="1449">
                  <c:v>19.399999999999999</c:v>
                </c:pt>
                <c:pt idx="1450">
                  <c:v>18.399999999999999</c:v>
                </c:pt>
                <c:pt idx="1451">
                  <c:v>17.420000000000002</c:v>
                </c:pt>
                <c:pt idx="1452">
                  <c:v>17.079999999999998</c:v>
                </c:pt>
                <c:pt idx="1453">
                  <c:v>16.170000000000002</c:v>
                </c:pt>
                <c:pt idx="1454">
                  <c:v>17.670000000000002</c:v>
                </c:pt>
                <c:pt idx="1455">
                  <c:v>18.03</c:v>
                </c:pt>
                <c:pt idx="1456">
                  <c:v>16.05</c:v>
                </c:pt>
                <c:pt idx="1457">
                  <c:v>15.05</c:v>
                </c:pt>
                <c:pt idx="1458">
                  <c:v>14.98</c:v>
                </c:pt>
                <c:pt idx="1459">
                  <c:v>15.75</c:v>
                </c:pt>
                <c:pt idx="1460">
                  <c:v>16.7</c:v>
                </c:pt>
                <c:pt idx="1461">
                  <c:v>14.45</c:v>
                </c:pt>
                <c:pt idx="1462">
                  <c:v>14.46</c:v>
                </c:pt>
                <c:pt idx="1463">
                  <c:v>15.29</c:v>
                </c:pt>
                <c:pt idx="1464">
                  <c:v>15.43</c:v>
                </c:pt>
                <c:pt idx="1465">
                  <c:v>14.33</c:v>
                </c:pt>
                <c:pt idx="1466">
                  <c:v>14.61</c:v>
                </c:pt>
                <c:pt idx="1467">
                  <c:v>15.07</c:v>
                </c:pt>
                <c:pt idx="1468">
                  <c:v>14.15</c:v>
                </c:pt>
                <c:pt idx="1469">
                  <c:v>14.54</c:v>
                </c:pt>
                <c:pt idx="1470">
                  <c:v>15.51</c:v>
                </c:pt>
                <c:pt idx="1471">
                  <c:v>15.05</c:v>
                </c:pt>
                <c:pt idx="1472">
                  <c:v>14.33</c:v>
                </c:pt>
                <c:pt idx="1473">
                  <c:v>16.52</c:v>
                </c:pt>
                <c:pt idx="1474">
                  <c:v>15.29</c:v>
                </c:pt>
                <c:pt idx="1475">
                  <c:v>16.059999999999999</c:v>
                </c:pt>
                <c:pt idx="1476">
                  <c:v>18.37</c:v>
                </c:pt>
                <c:pt idx="1477">
                  <c:v>20.079999999999998</c:v>
                </c:pt>
                <c:pt idx="1478">
                  <c:v>18.16</c:v>
                </c:pt>
                <c:pt idx="1479">
                  <c:v>18.84</c:v>
                </c:pt>
                <c:pt idx="1480">
                  <c:v>16.850000000000001</c:v>
                </c:pt>
                <c:pt idx="1481">
                  <c:v>16.989999999999998</c:v>
                </c:pt>
                <c:pt idx="1482">
                  <c:v>15.47</c:v>
                </c:pt>
                <c:pt idx="1483">
                  <c:v>15.62</c:v>
                </c:pt>
                <c:pt idx="1484">
                  <c:v>15.93</c:v>
                </c:pt>
                <c:pt idx="1485">
                  <c:v>15.19</c:v>
                </c:pt>
                <c:pt idx="1486">
                  <c:v>15.12</c:v>
                </c:pt>
                <c:pt idx="1487">
                  <c:v>16.13</c:v>
                </c:pt>
                <c:pt idx="1488">
                  <c:v>14.67</c:v>
                </c:pt>
                <c:pt idx="1489">
                  <c:v>15.91</c:v>
                </c:pt>
                <c:pt idx="1490">
                  <c:v>18.11</c:v>
                </c:pt>
                <c:pt idx="1491">
                  <c:v>14.81</c:v>
                </c:pt>
                <c:pt idx="1492">
                  <c:v>15.84</c:v>
                </c:pt>
                <c:pt idx="1493">
                  <c:v>17.600000000000001</c:v>
                </c:pt>
                <c:pt idx="1494">
                  <c:v>19.61</c:v>
                </c:pt>
                <c:pt idx="1495">
                  <c:v>19.34</c:v>
                </c:pt>
                <c:pt idx="1496">
                  <c:v>24.39</c:v>
                </c:pt>
                <c:pt idx="1497">
                  <c:v>22.73</c:v>
                </c:pt>
                <c:pt idx="1498">
                  <c:v>20.95</c:v>
                </c:pt>
                <c:pt idx="1499">
                  <c:v>17.86</c:v>
                </c:pt>
                <c:pt idx="1500">
                  <c:v>18.940000000000001</c:v>
                </c:pt>
                <c:pt idx="1501">
                  <c:v>20.7</c:v>
                </c:pt>
                <c:pt idx="1502">
                  <c:v>18.7</c:v>
                </c:pt>
                <c:pt idx="1503">
                  <c:v>16.600000000000001</c:v>
                </c:pt>
                <c:pt idx="1504">
                  <c:v>15.57</c:v>
                </c:pt>
                <c:pt idx="1505">
                  <c:v>15.74</c:v>
                </c:pt>
                <c:pt idx="1506">
                  <c:v>16.91</c:v>
                </c:pt>
                <c:pt idx="1507">
                  <c:v>16.079999999999998</c:v>
                </c:pt>
                <c:pt idx="1508">
                  <c:v>17.29</c:v>
                </c:pt>
                <c:pt idx="1509">
                  <c:v>18.21</c:v>
                </c:pt>
                <c:pt idx="1510">
                  <c:v>20.7</c:v>
                </c:pt>
                <c:pt idx="1511">
                  <c:v>19.34</c:v>
                </c:pt>
                <c:pt idx="1512">
                  <c:v>20.59</c:v>
                </c:pt>
                <c:pt idx="1513">
                  <c:v>24.99</c:v>
                </c:pt>
                <c:pt idx="1514">
                  <c:v>27.01</c:v>
                </c:pt>
                <c:pt idx="1515">
                  <c:v>24.3</c:v>
                </c:pt>
                <c:pt idx="1516">
                  <c:v>22.47</c:v>
                </c:pt>
                <c:pt idx="1517">
                  <c:v>25.22</c:v>
                </c:pt>
                <c:pt idx="1518">
                  <c:v>23.95</c:v>
                </c:pt>
                <c:pt idx="1519">
                  <c:v>27.02</c:v>
                </c:pt>
                <c:pt idx="1520">
                  <c:v>26.05</c:v>
                </c:pt>
                <c:pt idx="1521">
                  <c:v>27.59</c:v>
                </c:pt>
                <c:pt idx="1522">
                  <c:v>26.69</c:v>
                </c:pt>
                <c:pt idx="1523">
                  <c:v>22.34</c:v>
                </c:pt>
                <c:pt idx="1524">
                  <c:v>24.15</c:v>
                </c:pt>
                <c:pt idx="1525">
                  <c:v>22.5</c:v>
                </c:pt>
                <c:pt idx="1526">
                  <c:v>23.11</c:v>
                </c:pt>
                <c:pt idx="1527">
                  <c:v>22.42</c:v>
                </c:pt>
                <c:pt idx="1528">
                  <c:v>20.2</c:v>
                </c:pt>
                <c:pt idx="1529">
                  <c:v>19.98</c:v>
                </c:pt>
                <c:pt idx="1530">
                  <c:v>21.98</c:v>
                </c:pt>
                <c:pt idx="1531">
                  <c:v>21.65</c:v>
                </c:pt>
                <c:pt idx="1532">
                  <c:v>21.84</c:v>
                </c:pt>
                <c:pt idx="1533">
                  <c:v>23.38</c:v>
                </c:pt>
                <c:pt idx="1534">
                  <c:v>26</c:v>
                </c:pt>
                <c:pt idx="1535">
                  <c:v>26.54</c:v>
                </c:pt>
                <c:pt idx="1536">
                  <c:v>26.29</c:v>
                </c:pt>
                <c:pt idx="1537">
                  <c:v>28.14</c:v>
                </c:pt>
                <c:pt idx="1538">
                  <c:v>25.4</c:v>
                </c:pt>
                <c:pt idx="1539">
                  <c:v>24.11</c:v>
                </c:pt>
                <c:pt idx="1540">
                  <c:v>22.31</c:v>
                </c:pt>
                <c:pt idx="1541">
                  <c:v>21.64</c:v>
                </c:pt>
                <c:pt idx="1542">
                  <c:v>20.53</c:v>
                </c:pt>
                <c:pt idx="1543">
                  <c:v>19.38</c:v>
                </c:pt>
                <c:pt idx="1544">
                  <c:v>20.98</c:v>
                </c:pt>
                <c:pt idx="1545">
                  <c:v>20.72</c:v>
                </c:pt>
                <c:pt idx="1546">
                  <c:v>19.11</c:v>
                </c:pt>
                <c:pt idx="1547">
                  <c:v>19.809999999999999</c:v>
                </c:pt>
                <c:pt idx="1548">
                  <c:v>20.55</c:v>
                </c:pt>
                <c:pt idx="1549">
                  <c:v>17.7</c:v>
                </c:pt>
                <c:pt idx="1550">
                  <c:v>17.09</c:v>
                </c:pt>
                <c:pt idx="1551">
                  <c:v>16.7</c:v>
                </c:pt>
                <c:pt idx="1552">
                  <c:v>16.86</c:v>
                </c:pt>
                <c:pt idx="1553">
                  <c:v>17.350000000000001</c:v>
                </c:pt>
                <c:pt idx="1554">
                  <c:v>18.670000000000002</c:v>
                </c:pt>
                <c:pt idx="1555">
                  <c:v>18.34</c:v>
                </c:pt>
                <c:pt idx="1556">
                  <c:v>18.05</c:v>
                </c:pt>
                <c:pt idx="1557">
                  <c:v>16.5</c:v>
                </c:pt>
                <c:pt idx="1558">
                  <c:v>16.920000000000002</c:v>
                </c:pt>
                <c:pt idx="1559">
                  <c:v>16.84</c:v>
                </c:pt>
                <c:pt idx="1560">
                  <c:v>14.99</c:v>
                </c:pt>
                <c:pt idx="1561">
                  <c:v>14.44</c:v>
                </c:pt>
                <c:pt idx="1562">
                  <c:v>14.02</c:v>
                </c:pt>
                <c:pt idx="1563">
                  <c:v>13.79</c:v>
                </c:pt>
                <c:pt idx="1564">
                  <c:v>14.17</c:v>
                </c:pt>
                <c:pt idx="1565">
                  <c:v>14.94</c:v>
                </c:pt>
                <c:pt idx="1566">
                  <c:v>14.74</c:v>
                </c:pt>
                <c:pt idx="1567">
                  <c:v>15.24</c:v>
                </c:pt>
                <c:pt idx="1568">
                  <c:v>13.82</c:v>
                </c:pt>
                <c:pt idx="1569">
                  <c:v>13.56</c:v>
                </c:pt>
                <c:pt idx="1570">
                  <c:v>13.95</c:v>
                </c:pt>
                <c:pt idx="1571">
                  <c:v>13.1</c:v>
                </c:pt>
                <c:pt idx="1572">
                  <c:v>14.12</c:v>
                </c:pt>
                <c:pt idx="1573">
                  <c:v>15.42</c:v>
                </c:pt>
                <c:pt idx="1574">
                  <c:v>14.09</c:v>
                </c:pt>
                <c:pt idx="1575">
                  <c:v>16.16</c:v>
                </c:pt>
                <c:pt idx="1576">
                  <c:v>15.36</c:v>
                </c:pt>
                <c:pt idx="1577">
                  <c:v>16.260000000000002</c:v>
                </c:pt>
                <c:pt idx="1578">
                  <c:v>14.85</c:v>
                </c:pt>
                <c:pt idx="1579">
                  <c:v>13.84</c:v>
                </c:pt>
                <c:pt idx="1580">
                  <c:v>13.72</c:v>
                </c:pt>
                <c:pt idx="1581">
                  <c:v>13.62</c:v>
                </c:pt>
                <c:pt idx="1582">
                  <c:v>13.35</c:v>
                </c:pt>
                <c:pt idx="1583">
                  <c:v>13.24</c:v>
                </c:pt>
                <c:pt idx="1584">
                  <c:v>13.28</c:v>
                </c:pt>
                <c:pt idx="1585">
                  <c:v>13.95</c:v>
                </c:pt>
                <c:pt idx="1586">
                  <c:v>13.22</c:v>
                </c:pt>
                <c:pt idx="1587">
                  <c:v>14.08</c:v>
                </c:pt>
                <c:pt idx="1588">
                  <c:v>13.96</c:v>
                </c:pt>
                <c:pt idx="1589">
                  <c:v>13.77</c:v>
                </c:pt>
                <c:pt idx="1590">
                  <c:v>15.22</c:v>
                </c:pt>
                <c:pt idx="1591">
                  <c:v>15.7</c:v>
                </c:pt>
                <c:pt idx="1592">
                  <c:v>14.68</c:v>
                </c:pt>
                <c:pt idx="1593">
                  <c:v>15.6</c:v>
                </c:pt>
                <c:pt idx="1594">
                  <c:v>16.05</c:v>
                </c:pt>
                <c:pt idx="1595">
                  <c:v>15.91</c:v>
                </c:pt>
                <c:pt idx="1596">
                  <c:v>14.72</c:v>
                </c:pt>
                <c:pt idx="1597">
                  <c:v>14.57</c:v>
                </c:pt>
                <c:pt idx="1598">
                  <c:v>13.63</c:v>
                </c:pt>
                <c:pt idx="1599">
                  <c:v>14.69</c:v>
                </c:pt>
                <c:pt idx="1600">
                  <c:v>14.41</c:v>
                </c:pt>
                <c:pt idx="1601">
                  <c:v>15.04</c:v>
                </c:pt>
                <c:pt idx="1602">
                  <c:v>14.68</c:v>
                </c:pt>
                <c:pt idx="1603">
                  <c:v>15.57</c:v>
                </c:pt>
                <c:pt idx="1604">
                  <c:v>15.95</c:v>
                </c:pt>
                <c:pt idx="1605">
                  <c:v>16.329999999999998</c:v>
                </c:pt>
                <c:pt idx="1606">
                  <c:v>15.2</c:v>
                </c:pt>
                <c:pt idx="1607">
                  <c:v>15.82</c:v>
                </c:pt>
                <c:pt idx="1608">
                  <c:v>14.42</c:v>
                </c:pt>
                <c:pt idx="1609">
                  <c:v>13.9</c:v>
                </c:pt>
                <c:pt idx="1610">
                  <c:v>13.43</c:v>
                </c:pt>
                <c:pt idx="1611">
                  <c:v>13.12</c:v>
                </c:pt>
                <c:pt idx="1612">
                  <c:v>14.19</c:v>
                </c:pt>
                <c:pt idx="1613">
                  <c:v>14.2</c:v>
                </c:pt>
                <c:pt idx="1614">
                  <c:v>13.63</c:v>
                </c:pt>
                <c:pt idx="1615">
                  <c:v>13.47</c:v>
                </c:pt>
                <c:pt idx="1616">
                  <c:v>13.65</c:v>
                </c:pt>
                <c:pt idx="1617">
                  <c:v>14.05</c:v>
                </c:pt>
                <c:pt idx="1618">
                  <c:v>14.08</c:v>
                </c:pt>
                <c:pt idx="1619">
                  <c:v>14.64</c:v>
                </c:pt>
                <c:pt idx="1620">
                  <c:v>17.03</c:v>
                </c:pt>
                <c:pt idx="1621">
                  <c:v>20.97</c:v>
                </c:pt>
                <c:pt idx="1622">
                  <c:v>20.5</c:v>
                </c:pt>
                <c:pt idx="1623">
                  <c:v>20.14</c:v>
                </c:pt>
                <c:pt idx="1624">
                  <c:v>19.37</c:v>
                </c:pt>
                <c:pt idx="1625">
                  <c:v>19.41</c:v>
                </c:pt>
                <c:pt idx="1626">
                  <c:v>18.37</c:v>
                </c:pt>
                <c:pt idx="1627">
                  <c:v>18.48</c:v>
                </c:pt>
                <c:pt idx="1628">
                  <c:v>21.17</c:v>
                </c:pt>
                <c:pt idx="1629">
                  <c:v>17.25</c:v>
                </c:pt>
                <c:pt idx="1630">
                  <c:v>25.76</c:v>
                </c:pt>
                <c:pt idx="1631">
                  <c:v>23.85</c:v>
                </c:pt>
                <c:pt idx="1632">
                  <c:v>18.75</c:v>
                </c:pt>
                <c:pt idx="1633">
                  <c:v>16.64</c:v>
                </c:pt>
                <c:pt idx="1634">
                  <c:v>15.63</c:v>
                </c:pt>
                <c:pt idx="1635">
                  <c:v>14.77</c:v>
                </c:pt>
                <c:pt idx="1636">
                  <c:v>15.58</c:v>
                </c:pt>
                <c:pt idx="1637">
                  <c:v>14.96</c:v>
                </c:pt>
                <c:pt idx="1638">
                  <c:v>14.76</c:v>
                </c:pt>
                <c:pt idx="1639">
                  <c:v>13.2</c:v>
                </c:pt>
                <c:pt idx="1640">
                  <c:v>13.54</c:v>
                </c:pt>
                <c:pt idx="1641">
                  <c:v>13.55</c:v>
                </c:pt>
                <c:pt idx="1642">
                  <c:v>13.04</c:v>
                </c:pt>
                <c:pt idx="1643">
                  <c:v>12.82</c:v>
                </c:pt>
                <c:pt idx="1644">
                  <c:v>12.67</c:v>
                </c:pt>
                <c:pt idx="1645">
                  <c:v>12.44</c:v>
                </c:pt>
                <c:pt idx="1646">
                  <c:v>11.97</c:v>
                </c:pt>
                <c:pt idx="1647">
                  <c:v>11.77</c:v>
                </c:pt>
                <c:pt idx="1648">
                  <c:v>12.74</c:v>
                </c:pt>
                <c:pt idx="1649">
                  <c:v>12.02</c:v>
                </c:pt>
                <c:pt idx="1650">
                  <c:v>12.87</c:v>
                </c:pt>
                <c:pt idx="1651">
                  <c:v>13.05</c:v>
                </c:pt>
                <c:pt idx="1652">
                  <c:v>12.83</c:v>
                </c:pt>
                <c:pt idx="1653">
                  <c:v>12.72</c:v>
                </c:pt>
                <c:pt idx="1654">
                  <c:v>11.87</c:v>
                </c:pt>
                <c:pt idx="1655">
                  <c:v>12.44</c:v>
                </c:pt>
                <c:pt idx="1656">
                  <c:v>13.37</c:v>
                </c:pt>
                <c:pt idx="1657">
                  <c:v>12.86</c:v>
                </c:pt>
                <c:pt idx="1658">
                  <c:v>12.42</c:v>
                </c:pt>
                <c:pt idx="1659">
                  <c:v>11.39</c:v>
                </c:pt>
                <c:pt idx="1660">
                  <c:v>11.5</c:v>
                </c:pt>
                <c:pt idx="1661">
                  <c:v>11.66</c:v>
                </c:pt>
                <c:pt idx="1662">
                  <c:v>12.05</c:v>
                </c:pt>
                <c:pt idx="1663">
                  <c:v>11.68</c:v>
                </c:pt>
                <c:pt idx="1664">
                  <c:v>11.55</c:v>
                </c:pt>
                <c:pt idx="1665">
                  <c:v>11.81</c:v>
                </c:pt>
                <c:pt idx="1666">
                  <c:v>12.64</c:v>
                </c:pt>
                <c:pt idx="1667">
                  <c:v>12.19</c:v>
                </c:pt>
                <c:pt idx="1668">
                  <c:v>11.43</c:v>
                </c:pt>
                <c:pt idx="1669">
                  <c:v>11.34</c:v>
                </c:pt>
                <c:pt idx="1670">
                  <c:v>12.27</c:v>
                </c:pt>
                <c:pt idx="1671">
                  <c:v>12.38</c:v>
                </c:pt>
                <c:pt idx="1672">
                  <c:v>13.45</c:v>
                </c:pt>
                <c:pt idx="1673">
                  <c:v>13.63</c:v>
                </c:pt>
                <c:pt idx="1674">
                  <c:v>13.65</c:v>
                </c:pt>
                <c:pt idx="1675">
                  <c:v>12.94</c:v>
                </c:pt>
                <c:pt idx="1676">
                  <c:v>13.12</c:v>
                </c:pt>
                <c:pt idx="1677">
                  <c:v>13.42</c:v>
                </c:pt>
                <c:pt idx="1678">
                  <c:v>13.48</c:v>
                </c:pt>
                <c:pt idx="1679">
                  <c:v>11.98</c:v>
                </c:pt>
                <c:pt idx="1680">
                  <c:v>12.02</c:v>
                </c:pt>
                <c:pt idx="1681">
                  <c:v>11.94</c:v>
                </c:pt>
                <c:pt idx="1682">
                  <c:v>12.51</c:v>
                </c:pt>
                <c:pt idx="1683">
                  <c:v>17.5</c:v>
                </c:pt>
                <c:pt idx="1684">
                  <c:v>15.16</c:v>
                </c:pt>
                <c:pt idx="1685">
                  <c:v>17.850000000000001</c:v>
                </c:pt>
                <c:pt idx="1686">
                  <c:v>18.14</c:v>
                </c:pt>
                <c:pt idx="1687">
                  <c:v>16.3</c:v>
                </c:pt>
                <c:pt idx="1688">
                  <c:v>15.37</c:v>
                </c:pt>
                <c:pt idx="1689">
                  <c:v>15.53</c:v>
                </c:pt>
                <c:pt idx="1690">
                  <c:v>15.92</c:v>
                </c:pt>
                <c:pt idx="1691">
                  <c:v>13.3</c:v>
                </c:pt>
                <c:pt idx="1692">
                  <c:v>12.02</c:v>
                </c:pt>
                <c:pt idx="1693">
                  <c:v>12.29</c:v>
                </c:pt>
                <c:pt idx="1694">
                  <c:v>14.5</c:v>
                </c:pt>
                <c:pt idx="1695">
                  <c:v>13.1</c:v>
                </c:pt>
                <c:pt idx="1696">
                  <c:v>12.39</c:v>
                </c:pt>
                <c:pt idx="1697">
                  <c:v>14.02</c:v>
                </c:pt>
                <c:pt idx="1698">
                  <c:v>13.29</c:v>
                </c:pt>
                <c:pt idx="1699">
                  <c:v>13.57</c:v>
                </c:pt>
                <c:pt idx="1700">
                  <c:v>13.63</c:v>
                </c:pt>
                <c:pt idx="1701">
                  <c:v>12.99</c:v>
                </c:pt>
                <c:pt idx="1702">
                  <c:v>12.84</c:v>
                </c:pt>
                <c:pt idx="1703">
                  <c:v>13.48</c:v>
                </c:pt>
                <c:pt idx="1704">
                  <c:v>13.38</c:v>
                </c:pt>
                <c:pt idx="1705">
                  <c:v>15.36</c:v>
                </c:pt>
                <c:pt idx="1706">
                  <c:v>15.91</c:v>
                </c:pt>
                <c:pt idx="1707">
                  <c:v>16.690000000000001</c:v>
                </c:pt>
                <c:pt idx="1708">
                  <c:v>16.12</c:v>
                </c:pt>
                <c:pt idx="1709">
                  <c:v>16.21</c:v>
                </c:pt>
                <c:pt idx="1710">
                  <c:v>15.28</c:v>
                </c:pt>
                <c:pt idx="1711">
                  <c:v>14.41</c:v>
                </c:pt>
                <c:pt idx="1712">
                  <c:v>13.75</c:v>
                </c:pt>
                <c:pt idx="1713">
                  <c:v>13.34</c:v>
                </c:pt>
                <c:pt idx="1714">
                  <c:v>13.02</c:v>
                </c:pt>
                <c:pt idx="1715">
                  <c:v>13.46</c:v>
                </c:pt>
                <c:pt idx="1716">
                  <c:v>14.24</c:v>
                </c:pt>
                <c:pt idx="1717">
                  <c:v>15.36</c:v>
                </c:pt>
                <c:pt idx="1718">
                  <c:v>16.190000000000001</c:v>
                </c:pt>
                <c:pt idx="1719">
                  <c:v>17.059999999999999</c:v>
                </c:pt>
                <c:pt idx="1720">
                  <c:v>18.559999999999999</c:v>
                </c:pt>
                <c:pt idx="1721">
                  <c:v>19.32</c:v>
                </c:pt>
                <c:pt idx="1722">
                  <c:v>22.08</c:v>
                </c:pt>
                <c:pt idx="1723">
                  <c:v>22.51</c:v>
                </c:pt>
                <c:pt idx="1724">
                  <c:v>18.71</c:v>
                </c:pt>
                <c:pt idx="1725">
                  <c:v>18.739999999999998</c:v>
                </c:pt>
                <c:pt idx="1726">
                  <c:v>14.38</c:v>
                </c:pt>
                <c:pt idx="1727">
                  <c:v>14.74</c:v>
                </c:pt>
                <c:pt idx="1728">
                  <c:v>14.17</c:v>
                </c:pt>
                <c:pt idx="1729">
                  <c:v>14.48</c:v>
                </c:pt>
                <c:pt idx="1730">
                  <c:v>13.37</c:v>
                </c:pt>
                <c:pt idx="1731">
                  <c:v>13.72</c:v>
                </c:pt>
                <c:pt idx="1732">
                  <c:v>13.35</c:v>
                </c:pt>
                <c:pt idx="1733">
                  <c:v>12.85</c:v>
                </c:pt>
                <c:pt idx="1734">
                  <c:v>12.42</c:v>
                </c:pt>
                <c:pt idx="1735">
                  <c:v>12.41</c:v>
                </c:pt>
                <c:pt idx="1736">
                  <c:v>12.43</c:v>
                </c:pt>
                <c:pt idx="1737">
                  <c:v>12.34</c:v>
                </c:pt>
                <c:pt idx="1738">
                  <c:v>13.15</c:v>
                </c:pt>
                <c:pt idx="1739">
                  <c:v>12.9</c:v>
                </c:pt>
                <c:pt idx="1740">
                  <c:v>13.33</c:v>
                </c:pt>
                <c:pt idx="1741">
                  <c:v>14.07</c:v>
                </c:pt>
                <c:pt idx="1742">
                  <c:v>14.12</c:v>
                </c:pt>
                <c:pt idx="1743">
                  <c:v>12.14</c:v>
                </c:pt>
                <c:pt idx="1744">
                  <c:v>11.79</c:v>
                </c:pt>
                <c:pt idx="1745">
                  <c:v>12.22</c:v>
                </c:pt>
                <c:pt idx="1746">
                  <c:v>12.64</c:v>
                </c:pt>
                <c:pt idx="1747">
                  <c:v>11.75</c:v>
                </c:pt>
                <c:pt idx="1748">
                  <c:v>12.64</c:v>
                </c:pt>
                <c:pt idx="1749">
                  <c:v>12.72</c:v>
                </c:pt>
                <c:pt idx="1750">
                  <c:v>13.19</c:v>
                </c:pt>
                <c:pt idx="1751">
                  <c:v>12.79</c:v>
                </c:pt>
                <c:pt idx="1752">
                  <c:v>12.2</c:v>
                </c:pt>
                <c:pt idx="1753">
                  <c:v>11.71</c:v>
                </c:pt>
                <c:pt idx="1754">
                  <c:v>11.45</c:v>
                </c:pt>
                <c:pt idx="1755">
                  <c:v>11.27</c:v>
                </c:pt>
                <c:pt idx="1756">
                  <c:v>11.43</c:v>
                </c:pt>
                <c:pt idx="1757">
                  <c:v>11.44</c:v>
                </c:pt>
                <c:pt idx="1758">
                  <c:v>11.99</c:v>
                </c:pt>
                <c:pt idx="1759">
                  <c:v>12.95</c:v>
                </c:pt>
                <c:pt idx="1760">
                  <c:v>13.37</c:v>
                </c:pt>
                <c:pt idx="1761">
                  <c:v>14.04</c:v>
                </c:pt>
                <c:pt idx="1762">
                  <c:v>12.85</c:v>
                </c:pt>
                <c:pt idx="1763">
                  <c:v>11.85</c:v>
                </c:pt>
                <c:pt idx="1764">
                  <c:v>11.67</c:v>
                </c:pt>
                <c:pt idx="1765">
                  <c:v>11.32</c:v>
                </c:pt>
                <c:pt idx="1766">
                  <c:v>11.56</c:v>
                </c:pt>
                <c:pt idx="1767">
                  <c:v>11.49</c:v>
                </c:pt>
                <c:pt idx="1768">
                  <c:v>11.26</c:v>
                </c:pt>
                <c:pt idx="1769">
                  <c:v>11.54</c:v>
                </c:pt>
                <c:pt idx="1770">
                  <c:v>11.23</c:v>
                </c:pt>
                <c:pt idx="1771">
                  <c:v>11.87</c:v>
                </c:pt>
                <c:pt idx="1772">
                  <c:v>12.48</c:v>
                </c:pt>
                <c:pt idx="1773">
                  <c:v>12.78</c:v>
                </c:pt>
                <c:pt idx="1774">
                  <c:v>11.54</c:v>
                </c:pt>
                <c:pt idx="1775">
                  <c:v>11.77</c:v>
                </c:pt>
                <c:pt idx="1776">
                  <c:v>11.07</c:v>
                </c:pt>
                <c:pt idx="1777">
                  <c:v>10.81</c:v>
                </c:pt>
                <c:pt idx="1778">
                  <c:v>10.63</c:v>
                </c:pt>
                <c:pt idx="1779">
                  <c:v>10.58</c:v>
                </c:pt>
                <c:pt idx="1780">
                  <c:v>11.88</c:v>
                </c:pt>
                <c:pt idx="1781">
                  <c:v>11.99</c:v>
                </c:pt>
                <c:pt idx="1782">
                  <c:v>11.81</c:v>
                </c:pt>
                <c:pt idx="1783">
                  <c:v>11.93</c:v>
                </c:pt>
                <c:pt idx="1784">
                  <c:v>10.97</c:v>
                </c:pt>
                <c:pt idx="1785">
                  <c:v>11.37</c:v>
                </c:pt>
                <c:pt idx="1786">
                  <c:v>11.29</c:v>
                </c:pt>
                <c:pt idx="1787">
                  <c:v>11.45</c:v>
                </c:pt>
                <c:pt idx="1788">
                  <c:v>10.88</c:v>
                </c:pt>
                <c:pt idx="1789">
                  <c:v>10.85</c:v>
                </c:pt>
                <c:pt idx="1790">
                  <c:v>11.07</c:v>
                </c:pt>
                <c:pt idx="1791">
                  <c:v>10.74</c:v>
                </c:pt>
                <c:pt idx="1792">
                  <c:v>11.97</c:v>
                </c:pt>
                <c:pt idx="1793">
                  <c:v>11.76</c:v>
                </c:pt>
                <c:pt idx="1794">
                  <c:v>11.49</c:v>
                </c:pt>
                <c:pt idx="1795">
                  <c:v>11.57</c:v>
                </c:pt>
                <c:pt idx="1796">
                  <c:v>11.74</c:v>
                </c:pt>
                <c:pt idx="1797">
                  <c:v>11.71</c:v>
                </c:pt>
                <c:pt idx="1798">
                  <c:v>11.47</c:v>
                </c:pt>
                <c:pt idx="1799">
                  <c:v>12.09</c:v>
                </c:pt>
                <c:pt idx="1800">
                  <c:v>12.92</c:v>
                </c:pt>
                <c:pt idx="1801">
                  <c:v>12.54</c:v>
                </c:pt>
                <c:pt idx="1802">
                  <c:v>11.81</c:v>
                </c:pt>
                <c:pt idx="1803">
                  <c:v>10.96</c:v>
                </c:pt>
                <c:pt idx="1804">
                  <c:v>11.24</c:v>
                </c:pt>
                <c:pt idx="1805">
                  <c:v>11.45</c:v>
                </c:pt>
                <c:pt idx="1806">
                  <c:v>11.86</c:v>
                </c:pt>
                <c:pt idx="1807">
                  <c:v>12.3</c:v>
                </c:pt>
                <c:pt idx="1808">
                  <c:v>11.66</c:v>
                </c:pt>
                <c:pt idx="1809">
                  <c:v>11.35</c:v>
                </c:pt>
                <c:pt idx="1810">
                  <c:v>12.3</c:v>
                </c:pt>
                <c:pt idx="1811">
                  <c:v>11.63</c:v>
                </c:pt>
                <c:pt idx="1812">
                  <c:v>11.21</c:v>
                </c:pt>
                <c:pt idx="1813">
                  <c:v>11.28</c:v>
                </c:pt>
                <c:pt idx="1814">
                  <c:v>11.34</c:v>
                </c:pt>
                <c:pt idx="1815">
                  <c:v>12.47</c:v>
                </c:pt>
                <c:pt idx="1816">
                  <c:v>12.81</c:v>
                </c:pt>
                <c:pt idx="1817">
                  <c:v>13.12</c:v>
                </c:pt>
                <c:pt idx="1818">
                  <c:v>12.96</c:v>
                </c:pt>
                <c:pt idx="1819">
                  <c:v>12.5</c:v>
                </c:pt>
                <c:pt idx="1820">
                  <c:v>11.53</c:v>
                </c:pt>
                <c:pt idx="1821">
                  <c:v>11.42</c:v>
                </c:pt>
                <c:pt idx="1822">
                  <c:v>11.54</c:v>
                </c:pt>
                <c:pt idx="1823">
                  <c:v>12.37</c:v>
                </c:pt>
                <c:pt idx="1824">
                  <c:v>12.38</c:v>
                </c:pt>
                <c:pt idx="1825">
                  <c:v>11.79</c:v>
                </c:pt>
                <c:pt idx="1826">
                  <c:v>12.89</c:v>
                </c:pt>
                <c:pt idx="1827">
                  <c:v>12.39</c:v>
                </c:pt>
                <c:pt idx="1828">
                  <c:v>12.87</c:v>
                </c:pt>
                <c:pt idx="1829">
                  <c:v>14.05</c:v>
                </c:pt>
                <c:pt idx="1830">
                  <c:v>15.07</c:v>
                </c:pt>
                <c:pt idx="1831">
                  <c:v>15.77</c:v>
                </c:pt>
                <c:pt idx="1832">
                  <c:v>15.96</c:v>
                </c:pt>
                <c:pt idx="1833">
                  <c:v>14.66</c:v>
                </c:pt>
                <c:pt idx="1834">
                  <c:v>14.42</c:v>
                </c:pt>
                <c:pt idx="1835">
                  <c:v>14.93</c:v>
                </c:pt>
                <c:pt idx="1836">
                  <c:v>14.15</c:v>
                </c:pt>
                <c:pt idx="1837">
                  <c:v>14.63</c:v>
                </c:pt>
                <c:pt idx="1838">
                  <c:v>10.84</c:v>
                </c:pt>
                <c:pt idx="1839">
                  <c:v>10.76</c:v>
                </c:pt>
                <c:pt idx="1840">
                  <c:v>10.85</c:v>
                </c:pt>
                <c:pt idx="1841">
                  <c:v>10.36</c:v>
                </c:pt>
                <c:pt idx="1842">
                  <c:v>10.82</c:v>
                </c:pt>
                <c:pt idx="1843">
                  <c:v>10.11</c:v>
                </c:pt>
                <c:pt idx="1844">
                  <c:v>10.59</c:v>
                </c:pt>
                <c:pt idx="1845">
                  <c:v>10.68</c:v>
                </c:pt>
                <c:pt idx="1846">
                  <c:v>10.46</c:v>
                </c:pt>
                <c:pt idx="1847">
                  <c:v>10.57</c:v>
                </c:pt>
                <c:pt idx="1848">
                  <c:v>9.77</c:v>
                </c:pt>
                <c:pt idx="1849">
                  <c:v>9.9600000000000009</c:v>
                </c:pt>
                <c:pt idx="1850">
                  <c:v>10.210000000000001</c:v>
                </c:pt>
                <c:pt idx="1851">
                  <c:v>10.6</c:v>
                </c:pt>
                <c:pt idx="1852">
                  <c:v>10.4</c:v>
                </c:pt>
                <c:pt idx="1853">
                  <c:v>10.42</c:v>
                </c:pt>
                <c:pt idx="1854">
                  <c:v>10.65</c:v>
                </c:pt>
                <c:pt idx="1855">
                  <c:v>15.59</c:v>
                </c:pt>
                <c:pt idx="1856">
                  <c:v>14.66</c:v>
                </c:pt>
                <c:pt idx="1857">
                  <c:v>12.04</c:v>
                </c:pt>
                <c:pt idx="1858">
                  <c:v>10.93</c:v>
                </c:pt>
                <c:pt idx="1859">
                  <c:v>10.72</c:v>
                </c:pt>
                <c:pt idx="1860">
                  <c:v>10.02</c:v>
                </c:pt>
                <c:pt idx="1861">
                  <c:v>9.99</c:v>
                </c:pt>
                <c:pt idx="1862">
                  <c:v>9.81</c:v>
                </c:pt>
                <c:pt idx="1863">
                  <c:v>10.38</c:v>
                </c:pt>
                <c:pt idx="1864">
                  <c:v>10.41</c:v>
                </c:pt>
                <c:pt idx="1865">
                  <c:v>9.89</c:v>
                </c:pt>
                <c:pt idx="1866">
                  <c:v>9.75</c:v>
                </c:pt>
                <c:pt idx="1867">
                  <c:v>10.07</c:v>
                </c:pt>
                <c:pt idx="1868">
                  <c:v>10.45</c:v>
                </c:pt>
                <c:pt idx="1869">
                  <c:v>10.39</c:v>
                </c:pt>
                <c:pt idx="1870">
                  <c:v>10.16</c:v>
                </c:pt>
                <c:pt idx="1871">
                  <c:v>10.7</c:v>
                </c:pt>
                <c:pt idx="1872">
                  <c:v>11.46</c:v>
                </c:pt>
                <c:pt idx="1873">
                  <c:v>10.42</c:v>
                </c:pt>
                <c:pt idx="1874">
                  <c:v>10.64</c:v>
                </c:pt>
                <c:pt idx="1875">
                  <c:v>10.9</c:v>
                </c:pt>
                <c:pt idx="1876">
                  <c:v>10.38</c:v>
                </c:pt>
                <c:pt idx="1877">
                  <c:v>10.37</c:v>
                </c:pt>
                <c:pt idx="1878">
                  <c:v>10.86</c:v>
                </c:pt>
                <c:pt idx="1879">
                  <c:v>10.75</c:v>
                </c:pt>
                <c:pt idx="1880">
                  <c:v>10.48</c:v>
                </c:pt>
                <c:pt idx="1881">
                  <c:v>10.02</c:v>
                </c:pt>
                <c:pt idx="1882">
                  <c:v>9.9</c:v>
                </c:pt>
                <c:pt idx="1883">
                  <c:v>11.06</c:v>
                </c:pt>
                <c:pt idx="1884">
                  <c:v>10.029999999999999</c:v>
                </c:pt>
                <c:pt idx="1885">
                  <c:v>11.44</c:v>
                </c:pt>
                <c:pt idx="1886">
                  <c:v>11.18</c:v>
                </c:pt>
                <c:pt idx="1887">
                  <c:v>11.22</c:v>
                </c:pt>
                <c:pt idx="1888">
                  <c:v>11.07</c:v>
                </c:pt>
                <c:pt idx="1889">
                  <c:v>12.54</c:v>
                </c:pt>
                <c:pt idx="1890">
                  <c:v>11.19</c:v>
                </c:pt>
                <c:pt idx="1891">
                  <c:v>11.11</c:v>
                </c:pt>
                <c:pt idx="1892">
                  <c:v>10.89</c:v>
                </c:pt>
                <c:pt idx="1893">
                  <c:v>10.3</c:v>
                </c:pt>
                <c:pt idx="1894">
                  <c:v>9.9</c:v>
                </c:pt>
                <c:pt idx="1895">
                  <c:v>9.51</c:v>
                </c:pt>
                <c:pt idx="1896">
                  <c:v>9.82</c:v>
                </c:pt>
                <c:pt idx="1897">
                  <c:v>9.89</c:v>
                </c:pt>
                <c:pt idx="1898">
                  <c:v>9.7899999999999991</c:v>
                </c:pt>
                <c:pt idx="1899">
                  <c:v>9.58</c:v>
                </c:pt>
                <c:pt idx="1900">
                  <c:v>9.36</c:v>
                </c:pt>
                <c:pt idx="1901">
                  <c:v>9.43</c:v>
                </c:pt>
                <c:pt idx="1902">
                  <c:v>9.43</c:v>
                </c:pt>
                <c:pt idx="1903">
                  <c:v>9.6</c:v>
                </c:pt>
                <c:pt idx="1904">
                  <c:v>10.11</c:v>
                </c:pt>
                <c:pt idx="1905">
                  <c:v>10.29</c:v>
                </c:pt>
                <c:pt idx="1906">
                  <c:v>10.26</c:v>
                </c:pt>
                <c:pt idx="1907">
                  <c:v>10.09</c:v>
                </c:pt>
                <c:pt idx="1908">
                  <c:v>10.28</c:v>
                </c:pt>
                <c:pt idx="1909">
                  <c:v>10.44</c:v>
                </c:pt>
                <c:pt idx="1910">
                  <c:v>10.029999999999999</c:v>
                </c:pt>
                <c:pt idx="1911">
                  <c:v>9.93</c:v>
                </c:pt>
                <c:pt idx="1912">
                  <c:v>10.96</c:v>
                </c:pt>
                <c:pt idx="1913">
                  <c:v>11.11</c:v>
                </c:pt>
                <c:pt idx="1914">
                  <c:v>16.04</c:v>
                </c:pt>
                <c:pt idx="1915">
                  <c:v>15.51</c:v>
                </c:pt>
                <c:pt idx="1916">
                  <c:v>12.33</c:v>
                </c:pt>
                <c:pt idx="1917">
                  <c:v>12.04</c:v>
                </c:pt>
                <c:pt idx="1918">
                  <c:v>11.74</c:v>
                </c:pt>
                <c:pt idx="1919">
                  <c:v>15.55</c:v>
                </c:pt>
                <c:pt idx="1920">
                  <c:v>14.26</c:v>
                </c:pt>
                <c:pt idx="1921">
                  <c:v>13.19</c:v>
                </c:pt>
                <c:pt idx="1922">
                  <c:v>11.35</c:v>
                </c:pt>
                <c:pt idx="1923">
                  <c:v>12.25</c:v>
                </c:pt>
                <c:pt idx="1924">
                  <c:v>12.23</c:v>
                </c:pt>
                <c:pt idx="1925">
                  <c:v>11.28</c:v>
                </c:pt>
                <c:pt idx="1926">
                  <c:v>11.32</c:v>
                </c:pt>
                <c:pt idx="1927">
                  <c:v>11.7</c:v>
                </c:pt>
                <c:pt idx="1928">
                  <c:v>11.22</c:v>
                </c:pt>
                <c:pt idx="1929">
                  <c:v>10.59</c:v>
                </c:pt>
                <c:pt idx="1930">
                  <c:v>10.130000000000001</c:v>
                </c:pt>
                <c:pt idx="1931">
                  <c:v>12.23</c:v>
                </c:pt>
                <c:pt idx="1932">
                  <c:v>11.63</c:v>
                </c:pt>
                <c:pt idx="1933">
                  <c:v>11.55</c:v>
                </c:pt>
                <c:pt idx="1934">
                  <c:v>12.12</c:v>
                </c:pt>
                <c:pt idx="1935">
                  <c:v>10.73</c:v>
                </c:pt>
                <c:pt idx="1936">
                  <c:v>10.58</c:v>
                </c:pt>
                <c:pt idx="1937">
                  <c:v>10.5</c:v>
                </c:pt>
                <c:pt idx="1938">
                  <c:v>10.44</c:v>
                </c:pt>
                <c:pt idx="1939">
                  <c:v>10.17</c:v>
                </c:pt>
                <c:pt idx="1940">
                  <c:v>10.15</c:v>
                </c:pt>
                <c:pt idx="1941">
                  <c:v>10.18</c:v>
                </c:pt>
                <c:pt idx="1942">
                  <c:v>9.7799999999999994</c:v>
                </c:pt>
                <c:pt idx="1943">
                  <c:v>9.67</c:v>
                </c:pt>
                <c:pt idx="1944">
                  <c:v>9.59</c:v>
                </c:pt>
                <c:pt idx="1945">
                  <c:v>10.210000000000001</c:v>
                </c:pt>
                <c:pt idx="1946">
                  <c:v>10.17</c:v>
                </c:pt>
                <c:pt idx="1947">
                  <c:v>9.8699999999999992</c:v>
                </c:pt>
                <c:pt idx="1948">
                  <c:v>9.5500000000000007</c:v>
                </c:pt>
                <c:pt idx="1949">
                  <c:v>9.51</c:v>
                </c:pt>
                <c:pt idx="1950">
                  <c:v>9.4499999999999993</c:v>
                </c:pt>
                <c:pt idx="1951">
                  <c:v>9.51</c:v>
                </c:pt>
                <c:pt idx="1952">
                  <c:v>9.6300000000000008</c:v>
                </c:pt>
                <c:pt idx="1953">
                  <c:v>9.19</c:v>
                </c:pt>
                <c:pt idx="1954">
                  <c:v>9.65</c:v>
                </c:pt>
                <c:pt idx="1955">
                  <c:v>10.33</c:v>
                </c:pt>
                <c:pt idx="1956">
                  <c:v>10.08</c:v>
                </c:pt>
                <c:pt idx="1957">
                  <c:v>9.85</c:v>
                </c:pt>
                <c:pt idx="1958">
                  <c:v>9.91</c:v>
                </c:pt>
                <c:pt idx="1959">
                  <c:v>9.61</c:v>
                </c:pt>
                <c:pt idx="1960">
                  <c:v>9.91</c:v>
                </c:pt>
                <c:pt idx="1961">
                  <c:v>10.31</c:v>
                </c:pt>
                <c:pt idx="1962">
                  <c:v>10.07</c:v>
                </c:pt>
                <c:pt idx="1963">
                  <c:v>10.050000000000001</c:v>
                </c:pt>
                <c:pt idx="1964">
                  <c:v>9.9700000000000006</c:v>
                </c:pt>
                <c:pt idx="1965">
                  <c:v>11.07</c:v>
                </c:pt>
                <c:pt idx="1966">
                  <c:v>11.16</c:v>
                </c:pt>
                <c:pt idx="1967">
                  <c:v>11.23</c:v>
                </c:pt>
                <c:pt idx="1968">
                  <c:v>11.3</c:v>
                </c:pt>
                <c:pt idx="1969">
                  <c:v>9.8000000000000007</c:v>
                </c:pt>
                <c:pt idx="1970">
                  <c:v>10.5</c:v>
                </c:pt>
                <c:pt idx="1971">
                  <c:v>10.18</c:v>
                </c:pt>
                <c:pt idx="1972">
                  <c:v>10.199999999999999</c:v>
                </c:pt>
                <c:pt idx="1973">
                  <c:v>9.93</c:v>
                </c:pt>
                <c:pt idx="1974">
                  <c:v>9.14</c:v>
                </c:pt>
                <c:pt idx="1975">
                  <c:v>9.4</c:v>
                </c:pt>
                <c:pt idx="1976">
                  <c:v>9.89</c:v>
                </c:pt>
                <c:pt idx="1977">
                  <c:v>9.7799999999999994</c:v>
                </c:pt>
                <c:pt idx="1978">
                  <c:v>10.5</c:v>
                </c:pt>
                <c:pt idx="1979">
                  <c:v>11.29</c:v>
                </c:pt>
                <c:pt idx="1980">
                  <c:v>11.5</c:v>
                </c:pt>
                <c:pt idx="1981">
                  <c:v>11.59</c:v>
                </c:pt>
                <c:pt idx="1982">
                  <c:v>13.13</c:v>
                </c:pt>
                <c:pt idx="1983">
                  <c:v>11.76</c:v>
                </c:pt>
                <c:pt idx="1984">
                  <c:v>11.43</c:v>
                </c:pt>
                <c:pt idx="1985">
                  <c:v>10.65</c:v>
                </c:pt>
                <c:pt idx="1986">
                  <c:v>9.73</c:v>
                </c:pt>
                <c:pt idx="1987">
                  <c:v>9.8800000000000008</c:v>
                </c:pt>
                <c:pt idx="1988">
                  <c:v>9.67</c:v>
                </c:pt>
                <c:pt idx="1989">
                  <c:v>9.8699999999999992</c:v>
                </c:pt>
                <c:pt idx="1990">
                  <c:v>10.029999999999999</c:v>
                </c:pt>
                <c:pt idx="1991">
                  <c:v>10.7</c:v>
                </c:pt>
                <c:pt idx="1992">
                  <c:v>11.28</c:v>
                </c:pt>
                <c:pt idx="1993">
                  <c:v>11.43</c:v>
                </c:pt>
                <c:pt idx="1994">
                  <c:v>11.68</c:v>
                </c:pt>
                <c:pt idx="1995">
                  <c:v>11.33</c:v>
                </c:pt>
                <c:pt idx="1996">
                  <c:v>11.02</c:v>
                </c:pt>
                <c:pt idx="1997">
                  <c:v>10.16</c:v>
                </c:pt>
                <c:pt idx="1998">
                  <c:v>9.58</c:v>
                </c:pt>
                <c:pt idx="1999">
                  <c:v>9.34</c:v>
                </c:pt>
                <c:pt idx="2000">
                  <c:v>9.92</c:v>
                </c:pt>
                <c:pt idx="2001">
                  <c:v>10.18</c:v>
                </c:pt>
                <c:pt idx="2002">
                  <c:v>10.49</c:v>
                </c:pt>
                <c:pt idx="2003">
                  <c:v>9.42</c:v>
                </c:pt>
                <c:pt idx="2004">
                  <c:v>9.5299999999999994</c:v>
                </c:pt>
                <c:pt idx="2005">
                  <c:v>10.029999999999999</c:v>
                </c:pt>
                <c:pt idx="2006">
                  <c:v>9.7200000000000006</c:v>
                </c:pt>
                <c:pt idx="2007">
                  <c:v>9.6199999999999992</c:v>
                </c:pt>
                <c:pt idx="2008">
                  <c:v>9.9</c:v>
                </c:pt>
                <c:pt idx="2009">
                  <c:v>10.25</c:v>
                </c:pt>
                <c:pt idx="2010">
                  <c:v>10.47</c:v>
                </c:pt>
                <c:pt idx="2011">
                  <c:v>10.18</c:v>
                </c:pt>
                <c:pt idx="2012">
                  <c:v>11.04</c:v>
                </c:pt>
                <c:pt idx="2013">
                  <c:v>9.77</c:v>
                </c:pt>
                <c:pt idx="2014">
                  <c:v>9.15</c:v>
                </c:pt>
                <c:pt idx="2015">
                  <c:v>9.2200000000000006</c:v>
                </c:pt>
                <c:pt idx="2016">
                  <c:v>9.2200000000000006</c:v>
                </c:pt>
                <c:pt idx="2017">
                  <c:v>9.52</c:v>
                </c:pt>
                <c:pt idx="2018">
                  <c:v>10.08</c:v>
                </c:pt>
                <c:pt idx="2019">
                  <c:v>9.82</c:v>
                </c:pt>
                <c:pt idx="2020">
                  <c:v>9.8800000000000008</c:v>
                </c:pt>
                <c:pt idx="2021">
                  <c:v>10.16</c:v>
                </c:pt>
                <c:pt idx="2022">
                  <c:v>11.66</c:v>
                </c:pt>
                <c:pt idx="2023">
                  <c:v>11.91</c:v>
                </c:pt>
                <c:pt idx="2024">
                  <c:v>12.22</c:v>
                </c:pt>
                <c:pt idx="2025">
                  <c:v>11.27</c:v>
                </c:pt>
                <c:pt idx="2026">
                  <c:v>11.03</c:v>
                </c:pt>
                <c:pt idx="2027">
                  <c:v>11.1</c:v>
                </c:pt>
                <c:pt idx="2028">
                  <c:v>11.47</c:v>
                </c:pt>
                <c:pt idx="2029">
                  <c:v>11.58</c:v>
                </c:pt>
                <c:pt idx="2030">
                  <c:v>11.08</c:v>
                </c:pt>
                <c:pt idx="2031">
                  <c:v>13.84</c:v>
                </c:pt>
                <c:pt idx="2032">
                  <c:v>14.79</c:v>
                </c:pt>
                <c:pt idx="2033">
                  <c:v>13.54</c:v>
                </c:pt>
                <c:pt idx="2034">
                  <c:v>13.47</c:v>
                </c:pt>
                <c:pt idx="2035">
                  <c:v>17.309999999999999</c:v>
                </c:pt>
                <c:pt idx="2036">
                  <c:v>37.32</c:v>
                </c:pt>
                <c:pt idx="2037">
                  <c:v>29.98</c:v>
                </c:pt>
                <c:pt idx="2038">
                  <c:v>27.73</c:v>
                </c:pt>
                <c:pt idx="2039">
                  <c:v>33.46</c:v>
                </c:pt>
                <c:pt idx="2040">
                  <c:v>29.06</c:v>
                </c:pt>
                <c:pt idx="2041">
                  <c:v>25.61</c:v>
                </c:pt>
                <c:pt idx="2042">
                  <c:v>24.97</c:v>
                </c:pt>
                <c:pt idx="2043">
                  <c:v>19.260000000000002</c:v>
                </c:pt>
                <c:pt idx="2044">
                  <c:v>19.13</c:v>
                </c:pt>
                <c:pt idx="2045">
                  <c:v>19.46</c:v>
                </c:pt>
                <c:pt idx="2046">
                  <c:v>20.6</c:v>
                </c:pt>
                <c:pt idx="2047">
                  <c:v>20.02</c:v>
                </c:pt>
                <c:pt idx="2048">
                  <c:v>18.72</c:v>
                </c:pt>
                <c:pt idx="2049">
                  <c:v>16.489999999999998</c:v>
                </c:pt>
                <c:pt idx="2050">
                  <c:v>15.8</c:v>
                </c:pt>
                <c:pt idx="2051">
                  <c:v>18.59</c:v>
                </c:pt>
                <c:pt idx="2052">
                  <c:v>19.850000000000001</c:v>
                </c:pt>
                <c:pt idx="2053">
                  <c:v>22.47</c:v>
                </c:pt>
                <c:pt idx="2054">
                  <c:v>19.59</c:v>
                </c:pt>
                <c:pt idx="2055">
                  <c:v>18.73</c:v>
                </c:pt>
                <c:pt idx="2056">
                  <c:v>18.36</c:v>
                </c:pt>
                <c:pt idx="2057">
                  <c:v>17.760000000000002</c:v>
                </c:pt>
                <c:pt idx="2058">
                  <c:v>16.54</c:v>
                </c:pt>
                <c:pt idx="2059">
                  <c:v>14.64</c:v>
                </c:pt>
                <c:pt idx="2060">
                  <c:v>15.78</c:v>
                </c:pt>
                <c:pt idx="2061">
                  <c:v>16.350000000000001</c:v>
                </c:pt>
                <c:pt idx="2062">
                  <c:v>17.23</c:v>
                </c:pt>
                <c:pt idx="2063">
                  <c:v>16.59</c:v>
                </c:pt>
                <c:pt idx="2064">
                  <c:v>15.8</c:v>
                </c:pt>
                <c:pt idx="2065">
                  <c:v>19.02</c:v>
                </c:pt>
                <c:pt idx="2066">
                  <c:v>18.2</c:v>
                </c:pt>
                <c:pt idx="2067">
                  <c:v>17.86</c:v>
                </c:pt>
                <c:pt idx="2068">
                  <c:v>23.34</c:v>
                </c:pt>
                <c:pt idx="2069">
                  <c:v>24.87</c:v>
                </c:pt>
                <c:pt idx="2070">
                  <c:v>21.03</c:v>
                </c:pt>
                <c:pt idx="2071">
                  <c:v>22.5</c:v>
                </c:pt>
                <c:pt idx="2072">
                  <c:v>22.87</c:v>
                </c:pt>
                <c:pt idx="2073">
                  <c:v>19.97</c:v>
                </c:pt>
                <c:pt idx="2074">
                  <c:v>23.62</c:v>
                </c:pt>
                <c:pt idx="2075">
                  <c:v>21.1</c:v>
                </c:pt>
                <c:pt idx="2076">
                  <c:v>20.059999999999999</c:v>
                </c:pt>
                <c:pt idx="2077">
                  <c:v>18.940000000000001</c:v>
                </c:pt>
                <c:pt idx="2078">
                  <c:v>21.49</c:v>
                </c:pt>
                <c:pt idx="2079">
                  <c:v>21.77</c:v>
                </c:pt>
                <c:pt idx="2080">
                  <c:v>20.47</c:v>
                </c:pt>
                <c:pt idx="2081">
                  <c:v>20.239999999999998</c:v>
                </c:pt>
                <c:pt idx="2082">
                  <c:v>18.489999999999998</c:v>
                </c:pt>
                <c:pt idx="2083">
                  <c:v>17.41</c:v>
                </c:pt>
                <c:pt idx="2084">
                  <c:v>16.559999999999999</c:v>
                </c:pt>
                <c:pt idx="2085">
                  <c:v>15.25</c:v>
                </c:pt>
                <c:pt idx="2086">
                  <c:v>15.6</c:v>
                </c:pt>
                <c:pt idx="2087">
                  <c:v>15.96</c:v>
                </c:pt>
                <c:pt idx="2088">
                  <c:v>16.88</c:v>
                </c:pt>
                <c:pt idx="2089">
                  <c:v>16.34</c:v>
                </c:pt>
                <c:pt idx="2090">
                  <c:v>18.02</c:v>
                </c:pt>
                <c:pt idx="2091">
                  <c:v>17.84</c:v>
                </c:pt>
                <c:pt idx="2092">
                  <c:v>16.239999999999998</c:v>
                </c:pt>
                <c:pt idx="2093">
                  <c:v>15.41</c:v>
                </c:pt>
                <c:pt idx="2094">
                  <c:v>15.93</c:v>
                </c:pt>
                <c:pt idx="2095">
                  <c:v>15.49</c:v>
                </c:pt>
                <c:pt idx="2096">
                  <c:v>15.97</c:v>
                </c:pt>
                <c:pt idx="2097">
                  <c:v>15.9</c:v>
                </c:pt>
                <c:pt idx="2098">
                  <c:v>14.77</c:v>
                </c:pt>
                <c:pt idx="2099">
                  <c:v>14.75</c:v>
                </c:pt>
                <c:pt idx="2100">
                  <c:v>14.71</c:v>
                </c:pt>
                <c:pt idx="2101">
                  <c:v>13.42</c:v>
                </c:pt>
                <c:pt idx="2102">
                  <c:v>13.23</c:v>
                </c:pt>
                <c:pt idx="2103">
                  <c:v>12.65</c:v>
                </c:pt>
                <c:pt idx="2104">
                  <c:v>12.93</c:v>
                </c:pt>
                <c:pt idx="2105">
                  <c:v>14.63</c:v>
                </c:pt>
                <c:pt idx="2106">
                  <c:v>13.42</c:v>
                </c:pt>
                <c:pt idx="2107">
                  <c:v>13.43</c:v>
                </c:pt>
                <c:pt idx="2108">
                  <c:v>13.42</c:v>
                </c:pt>
                <c:pt idx="2109">
                  <c:v>13.08</c:v>
                </c:pt>
                <c:pt idx="2110">
                  <c:v>13.22</c:v>
                </c:pt>
                <c:pt idx="2111">
                  <c:v>12.58</c:v>
                </c:pt>
                <c:pt idx="2112">
                  <c:v>12.53</c:v>
                </c:pt>
                <c:pt idx="2113">
                  <c:v>13.22</c:v>
                </c:pt>
                <c:pt idx="2114">
                  <c:v>17.02</c:v>
                </c:pt>
                <c:pt idx="2115">
                  <c:v>14.94</c:v>
                </c:pt>
                <c:pt idx="2116">
                  <c:v>15.43</c:v>
                </c:pt>
                <c:pt idx="2117">
                  <c:v>13.46</c:v>
                </c:pt>
                <c:pt idx="2118">
                  <c:v>12.74</c:v>
                </c:pt>
                <c:pt idx="2119">
                  <c:v>12.4</c:v>
                </c:pt>
                <c:pt idx="2120">
                  <c:v>11.64</c:v>
                </c:pt>
                <c:pt idx="2121">
                  <c:v>12.13</c:v>
                </c:pt>
                <c:pt idx="2122">
                  <c:v>12.18</c:v>
                </c:pt>
                <c:pt idx="2123">
                  <c:v>12.35</c:v>
                </c:pt>
                <c:pt idx="2124">
                  <c:v>12.34</c:v>
                </c:pt>
                <c:pt idx="2125">
                  <c:v>12.94</c:v>
                </c:pt>
                <c:pt idx="2126">
                  <c:v>12.12</c:v>
                </c:pt>
                <c:pt idx="2127">
                  <c:v>11.98</c:v>
                </c:pt>
                <c:pt idx="2128">
                  <c:v>12.31</c:v>
                </c:pt>
                <c:pt idx="2129">
                  <c:v>13.35</c:v>
                </c:pt>
                <c:pt idx="2130">
                  <c:v>12.79</c:v>
                </c:pt>
                <c:pt idx="2131">
                  <c:v>14.64</c:v>
                </c:pt>
                <c:pt idx="2132">
                  <c:v>13.77</c:v>
                </c:pt>
                <c:pt idx="2133">
                  <c:v>17.329999999999998</c:v>
                </c:pt>
                <c:pt idx="2134">
                  <c:v>15.92</c:v>
                </c:pt>
                <c:pt idx="2135">
                  <c:v>17.91</c:v>
                </c:pt>
                <c:pt idx="2136">
                  <c:v>16.850000000000001</c:v>
                </c:pt>
                <c:pt idx="2137">
                  <c:v>16.09</c:v>
                </c:pt>
                <c:pt idx="2138">
                  <c:v>15.6</c:v>
                </c:pt>
                <c:pt idx="2139">
                  <c:v>16.14</c:v>
                </c:pt>
                <c:pt idx="2140">
                  <c:v>14.97</c:v>
                </c:pt>
                <c:pt idx="2141">
                  <c:v>13.37</c:v>
                </c:pt>
                <c:pt idx="2142">
                  <c:v>12.69</c:v>
                </c:pt>
                <c:pt idx="2143">
                  <c:v>12.64</c:v>
                </c:pt>
                <c:pt idx="2144">
                  <c:v>13.63</c:v>
                </c:pt>
                <c:pt idx="2145">
                  <c:v>12.58</c:v>
                </c:pt>
                <c:pt idx="2146">
                  <c:v>12.18</c:v>
                </c:pt>
                <c:pt idx="2147">
                  <c:v>12.83</c:v>
                </c:pt>
                <c:pt idx="2148">
                  <c:v>12.06</c:v>
                </c:pt>
                <c:pt idx="2149">
                  <c:v>12.1</c:v>
                </c:pt>
                <c:pt idx="2150">
                  <c:v>12.87</c:v>
                </c:pt>
                <c:pt idx="2151">
                  <c:v>12.86</c:v>
                </c:pt>
                <c:pt idx="2152">
                  <c:v>12.62</c:v>
                </c:pt>
                <c:pt idx="2153">
                  <c:v>12.41</c:v>
                </c:pt>
                <c:pt idx="2154">
                  <c:v>12.29</c:v>
                </c:pt>
                <c:pt idx="2155">
                  <c:v>12.14</c:v>
                </c:pt>
                <c:pt idx="2156">
                  <c:v>13.03</c:v>
                </c:pt>
                <c:pt idx="2157">
                  <c:v>14.26</c:v>
                </c:pt>
                <c:pt idx="2158">
                  <c:v>12.83</c:v>
                </c:pt>
                <c:pt idx="2159">
                  <c:v>13.15</c:v>
                </c:pt>
                <c:pt idx="2160">
                  <c:v>12.19</c:v>
                </c:pt>
                <c:pt idx="2161">
                  <c:v>11.64</c:v>
                </c:pt>
                <c:pt idx="2162">
                  <c:v>11.27</c:v>
                </c:pt>
                <c:pt idx="2163">
                  <c:v>10.93</c:v>
                </c:pt>
                <c:pt idx="2164">
                  <c:v>10.85</c:v>
                </c:pt>
                <c:pt idx="2165">
                  <c:v>11.27</c:v>
                </c:pt>
                <c:pt idx="2166">
                  <c:v>13.16</c:v>
                </c:pt>
                <c:pt idx="2167">
                  <c:v>14.78</c:v>
                </c:pt>
                <c:pt idx="2168">
                  <c:v>13.31</c:v>
                </c:pt>
                <c:pt idx="2169">
                  <c:v>14.64</c:v>
                </c:pt>
                <c:pt idx="2170">
                  <c:v>13.45</c:v>
                </c:pt>
                <c:pt idx="2171">
                  <c:v>12.64</c:v>
                </c:pt>
                <c:pt idx="2172">
                  <c:v>12.49</c:v>
                </c:pt>
                <c:pt idx="2173">
                  <c:v>12.86</c:v>
                </c:pt>
                <c:pt idx="2174">
                  <c:v>12.25</c:v>
                </c:pt>
                <c:pt idx="2175">
                  <c:v>12.41</c:v>
                </c:pt>
                <c:pt idx="2176">
                  <c:v>11.99</c:v>
                </c:pt>
                <c:pt idx="2177">
                  <c:v>12.16</c:v>
                </c:pt>
                <c:pt idx="2178">
                  <c:v>12.5</c:v>
                </c:pt>
                <c:pt idx="2179">
                  <c:v>12.25</c:v>
                </c:pt>
                <c:pt idx="2180">
                  <c:v>13.53</c:v>
                </c:pt>
                <c:pt idx="2181">
                  <c:v>12.86</c:v>
                </c:pt>
                <c:pt idx="2182">
                  <c:v>13.16</c:v>
                </c:pt>
                <c:pt idx="2183">
                  <c:v>13.91</c:v>
                </c:pt>
                <c:pt idx="2184">
                  <c:v>14.65</c:v>
                </c:pt>
                <c:pt idx="2185">
                  <c:v>14.88</c:v>
                </c:pt>
                <c:pt idx="2186">
                  <c:v>14.16</c:v>
                </c:pt>
                <c:pt idx="2187">
                  <c:v>13.22</c:v>
                </c:pt>
                <c:pt idx="2188">
                  <c:v>13.14</c:v>
                </c:pt>
                <c:pt idx="2189">
                  <c:v>12.37</c:v>
                </c:pt>
                <c:pt idx="2190">
                  <c:v>12.07</c:v>
                </c:pt>
                <c:pt idx="2191">
                  <c:v>13.68</c:v>
                </c:pt>
                <c:pt idx="2192">
                  <c:v>12.79</c:v>
                </c:pt>
                <c:pt idx="2193">
                  <c:v>11.75</c:v>
                </c:pt>
                <c:pt idx="2194">
                  <c:v>11.8</c:v>
                </c:pt>
                <c:pt idx="2195">
                  <c:v>11.68</c:v>
                </c:pt>
                <c:pt idx="2196">
                  <c:v>12.2</c:v>
                </c:pt>
                <c:pt idx="2197">
                  <c:v>12.42</c:v>
                </c:pt>
                <c:pt idx="2198">
                  <c:v>12.89</c:v>
                </c:pt>
                <c:pt idx="2199">
                  <c:v>12.41</c:v>
                </c:pt>
                <c:pt idx="2200">
                  <c:v>12.12</c:v>
                </c:pt>
                <c:pt idx="2201">
                  <c:v>12</c:v>
                </c:pt>
                <c:pt idx="2202">
                  <c:v>12.05</c:v>
                </c:pt>
                <c:pt idx="2203">
                  <c:v>11.61</c:v>
                </c:pt>
                <c:pt idx="2204">
                  <c:v>14.22</c:v>
                </c:pt>
                <c:pt idx="2205">
                  <c:v>14.82</c:v>
                </c:pt>
                <c:pt idx="2206">
                  <c:v>15.69</c:v>
                </c:pt>
                <c:pt idx="2207">
                  <c:v>15.95</c:v>
                </c:pt>
                <c:pt idx="2208">
                  <c:v>22.96</c:v>
                </c:pt>
                <c:pt idx="2209">
                  <c:v>24.98</c:v>
                </c:pt>
                <c:pt idx="2210">
                  <c:v>21.31</c:v>
                </c:pt>
                <c:pt idx="2211">
                  <c:v>21.3</c:v>
                </c:pt>
                <c:pt idx="2212">
                  <c:v>17.62</c:v>
                </c:pt>
                <c:pt idx="2213">
                  <c:v>17.399999999999999</c:v>
                </c:pt>
                <c:pt idx="2214">
                  <c:v>20.059999999999999</c:v>
                </c:pt>
                <c:pt idx="2215">
                  <c:v>19.89</c:v>
                </c:pt>
                <c:pt idx="2216">
                  <c:v>19.64</c:v>
                </c:pt>
                <c:pt idx="2217">
                  <c:v>20.71</c:v>
                </c:pt>
                <c:pt idx="2218">
                  <c:v>25.23</c:v>
                </c:pt>
                <c:pt idx="2219">
                  <c:v>24.22</c:v>
                </c:pt>
                <c:pt idx="2220">
                  <c:v>24.16</c:v>
                </c:pt>
                <c:pt idx="2221">
                  <c:v>24.7</c:v>
                </c:pt>
                <c:pt idx="2222">
                  <c:v>23.35</c:v>
                </c:pt>
                <c:pt idx="2223">
                  <c:v>21.23</c:v>
                </c:pt>
                <c:pt idx="2224">
                  <c:v>19.34</c:v>
                </c:pt>
                <c:pt idx="2225">
                  <c:v>19.510000000000002</c:v>
                </c:pt>
                <c:pt idx="2226">
                  <c:v>19.96</c:v>
                </c:pt>
                <c:pt idx="2227">
                  <c:v>19.91</c:v>
                </c:pt>
                <c:pt idx="2228">
                  <c:v>16.36</c:v>
                </c:pt>
                <c:pt idx="2229">
                  <c:v>16.72</c:v>
                </c:pt>
                <c:pt idx="2230">
                  <c:v>17.36</c:v>
                </c:pt>
                <c:pt idx="2231">
                  <c:v>20.45</c:v>
                </c:pt>
                <c:pt idx="2232">
                  <c:v>20.02</c:v>
                </c:pt>
                <c:pt idx="2233">
                  <c:v>21.25</c:v>
                </c:pt>
                <c:pt idx="2234">
                  <c:v>19.98</c:v>
                </c:pt>
                <c:pt idx="2235">
                  <c:v>18.14</c:v>
                </c:pt>
                <c:pt idx="2236">
                  <c:v>20.100000000000001</c:v>
                </c:pt>
                <c:pt idx="2237">
                  <c:v>22.48</c:v>
                </c:pt>
                <c:pt idx="2238">
                  <c:v>20.8</c:v>
                </c:pt>
                <c:pt idx="2239">
                  <c:v>21.52</c:v>
                </c:pt>
                <c:pt idx="2240">
                  <c:v>18.899999999999999</c:v>
                </c:pt>
                <c:pt idx="2241">
                  <c:v>19.02</c:v>
                </c:pt>
                <c:pt idx="2242">
                  <c:v>18.489999999999998</c:v>
                </c:pt>
                <c:pt idx="2243">
                  <c:v>18.79</c:v>
                </c:pt>
                <c:pt idx="2244">
                  <c:v>18.07</c:v>
                </c:pt>
                <c:pt idx="2245">
                  <c:v>16.440000000000001</c:v>
                </c:pt>
                <c:pt idx="2246">
                  <c:v>20.74</c:v>
                </c:pt>
                <c:pt idx="2247">
                  <c:v>21.19</c:v>
                </c:pt>
                <c:pt idx="2248">
                  <c:v>23.23</c:v>
                </c:pt>
                <c:pt idx="2249">
                  <c:v>22.64</c:v>
                </c:pt>
                <c:pt idx="2250">
                  <c:v>21.76</c:v>
                </c:pt>
                <c:pt idx="2251">
                  <c:v>21.46</c:v>
                </c:pt>
                <c:pt idx="2252">
                  <c:v>20.65</c:v>
                </c:pt>
                <c:pt idx="2253">
                  <c:v>21.63</c:v>
                </c:pt>
                <c:pt idx="2254">
                  <c:v>24.52</c:v>
                </c:pt>
                <c:pt idx="2255">
                  <c:v>25.58</c:v>
                </c:pt>
                <c:pt idx="2256">
                  <c:v>25.58</c:v>
                </c:pt>
                <c:pt idx="2257">
                  <c:v>28.38</c:v>
                </c:pt>
                <c:pt idx="2258">
                  <c:v>30.11</c:v>
                </c:pt>
                <c:pt idx="2259">
                  <c:v>36.07</c:v>
                </c:pt>
                <c:pt idx="2260">
                  <c:v>30.41</c:v>
                </c:pt>
                <c:pt idx="2261">
                  <c:v>29.96</c:v>
                </c:pt>
                <c:pt idx="2262">
                  <c:v>28.34</c:v>
                </c:pt>
                <c:pt idx="2263">
                  <c:v>25.42</c:v>
                </c:pt>
                <c:pt idx="2264">
                  <c:v>23.22</c:v>
                </c:pt>
                <c:pt idx="2265">
                  <c:v>25.45</c:v>
                </c:pt>
                <c:pt idx="2266">
                  <c:v>21.38</c:v>
                </c:pt>
                <c:pt idx="2267">
                  <c:v>21.4</c:v>
                </c:pt>
                <c:pt idx="2268">
                  <c:v>20.47</c:v>
                </c:pt>
                <c:pt idx="2269">
                  <c:v>19.98</c:v>
                </c:pt>
                <c:pt idx="2270">
                  <c:v>19.5</c:v>
                </c:pt>
                <c:pt idx="2271">
                  <c:v>18.190000000000001</c:v>
                </c:pt>
                <c:pt idx="2272">
                  <c:v>19.07</c:v>
                </c:pt>
                <c:pt idx="2273">
                  <c:v>18.600000000000001</c:v>
                </c:pt>
                <c:pt idx="2274">
                  <c:v>19.04</c:v>
                </c:pt>
                <c:pt idx="2275">
                  <c:v>18.059999999999999</c:v>
                </c:pt>
                <c:pt idx="2276">
                  <c:v>17.8</c:v>
                </c:pt>
                <c:pt idx="2277">
                  <c:v>20.8</c:v>
                </c:pt>
                <c:pt idx="2278">
                  <c:v>19.52</c:v>
                </c:pt>
                <c:pt idx="2279">
                  <c:v>18.89</c:v>
                </c:pt>
                <c:pt idx="2280">
                  <c:v>17.420000000000002</c:v>
                </c:pt>
                <c:pt idx="2281">
                  <c:v>18.87</c:v>
                </c:pt>
                <c:pt idx="2282">
                  <c:v>19.13</c:v>
                </c:pt>
                <c:pt idx="2283">
                  <c:v>17.66</c:v>
                </c:pt>
                <c:pt idx="2284">
                  <c:v>16.57</c:v>
                </c:pt>
                <c:pt idx="2285">
                  <c:v>16.14</c:v>
                </c:pt>
                <c:pt idx="2286">
                  <c:v>15.73</c:v>
                </c:pt>
                <c:pt idx="2287">
                  <c:v>15.57</c:v>
                </c:pt>
                <c:pt idx="2288">
                  <c:v>15.38</c:v>
                </c:pt>
                <c:pt idx="2289">
                  <c:v>16.37</c:v>
                </c:pt>
                <c:pt idx="2290">
                  <c:v>15.72</c:v>
                </c:pt>
                <c:pt idx="2291">
                  <c:v>15.97</c:v>
                </c:pt>
                <c:pt idx="2292">
                  <c:v>15.43</c:v>
                </c:pt>
                <c:pt idx="2293">
                  <c:v>15.65</c:v>
                </c:pt>
                <c:pt idx="2294">
                  <c:v>16.22</c:v>
                </c:pt>
                <c:pt idx="2295">
                  <c:v>14.91</c:v>
                </c:pt>
                <c:pt idx="2296">
                  <c:v>14.88</c:v>
                </c:pt>
                <c:pt idx="2297">
                  <c:v>14.02</c:v>
                </c:pt>
                <c:pt idx="2298">
                  <c:v>14.46</c:v>
                </c:pt>
                <c:pt idx="2299">
                  <c:v>13.51</c:v>
                </c:pt>
                <c:pt idx="2300">
                  <c:v>14.85</c:v>
                </c:pt>
                <c:pt idx="2301">
                  <c:v>15.17</c:v>
                </c:pt>
                <c:pt idx="2302">
                  <c:v>14.7</c:v>
                </c:pt>
                <c:pt idx="2303">
                  <c:v>14.78</c:v>
                </c:pt>
                <c:pt idx="2304">
                  <c:v>13.57</c:v>
                </c:pt>
                <c:pt idx="2305">
                  <c:v>14.63</c:v>
                </c:pt>
                <c:pt idx="2306">
                  <c:v>14.74</c:v>
                </c:pt>
                <c:pt idx="2307">
                  <c:v>15.74</c:v>
                </c:pt>
                <c:pt idx="2308">
                  <c:v>16.59</c:v>
                </c:pt>
                <c:pt idx="2309">
                  <c:v>16.05</c:v>
                </c:pt>
                <c:pt idx="2310">
                  <c:v>14.33</c:v>
                </c:pt>
                <c:pt idx="2311">
                  <c:v>13.77</c:v>
                </c:pt>
                <c:pt idx="2312">
                  <c:v>13.41</c:v>
                </c:pt>
                <c:pt idx="2313">
                  <c:v>13.5</c:v>
                </c:pt>
                <c:pt idx="2314">
                  <c:v>12.88</c:v>
                </c:pt>
                <c:pt idx="2315">
                  <c:v>13.1</c:v>
                </c:pt>
                <c:pt idx="2316">
                  <c:v>13.56</c:v>
                </c:pt>
                <c:pt idx="2317">
                  <c:v>13.91</c:v>
                </c:pt>
                <c:pt idx="2318">
                  <c:v>13.63</c:v>
                </c:pt>
                <c:pt idx="2319">
                  <c:v>16.48</c:v>
                </c:pt>
                <c:pt idx="2320">
                  <c:v>16.329999999999998</c:v>
                </c:pt>
                <c:pt idx="2321">
                  <c:v>14.68</c:v>
                </c:pt>
                <c:pt idx="2322">
                  <c:v>15.15</c:v>
                </c:pt>
                <c:pt idx="2323">
                  <c:v>14.43</c:v>
                </c:pt>
                <c:pt idx="2324">
                  <c:v>13.71</c:v>
                </c:pt>
                <c:pt idx="2325">
                  <c:v>13.4</c:v>
                </c:pt>
                <c:pt idx="2326">
                  <c:v>13.36</c:v>
                </c:pt>
                <c:pt idx="2327">
                  <c:v>13.74</c:v>
                </c:pt>
                <c:pt idx="2328">
                  <c:v>13.58</c:v>
                </c:pt>
                <c:pt idx="2329">
                  <c:v>12.82</c:v>
                </c:pt>
                <c:pt idx="2330">
                  <c:v>13.18</c:v>
                </c:pt>
                <c:pt idx="2331">
                  <c:v>14.28</c:v>
                </c:pt>
                <c:pt idx="2332">
                  <c:v>13.3</c:v>
                </c:pt>
                <c:pt idx="2333">
                  <c:v>13.02</c:v>
                </c:pt>
                <c:pt idx="2334">
                  <c:v>12.01</c:v>
                </c:pt>
                <c:pt idx="2335">
                  <c:v>12.32</c:v>
                </c:pt>
                <c:pt idx="2336">
                  <c:v>12.18</c:v>
                </c:pt>
                <c:pt idx="2337">
                  <c:v>12.6</c:v>
                </c:pt>
                <c:pt idx="2338">
                  <c:v>12.09</c:v>
                </c:pt>
                <c:pt idx="2339">
                  <c:v>12.09</c:v>
                </c:pt>
                <c:pt idx="2340">
                  <c:v>12.42</c:v>
                </c:pt>
                <c:pt idx="2341">
                  <c:v>12.28</c:v>
                </c:pt>
                <c:pt idx="2342">
                  <c:v>13.14</c:v>
                </c:pt>
                <c:pt idx="2343">
                  <c:v>13.25</c:v>
                </c:pt>
                <c:pt idx="2344">
                  <c:v>12.73</c:v>
                </c:pt>
                <c:pt idx="2345">
                  <c:v>13.11</c:v>
                </c:pt>
                <c:pt idx="2346">
                  <c:v>13.12</c:v>
                </c:pt>
                <c:pt idx="2347">
                  <c:v>14.8</c:v>
                </c:pt>
                <c:pt idx="2348">
                  <c:v>14.42</c:v>
                </c:pt>
                <c:pt idx="2349">
                  <c:v>12.87</c:v>
                </c:pt>
                <c:pt idx="2350">
                  <c:v>15.44</c:v>
                </c:pt>
                <c:pt idx="2351">
                  <c:v>19.32</c:v>
                </c:pt>
                <c:pt idx="2352">
                  <c:v>19.399999999999999</c:v>
                </c:pt>
                <c:pt idx="2353">
                  <c:v>19.100000000000001</c:v>
                </c:pt>
                <c:pt idx="2354">
                  <c:v>16.04</c:v>
                </c:pt>
                <c:pt idx="2355">
                  <c:v>20.55</c:v>
                </c:pt>
                <c:pt idx="2356">
                  <c:v>18.059999999999999</c:v>
                </c:pt>
                <c:pt idx="2357">
                  <c:v>16.440000000000001</c:v>
                </c:pt>
                <c:pt idx="2358">
                  <c:v>15.29</c:v>
                </c:pt>
                <c:pt idx="2359">
                  <c:v>15.96</c:v>
                </c:pt>
                <c:pt idx="2360">
                  <c:v>16.309999999999999</c:v>
                </c:pt>
                <c:pt idx="2361">
                  <c:v>14.95</c:v>
                </c:pt>
                <c:pt idx="2362">
                  <c:v>14.75</c:v>
                </c:pt>
                <c:pt idx="2363">
                  <c:v>16.920000000000002</c:v>
                </c:pt>
                <c:pt idx="2364">
                  <c:v>15.85</c:v>
                </c:pt>
                <c:pt idx="2365">
                  <c:v>17.5</c:v>
                </c:pt>
                <c:pt idx="2366">
                  <c:v>17.899999999999999</c:v>
                </c:pt>
                <c:pt idx="2367">
                  <c:v>17.3</c:v>
                </c:pt>
                <c:pt idx="2368">
                  <c:v>18.71</c:v>
                </c:pt>
                <c:pt idx="2369">
                  <c:v>18.86</c:v>
                </c:pt>
                <c:pt idx="2370">
                  <c:v>16.97</c:v>
                </c:pt>
                <c:pt idx="2371">
                  <c:v>16.09</c:v>
                </c:pt>
                <c:pt idx="2372">
                  <c:v>15.93</c:v>
                </c:pt>
                <c:pt idx="2373">
                  <c:v>16.3</c:v>
                </c:pt>
                <c:pt idx="2374">
                  <c:v>15.94</c:v>
                </c:pt>
                <c:pt idx="2375">
                  <c:v>15.99</c:v>
                </c:pt>
                <c:pt idx="2376">
                  <c:v>15.91</c:v>
                </c:pt>
                <c:pt idx="2377">
                  <c:v>15.82</c:v>
                </c:pt>
                <c:pt idx="2378">
                  <c:v>15.28</c:v>
                </c:pt>
                <c:pt idx="2379">
                  <c:v>15.35</c:v>
                </c:pt>
                <c:pt idx="2380">
                  <c:v>15.15</c:v>
                </c:pt>
                <c:pt idx="2381">
                  <c:v>14.33</c:v>
                </c:pt>
                <c:pt idx="2382">
                  <c:v>14.75</c:v>
                </c:pt>
                <c:pt idx="2383">
                  <c:v>15.4</c:v>
                </c:pt>
                <c:pt idx="2384">
                  <c:v>15.26</c:v>
                </c:pt>
                <c:pt idx="2385">
                  <c:v>16.28</c:v>
                </c:pt>
                <c:pt idx="2386">
                  <c:v>16.21</c:v>
                </c:pt>
                <c:pt idx="2387">
                  <c:v>15.82</c:v>
                </c:pt>
                <c:pt idx="2388">
                  <c:v>15.08</c:v>
                </c:pt>
                <c:pt idx="2389">
                  <c:v>14.06</c:v>
                </c:pt>
                <c:pt idx="2390">
                  <c:v>12.93</c:v>
                </c:pt>
                <c:pt idx="2391">
                  <c:v>12.57</c:v>
                </c:pt>
                <c:pt idx="2392">
                  <c:v>13.28</c:v>
                </c:pt>
                <c:pt idx="2393">
                  <c:v>13.96</c:v>
                </c:pt>
                <c:pt idx="2394">
                  <c:v>14.09</c:v>
                </c:pt>
                <c:pt idx="2395">
                  <c:v>13.03</c:v>
                </c:pt>
                <c:pt idx="2396">
                  <c:v>12.93</c:v>
                </c:pt>
                <c:pt idx="2397">
                  <c:v>12.39</c:v>
                </c:pt>
                <c:pt idx="2398">
                  <c:v>12.68</c:v>
                </c:pt>
                <c:pt idx="2399">
                  <c:v>12.86</c:v>
                </c:pt>
                <c:pt idx="2400">
                  <c:v>13.97</c:v>
                </c:pt>
                <c:pt idx="2401">
                  <c:v>13.53</c:v>
                </c:pt>
                <c:pt idx="2402">
                  <c:v>14.45</c:v>
                </c:pt>
                <c:pt idx="2403">
                  <c:v>13.53</c:v>
                </c:pt>
                <c:pt idx="2404">
                  <c:v>12.61</c:v>
                </c:pt>
                <c:pt idx="2405">
                  <c:v>12.07</c:v>
                </c:pt>
                <c:pt idx="2406">
                  <c:v>12.74</c:v>
                </c:pt>
                <c:pt idx="2407">
                  <c:v>12.16</c:v>
                </c:pt>
                <c:pt idx="2408">
                  <c:v>12.83</c:v>
                </c:pt>
                <c:pt idx="2409">
                  <c:v>13.94</c:v>
                </c:pt>
                <c:pt idx="2410">
                  <c:v>16.12</c:v>
                </c:pt>
                <c:pt idx="2411">
                  <c:v>17.87</c:v>
                </c:pt>
                <c:pt idx="2412">
                  <c:v>17.61</c:v>
                </c:pt>
                <c:pt idx="2413">
                  <c:v>24.59</c:v>
                </c:pt>
                <c:pt idx="2414">
                  <c:v>20.170000000000002</c:v>
                </c:pt>
                <c:pt idx="2415">
                  <c:v>19.489999999999998</c:v>
                </c:pt>
                <c:pt idx="2416">
                  <c:v>16.91</c:v>
                </c:pt>
                <c:pt idx="2417">
                  <c:v>17.97</c:v>
                </c:pt>
                <c:pt idx="2418">
                  <c:v>21.09</c:v>
                </c:pt>
                <c:pt idx="2419">
                  <c:v>17.52</c:v>
                </c:pt>
                <c:pt idx="2420">
                  <c:v>22.1</c:v>
                </c:pt>
                <c:pt idx="2421">
                  <c:v>21.18</c:v>
                </c:pt>
                <c:pt idx="2422">
                  <c:v>18.47</c:v>
                </c:pt>
                <c:pt idx="2423">
                  <c:v>16.88</c:v>
                </c:pt>
                <c:pt idx="2424">
                  <c:v>17.5</c:v>
                </c:pt>
                <c:pt idx="2425">
                  <c:v>15.8</c:v>
                </c:pt>
                <c:pt idx="2426">
                  <c:v>16.68</c:v>
                </c:pt>
                <c:pt idx="2427">
                  <c:v>19.87</c:v>
                </c:pt>
                <c:pt idx="2428">
                  <c:v>19.32</c:v>
                </c:pt>
                <c:pt idx="2429">
                  <c:v>20.309999999999999</c:v>
                </c:pt>
                <c:pt idx="2430">
                  <c:v>19.350000000000001</c:v>
                </c:pt>
                <c:pt idx="2431">
                  <c:v>17.88</c:v>
                </c:pt>
                <c:pt idx="2432">
                  <c:v>18.98</c:v>
                </c:pt>
                <c:pt idx="2433">
                  <c:v>19.66</c:v>
                </c:pt>
                <c:pt idx="2434">
                  <c:v>17.329999999999998</c:v>
                </c:pt>
                <c:pt idx="2435">
                  <c:v>16.27</c:v>
                </c:pt>
                <c:pt idx="2436">
                  <c:v>15</c:v>
                </c:pt>
                <c:pt idx="2437">
                  <c:v>15.27</c:v>
                </c:pt>
                <c:pt idx="2438">
                  <c:v>15.2</c:v>
                </c:pt>
                <c:pt idx="2439">
                  <c:v>14.61</c:v>
                </c:pt>
                <c:pt idx="2440">
                  <c:v>14.22</c:v>
                </c:pt>
                <c:pt idx="2441">
                  <c:v>13.74</c:v>
                </c:pt>
                <c:pt idx="2442">
                  <c:v>14.67</c:v>
                </c:pt>
                <c:pt idx="2443">
                  <c:v>14.44</c:v>
                </c:pt>
                <c:pt idx="2444">
                  <c:v>13.95</c:v>
                </c:pt>
                <c:pt idx="2445">
                  <c:v>14.05</c:v>
                </c:pt>
                <c:pt idx="2446">
                  <c:v>15.32</c:v>
                </c:pt>
                <c:pt idx="2447">
                  <c:v>14.91</c:v>
                </c:pt>
                <c:pt idx="2448">
                  <c:v>17.05</c:v>
                </c:pt>
                <c:pt idx="2449">
                  <c:v>15.96</c:v>
                </c:pt>
                <c:pt idx="2450">
                  <c:v>16.07</c:v>
                </c:pt>
                <c:pt idx="2451">
                  <c:v>17.22</c:v>
                </c:pt>
                <c:pt idx="2452">
                  <c:v>16.239999999999998</c:v>
                </c:pt>
                <c:pt idx="2453">
                  <c:v>18.559999999999999</c:v>
                </c:pt>
                <c:pt idx="2454">
                  <c:v>20.56</c:v>
                </c:pt>
                <c:pt idx="2455">
                  <c:v>19.12</c:v>
                </c:pt>
                <c:pt idx="2456">
                  <c:v>17.04</c:v>
                </c:pt>
                <c:pt idx="2457">
                  <c:v>17.86</c:v>
                </c:pt>
                <c:pt idx="2458">
                  <c:v>20.28</c:v>
                </c:pt>
                <c:pt idx="2459">
                  <c:v>18.64</c:v>
                </c:pt>
                <c:pt idx="2460">
                  <c:v>17.57</c:v>
                </c:pt>
                <c:pt idx="2461">
                  <c:v>15.58</c:v>
                </c:pt>
                <c:pt idx="2462">
                  <c:v>14.57</c:v>
                </c:pt>
                <c:pt idx="2463">
                  <c:v>13.54</c:v>
                </c:pt>
                <c:pt idx="2464">
                  <c:v>13.68</c:v>
                </c:pt>
                <c:pt idx="2465">
                  <c:v>13.79</c:v>
                </c:pt>
                <c:pt idx="2466">
                  <c:v>14.25</c:v>
                </c:pt>
                <c:pt idx="2467">
                  <c:v>14</c:v>
                </c:pt>
                <c:pt idx="2468">
                  <c:v>14.46</c:v>
                </c:pt>
                <c:pt idx="2469">
                  <c:v>14.01</c:v>
                </c:pt>
                <c:pt idx="2470">
                  <c:v>13.71</c:v>
                </c:pt>
                <c:pt idx="2471">
                  <c:v>12.65</c:v>
                </c:pt>
                <c:pt idx="2472">
                  <c:v>13.11</c:v>
                </c:pt>
                <c:pt idx="2473">
                  <c:v>13.2</c:v>
                </c:pt>
                <c:pt idx="2474">
                  <c:v>12.33</c:v>
                </c:pt>
                <c:pt idx="2475">
                  <c:v>13.22</c:v>
                </c:pt>
                <c:pt idx="2476">
                  <c:v>12.3</c:v>
                </c:pt>
                <c:pt idx="2477">
                  <c:v>12.83</c:v>
                </c:pt>
                <c:pt idx="2478">
                  <c:v>13.1</c:v>
                </c:pt>
                <c:pt idx="2479">
                  <c:v>12.62</c:v>
                </c:pt>
                <c:pt idx="2480">
                  <c:v>12.73</c:v>
                </c:pt>
                <c:pt idx="2481">
                  <c:v>12.07</c:v>
                </c:pt>
                <c:pt idx="2482">
                  <c:v>12.69</c:v>
                </c:pt>
                <c:pt idx="2483">
                  <c:v>12.68</c:v>
                </c:pt>
                <c:pt idx="2484">
                  <c:v>13</c:v>
                </c:pt>
                <c:pt idx="2485">
                  <c:v>13.05</c:v>
                </c:pt>
                <c:pt idx="2486">
                  <c:v>12.05</c:v>
                </c:pt>
                <c:pt idx="2487">
                  <c:v>12.46</c:v>
                </c:pt>
                <c:pt idx="2488">
                  <c:v>12.86</c:v>
                </c:pt>
                <c:pt idx="2489">
                  <c:v>12.78</c:v>
                </c:pt>
                <c:pt idx="2490">
                  <c:v>13.13</c:v>
                </c:pt>
                <c:pt idx="2491">
                  <c:v>12.34</c:v>
                </c:pt>
                <c:pt idx="2492">
                  <c:v>11.87</c:v>
                </c:pt>
                <c:pt idx="2493">
                  <c:v>11.54</c:v>
                </c:pt>
                <c:pt idx="2494">
                  <c:v>11.75</c:v>
                </c:pt>
                <c:pt idx="2495">
                  <c:v>12.62</c:v>
                </c:pt>
                <c:pt idx="2496">
                  <c:v>14.91</c:v>
                </c:pt>
                <c:pt idx="2497">
                  <c:v>15.96</c:v>
                </c:pt>
                <c:pt idx="2498">
                  <c:v>14.8</c:v>
                </c:pt>
                <c:pt idx="2499">
                  <c:v>14.52</c:v>
                </c:pt>
                <c:pt idx="2500">
                  <c:v>13.62</c:v>
                </c:pt>
                <c:pt idx="2501">
                  <c:v>15.86</c:v>
                </c:pt>
                <c:pt idx="2502">
                  <c:v>15.68</c:v>
                </c:pt>
                <c:pt idx="2503">
                  <c:v>14.99</c:v>
                </c:pt>
                <c:pt idx="2504">
                  <c:v>13.94</c:v>
                </c:pt>
                <c:pt idx="2505">
                  <c:v>12.63</c:v>
                </c:pt>
                <c:pt idx="2506">
                  <c:v>12.14</c:v>
                </c:pt>
                <c:pt idx="2507">
                  <c:v>12.29</c:v>
                </c:pt>
                <c:pt idx="2508">
                  <c:v>12.58</c:v>
                </c:pt>
                <c:pt idx="2509">
                  <c:v>12.5</c:v>
                </c:pt>
                <c:pt idx="2510">
                  <c:v>12.51</c:v>
                </c:pt>
                <c:pt idx="2511">
                  <c:v>12.61</c:v>
                </c:pt>
                <c:pt idx="2512">
                  <c:v>12.67</c:v>
                </c:pt>
                <c:pt idx="2513">
                  <c:v>12.65</c:v>
                </c:pt>
                <c:pt idx="2514">
                  <c:v>13.43</c:v>
                </c:pt>
                <c:pt idx="2515">
                  <c:v>14.82</c:v>
                </c:pt>
                <c:pt idx="2516">
                  <c:v>13.78</c:v>
                </c:pt>
                <c:pt idx="2517">
                  <c:v>12.47</c:v>
                </c:pt>
                <c:pt idx="2518">
                  <c:v>14.02</c:v>
                </c:pt>
                <c:pt idx="2519">
                  <c:v>13.85</c:v>
                </c:pt>
                <c:pt idx="2520">
                  <c:v>13.79</c:v>
                </c:pt>
                <c:pt idx="2521">
                  <c:v>13.45</c:v>
                </c:pt>
                <c:pt idx="2522">
                  <c:v>12.54</c:v>
                </c:pt>
                <c:pt idx="2523">
                  <c:v>12.56</c:v>
                </c:pt>
                <c:pt idx="2524">
                  <c:v>12.32</c:v>
                </c:pt>
                <c:pt idx="2525">
                  <c:v>12.39</c:v>
                </c:pt>
                <c:pt idx="2526">
                  <c:v>12.42</c:v>
                </c:pt>
                <c:pt idx="2527">
                  <c:v>12.32</c:v>
                </c:pt>
                <c:pt idx="2528">
                  <c:v>12.1</c:v>
                </c:pt>
                <c:pt idx="2529">
                  <c:v>12.85</c:v>
                </c:pt>
                <c:pt idx="2530">
                  <c:v>12.91</c:v>
                </c:pt>
                <c:pt idx="2531">
                  <c:v>12.98</c:v>
                </c:pt>
                <c:pt idx="2532">
                  <c:v>14.56</c:v>
                </c:pt>
                <c:pt idx="2533">
                  <c:v>18.23</c:v>
                </c:pt>
                <c:pt idx="2534">
                  <c:v>16.28</c:v>
                </c:pt>
                <c:pt idx="2535">
                  <c:v>16.39</c:v>
                </c:pt>
                <c:pt idx="2536">
                  <c:v>15.49</c:v>
                </c:pt>
                <c:pt idx="2537">
                  <c:v>18.84</c:v>
                </c:pt>
                <c:pt idx="2538">
                  <c:v>17.97</c:v>
                </c:pt>
                <c:pt idx="2539">
                  <c:v>16.05</c:v>
                </c:pt>
                <c:pt idx="2540">
                  <c:v>15.15</c:v>
                </c:pt>
                <c:pt idx="2541">
                  <c:v>14.96</c:v>
                </c:pt>
                <c:pt idx="2542">
                  <c:v>15.47</c:v>
                </c:pt>
                <c:pt idx="2543">
                  <c:v>15.04</c:v>
                </c:pt>
                <c:pt idx="2544">
                  <c:v>15.18</c:v>
                </c:pt>
                <c:pt idx="2545">
                  <c:v>13.74</c:v>
                </c:pt>
                <c:pt idx="2546">
                  <c:v>14.15</c:v>
                </c:pt>
                <c:pt idx="2547">
                  <c:v>13.68</c:v>
                </c:pt>
                <c:pt idx="2548">
                  <c:v>14.83</c:v>
                </c:pt>
                <c:pt idx="2549">
                  <c:v>14.38</c:v>
                </c:pt>
                <c:pt idx="2550">
                  <c:v>15.56</c:v>
                </c:pt>
                <c:pt idx="2551">
                  <c:v>17.079999999999998</c:v>
                </c:pt>
                <c:pt idx="2552">
                  <c:v>25.03</c:v>
                </c:pt>
                <c:pt idx="2553">
                  <c:v>27.85</c:v>
                </c:pt>
                <c:pt idx="2554">
                  <c:v>27.56</c:v>
                </c:pt>
                <c:pt idx="2555">
                  <c:v>39.159999999999997</c:v>
                </c:pt>
                <c:pt idx="2556">
                  <c:v>40.11</c:v>
                </c:pt>
                <c:pt idx="2557">
                  <c:v>33.42</c:v>
                </c:pt>
                <c:pt idx="2558">
                  <c:v>36.82</c:v>
                </c:pt>
                <c:pt idx="2559">
                  <c:v>31.99</c:v>
                </c:pt>
                <c:pt idx="2560">
                  <c:v>39.619999999999997</c:v>
                </c:pt>
                <c:pt idx="2561">
                  <c:v>41.94</c:v>
                </c:pt>
                <c:pt idx="2562">
                  <c:v>54.46</c:v>
                </c:pt>
                <c:pt idx="2563">
                  <c:v>47.3</c:v>
                </c:pt>
                <c:pt idx="2564">
                  <c:v>53.9</c:v>
                </c:pt>
                <c:pt idx="2565">
                  <c:v>75.47</c:v>
                </c:pt>
                <c:pt idx="2566">
                  <c:v>57.83</c:v>
                </c:pt>
                <c:pt idx="2567">
                  <c:v>82.69</c:v>
                </c:pt>
                <c:pt idx="2568">
                  <c:v>75.91</c:v>
                </c:pt>
                <c:pt idx="2569">
                  <c:v>76.45</c:v>
                </c:pt>
                <c:pt idx="2570">
                  <c:v>72</c:v>
                </c:pt>
                <c:pt idx="2571">
                  <c:v>66.040000000000006</c:v>
                </c:pt>
                <c:pt idx="2572">
                  <c:v>61.59</c:v>
                </c:pt>
                <c:pt idx="2573">
                  <c:v>61.67</c:v>
                </c:pt>
                <c:pt idx="2574">
                  <c:v>63.95</c:v>
                </c:pt>
                <c:pt idx="2575">
                  <c:v>61</c:v>
                </c:pt>
                <c:pt idx="2576">
                  <c:v>65.540000000000006</c:v>
                </c:pt>
                <c:pt idx="2577">
                  <c:v>57.08</c:v>
                </c:pt>
                <c:pt idx="2578">
                  <c:v>53.54</c:v>
                </c:pt>
                <c:pt idx="2579">
                  <c:v>57.06</c:v>
                </c:pt>
                <c:pt idx="2580">
                  <c:v>50.91</c:v>
                </c:pt>
                <c:pt idx="2581">
                  <c:v>46.8</c:v>
                </c:pt>
                <c:pt idx="2582">
                  <c:v>45.24</c:v>
                </c:pt>
                <c:pt idx="2583">
                  <c:v>46.7</c:v>
                </c:pt>
                <c:pt idx="2584">
                  <c:v>43.35</c:v>
                </c:pt>
                <c:pt idx="2585">
                  <c:v>41.67</c:v>
                </c:pt>
                <c:pt idx="2586">
                  <c:v>41.17</c:v>
                </c:pt>
                <c:pt idx="2587">
                  <c:v>37.76</c:v>
                </c:pt>
                <c:pt idx="2588">
                  <c:v>40.840000000000003</c:v>
                </c:pt>
                <c:pt idx="2589">
                  <c:v>40.11</c:v>
                </c:pt>
                <c:pt idx="2590">
                  <c:v>38.15</c:v>
                </c:pt>
                <c:pt idx="2591">
                  <c:v>43.83</c:v>
                </c:pt>
                <c:pt idx="2592">
                  <c:v>45.41</c:v>
                </c:pt>
                <c:pt idx="2593">
                  <c:v>41.98</c:v>
                </c:pt>
                <c:pt idx="2594">
                  <c:v>41.38</c:v>
                </c:pt>
                <c:pt idx="2595">
                  <c:v>35.93</c:v>
                </c:pt>
                <c:pt idx="2596">
                  <c:v>33.29</c:v>
                </c:pt>
                <c:pt idx="2597">
                  <c:v>33.57</c:v>
                </c:pt>
                <c:pt idx="2598">
                  <c:v>31.23</c:v>
                </c:pt>
                <c:pt idx="2599">
                  <c:v>34.15</c:v>
                </c:pt>
                <c:pt idx="2600">
                  <c:v>37.19</c:v>
                </c:pt>
                <c:pt idx="2601">
                  <c:v>35.97</c:v>
                </c:pt>
                <c:pt idx="2602">
                  <c:v>33.61</c:v>
                </c:pt>
                <c:pt idx="2603">
                  <c:v>34.119999999999997</c:v>
                </c:pt>
                <c:pt idx="2604">
                  <c:v>31.44</c:v>
                </c:pt>
                <c:pt idx="2605">
                  <c:v>27.98</c:v>
                </c:pt>
                <c:pt idx="2606">
                  <c:v>27.57</c:v>
                </c:pt>
                <c:pt idx="2607">
                  <c:v>33.04</c:v>
                </c:pt>
                <c:pt idx="2608">
                  <c:v>35.28</c:v>
                </c:pt>
                <c:pt idx="2609">
                  <c:v>32.61</c:v>
                </c:pt>
                <c:pt idx="2610">
                  <c:v>31.89</c:v>
                </c:pt>
                <c:pt idx="2611">
                  <c:v>29.3</c:v>
                </c:pt>
                <c:pt idx="2612">
                  <c:v>30.53</c:v>
                </c:pt>
                <c:pt idx="2613">
                  <c:v>27.99</c:v>
                </c:pt>
                <c:pt idx="2614">
                  <c:v>29.53</c:v>
                </c:pt>
                <c:pt idx="2615">
                  <c:v>28.16</c:v>
                </c:pt>
                <c:pt idx="2616">
                  <c:v>28.01</c:v>
                </c:pt>
                <c:pt idx="2617">
                  <c:v>27.62</c:v>
                </c:pt>
                <c:pt idx="2618">
                  <c:v>28.59</c:v>
                </c:pt>
                <c:pt idx="2619">
                  <c:v>27.51</c:v>
                </c:pt>
                <c:pt idx="2620">
                  <c:v>28.23</c:v>
                </c:pt>
                <c:pt idx="2621">
                  <c:v>26.84</c:v>
                </c:pt>
                <c:pt idx="2622">
                  <c:v>25.66</c:v>
                </c:pt>
                <c:pt idx="2623">
                  <c:v>25.81</c:v>
                </c:pt>
                <c:pt idx="2624">
                  <c:v>24.52</c:v>
                </c:pt>
                <c:pt idx="2625">
                  <c:v>25.81</c:v>
                </c:pt>
                <c:pt idx="2626">
                  <c:v>27.57</c:v>
                </c:pt>
                <c:pt idx="2627">
                  <c:v>27.57</c:v>
                </c:pt>
                <c:pt idx="2628">
                  <c:v>40.79</c:v>
                </c:pt>
                <c:pt idx="2629">
                  <c:v>36.090000000000003</c:v>
                </c:pt>
                <c:pt idx="2630">
                  <c:v>34.4</c:v>
                </c:pt>
                <c:pt idx="2631">
                  <c:v>33.67</c:v>
                </c:pt>
                <c:pt idx="2632">
                  <c:v>33.47</c:v>
                </c:pt>
                <c:pt idx="2633">
                  <c:v>32.94</c:v>
                </c:pt>
                <c:pt idx="2634">
                  <c:v>35.119999999999997</c:v>
                </c:pt>
                <c:pt idx="2635">
                  <c:v>31.77</c:v>
                </c:pt>
                <c:pt idx="2636">
                  <c:v>31.37</c:v>
                </c:pt>
                <c:pt idx="2637">
                  <c:v>33.840000000000003</c:v>
                </c:pt>
                <c:pt idx="2638">
                  <c:v>32.22</c:v>
                </c:pt>
                <c:pt idx="2639">
                  <c:v>34.729999999999997</c:v>
                </c:pt>
                <c:pt idx="2640">
                  <c:v>31.78</c:v>
                </c:pt>
                <c:pt idx="2641">
                  <c:v>30.43</c:v>
                </c:pt>
                <c:pt idx="2642">
                  <c:v>28.62</c:v>
                </c:pt>
                <c:pt idx="2643">
                  <c:v>27.68</c:v>
                </c:pt>
                <c:pt idx="2644">
                  <c:v>27.68</c:v>
                </c:pt>
                <c:pt idx="2645">
                  <c:v>27.94</c:v>
                </c:pt>
                <c:pt idx="2646">
                  <c:v>29.43</c:v>
                </c:pt>
                <c:pt idx="2647">
                  <c:v>28.08</c:v>
                </c:pt>
                <c:pt idx="2648">
                  <c:v>29.26</c:v>
                </c:pt>
                <c:pt idx="2649">
                  <c:v>27.29</c:v>
                </c:pt>
                <c:pt idx="2650">
                  <c:v>32.19</c:v>
                </c:pt>
                <c:pt idx="2651">
                  <c:v>29.52</c:v>
                </c:pt>
                <c:pt idx="2652">
                  <c:v>27.76</c:v>
                </c:pt>
                <c:pt idx="2653">
                  <c:v>28</c:v>
                </c:pt>
                <c:pt idx="2654">
                  <c:v>25.68</c:v>
                </c:pt>
                <c:pt idx="2655">
                  <c:v>24.46</c:v>
                </c:pt>
                <c:pt idx="2656">
                  <c:v>24.84</c:v>
                </c:pt>
                <c:pt idx="2657">
                  <c:v>24.32</c:v>
                </c:pt>
                <c:pt idx="2658">
                  <c:v>26.08</c:v>
                </c:pt>
                <c:pt idx="2659">
                  <c:v>25.84</c:v>
                </c:pt>
                <c:pt idx="2660">
                  <c:v>24.74</c:v>
                </c:pt>
                <c:pt idx="2661">
                  <c:v>25.44</c:v>
                </c:pt>
                <c:pt idx="2662">
                  <c:v>24.1</c:v>
                </c:pt>
                <c:pt idx="2663">
                  <c:v>24.76</c:v>
                </c:pt>
                <c:pt idx="2664">
                  <c:v>24.46</c:v>
                </c:pt>
                <c:pt idx="2665">
                  <c:v>24.28</c:v>
                </c:pt>
                <c:pt idx="2666">
                  <c:v>23.76</c:v>
                </c:pt>
                <c:pt idx="2667">
                  <c:v>22.99</c:v>
                </c:pt>
                <c:pt idx="2668">
                  <c:v>22.65</c:v>
                </c:pt>
                <c:pt idx="2669">
                  <c:v>22.21</c:v>
                </c:pt>
                <c:pt idx="2670">
                  <c:v>22.13</c:v>
                </c:pt>
                <c:pt idx="2671">
                  <c:v>24.03</c:v>
                </c:pt>
                <c:pt idx="2672">
                  <c:v>22.28</c:v>
                </c:pt>
                <c:pt idx="2673">
                  <c:v>22.13</c:v>
                </c:pt>
                <c:pt idx="2674">
                  <c:v>22.05</c:v>
                </c:pt>
                <c:pt idx="2675">
                  <c:v>21.35</c:v>
                </c:pt>
                <c:pt idx="2676">
                  <c:v>21.51</c:v>
                </c:pt>
                <c:pt idx="2677">
                  <c:v>22.54</c:v>
                </c:pt>
                <c:pt idx="2678">
                  <c:v>22.72</c:v>
                </c:pt>
                <c:pt idx="2679">
                  <c:v>22.54</c:v>
                </c:pt>
                <c:pt idx="2680">
                  <c:v>22.37</c:v>
                </c:pt>
                <c:pt idx="2681">
                  <c:v>22.03</c:v>
                </c:pt>
                <c:pt idx="2682">
                  <c:v>23.27</c:v>
                </c:pt>
                <c:pt idx="2683">
                  <c:v>24.47</c:v>
                </c:pt>
                <c:pt idx="2684">
                  <c:v>22.96</c:v>
                </c:pt>
                <c:pt idx="2685">
                  <c:v>26.41</c:v>
                </c:pt>
                <c:pt idx="2686">
                  <c:v>26.12</c:v>
                </c:pt>
                <c:pt idx="2687">
                  <c:v>26.57</c:v>
                </c:pt>
                <c:pt idx="2688">
                  <c:v>33.6</c:v>
                </c:pt>
                <c:pt idx="2689">
                  <c:v>30.75</c:v>
                </c:pt>
                <c:pt idx="2690">
                  <c:v>31.46</c:v>
                </c:pt>
                <c:pt idx="2691">
                  <c:v>28.81</c:v>
                </c:pt>
                <c:pt idx="2692">
                  <c:v>29.71</c:v>
                </c:pt>
                <c:pt idx="2693">
                  <c:v>26.87</c:v>
                </c:pt>
                <c:pt idx="2694">
                  <c:v>25.85</c:v>
                </c:pt>
                <c:pt idx="2695">
                  <c:v>25.59</c:v>
                </c:pt>
                <c:pt idx="2696">
                  <c:v>26.04</c:v>
                </c:pt>
                <c:pt idx="2697">
                  <c:v>26.46</c:v>
                </c:pt>
                <c:pt idx="2698">
                  <c:v>25.83</c:v>
                </c:pt>
                <c:pt idx="2699">
                  <c:v>27.78</c:v>
                </c:pt>
                <c:pt idx="2700">
                  <c:v>26.86</c:v>
                </c:pt>
                <c:pt idx="2701">
                  <c:v>28.58</c:v>
                </c:pt>
                <c:pt idx="2702">
                  <c:v>28.51</c:v>
                </c:pt>
                <c:pt idx="2703">
                  <c:v>26.38</c:v>
                </c:pt>
                <c:pt idx="2704">
                  <c:v>26.19</c:v>
                </c:pt>
                <c:pt idx="2705">
                  <c:v>26.27</c:v>
                </c:pt>
                <c:pt idx="2706">
                  <c:v>26.37</c:v>
                </c:pt>
                <c:pt idx="2707">
                  <c:v>26.7</c:v>
                </c:pt>
                <c:pt idx="2708">
                  <c:v>27.63</c:v>
                </c:pt>
                <c:pt idx="2709">
                  <c:v>27.96</c:v>
                </c:pt>
                <c:pt idx="2710">
                  <c:v>29.48</c:v>
                </c:pt>
                <c:pt idx="2711">
                  <c:v>28.06</c:v>
                </c:pt>
                <c:pt idx="2712">
                  <c:v>26.36</c:v>
                </c:pt>
                <c:pt idx="2713">
                  <c:v>25</c:v>
                </c:pt>
                <c:pt idx="2714">
                  <c:v>25.07</c:v>
                </c:pt>
                <c:pt idx="2715">
                  <c:v>26.07</c:v>
                </c:pt>
                <c:pt idx="2716">
                  <c:v>26.4</c:v>
                </c:pt>
                <c:pt idx="2717">
                  <c:v>26.97</c:v>
                </c:pt>
                <c:pt idx="2718">
                  <c:v>27.41</c:v>
                </c:pt>
                <c:pt idx="2719">
                  <c:v>29.18</c:v>
                </c:pt>
                <c:pt idx="2720">
                  <c:v>29.35</c:v>
                </c:pt>
                <c:pt idx="2721">
                  <c:v>28.65</c:v>
                </c:pt>
                <c:pt idx="2722">
                  <c:v>28.11</c:v>
                </c:pt>
                <c:pt idx="2723">
                  <c:v>27.55</c:v>
                </c:pt>
                <c:pt idx="2724">
                  <c:v>32.46</c:v>
                </c:pt>
                <c:pt idx="2725">
                  <c:v>33.35</c:v>
                </c:pt>
                <c:pt idx="2726">
                  <c:v>40.28</c:v>
                </c:pt>
                <c:pt idx="2727">
                  <c:v>37.590000000000003</c:v>
                </c:pt>
                <c:pt idx="2728">
                  <c:v>38.020000000000003</c:v>
                </c:pt>
                <c:pt idx="2729">
                  <c:v>37.130000000000003</c:v>
                </c:pt>
                <c:pt idx="2730">
                  <c:v>35.549999999999997</c:v>
                </c:pt>
                <c:pt idx="2731">
                  <c:v>29.57</c:v>
                </c:pt>
                <c:pt idx="2732">
                  <c:v>27.58</c:v>
                </c:pt>
                <c:pt idx="2733">
                  <c:v>24.86</c:v>
                </c:pt>
                <c:pt idx="2734">
                  <c:v>25.75</c:v>
                </c:pt>
                <c:pt idx="2735">
                  <c:v>24.8</c:v>
                </c:pt>
                <c:pt idx="2736">
                  <c:v>23.45</c:v>
                </c:pt>
                <c:pt idx="2737">
                  <c:v>25.35</c:v>
                </c:pt>
                <c:pt idx="2738">
                  <c:v>23.1</c:v>
                </c:pt>
                <c:pt idx="2739">
                  <c:v>22.45</c:v>
                </c:pt>
                <c:pt idx="2740">
                  <c:v>22.71</c:v>
                </c:pt>
                <c:pt idx="2741">
                  <c:v>23.84</c:v>
                </c:pt>
                <c:pt idx="2742">
                  <c:v>23.11</c:v>
                </c:pt>
                <c:pt idx="2743">
                  <c:v>23.7</c:v>
                </c:pt>
                <c:pt idx="2744">
                  <c:v>22.66</c:v>
                </c:pt>
                <c:pt idx="2745">
                  <c:v>21.64</c:v>
                </c:pt>
                <c:pt idx="2746">
                  <c:v>21.25</c:v>
                </c:pt>
                <c:pt idx="2747">
                  <c:v>21.25</c:v>
                </c:pt>
                <c:pt idx="2748">
                  <c:v>20.84</c:v>
                </c:pt>
                <c:pt idx="2749">
                  <c:v>20.57</c:v>
                </c:pt>
                <c:pt idx="2750">
                  <c:v>20.77</c:v>
                </c:pt>
                <c:pt idx="2751">
                  <c:v>21.17</c:v>
                </c:pt>
                <c:pt idx="2752">
                  <c:v>21.28</c:v>
                </c:pt>
                <c:pt idx="2753">
                  <c:v>20.79</c:v>
                </c:pt>
                <c:pt idx="2754">
                  <c:v>21.3</c:v>
                </c:pt>
                <c:pt idx="2755">
                  <c:v>20.68</c:v>
                </c:pt>
                <c:pt idx="2756">
                  <c:v>22.27</c:v>
                </c:pt>
                <c:pt idx="2757">
                  <c:v>22.52</c:v>
                </c:pt>
                <c:pt idx="2758">
                  <c:v>23.31</c:v>
                </c:pt>
                <c:pt idx="2759">
                  <c:v>24.72</c:v>
                </c:pt>
                <c:pt idx="2760">
                  <c:v>22.89</c:v>
                </c:pt>
                <c:pt idx="2761">
                  <c:v>22.5</c:v>
                </c:pt>
                <c:pt idx="2762">
                  <c:v>21.93</c:v>
                </c:pt>
                <c:pt idx="2763">
                  <c:v>21.57</c:v>
                </c:pt>
                <c:pt idx="2764">
                  <c:v>25.16</c:v>
                </c:pt>
                <c:pt idx="2765">
                  <c:v>24.23</c:v>
                </c:pt>
                <c:pt idx="2766">
                  <c:v>23.31</c:v>
                </c:pt>
                <c:pt idx="2767">
                  <c:v>21.53</c:v>
                </c:pt>
                <c:pt idx="2768">
                  <c:v>21.53</c:v>
                </c:pt>
                <c:pt idx="2769">
                  <c:v>21.7</c:v>
                </c:pt>
                <c:pt idx="2770">
                  <c:v>23.08</c:v>
                </c:pt>
                <c:pt idx="2771">
                  <c:v>22.77</c:v>
                </c:pt>
                <c:pt idx="2772">
                  <c:v>22.75</c:v>
                </c:pt>
                <c:pt idx="2773">
                  <c:v>26.97</c:v>
                </c:pt>
                <c:pt idx="2774">
                  <c:v>25.34</c:v>
                </c:pt>
                <c:pt idx="2775">
                  <c:v>25.07</c:v>
                </c:pt>
                <c:pt idx="2776">
                  <c:v>22.37</c:v>
                </c:pt>
                <c:pt idx="2777">
                  <c:v>21.56</c:v>
                </c:pt>
                <c:pt idx="2778">
                  <c:v>24.08</c:v>
                </c:pt>
                <c:pt idx="2779">
                  <c:v>23.33</c:v>
                </c:pt>
                <c:pt idx="2780">
                  <c:v>22.21</c:v>
                </c:pt>
                <c:pt idx="2781">
                  <c:v>23.25</c:v>
                </c:pt>
                <c:pt idx="2782">
                  <c:v>24.34</c:v>
                </c:pt>
                <c:pt idx="2783">
                  <c:v>23.24</c:v>
                </c:pt>
                <c:pt idx="2784">
                  <c:v>21.58</c:v>
                </c:pt>
                <c:pt idx="2785">
                  <c:v>21.32</c:v>
                </c:pt>
                <c:pt idx="2786">
                  <c:v>21.91</c:v>
                </c:pt>
                <c:pt idx="2787">
                  <c:v>23.19</c:v>
                </c:pt>
                <c:pt idx="2788">
                  <c:v>23.02</c:v>
                </c:pt>
                <c:pt idx="2789">
                  <c:v>37.21</c:v>
                </c:pt>
                <c:pt idx="2790">
                  <c:v>30.21</c:v>
                </c:pt>
                <c:pt idx="2791">
                  <c:v>33.090000000000003</c:v>
                </c:pt>
                <c:pt idx="2792">
                  <c:v>30.24</c:v>
                </c:pt>
                <c:pt idx="2793">
                  <c:v>25.56</c:v>
                </c:pt>
                <c:pt idx="2794">
                  <c:v>22.91</c:v>
                </c:pt>
                <c:pt idx="2795">
                  <c:v>21.77</c:v>
                </c:pt>
                <c:pt idx="2796">
                  <c:v>20.87</c:v>
                </c:pt>
                <c:pt idx="2797">
                  <c:v>21.24</c:v>
                </c:pt>
                <c:pt idx="2798">
                  <c:v>21.63</c:v>
                </c:pt>
                <c:pt idx="2799">
                  <c:v>21.99</c:v>
                </c:pt>
                <c:pt idx="2800">
                  <c:v>21.25</c:v>
                </c:pt>
                <c:pt idx="2801">
                  <c:v>19.97</c:v>
                </c:pt>
                <c:pt idx="2802">
                  <c:v>21.46</c:v>
                </c:pt>
                <c:pt idx="2803">
                  <c:v>21.5</c:v>
                </c:pt>
                <c:pt idx="2804">
                  <c:v>22.49</c:v>
                </c:pt>
                <c:pt idx="2805">
                  <c:v>22.05</c:v>
                </c:pt>
                <c:pt idx="2806">
                  <c:v>23.45</c:v>
                </c:pt>
                <c:pt idx="2807">
                  <c:v>23.11</c:v>
                </c:pt>
                <c:pt idx="2808">
                  <c:v>21.34</c:v>
                </c:pt>
                <c:pt idx="2809">
                  <c:v>28.89</c:v>
                </c:pt>
                <c:pt idx="2810">
                  <c:v>27.95</c:v>
                </c:pt>
                <c:pt idx="2811">
                  <c:v>23.35</c:v>
                </c:pt>
                <c:pt idx="2812">
                  <c:v>24.1</c:v>
                </c:pt>
                <c:pt idx="2813">
                  <c:v>26.67</c:v>
                </c:pt>
                <c:pt idx="2814">
                  <c:v>28.57</c:v>
                </c:pt>
                <c:pt idx="2815">
                  <c:v>24.66</c:v>
                </c:pt>
                <c:pt idx="2816">
                  <c:v>25.47</c:v>
                </c:pt>
                <c:pt idx="2817">
                  <c:v>24.03</c:v>
                </c:pt>
                <c:pt idx="2818">
                  <c:v>22.56</c:v>
                </c:pt>
                <c:pt idx="2819">
                  <c:v>21.91</c:v>
                </c:pt>
                <c:pt idx="2820">
                  <c:v>20.69</c:v>
                </c:pt>
                <c:pt idx="2821">
                  <c:v>20.03</c:v>
                </c:pt>
                <c:pt idx="2822">
                  <c:v>19.79</c:v>
                </c:pt>
                <c:pt idx="2823">
                  <c:v>19.23</c:v>
                </c:pt>
                <c:pt idx="2824">
                  <c:v>21.58</c:v>
                </c:pt>
                <c:pt idx="2825">
                  <c:v>20.95</c:v>
                </c:pt>
                <c:pt idx="2826">
                  <c:v>18.88</c:v>
                </c:pt>
                <c:pt idx="2827">
                  <c:v>20.3</c:v>
                </c:pt>
                <c:pt idx="2828">
                  <c:v>21.2</c:v>
                </c:pt>
                <c:pt idx="2829">
                  <c:v>19.809999999999999</c:v>
                </c:pt>
                <c:pt idx="2830">
                  <c:v>18.86</c:v>
                </c:pt>
                <c:pt idx="2831">
                  <c:v>20.74</c:v>
                </c:pt>
                <c:pt idx="2832">
                  <c:v>19.61</c:v>
                </c:pt>
                <c:pt idx="2833">
                  <c:v>19.399999999999999</c:v>
                </c:pt>
                <c:pt idx="2834">
                  <c:v>17.329999999999998</c:v>
                </c:pt>
                <c:pt idx="2835">
                  <c:v>17.329999999999998</c:v>
                </c:pt>
                <c:pt idx="2836">
                  <c:v>17.91</c:v>
                </c:pt>
                <c:pt idx="2837">
                  <c:v>18.12</c:v>
                </c:pt>
                <c:pt idx="2838">
                  <c:v>17.16</c:v>
                </c:pt>
                <c:pt idx="2839">
                  <c:v>16.95</c:v>
                </c:pt>
                <c:pt idx="2840">
                  <c:v>16.690000000000001</c:v>
                </c:pt>
                <c:pt idx="2841">
                  <c:v>16.91</c:v>
                </c:pt>
                <c:pt idx="2842">
                  <c:v>16.649999999999999</c:v>
                </c:pt>
                <c:pt idx="2843">
                  <c:v>16.989999999999998</c:v>
                </c:pt>
                <c:pt idx="2844">
                  <c:v>16.57</c:v>
                </c:pt>
                <c:pt idx="2845">
                  <c:v>16.25</c:v>
                </c:pt>
                <c:pt idx="2846">
                  <c:v>17.29</c:v>
                </c:pt>
                <c:pt idx="2847">
                  <c:v>18.68</c:v>
                </c:pt>
                <c:pt idx="2848">
                  <c:v>17.5</c:v>
                </c:pt>
                <c:pt idx="2849">
                  <c:v>18.71</c:v>
                </c:pt>
                <c:pt idx="2850">
                  <c:v>17.329999999999998</c:v>
                </c:pt>
                <c:pt idx="2851">
                  <c:v>17.64</c:v>
                </c:pt>
                <c:pt idx="2852">
                  <c:v>17.559999999999999</c:v>
                </c:pt>
                <c:pt idx="2853">
                  <c:v>17.28</c:v>
                </c:pt>
                <c:pt idx="2854">
                  <c:v>17.61</c:v>
                </c:pt>
                <c:pt idx="2855">
                  <c:v>18.61</c:v>
                </c:pt>
                <c:pt idx="2856">
                  <c:v>18.309999999999999</c:v>
                </c:pt>
                <c:pt idx="2857">
                  <c:v>19.48</c:v>
                </c:pt>
                <c:pt idx="2858">
                  <c:v>19.149999999999999</c:v>
                </c:pt>
                <c:pt idx="2859">
                  <c:v>18.39</c:v>
                </c:pt>
                <c:pt idx="2860">
                  <c:v>16.690000000000001</c:v>
                </c:pt>
                <c:pt idx="2861">
                  <c:v>19.66</c:v>
                </c:pt>
                <c:pt idx="2862">
                  <c:v>21.84</c:v>
                </c:pt>
                <c:pt idx="2863">
                  <c:v>27.59</c:v>
                </c:pt>
                <c:pt idx="2864">
                  <c:v>23.13</c:v>
                </c:pt>
                <c:pt idx="2865">
                  <c:v>18.809999999999999</c:v>
                </c:pt>
                <c:pt idx="2866">
                  <c:v>19.72</c:v>
                </c:pt>
                <c:pt idx="2867">
                  <c:v>21.34</c:v>
                </c:pt>
                <c:pt idx="2868">
                  <c:v>22.18</c:v>
                </c:pt>
                <c:pt idx="2869">
                  <c:v>20.67</c:v>
                </c:pt>
                <c:pt idx="2870">
                  <c:v>20.149999999999999</c:v>
                </c:pt>
                <c:pt idx="2871">
                  <c:v>18.399999999999999</c:v>
                </c:pt>
                <c:pt idx="2872">
                  <c:v>18.84</c:v>
                </c:pt>
                <c:pt idx="2873">
                  <c:v>17.36</c:v>
                </c:pt>
                <c:pt idx="2874">
                  <c:v>16.739999999999998</c:v>
                </c:pt>
                <c:pt idx="2875">
                  <c:v>16.760000000000002</c:v>
                </c:pt>
                <c:pt idx="2876">
                  <c:v>17.899999999999999</c:v>
                </c:pt>
                <c:pt idx="2877">
                  <c:v>17.48</c:v>
                </c:pt>
                <c:pt idx="2878">
                  <c:v>18.04</c:v>
                </c:pt>
                <c:pt idx="2879">
                  <c:v>16.420000000000002</c:v>
                </c:pt>
                <c:pt idx="2880">
                  <c:v>16.420000000000002</c:v>
                </c:pt>
                <c:pt idx="2881">
                  <c:v>17.07</c:v>
                </c:pt>
                <c:pt idx="2882">
                  <c:v>17.89</c:v>
                </c:pt>
                <c:pt idx="2883">
                  <c:v>16.100000000000001</c:v>
                </c:pt>
                <c:pt idx="2884">
                  <c:v>15.65</c:v>
                </c:pt>
                <c:pt idx="2885">
                  <c:v>16.39</c:v>
                </c:pt>
                <c:pt idx="2886">
                  <c:v>17.02</c:v>
                </c:pt>
                <c:pt idx="2887">
                  <c:v>18.149999999999999</c:v>
                </c:pt>
                <c:pt idx="2888">
                  <c:v>17.75</c:v>
                </c:pt>
                <c:pt idx="2889">
                  <c:v>20.7</c:v>
                </c:pt>
                <c:pt idx="2890">
                  <c:v>17.89</c:v>
                </c:pt>
                <c:pt idx="2891">
                  <c:v>16.66</c:v>
                </c:pt>
                <c:pt idx="2892">
                  <c:v>16.32</c:v>
                </c:pt>
                <c:pt idx="2893">
                  <c:v>15.97</c:v>
                </c:pt>
                <c:pt idx="2894">
                  <c:v>15.62</c:v>
                </c:pt>
                <c:pt idx="2895">
                  <c:v>15.76</c:v>
                </c:pt>
                <c:pt idx="2896">
                  <c:v>16.02</c:v>
                </c:pt>
                <c:pt idx="2897">
                  <c:v>15.83</c:v>
                </c:pt>
                <c:pt idx="2898">
                  <c:v>15.48</c:v>
                </c:pt>
                <c:pt idx="2899">
                  <c:v>15.07</c:v>
                </c:pt>
                <c:pt idx="2900">
                  <c:v>16.440000000000001</c:v>
                </c:pt>
                <c:pt idx="2901">
                  <c:v>16.2</c:v>
                </c:pt>
                <c:pt idx="2902">
                  <c:v>19</c:v>
                </c:pt>
                <c:pt idx="2903">
                  <c:v>16.18</c:v>
                </c:pt>
                <c:pt idx="2904">
                  <c:v>16.170000000000002</c:v>
                </c:pt>
                <c:pt idx="2905">
                  <c:v>17.12</c:v>
                </c:pt>
                <c:pt idx="2906">
                  <c:v>16.329999999999998</c:v>
                </c:pt>
                <c:pt idx="2907">
                  <c:v>17.010000000000002</c:v>
                </c:pt>
                <c:pt idx="2908">
                  <c:v>18.45</c:v>
                </c:pt>
                <c:pt idx="2909">
                  <c:v>22.5</c:v>
                </c:pt>
                <c:pt idx="2910">
                  <c:v>19.73</c:v>
                </c:pt>
                <c:pt idx="2911">
                  <c:v>17.91</c:v>
                </c:pt>
                <c:pt idx="2912">
                  <c:v>17.690000000000001</c:v>
                </c:pt>
                <c:pt idx="2913">
                  <c:v>17.2</c:v>
                </c:pt>
                <c:pt idx="2914">
                  <c:v>17.579999999999998</c:v>
                </c:pt>
                <c:pt idx="2915">
                  <c:v>19.36</c:v>
                </c:pt>
                <c:pt idx="2916">
                  <c:v>18.309999999999999</c:v>
                </c:pt>
                <c:pt idx="2917">
                  <c:v>17.7</c:v>
                </c:pt>
                <c:pt idx="2918">
                  <c:v>18.239999999999998</c:v>
                </c:pt>
                <c:pt idx="2919">
                  <c:v>19.46</c:v>
                </c:pt>
                <c:pt idx="2920">
                  <c:v>18.04</c:v>
                </c:pt>
                <c:pt idx="2921">
                  <c:v>17.97</c:v>
                </c:pt>
                <c:pt idx="2922">
                  <c:v>17.28</c:v>
                </c:pt>
                <c:pt idx="2923">
                  <c:v>16.149999999999999</c:v>
                </c:pt>
                <c:pt idx="2924">
                  <c:v>16.72</c:v>
                </c:pt>
                <c:pt idx="2925">
                  <c:v>16.79</c:v>
                </c:pt>
                <c:pt idx="2926">
                  <c:v>16.059999999999999</c:v>
                </c:pt>
                <c:pt idx="2927">
                  <c:v>15.59</c:v>
                </c:pt>
                <c:pt idx="2928">
                  <c:v>15.45</c:v>
                </c:pt>
                <c:pt idx="2929">
                  <c:v>16.12</c:v>
                </c:pt>
                <c:pt idx="2930">
                  <c:v>17.91</c:v>
                </c:pt>
                <c:pt idx="2931">
                  <c:v>21.57</c:v>
                </c:pt>
                <c:pt idx="2932">
                  <c:v>21.67</c:v>
                </c:pt>
                <c:pt idx="2933">
                  <c:v>18.559999999999999</c:v>
                </c:pt>
                <c:pt idx="2934">
                  <c:v>17.149999999999999</c:v>
                </c:pt>
                <c:pt idx="2935">
                  <c:v>17.22</c:v>
                </c:pt>
                <c:pt idx="2936">
                  <c:v>16.79</c:v>
                </c:pt>
                <c:pt idx="2937">
                  <c:v>18.84</c:v>
                </c:pt>
                <c:pt idx="2938">
                  <c:v>16.39</c:v>
                </c:pt>
                <c:pt idx="2939">
                  <c:v>16.190000000000001</c:v>
                </c:pt>
                <c:pt idx="2940">
                  <c:v>16.48</c:v>
                </c:pt>
                <c:pt idx="2941">
                  <c:v>16.11</c:v>
                </c:pt>
                <c:pt idx="2942">
                  <c:v>16.41</c:v>
                </c:pt>
                <c:pt idx="2943">
                  <c:v>16.41</c:v>
                </c:pt>
                <c:pt idx="2944">
                  <c:v>18.14</c:v>
                </c:pt>
                <c:pt idx="2945">
                  <c:v>17.96</c:v>
                </c:pt>
                <c:pt idx="2946">
                  <c:v>18.8</c:v>
                </c:pt>
                <c:pt idx="2947">
                  <c:v>20.95</c:v>
                </c:pt>
                <c:pt idx="2948">
                  <c:v>19.37</c:v>
                </c:pt>
                <c:pt idx="2949">
                  <c:v>19.46</c:v>
                </c:pt>
                <c:pt idx="2950">
                  <c:v>18.18</c:v>
                </c:pt>
                <c:pt idx="2951">
                  <c:v>18.690000000000001</c:v>
                </c:pt>
                <c:pt idx="2952">
                  <c:v>20.81</c:v>
                </c:pt>
                <c:pt idx="2953">
                  <c:v>25.71</c:v>
                </c:pt>
                <c:pt idx="2954">
                  <c:v>24.36</c:v>
                </c:pt>
                <c:pt idx="2955">
                  <c:v>20.87</c:v>
                </c:pt>
                <c:pt idx="2956">
                  <c:v>18.63</c:v>
                </c:pt>
                <c:pt idx="2957">
                  <c:v>17.75</c:v>
                </c:pt>
                <c:pt idx="2958">
                  <c:v>18.760000000000002</c:v>
                </c:pt>
                <c:pt idx="2959">
                  <c:v>23.25</c:v>
                </c:pt>
                <c:pt idx="2960">
                  <c:v>22.56</c:v>
                </c:pt>
                <c:pt idx="2961">
                  <c:v>23.14</c:v>
                </c:pt>
                <c:pt idx="2962">
                  <c:v>21.15</c:v>
                </c:pt>
                <c:pt idx="2963">
                  <c:v>22.96</c:v>
                </c:pt>
                <c:pt idx="2964">
                  <c:v>21.3</c:v>
                </c:pt>
                <c:pt idx="2965">
                  <c:v>21</c:v>
                </c:pt>
                <c:pt idx="2966">
                  <c:v>19.54</c:v>
                </c:pt>
                <c:pt idx="2967">
                  <c:v>18.77</c:v>
                </c:pt>
                <c:pt idx="2968">
                  <c:v>20</c:v>
                </c:pt>
                <c:pt idx="2969">
                  <c:v>19.850000000000001</c:v>
                </c:pt>
                <c:pt idx="2970">
                  <c:v>18.64</c:v>
                </c:pt>
                <c:pt idx="2971">
                  <c:v>16.86</c:v>
                </c:pt>
                <c:pt idx="2972">
                  <c:v>16.3</c:v>
                </c:pt>
                <c:pt idx="2973">
                  <c:v>16.309999999999999</c:v>
                </c:pt>
                <c:pt idx="2974">
                  <c:v>15.7</c:v>
                </c:pt>
                <c:pt idx="2975">
                  <c:v>15.49</c:v>
                </c:pt>
                <c:pt idx="2976">
                  <c:v>15.01</c:v>
                </c:pt>
                <c:pt idx="2977">
                  <c:v>15.43</c:v>
                </c:pt>
                <c:pt idx="2978">
                  <c:v>15.24</c:v>
                </c:pt>
                <c:pt idx="2979">
                  <c:v>15.98</c:v>
                </c:pt>
                <c:pt idx="2980">
                  <c:v>16.98</c:v>
                </c:pt>
                <c:pt idx="2981">
                  <c:v>16.53</c:v>
                </c:pt>
                <c:pt idx="2982">
                  <c:v>16.260000000000002</c:v>
                </c:pt>
                <c:pt idx="2983">
                  <c:v>16.41</c:v>
                </c:pt>
                <c:pt idx="2984">
                  <c:v>16.03</c:v>
                </c:pt>
                <c:pt idx="2985">
                  <c:v>15.1</c:v>
                </c:pt>
                <c:pt idx="2986">
                  <c:v>15.44</c:v>
                </c:pt>
                <c:pt idx="2987">
                  <c:v>16.48</c:v>
                </c:pt>
                <c:pt idx="2988">
                  <c:v>17.22</c:v>
                </c:pt>
                <c:pt idx="2989">
                  <c:v>17.78</c:v>
                </c:pt>
                <c:pt idx="2990">
                  <c:v>18.73</c:v>
                </c:pt>
                <c:pt idx="2991">
                  <c:v>17.66</c:v>
                </c:pt>
                <c:pt idx="2992">
                  <c:v>16.29</c:v>
                </c:pt>
                <c:pt idx="2993">
                  <c:v>16.489999999999998</c:v>
                </c:pt>
                <c:pt idx="2994">
                  <c:v>16.37</c:v>
                </c:pt>
                <c:pt idx="2995">
                  <c:v>17.11</c:v>
                </c:pt>
                <c:pt idx="2996">
                  <c:v>17.59</c:v>
                </c:pt>
                <c:pt idx="2997">
                  <c:v>17.91</c:v>
                </c:pt>
                <c:pt idx="2998">
                  <c:v>19.170000000000002</c:v>
                </c:pt>
                <c:pt idx="2999">
                  <c:v>19.38</c:v>
                </c:pt>
                <c:pt idx="3000">
                  <c:v>18.579999999999998</c:v>
                </c:pt>
                <c:pt idx="3001">
                  <c:v>18.579999999999998</c:v>
                </c:pt>
                <c:pt idx="3002">
                  <c:v>28.62</c:v>
                </c:pt>
                <c:pt idx="3003">
                  <c:v>22.96</c:v>
                </c:pt>
                <c:pt idx="3004">
                  <c:v>27.19</c:v>
                </c:pt>
                <c:pt idx="3005">
                  <c:v>31.12</c:v>
                </c:pt>
                <c:pt idx="3006">
                  <c:v>27.95</c:v>
                </c:pt>
                <c:pt idx="3007">
                  <c:v>30.67</c:v>
                </c:pt>
                <c:pt idx="3008">
                  <c:v>27.18</c:v>
                </c:pt>
                <c:pt idx="3009">
                  <c:v>21.89</c:v>
                </c:pt>
                <c:pt idx="3010">
                  <c:v>19.899999999999999</c:v>
                </c:pt>
                <c:pt idx="3011">
                  <c:v>21.58</c:v>
                </c:pt>
                <c:pt idx="3012">
                  <c:v>18.690000000000001</c:v>
                </c:pt>
                <c:pt idx="3013">
                  <c:v>20.309999999999999</c:v>
                </c:pt>
                <c:pt idx="3014">
                  <c:v>21.89</c:v>
                </c:pt>
                <c:pt idx="3015">
                  <c:v>19.29</c:v>
                </c:pt>
                <c:pt idx="3016">
                  <c:v>20.57</c:v>
                </c:pt>
                <c:pt idx="3017">
                  <c:v>21.57</c:v>
                </c:pt>
                <c:pt idx="3018">
                  <c:v>22.87</c:v>
                </c:pt>
                <c:pt idx="3019">
                  <c:v>21.01</c:v>
                </c:pt>
                <c:pt idx="3020">
                  <c:v>18.63</c:v>
                </c:pt>
                <c:pt idx="3021">
                  <c:v>17.96</c:v>
                </c:pt>
                <c:pt idx="3022">
                  <c:v>17.96</c:v>
                </c:pt>
                <c:pt idx="3023">
                  <c:v>17.68</c:v>
                </c:pt>
                <c:pt idx="3024">
                  <c:v>17.54</c:v>
                </c:pt>
                <c:pt idx="3025">
                  <c:v>16.95</c:v>
                </c:pt>
                <c:pt idx="3026">
                  <c:v>17.329999999999998</c:v>
                </c:pt>
                <c:pt idx="3027">
                  <c:v>17.22</c:v>
                </c:pt>
                <c:pt idx="3028">
                  <c:v>16.600000000000001</c:v>
                </c:pt>
                <c:pt idx="3029">
                  <c:v>16.91</c:v>
                </c:pt>
                <c:pt idx="3030">
                  <c:v>19.73</c:v>
                </c:pt>
                <c:pt idx="3031">
                  <c:v>19.61</c:v>
                </c:pt>
                <c:pt idx="3032">
                  <c:v>18.760000000000002</c:v>
                </c:pt>
                <c:pt idx="3033">
                  <c:v>19.399999999999999</c:v>
                </c:pt>
                <c:pt idx="3034">
                  <c:v>18.41</c:v>
                </c:pt>
                <c:pt idx="3035">
                  <c:v>17.62</c:v>
                </c:pt>
                <c:pt idx="3036">
                  <c:v>20.309999999999999</c:v>
                </c:pt>
                <c:pt idx="3037">
                  <c:v>19.190000000000001</c:v>
                </c:pt>
                <c:pt idx="3038">
                  <c:v>22.79</c:v>
                </c:pt>
                <c:pt idx="3039">
                  <c:v>23.85</c:v>
                </c:pt>
                <c:pt idx="3040">
                  <c:v>25.59</c:v>
                </c:pt>
                <c:pt idx="3041">
                  <c:v>28.85</c:v>
                </c:pt>
                <c:pt idx="3042">
                  <c:v>29.9</c:v>
                </c:pt>
                <c:pt idx="3043">
                  <c:v>31.16</c:v>
                </c:pt>
                <c:pt idx="3044">
                  <c:v>31.96</c:v>
                </c:pt>
                <c:pt idx="3045">
                  <c:v>30.49</c:v>
                </c:pt>
                <c:pt idx="3046">
                  <c:v>27.66</c:v>
                </c:pt>
                <c:pt idx="3047">
                  <c:v>24.83</c:v>
                </c:pt>
                <c:pt idx="3048">
                  <c:v>21.96</c:v>
                </c:pt>
                <c:pt idx="3049">
                  <c:v>22.09</c:v>
                </c:pt>
                <c:pt idx="3050">
                  <c:v>24.35</c:v>
                </c:pt>
                <c:pt idx="3051">
                  <c:v>23.22</c:v>
                </c:pt>
                <c:pt idx="3052">
                  <c:v>22.86</c:v>
                </c:pt>
                <c:pt idx="3053">
                  <c:v>21.44</c:v>
                </c:pt>
                <c:pt idx="3054">
                  <c:v>19.96</c:v>
                </c:pt>
                <c:pt idx="3055">
                  <c:v>23.91</c:v>
                </c:pt>
                <c:pt idx="3056">
                  <c:v>27.36</c:v>
                </c:pt>
                <c:pt idx="3057">
                  <c:v>28.33</c:v>
                </c:pt>
                <c:pt idx="3058">
                  <c:v>25.7</c:v>
                </c:pt>
                <c:pt idx="3059">
                  <c:v>24.29</c:v>
                </c:pt>
                <c:pt idx="3060">
                  <c:v>28.11</c:v>
                </c:pt>
                <c:pt idx="3061">
                  <c:v>27.75</c:v>
                </c:pt>
                <c:pt idx="3062">
                  <c:v>28.81</c:v>
                </c:pt>
                <c:pt idx="3063">
                  <c:v>31.02</c:v>
                </c:pt>
                <c:pt idx="3064">
                  <c:v>30.32</c:v>
                </c:pt>
                <c:pt idx="3065">
                  <c:v>27.59</c:v>
                </c:pt>
                <c:pt idx="3066">
                  <c:v>30.15</c:v>
                </c:pt>
                <c:pt idx="3067">
                  <c:v>33.32</c:v>
                </c:pt>
                <c:pt idx="3068">
                  <c:v>30.74</c:v>
                </c:pt>
                <c:pt idx="3069">
                  <c:v>30.48</c:v>
                </c:pt>
                <c:pt idx="3070">
                  <c:v>31.98</c:v>
                </c:pt>
                <c:pt idx="3071">
                  <c:v>36.450000000000003</c:v>
                </c:pt>
                <c:pt idx="3072">
                  <c:v>35.130000000000003</c:v>
                </c:pt>
                <c:pt idx="3073">
                  <c:v>32.450000000000003</c:v>
                </c:pt>
                <c:pt idx="3074">
                  <c:v>30.23</c:v>
                </c:pt>
                <c:pt idx="3075">
                  <c:v>30.75</c:v>
                </c:pt>
                <c:pt idx="3076">
                  <c:v>31.77</c:v>
                </c:pt>
                <c:pt idx="3077">
                  <c:v>29.83</c:v>
                </c:pt>
                <c:pt idx="3078">
                  <c:v>26.67</c:v>
                </c:pt>
                <c:pt idx="3079">
                  <c:v>25.67</c:v>
                </c:pt>
                <c:pt idx="3080">
                  <c:v>23.87</c:v>
                </c:pt>
                <c:pt idx="3081">
                  <c:v>23.53</c:v>
                </c:pt>
                <c:pt idx="3082">
                  <c:v>22.94</c:v>
                </c:pt>
                <c:pt idx="3083">
                  <c:v>23.57</c:v>
                </c:pt>
                <c:pt idx="3084">
                  <c:v>21.67</c:v>
                </c:pt>
                <c:pt idx="3085">
                  <c:v>20.81</c:v>
                </c:pt>
                <c:pt idx="3086">
                  <c:v>19.63</c:v>
                </c:pt>
                <c:pt idx="3087">
                  <c:v>18.899999999999999</c:v>
                </c:pt>
                <c:pt idx="3088">
                  <c:v>19.329999999999998</c:v>
                </c:pt>
                <c:pt idx="3089">
                  <c:v>20.56</c:v>
                </c:pt>
                <c:pt idx="3090">
                  <c:v>19.63</c:v>
                </c:pt>
                <c:pt idx="3091">
                  <c:v>18.57</c:v>
                </c:pt>
                <c:pt idx="3092">
                  <c:v>21.03</c:v>
                </c:pt>
                <c:pt idx="3093">
                  <c:v>22.1</c:v>
                </c:pt>
                <c:pt idx="3094">
                  <c:v>21.55</c:v>
                </c:pt>
                <c:pt idx="3095">
                  <c:v>21.16</c:v>
                </c:pt>
                <c:pt idx="3096">
                  <c:v>24.37</c:v>
                </c:pt>
                <c:pt idx="3097">
                  <c:v>24.26</c:v>
                </c:pt>
                <c:pt idx="3098">
                  <c:v>21.82</c:v>
                </c:pt>
                <c:pt idx="3099">
                  <c:v>22.7</c:v>
                </c:pt>
                <c:pt idx="3100">
                  <c:v>22.7</c:v>
                </c:pt>
                <c:pt idx="3101">
                  <c:v>22.17</c:v>
                </c:pt>
                <c:pt idx="3102">
                  <c:v>21.37</c:v>
                </c:pt>
                <c:pt idx="3103">
                  <c:v>20.32</c:v>
                </c:pt>
                <c:pt idx="3104">
                  <c:v>22.68</c:v>
                </c:pt>
                <c:pt idx="3105">
                  <c:v>28.21</c:v>
                </c:pt>
                <c:pt idx="3106">
                  <c:v>27.02</c:v>
                </c:pt>
                <c:pt idx="3107">
                  <c:v>33.520000000000003</c:v>
                </c:pt>
                <c:pt idx="3108">
                  <c:v>31.6</c:v>
                </c:pt>
                <c:pt idx="3109">
                  <c:v>29.99</c:v>
                </c:pt>
                <c:pt idx="3110">
                  <c:v>33.4</c:v>
                </c:pt>
                <c:pt idx="3111">
                  <c:v>32.340000000000003</c:v>
                </c:pt>
                <c:pt idx="3112">
                  <c:v>29.25</c:v>
                </c:pt>
                <c:pt idx="3113">
                  <c:v>25.42</c:v>
                </c:pt>
                <c:pt idx="3114">
                  <c:v>31.2</c:v>
                </c:pt>
                <c:pt idx="3115">
                  <c:v>30.19</c:v>
                </c:pt>
                <c:pt idx="3116">
                  <c:v>34.75</c:v>
                </c:pt>
                <c:pt idx="3117">
                  <c:v>32.99</c:v>
                </c:pt>
                <c:pt idx="3118">
                  <c:v>32.56</c:v>
                </c:pt>
                <c:pt idx="3119">
                  <c:v>31.77</c:v>
                </c:pt>
                <c:pt idx="3120">
                  <c:v>28.87</c:v>
                </c:pt>
                <c:pt idx="3121">
                  <c:v>27.47</c:v>
                </c:pt>
                <c:pt idx="3122">
                  <c:v>26.1</c:v>
                </c:pt>
                <c:pt idx="3123">
                  <c:v>30.96</c:v>
                </c:pt>
                <c:pt idx="3124">
                  <c:v>29.35</c:v>
                </c:pt>
                <c:pt idx="3125">
                  <c:v>29.43</c:v>
                </c:pt>
                <c:pt idx="3126">
                  <c:v>28.48</c:v>
                </c:pt>
                <c:pt idx="3127">
                  <c:v>29.45</c:v>
                </c:pt>
                <c:pt idx="3128">
                  <c:v>28.37</c:v>
                </c:pt>
                <c:pt idx="3129">
                  <c:v>27.5</c:v>
                </c:pt>
                <c:pt idx="3130">
                  <c:v>25.72</c:v>
                </c:pt>
                <c:pt idx="3131">
                  <c:v>26.54</c:v>
                </c:pt>
                <c:pt idx="3132">
                  <c:v>26.19</c:v>
                </c:pt>
                <c:pt idx="3133">
                  <c:v>25.69</c:v>
                </c:pt>
                <c:pt idx="3134">
                  <c:v>24.72</c:v>
                </c:pt>
                <c:pt idx="3135">
                  <c:v>24.79</c:v>
                </c:pt>
                <c:pt idx="3136">
                  <c:v>25.07</c:v>
                </c:pt>
                <c:pt idx="3137">
                  <c:v>24.02</c:v>
                </c:pt>
                <c:pt idx="3138">
                  <c:v>23.96</c:v>
                </c:pt>
                <c:pt idx="3139">
                  <c:v>26.09</c:v>
                </c:pt>
                <c:pt idx="3140">
                  <c:v>27.75</c:v>
                </c:pt>
                <c:pt idx="3141">
                  <c:v>34.020000000000003</c:v>
                </c:pt>
                <c:pt idx="3142">
                  <c:v>32.69</c:v>
                </c:pt>
                <c:pt idx="3143">
                  <c:v>29.62</c:v>
                </c:pt>
                <c:pt idx="3144">
                  <c:v>32.950000000000003</c:v>
                </c:pt>
                <c:pt idx="3145">
                  <c:v>31.13</c:v>
                </c:pt>
                <c:pt idx="3146">
                  <c:v>31.03</c:v>
                </c:pt>
                <c:pt idx="3147">
                  <c:v>30.19</c:v>
                </c:pt>
                <c:pt idx="3148">
                  <c:v>28.95</c:v>
                </c:pt>
                <c:pt idx="3149">
                  <c:v>29.05</c:v>
                </c:pt>
                <c:pt idx="3150">
                  <c:v>27.23</c:v>
                </c:pt>
                <c:pt idx="3151">
                  <c:v>26.95</c:v>
                </c:pt>
                <c:pt idx="3152">
                  <c:v>28.36</c:v>
                </c:pt>
                <c:pt idx="3153">
                  <c:v>28.16</c:v>
                </c:pt>
                <c:pt idx="3154">
                  <c:v>28.71</c:v>
                </c:pt>
                <c:pt idx="3155">
                  <c:v>26.7</c:v>
                </c:pt>
                <c:pt idx="3156">
                  <c:v>27.53</c:v>
                </c:pt>
                <c:pt idx="3157">
                  <c:v>27.54</c:v>
                </c:pt>
                <c:pt idx="3158">
                  <c:v>26.73</c:v>
                </c:pt>
                <c:pt idx="3159">
                  <c:v>26.08</c:v>
                </c:pt>
                <c:pt idx="3160">
                  <c:v>24.64</c:v>
                </c:pt>
                <c:pt idx="3161">
                  <c:v>26.17</c:v>
                </c:pt>
                <c:pt idx="3162">
                  <c:v>27.29</c:v>
                </c:pt>
                <c:pt idx="3163">
                  <c:v>26.82</c:v>
                </c:pt>
                <c:pt idx="3164">
                  <c:v>26.4</c:v>
                </c:pt>
                <c:pt idx="3165">
                  <c:v>24.23</c:v>
                </c:pt>
                <c:pt idx="3166">
                  <c:v>25.3</c:v>
                </c:pt>
                <c:pt idx="3167">
                  <c:v>24.5</c:v>
                </c:pt>
                <c:pt idx="3168">
                  <c:v>23.88</c:v>
                </c:pt>
                <c:pt idx="3169">
                  <c:v>23.11</c:v>
                </c:pt>
                <c:pt idx="3170">
                  <c:v>23.03</c:v>
                </c:pt>
                <c:pt idx="3171">
                  <c:v>23.36</c:v>
                </c:pt>
                <c:pt idx="3172">
                  <c:v>24.69</c:v>
                </c:pt>
                <c:pt idx="3173">
                  <c:v>23.24</c:v>
                </c:pt>
                <c:pt idx="3174">
                  <c:v>22.33</c:v>
                </c:pt>
                <c:pt idx="3175">
                  <c:v>21.33</c:v>
                </c:pt>
                <c:pt idx="3176">
                  <c:v>22.84</c:v>
                </c:pt>
                <c:pt idx="3177">
                  <c:v>23.93</c:v>
                </c:pt>
                <c:pt idx="3178">
                  <c:v>21.95</c:v>
                </c:pt>
                <c:pt idx="3179">
                  <c:v>21.44</c:v>
                </c:pt>
                <c:pt idx="3180">
                  <c:v>21.15</c:v>
                </c:pt>
                <c:pt idx="3181">
                  <c:v>21.29</c:v>
                </c:pt>
                <c:pt idx="3182">
                  <c:v>21.77</c:v>
                </c:pt>
                <c:pt idx="3183">
                  <c:v>19.739999999999998</c:v>
                </c:pt>
                <c:pt idx="3184">
                  <c:v>20.2</c:v>
                </c:pt>
                <c:pt idx="3185">
                  <c:v>19.53</c:v>
                </c:pt>
                <c:pt idx="3186">
                  <c:v>19.95</c:v>
                </c:pt>
                <c:pt idx="3187">
                  <c:v>19.690000000000001</c:v>
                </c:pt>
                <c:pt idx="3188">
                  <c:v>19.899999999999999</c:v>
                </c:pt>
                <c:pt idx="3189">
                  <c:v>19.559999999999999</c:v>
                </c:pt>
                <c:pt idx="3190">
                  <c:v>20.6</c:v>
                </c:pt>
                <c:pt idx="3191">
                  <c:v>23.8</c:v>
                </c:pt>
                <c:pt idx="3192">
                  <c:v>24.11</c:v>
                </c:pt>
                <c:pt idx="3193">
                  <c:v>22.82</c:v>
                </c:pt>
                <c:pt idx="3194">
                  <c:v>21.78</c:v>
                </c:pt>
                <c:pt idx="3195">
                  <c:v>25.56</c:v>
                </c:pt>
                <c:pt idx="3196">
                  <c:v>26.21</c:v>
                </c:pt>
                <c:pt idx="3197">
                  <c:v>26.21</c:v>
                </c:pt>
                <c:pt idx="3198">
                  <c:v>25.87</c:v>
                </c:pt>
                <c:pt idx="3199">
                  <c:v>25.56</c:v>
                </c:pt>
                <c:pt idx="3200">
                  <c:v>25.47</c:v>
                </c:pt>
                <c:pt idx="3201">
                  <c:v>25.99</c:v>
                </c:pt>
                <c:pt idx="3202">
                  <c:v>26.91</c:v>
                </c:pt>
                <c:pt idx="3203">
                  <c:v>24.64</c:v>
                </c:pt>
                <c:pt idx="3204">
                  <c:v>23.61</c:v>
                </c:pt>
                <c:pt idx="3205">
                  <c:v>22.79</c:v>
                </c:pt>
                <c:pt idx="3206">
                  <c:v>23.87</c:v>
                </c:pt>
                <c:pt idx="3207">
                  <c:v>27.27</c:v>
                </c:pt>
                <c:pt idx="3208">
                  <c:v>26.16</c:v>
                </c:pt>
                <c:pt idx="3209">
                  <c:v>26.27</c:v>
                </c:pt>
                <c:pt idx="3210">
                  <c:v>26.3</c:v>
                </c:pt>
                <c:pt idx="3211">
                  <c:v>25.76</c:v>
                </c:pt>
                <c:pt idx="3212">
                  <c:v>27.16</c:v>
                </c:pt>
                <c:pt idx="3213">
                  <c:v>27.99</c:v>
                </c:pt>
                <c:pt idx="3214">
                  <c:v>27.35</c:v>
                </c:pt>
                <c:pt idx="3215">
                  <c:v>29.92</c:v>
                </c:pt>
                <c:pt idx="3216">
                  <c:v>32.26</c:v>
                </c:pt>
                <c:pt idx="3217">
                  <c:v>32.6</c:v>
                </c:pt>
                <c:pt idx="3218">
                  <c:v>30.18</c:v>
                </c:pt>
                <c:pt idx="3219">
                  <c:v>31.84</c:v>
                </c:pt>
                <c:pt idx="3220">
                  <c:v>31.62</c:v>
                </c:pt>
                <c:pt idx="3221">
                  <c:v>30.1</c:v>
                </c:pt>
                <c:pt idx="3222">
                  <c:v>29.07</c:v>
                </c:pt>
                <c:pt idx="3223">
                  <c:v>28.55</c:v>
                </c:pt>
                <c:pt idx="3224">
                  <c:v>30.52</c:v>
                </c:pt>
                <c:pt idx="3225">
                  <c:v>31.36</c:v>
                </c:pt>
                <c:pt idx="3226">
                  <c:v>32.450000000000003</c:v>
                </c:pt>
                <c:pt idx="3227">
                  <c:v>33.630000000000003</c:v>
                </c:pt>
                <c:pt idx="3228">
                  <c:v>33.57</c:v>
                </c:pt>
                <c:pt idx="3229">
                  <c:v>31.94</c:v>
                </c:pt>
                <c:pt idx="3230">
                  <c:v>32.020000000000003</c:v>
                </c:pt>
                <c:pt idx="3231">
                  <c:v>31.37</c:v>
                </c:pt>
                <c:pt idx="3232">
                  <c:v>30.5</c:v>
                </c:pt>
                <c:pt idx="3233">
                  <c:v>30.76</c:v>
                </c:pt>
                <c:pt idx="3234">
                  <c:v>29.98</c:v>
                </c:pt>
                <c:pt idx="3235">
                  <c:v>29.69</c:v>
                </c:pt>
                <c:pt idx="3236">
                  <c:v>29.85</c:v>
                </c:pt>
                <c:pt idx="3237">
                  <c:v>28.46</c:v>
                </c:pt>
                <c:pt idx="3238">
                  <c:v>27.28</c:v>
                </c:pt>
                <c:pt idx="3239">
                  <c:v>27.39</c:v>
                </c:pt>
                <c:pt idx="3240">
                  <c:v>25.75</c:v>
                </c:pt>
                <c:pt idx="3241">
                  <c:v>25.88</c:v>
                </c:pt>
                <c:pt idx="3242">
                  <c:v>25.81</c:v>
                </c:pt>
                <c:pt idx="3243">
                  <c:v>25.86</c:v>
                </c:pt>
                <c:pt idx="3244">
                  <c:v>25.3</c:v>
                </c:pt>
                <c:pt idx="3245">
                  <c:v>24.55</c:v>
                </c:pt>
                <c:pt idx="3246">
                  <c:v>24.35</c:v>
                </c:pt>
                <c:pt idx="3247">
                  <c:v>25.54</c:v>
                </c:pt>
                <c:pt idx="3248">
                  <c:v>26.09</c:v>
                </c:pt>
                <c:pt idx="3249">
                  <c:v>23.53</c:v>
                </c:pt>
                <c:pt idx="3250">
                  <c:v>22.52</c:v>
                </c:pt>
                <c:pt idx="3251">
                  <c:v>23.73</c:v>
                </c:pt>
                <c:pt idx="3252">
                  <c:v>24.54</c:v>
                </c:pt>
                <c:pt idx="3253">
                  <c:v>24.11</c:v>
                </c:pt>
                <c:pt idx="3254">
                  <c:v>23.93</c:v>
                </c:pt>
                <c:pt idx="3255">
                  <c:v>23.12</c:v>
                </c:pt>
                <c:pt idx="3256">
                  <c:v>22.36</c:v>
                </c:pt>
                <c:pt idx="3257">
                  <c:v>21.29</c:v>
                </c:pt>
                <c:pt idx="3258">
                  <c:v>20.350000000000001</c:v>
                </c:pt>
                <c:pt idx="3259">
                  <c:v>20.420000000000002</c:v>
                </c:pt>
                <c:pt idx="3260">
                  <c:v>20.5</c:v>
                </c:pt>
                <c:pt idx="3261">
                  <c:v>22.21</c:v>
                </c:pt>
                <c:pt idx="3262">
                  <c:v>21.89</c:v>
                </c:pt>
                <c:pt idx="3263">
                  <c:v>20.58</c:v>
                </c:pt>
                <c:pt idx="3264">
                  <c:v>19.84</c:v>
                </c:pt>
                <c:pt idx="3265">
                  <c:v>19.059999999999999</c:v>
                </c:pt>
                <c:pt idx="3266">
                  <c:v>20.75</c:v>
                </c:pt>
                <c:pt idx="3267">
                  <c:v>22.17</c:v>
                </c:pt>
                <c:pt idx="3268">
                  <c:v>22.68</c:v>
                </c:pt>
                <c:pt idx="3269">
                  <c:v>22.29</c:v>
                </c:pt>
                <c:pt idx="3270">
                  <c:v>22.83</c:v>
                </c:pt>
                <c:pt idx="3271">
                  <c:v>25</c:v>
                </c:pt>
                <c:pt idx="3272">
                  <c:v>22.55</c:v>
                </c:pt>
                <c:pt idx="3273">
                  <c:v>21.14</c:v>
                </c:pt>
                <c:pt idx="3274">
                  <c:v>22.83</c:v>
                </c:pt>
                <c:pt idx="3275">
                  <c:v>22.62</c:v>
                </c:pt>
                <c:pt idx="3276">
                  <c:v>22.42</c:v>
                </c:pt>
                <c:pt idx="3277">
                  <c:v>21.48</c:v>
                </c:pt>
                <c:pt idx="3278">
                  <c:v>20.07</c:v>
                </c:pt>
                <c:pt idx="3279">
                  <c:v>21.97</c:v>
                </c:pt>
                <c:pt idx="3280">
                  <c:v>20.87</c:v>
                </c:pt>
                <c:pt idx="3281">
                  <c:v>20.87</c:v>
                </c:pt>
                <c:pt idx="3282">
                  <c:v>21.65</c:v>
                </c:pt>
                <c:pt idx="3283">
                  <c:v>22.14</c:v>
                </c:pt>
                <c:pt idx="3284">
                  <c:v>21.44</c:v>
                </c:pt>
                <c:pt idx="3285">
                  <c:v>21.67</c:v>
                </c:pt>
                <c:pt idx="3286">
                  <c:v>22.9</c:v>
                </c:pt>
                <c:pt idx="3287">
                  <c:v>22.01</c:v>
                </c:pt>
                <c:pt idx="3288">
                  <c:v>22.46</c:v>
                </c:pt>
                <c:pt idx="3289">
                  <c:v>21.13</c:v>
                </c:pt>
                <c:pt idx="3290">
                  <c:v>21.97</c:v>
                </c:pt>
                <c:pt idx="3291">
                  <c:v>20.58</c:v>
                </c:pt>
                <c:pt idx="3292">
                  <c:v>21.09</c:v>
                </c:pt>
                <c:pt idx="3293">
                  <c:v>18.829999999999998</c:v>
                </c:pt>
                <c:pt idx="3294">
                  <c:v>18.350000000000001</c:v>
                </c:pt>
                <c:pt idx="3295">
                  <c:v>19.489999999999998</c:v>
                </c:pt>
                <c:pt idx="3296">
                  <c:v>19.36</c:v>
                </c:pt>
                <c:pt idx="3297">
                  <c:v>20.34</c:v>
                </c:pt>
                <c:pt idx="3298">
                  <c:v>20.52</c:v>
                </c:pt>
                <c:pt idx="3299">
                  <c:v>19.850000000000001</c:v>
                </c:pt>
                <c:pt idx="3300">
                  <c:v>19.809999999999999</c:v>
                </c:pt>
                <c:pt idx="3301">
                  <c:v>19.2</c:v>
                </c:pt>
                <c:pt idx="3302">
                  <c:v>19.079999999999998</c:v>
                </c:pt>
                <c:pt idx="3303">
                  <c:v>18.73</c:v>
                </c:pt>
                <c:pt idx="3304">
                  <c:v>18.510000000000002</c:v>
                </c:pt>
                <c:pt idx="3305">
                  <c:v>19.940000000000001</c:v>
                </c:pt>
                <c:pt idx="3306">
                  <c:v>19.399999999999999</c:v>
                </c:pt>
                <c:pt idx="3307">
                  <c:v>17.87</c:v>
                </c:pt>
                <c:pt idx="3308">
                  <c:v>18.73</c:v>
                </c:pt>
                <c:pt idx="3309">
                  <c:v>18.329999999999998</c:v>
                </c:pt>
                <c:pt idx="3310">
                  <c:v>19.43</c:v>
                </c:pt>
                <c:pt idx="3311">
                  <c:v>18.66</c:v>
                </c:pt>
                <c:pt idx="3312">
                  <c:v>19.63</c:v>
                </c:pt>
                <c:pt idx="3313">
                  <c:v>20.71</c:v>
                </c:pt>
                <c:pt idx="3314">
                  <c:v>20.53</c:v>
                </c:pt>
                <c:pt idx="3315">
                  <c:v>20.34</c:v>
                </c:pt>
                <c:pt idx="3316">
                  <c:v>18.91</c:v>
                </c:pt>
                <c:pt idx="3317">
                  <c:v>18.23</c:v>
                </c:pt>
                <c:pt idx="3318">
                  <c:v>20.170000000000002</c:v>
                </c:pt>
                <c:pt idx="3319">
                  <c:v>20.02</c:v>
                </c:pt>
                <c:pt idx="3320">
                  <c:v>21.23</c:v>
                </c:pt>
                <c:pt idx="3321">
                  <c:v>22.87</c:v>
                </c:pt>
                <c:pt idx="3322">
                  <c:v>22.29</c:v>
                </c:pt>
                <c:pt idx="3323">
                  <c:v>21.14</c:v>
                </c:pt>
                <c:pt idx="3324">
                  <c:v>21.67</c:v>
                </c:pt>
                <c:pt idx="3325">
                  <c:v>20.95</c:v>
                </c:pt>
                <c:pt idx="3326">
                  <c:v>20.7</c:v>
                </c:pt>
                <c:pt idx="3327">
                  <c:v>20.58</c:v>
                </c:pt>
                <c:pt idx="3328">
                  <c:v>19.59</c:v>
                </c:pt>
                <c:pt idx="3329">
                  <c:v>18.489999999999998</c:v>
                </c:pt>
                <c:pt idx="3330">
                  <c:v>18.61</c:v>
                </c:pt>
                <c:pt idx="3331">
                  <c:v>19.59</c:v>
                </c:pt>
                <c:pt idx="3332">
                  <c:v>19.11</c:v>
                </c:pt>
                <c:pt idx="3333">
                  <c:v>22.61</c:v>
                </c:pt>
                <c:pt idx="3334">
                  <c:v>24.8</c:v>
                </c:pt>
                <c:pt idx="3335">
                  <c:v>26.52</c:v>
                </c:pt>
                <c:pt idx="3336">
                  <c:v>23.73</c:v>
                </c:pt>
                <c:pt idx="3337">
                  <c:v>26.14</c:v>
                </c:pt>
                <c:pt idx="3338">
                  <c:v>22.99</c:v>
                </c:pt>
                <c:pt idx="3339">
                  <c:v>25.51</c:v>
                </c:pt>
                <c:pt idx="3340">
                  <c:v>24.15</c:v>
                </c:pt>
                <c:pt idx="3341">
                  <c:v>21.38</c:v>
                </c:pt>
                <c:pt idx="3342">
                  <c:v>22.26</c:v>
                </c:pt>
                <c:pt idx="3343">
                  <c:v>22.61</c:v>
                </c:pt>
                <c:pt idx="3344">
                  <c:v>21.74</c:v>
                </c:pt>
                <c:pt idx="3345">
                  <c:v>20.6</c:v>
                </c:pt>
                <c:pt idx="3346">
                  <c:v>19.97</c:v>
                </c:pt>
                <c:pt idx="3347">
                  <c:v>19.12</c:v>
                </c:pt>
                <c:pt idx="3348">
                  <c:v>19.02</c:v>
                </c:pt>
                <c:pt idx="3349">
                  <c:v>18.7</c:v>
                </c:pt>
                <c:pt idx="3350">
                  <c:v>18.55</c:v>
                </c:pt>
                <c:pt idx="3351">
                  <c:v>19</c:v>
                </c:pt>
                <c:pt idx="3352">
                  <c:v>19.079999999999998</c:v>
                </c:pt>
                <c:pt idx="3353">
                  <c:v>18.399999999999999</c:v>
                </c:pt>
                <c:pt idx="3354">
                  <c:v>18.399999999999999</c:v>
                </c:pt>
                <c:pt idx="3355">
                  <c:v>18.97</c:v>
                </c:pt>
                <c:pt idx="3356">
                  <c:v>19.100000000000001</c:v>
                </c:pt>
                <c:pt idx="3357">
                  <c:v>19.09</c:v>
                </c:pt>
                <c:pt idx="3358">
                  <c:v>17.8</c:v>
                </c:pt>
                <c:pt idx="3359">
                  <c:v>17.07</c:v>
                </c:pt>
                <c:pt idx="3360">
                  <c:v>16.95</c:v>
                </c:pt>
                <c:pt idx="3361">
                  <c:v>16.829999999999998</c:v>
                </c:pt>
                <c:pt idx="3362">
                  <c:v>16.46</c:v>
                </c:pt>
                <c:pt idx="3363">
                  <c:v>17.170000000000002</c:v>
                </c:pt>
                <c:pt idx="3364">
                  <c:v>16.77</c:v>
                </c:pt>
                <c:pt idx="3365">
                  <c:v>16.89</c:v>
                </c:pt>
                <c:pt idx="3366">
                  <c:v>18.760000000000002</c:v>
                </c:pt>
                <c:pt idx="3367">
                  <c:v>18.84</c:v>
                </c:pt>
                <c:pt idx="3368">
                  <c:v>17.03</c:v>
                </c:pt>
                <c:pt idx="3369">
                  <c:v>15.78</c:v>
                </c:pt>
                <c:pt idx="3370">
                  <c:v>16.079999999999998</c:v>
                </c:pt>
                <c:pt idx="3371">
                  <c:v>17.78</c:v>
                </c:pt>
                <c:pt idx="3372">
                  <c:v>18.34</c:v>
                </c:pt>
                <c:pt idx="3373">
                  <c:v>20.09</c:v>
                </c:pt>
                <c:pt idx="3374">
                  <c:v>17.190000000000001</c:v>
                </c:pt>
                <c:pt idx="3375">
                  <c:v>16.98</c:v>
                </c:pt>
                <c:pt idx="3376">
                  <c:v>17.71</c:v>
                </c:pt>
                <c:pt idx="3377">
                  <c:v>16.940000000000001</c:v>
                </c:pt>
                <c:pt idx="3378">
                  <c:v>16.93</c:v>
                </c:pt>
                <c:pt idx="3379">
                  <c:v>17.03</c:v>
                </c:pt>
                <c:pt idx="3380">
                  <c:v>17.12</c:v>
                </c:pt>
                <c:pt idx="3381">
                  <c:v>17.989999999999998</c:v>
                </c:pt>
                <c:pt idx="3382">
                  <c:v>16.87</c:v>
                </c:pt>
                <c:pt idx="3383">
                  <c:v>16.05</c:v>
                </c:pt>
                <c:pt idx="3384">
                  <c:v>16.809999999999999</c:v>
                </c:pt>
                <c:pt idx="3385">
                  <c:v>17.21</c:v>
                </c:pt>
                <c:pt idx="3386">
                  <c:v>18.53</c:v>
                </c:pt>
                <c:pt idx="3387">
                  <c:v>20.03</c:v>
                </c:pt>
                <c:pt idx="3388">
                  <c:v>19.14</c:v>
                </c:pt>
                <c:pt idx="3389">
                  <c:v>17.95</c:v>
                </c:pt>
                <c:pt idx="3390">
                  <c:v>17.46</c:v>
                </c:pt>
                <c:pt idx="3391">
                  <c:v>17.46</c:v>
                </c:pt>
                <c:pt idx="3392">
                  <c:v>17.940000000000001</c:v>
                </c:pt>
                <c:pt idx="3393">
                  <c:v>15.79</c:v>
                </c:pt>
              </c:numCache>
            </c:numRef>
          </c:val>
          <c:smooth val="0"/>
          <c:extLst>
            <c:ext xmlns:c16="http://schemas.microsoft.com/office/drawing/2014/chart" uri="{C3380CC4-5D6E-409C-BE32-E72D297353CC}">
              <c16:uniqueId val="{00000005-B4DA-4AAA-AE73-476C7423929A}"/>
            </c:ext>
          </c:extLst>
        </c:ser>
        <c:dLbls>
          <c:showLegendKey val="0"/>
          <c:showVal val="0"/>
          <c:showCatName val="0"/>
          <c:showSerName val="0"/>
          <c:showPercent val="0"/>
          <c:showBubbleSize val="0"/>
        </c:dLbls>
        <c:smooth val="0"/>
        <c:axId val="240048480"/>
        <c:axId val="240051808"/>
      </c:lineChart>
      <c:dateAx>
        <c:axId val="2400484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0051808"/>
        <c:crosses val="autoZero"/>
        <c:auto val="1"/>
        <c:lblOffset val="100"/>
        <c:baseTimeUnit val="days"/>
        <c:majorUnit val="5"/>
        <c:majorTimeUnit val="months"/>
      </c:dateAx>
      <c:valAx>
        <c:axId val="240051808"/>
        <c:scaling>
          <c:orientation val="minMax"/>
        </c:scaling>
        <c:delete val="1"/>
        <c:axPos val="l"/>
        <c:numFmt formatCode="General" sourceLinked="1"/>
        <c:majorTickMark val="none"/>
        <c:minorTickMark val="none"/>
        <c:tickLblPos val="nextTo"/>
        <c:crossAx val="240048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7181883753081"/>
          <c:y val="3.712312497250693E-2"/>
          <c:w val="0.82774726513193486"/>
          <c:h val="0.81331456472968811"/>
        </c:manualLayout>
      </c:layout>
      <c:lineChart>
        <c:grouping val="standard"/>
        <c:varyColors val="0"/>
        <c:ser>
          <c:idx val="0"/>
          <c:order val="0"/>
          <c:tx>
            <c:strRef>
              <c:f>Resultados!$D$35</c:f>
              <c:strCache>
                <c:ptCount val="1"/>
                <c:pt idx="0">
                  <c:v> Escenario con aumento de WTI </c:v>
                </c:pt>
              </c:strCache>
            </c:strRef>
          </c:tx>
          <c:spPr>
            <a:ln w="19050" cap="rnd">
              <a:solidFill>
                <a:schemeClr val="accent2"/>
              </a:solidFill>
              <a:prstDash val="sysDot"/>
              <a:round/>
            </a:ln>
            <a:effectLst/>
          </c:spPr>
          <c:marker>
            <c:symbol val="none"/>
          </c:marker>
          <c:cat>
            <c:numRef>
              <c:f>Resultados!$AA$31:$AA$46</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Resultados!$AB$63:$AB$78</c:f>
              <c:numCache>
                <c:formatCode>_-* #,##0.0_-;\-* #,##0.0_-;_-* "-"??_-;_-@_-</c:formatCode>
                <c:ptCount val="16"/>
                <c:pt idx="0">
                  <c:v>58.969092839999995</c:v>
                </c:pt>
                <c:pt idx="1">
                  <c:v>54.122290739999997</c:v>
                </c:pt>
                <c:pt idx="2">
                  <c:v>64.341983159999998</c:v>
                </c:pt>
                <c:pt idx="3">
                  <c:v>58.118363520000003</c:v>
                </c:pt>
                <c:pt idx="4">
                  <c:v>58.442823820139743</c:v>
                </c:pt>
                <c:pt idx="5">
                  <c:v>53.89207885162643</c:v>
                </c:pt>
                <c:pt idx="6">
                  <c:v>60.124259155869275</c:v>
                </c:pt>
                <c:pt idx="7">
                  <c:v>59.085453833888131</c:v>
                </c:pt>
                <c:pt idx="8">
                  <c:v>53.82628953389203</c:v>
                </c:pt>
                <c:pt idx="9">
                  <c:v>58.607336915712132</c:v>
                </c:pt>
                <c:pt idx="10">
                  <c:v>57.694543502794851</c:v>
                </c:pt>
                <c:pt idx="11">
                  <c:v>63.221539262895639</c:v>
                </c:pt>
                <c:pt idx="12">
                  <c:v>57.997322594420758</c:v>
                </c:pt>
                <c:pt idx="13">
                  <c:v>56.572152941832677</c:v>
                </c:pt>
                <c:pt idx="14">
                  <c:v>58.285607440038326</c:v>
                </c:pt>
                <c:pt idx="15">
                  <c:v>57.361223696884714</c:v>
                </c:pt>
              </c:numCache>
            </c:numRef>
          </c:val>
          <c:smooth val="0"/>
          <c:extLst>
            <c:ext xmlns:c16="http://schemas.microsoft.com/office/drawing/2014/chart" uri="{C3380CC4-5D6E-409C-BE32-E72D297353CC}">
              <c16:uniqueId val="{00000000-59AE-45C6-8943-A6CEF9821367}"/>
            </c:ext>
          </c:extLst>
        </c:ser>
        <c:ser>
          <c:idx val="2"/>
          <c:order val="1"/>
          <c:tx>
            <c:strRef>
              <c:f>Resultados!$D$45</c:f>
              <c:strCache>
                <c:ptCount val="1"/>
                <c:pt idx="0">
                  <c:v> Escenario con subsidio  </c:v>
                </c:pt>
              </c:strCache>
            </c:strRef>
          </c:tx>
          <c:spPr>
            <a:ln w="22225" cap="rnd">
              <a:solidFill>
                <a:schemeClr val="accent6"/>
              </a:solidFill>
              <a:prstDash val="sysDot"/>
              <a:round/>
            </a:ln>
            <a:effectLst/>
          </c:spPr>
          <c:marker>
            <c:symbol val="none"/>
          </c:marker>
          <c:cat>
            <c:numRef>
              <c:f>Resultados!$AA$31:$AA$46</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Resultados!$AB$95:$AB$110</c:f>
              <c:numCache>
                <c:formatCode>_-* #,##0.0_-;\-* #,##0.0_-;_-* "-"??_-;_-@_-</c:formatCode>
                <c:ptCount val="16"/>
                <c:pt idx="0">
                  <c:v>58.969092839999995</c:v>
                </c:pt>
                <c:pt idx="1">
                  <c:v>54.122290739999997</c:v>
                </c:pt>
                <c:pt idx="2">
                  <c:v>64.341983159999998</c:v>
                </c:pt>
                <c:pt idx="3">
                  <c:v>58.118363520000003</c:v>
                </c:pt>
                <c:pt idx="4">
                  <c:v>58.051585694940172</c:v>
                </c:pt>
                <c:pt idx="5">
                  <c:v>53.531305115608696</c:v>
                </c:pt>
                <c:pt idx="6">
                  <c:v>59.721764873533637</c:v>
                </c:pt>
                <c:pt idx="7">
                  <c:v>58.689913702978679</c:v>
                </c:pt>
                <c:pt idx="8">
                  <c:v>53.465956216177972</c:v>
                </c:pt>
                <c:pt idx="9">
                  <c:v>58.214997478309016</c:v>
                </c:pt>
                <c:pt idx="10">
                  <c:v>57.308314645959562</c:v>
                </c:pt>
                <c:pt idx="11">
                  <c:v>62.798310628879449</c:v>
                </c:pt>
                <c:pt idx="12">
                  <c:v>58.600964926343615</c:v>
                </c:pt>
                <c:pt idx="13">
                  <c:v>57.160961955698944</c:v>
                </c:pt>
                <c:pt idx="14">
                  <c:v>58.892250271444311</c:v>
                </c:pt>
                <c:pt idx="15">
                  <c:v>57.95824544350009</c:v>
                </c:pt>
              </c:numCache>
            </c:numRef>
          </c:val>
          <c:smooth val="0"/>
          <c:extLst>
            <c:ext xmlns:c16="http://schemas.microsoft.com/office/drawing/2014/chart" uri="{C3380CC4-5D6E-409C-BE32-E72D297353CC}">
              <c16:uniqueId val="{00000001-59AE-45C6-8943-A6CEF9821367}"/>
            </c:ext>
          </c:extLst>
        </c:ser>
        <c:ser>
          <c:idx val="1"/>
          <c:order val="2"/>
          <c:tx>
            <c:strRef>
              <c:f>Resultados!$D$24</c:f>
              <c:strCache>
                <c:ptCount val="1"/>
                <c:pt idx="0">
                  <c:v>Escenario base</c:v>
                </c:pt>
              </c:strCache>
            </c:strRef>
          </c:tx>
          <c:spPr>
            <a:ln w="28575" cap="rnd">
              <a:solidFill>
                <a:srgbClr val="002060"/>
              </a:solidFill>
              <a:round/>
            </a:ln>
            <a:effectLst/>
          </c:spPr>
          <c:marker>
            <c:symbol val="none"/>
          </c:marker>
          <c:cat>
            <c:numRef>
              <c:f>Resultados!$AA$31:$AA$46</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Resultados!$AB$31:$AB$46</c:f>
              <c:numCache>
                <c:formatCode>_-* #,##0.0_-;\-* #,##0.0_-;_-* "-"??_-;_-@_-</c:formatCode>
                <c:ptCount val="16"/>
                <c:pt idx="0">
                  <c:v>58.969092839999995</c:v>
                </c:pt>
                <c:pt idx="1">
                  <c:v>54.122290739999997</c:v>
                </c:pt>
                <c:pt idx="2">
                  <c:v>64.341983159999998</c:v>
                </c:pt>
                <c:pt idx="3">
                  <c:v>58.118363520000003</c:v>
                </c:pt>
                <c:pt idx="4" formatCode="0.00">
                  <c:v>58.442823820139743</c:v>
                </c:pt>
                <c:pt idx="5" formatCode="0.00">
                  <c:v>53.89207885162643</c:v>
                </c:pt>
                <c:pt idx="6" formatCode="0.00">
                  <c:v>60.124259155869275</c:v>
                </c:pt>
                <c:pt idx="7" formatCode="0.00">
                  <c:v>59.085453833888131</c:v>
                </c:pt>
                <c:pt idx="8" formatCode="0.00">
                  <c:v>53.82628953389203</c:v>
                </c:pt>
                <c:pt idx="9" formatCode="0.00">
                  <c:v>58.607336915712132</c:v>
                </c:pt>
                <c:pt idx="10" formatCode="0.00">
                  <c:v>57.694543502794851</c:v>
                </c:pt>
                <c:pt idx="11" formatCode="0.00">
                  <c:v>63.221539262895639</c:v>
                </c:pt>
                <c:pt idx="12" formatCode="0.00">
                  <c:v>60.187262912198662</c:v>
                </c:pt>
                <c:pt idx="13" formatCode="0.00">
                  <c:v>58.708279801639399</c:v>
                </c:pt>
                <c:pt idx="14" formatCode="0.00">
                  <c:v>60.486433201801944</c:v>
                </c:pt>
                <c:pt idx="15" formatCode="0.00">
                  <c:v>59.527145343463786</c:v>
                </c:pt>
              </c:numCache>
            </c:numRef>
          </c:val>
          <c:smooth val="0"/>
          <c:extLst>
            <c:ext xmlns:c16="http://schemas.microsoft.com/office/drawing/2014/chart" uri="{C3380CC4-5D6E-409C-BE32-E72D297353CC}">
              <c16:uniqueId val="{00000002-59AE-45C6-8943-A6CEF9821367}"/>
            </c:ext>
          </c:extLst>
        </c:ser>
        <c:dLbls>
          <c:showLegendKey val="0"/>
          <c:showVal val="0"/>
          <c:showCatName val="0"/>
          <c:showSerName val="0"/>
          <c:showPercent val="0"/>
          <c:showBubbleSize val="0"/>
        </c:dLbls>
        <c:smooth val="0"/>
        <c:axId val="253913120"/>
        <c:axId val="253895232"/>
      </c:lineChart>
      <c:dateAx>
        <c:axId val="2539131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53895232"/>
        <c:crosses val="autoZero"/>
        <c:auto val="1"/>
        <c:lblOffset val="100"/>
        <c:baseTimeUnit val="months"/>
        <c:majorUnit val="3"/>
        <c:majorTimeUnit val="months"/>
      </c:dateAx>
      <c:valAx>
        <c:axId val="253895232"/>
        <c:scaling>
          <c:orientation val="minMax"/>
          <c:max val="65"/>
          <c:min val="50"/>
        </c:scaling>
        <c:delete val="0"/>
        <c:axPos val="l"/>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53913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92505708051683"/>
          <c:y val="3.712312497250693E-2"/>
          <c:w val="0.81365654882846583"/>
          <c:h val="0.83205736154489074"/>
        </c:manualLayout>
      </c:layout>
      <c:lineChart>
        <c:grouping val="standard"/>
        <c:varyColors val="0"/>
        <c:ser>
          <c:idx val="0"/>
          <c:order val="0"/>
          <c:tx>
            <c:strRef>
              <c:f>Resultados!$D$35</c:f>
              <c:strCache>
                <c:ptCount val="1"/>
                <c:pt idx="0">
                  <c:v> Escenario con aumento de WTI </c:v>
                </c:pt>
              </c:strCache>
            </c:strRef>
          </c:tx>
          <c:spPr>
            <a:ln w="19050" cap="rnd">
              <a:solidFill>
                <a:schemeClr val="accent2"/>
              </a:solidFill>
              <a:prstDash val="sysDot"/>
              <a:round/>
            </a:ln>
            <a:effectLst/>
          </c:spPr>
          <c:marker>
            <c:symbol val="none"/>
          </c:marker>
          <c:cat>
            <c:numRef>
              <c:f>Resultados!$AA$31:$AA$46</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Resultados!$AI$63:$AI$78</c:f>
              <c:numCache>
                <c:formatCode>_(* #,##0.00_);_(* \(#,##0.00\);_(* "-"??_);_(@_)</c:formatCode>
                <c:ptCount val="16"/>
                <c:pt idx="0">
                  <c:v>54.403594140000003</c:v>
                </c:pt>
                <c:pt idx="1">
                  <c:v>52.006464300000005</c:v>
                </c:pt>
                <c:pt idx="2">
                  <c:v>61.927787879999997</c:v>
                </c:pt>
                <c:pt idx="3">
                  <c:v>52.877371259999997</c:v>
                </c:pt>
                <c:pt idx="4">
                  <c:v>52.483351134065003</c:v>
                </c:pt>
                <c:pt idx="5">
                  <c:v>46.177542756790352</c:v>
                </c:pt>
                <c:pt idx="6">
                  <c:v>48.744737255646726</c:v>
                </c:pt>
                <c:pt idx="7">
                  <c:v>48.828447545048228</c:v>
                </c:pt>
                <c:pt idx="8">
                  <c:v>44.049705202868815</c:v>
                </c:pt>
                <c:pt idx="9">
                  <c:v>49.415614654576189</c:v>
                </c:pt>
                <c:pt idx="10">
                  <c:v>52.602527753705338</c:v>
                </c:pt>
                <c:pt idx="11">
                  <c:v>55.595691828754603</c:v>
                </c:pt>
                <c:pt idx="12">
                  <c:v>57.199639519359657</c:v>
                </c:pt>
                <c:pt idx="13">
                  <c:v>54.332609758812964</c:v>
                </c:pt>
                <c:pt idx="14">
                  <c:v>61.275497946711333</c:v>
                </c:pt>
                <c:pt idx="15">
                  <c:v>54.099826194090006</c:v>
                </c:pt>
              </c:numCache>
            </c:numRef>
          </c:val>
          <c:smooth val="0"/>
          <c:extLst>
            <c:ext xmlns:c16="http://schemas.microsoft.com/office/drawing/2014/chart" uri="{C3380CC4-5D6E-409C-BE32-E72D297353CC}">
              <c16:uniqueId val="{00000000-1F43-4ACA-84A4-BA22F6A72DB9}"/>
            </c:ext>
          </c:extLst>
        </c:ser>
        <c:ser>
          <c:idx val="2"/>
          <c:order val="1"/>
          <c:tx>
            <c:strRef>
              <c:f>Resultados!$D$45</c:f>
              <c:strCache>
                <c:ptCount val="1"/>
                <c:pt idx="0">
                  <c:v> Escenario con subsidio  </c:v>
                </c:pt>
              </c:strCache>
            </c:strRef>
          </c:tx>
          <c:spPr>
            <a:ln w="22225" cap="rnd">
              <a:solidFill>
                <a:schemeClr val="accent6"/>
              </a:solidFill>
              <a:prstDash val="sysDot"/>
              <a:round/>
            </a:ln>
            <a:effectLst/>
          </c:spPr>
          <c:marker>
            <c:symbol val="none"/>
          </c:marker>
          <c:cat>
            <c:numRef>
              <c:f>Resultados!$AA$31:$AA$46</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Resultados!$AI$95:$AI$110</c:f>
              <c:numCache>
                <c:formatCode>_-* #,##0.0_-;\-* #,##0.0_-;_-* "-"??_-;_-@_-</c:formatCode>
                <c:ptCount val="16"/>
                <c:pt idx="0">
                  <c:v>54.403594140000003</c:v>
                </c:pt>
                <c:pt idx="1">
                  <c:v>52.006464300000005</c:v>
                </c:pt>
                <c:pt idx="2">
                  <c:v>61.927787879999997</c:v>
                </c:pt>
                <c:pt idx="3">
                  <c:v>52.877371259999997</c:v>
                </c:pt>
                <c:pt idx="4">
                  <c:v>52.483351134065003</c:v>
                </c:pt>
                <c:pt idx="5">
                  <c:v>46.177542756790352</c:v>
                </c:pt>
                <c:pt idx="6">
                  <c:v>48.744737255646726</c:v>
                </c:pt>
                <c:pt idx="7">
                  <c:v>48.828447545048228</c:v>
                </c:pt>
                <c:pt idx="8">
                  <c:v>44.049705202868815</c:v>
                </c:pt>
                <c:pt idx="9">
                  <c:v>49.415614654576189</c:v>
                </c:pt>
                <c:pt idx="10">
                  <c:v>52.602527753705338</c:v>
                </c:pt>
                <c:pt idx="11">
                  <c:v>55.595691828754603</c:v>
                </c:pt>
                <c:pt idx="12">
                  <c:v>58.214780688224259</c:v>
                </c:pt>
                <c:pt idx="13">
                  <c:v>55.296868789839863</c:v>
                </c:pt>
                <c:pt idx="14">
                  <c:v>62.362974740814764</c:v>
                </c:pt>
                <c:pt idx="15">
                  <c:v>55.059953937193221</c:v>
                </c:pt>
              </c:numCache>
            </c:numRef>
          </c:val>
          <c:smooth val="0"/>
          <c:extLst>
            <c:ext xmlns:c16="http://schemas.microsoft.com/office/drawing/2014/chart" uri="{C3380CC4-5D6E-409C-BE32-E72D297353CC}">
              <c16:uniqueId val="{00000001-1F43-4ACA-84A4-BA22F6A72DB9}"/>
            </c:ext>
          </c:extLst>
        </c:ser>
        <c:ser>
          <c:idx val="1"/>
          <c:order val="2"/>
          <c:tx>
            <c:strRef>
              <c:f>Resultados!$D$24</c:f>
              <c:strCache>
                <c:ptCount val="1"/>
                <c:pt idx="0">
                  <c:v>Escenario base</c:v>
                </c:pt>
              </c:strCache>
            </c:strRef>
          </c:tx>
          <c:spPr>
            <a:ln w="28575" cap="rnd">
              <a:solidFill>
                <a:srgbClr val="002060"/>
              </a:solidFill>
              <a:round/>
            </a:ln>
            <a:effectLst/>
          </c:spPr>
          <c:marker>
            <c:symbol val="none"/>
          </c:marker>
          <c:cat>
            <c:numRef>
              <c:f>Resultados!$AA$31:$AA$46</c:f>
              <c:numCache>
                <c:formatCode>mmm\-yy</c:formatCode>
                <c:ptCount val="1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numCache>
            </c:numRef>
          </c:cat>
          <c:val>
            <c:numRef>
              <c:f>Resultados!$AI$31:$AI$46</c:f>
              <c:numCache>
                <c:formatCode>_(* #,##0.00_);_(* \(#,##0.00\);_(* "-"??_);_(@_)</c:formatCode>
                <c:ptCount val="16"/>
                <c:pt idx="0">
                  <c:v>54.403594140000003</c:v>
                </c:pt>
                <c:pt idx="1">
                  <c:v>52.006464300000005</c:v>
                </c:pt>
                <c:pt idx="2">
                  <c:v>61.927787879999997</c:v>
                </c:pt>
                <c:pt idx="3">
                  <c:v>52.877371259999997</c:v>
                </c:pt>
                <c:pt idx="4">
                  <c:v>52.483351134065003</c:v>
                </c:pt>
                <c:pt idx="5">
                  <c:v>46.177542756790352</c:v>
                </c:pt>
                <c:pt idx="6">
                  <c:v>48.744737255646726</c:v>
                </c:pt>
                <c:pt idx="7">
                  <c:v>48.828447545048228</c:v>
                </c:pt>
                <c:pt idx="8">
                  <c:v>44.049705202868815</c:v>
                </c:pt>
                <c:pt idx="9">
                  <c:v>49.415614654576189</c:v>
                </c:pt>
                <c:pt idx="10">
                  <c:v>52.602527753705338</c:v>
                </c:pt>
                <c:pt idx="11">
                  <c:v>55.595691828754603</c:v>
                </c:pt>
                <c:pt idx="12">
                  <c:v>58.780147293225404</c:v>
                </c:pt>
                <c:pt idx="13">
                  <c:v>55.833897403626764</c:v>
                </c:pt>
                <c:pt idx="14">
                  <c:v>62.96862751301731</c:v>
                </c:pt>
                <c:pt idx="15">
                  <c:v>55.594681696380455</c:v>
                </c:pt>
              </c:numCache>
            </c:numRef>
          </c:val>
          <c:smooth val="0"/>
          <c:extLst>
            <c:ext xmlns:c16="http://schemas.microsoft.com/office/drawing/2014/chart" uri="{C3380CC4-5D6E-409C-BE32-E72D297353CC}">
              <c16:uniqueId val="{00000002-1F43-4ACA-84A4-BA22F6A72DB9}"/>
            </c:ext>
          </c:extLst>
        </c:ser>
        <c:dLbls>
          <c:showLegendKey val="0"/>
          <c:showVal val="0"/>
          <c:showCatName val="0"/>
          <c:showSerName val="0"/>
          <c:showPercent val="0"/>
          <c:showBubbleSize val="0"/>
        </c:dLbls>
        <c:smooth val="0"/>
        <c:axId val="253913120"/>
        <c:axId val="253895232"/>
      </c:lineChart>
      <c:dateAx>
        <c:axId val="2539131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53895232"/>
        <c:crosses val="autoZero"/>
        <c:auto val="1"/>
        <c:lblOffset val="100"/>
        <c:baseTimeUnit val="months"/>
        <c:majorUnit val="3"/>
        <c:majorTimeUnit val="months"/>
      </c:dateAx>
      <c:valAx>
        <c:axId val="253895232"/>
        <c:scaling>
          <c:orientation val="minMax"/>
          <c:max val="65"/>
          <c:min val="40"/>
        </c:scaling>
        <c:delete val="0"/>
        <c:axPos val="l"/>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53913120"/>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22638888888889"/>
          <c:y val="2.5544813731996487E-2"/>
          <c:w val="0.77402842285287654"/>
          <c:h val="0.66110061982571078"/>
        </c:manualLayout>
      </c:layout>
      <c:lineChart>
        <c:grouping val="standard"/>
        <c:varyColors val="0"/>
        <c:ser>
          <c:idx val="0"/>
          <c:order val="0"/>
          <c:tx>
            <c:strRef>
              <c:f>'Impacto baja'!$L$16</c:f>
              <c:strCache>
                <c:ptCount val="1"/>
                <c:pt idx="0">
                  <c:v>Precio WTI en USD$</c:v>
                </c:pt>
              </c:strCache>
            </c:strRef>
          </c:tx>
          <c:spPr>
            <a:ln w="28575" cap="rnd">
              <a:solidFill>
                <a:srgbClr val="C00000"/>
              </a:solidFill>
              <a:prstDash val="sysDash"/>
              <a:round/>
            </a:ln>
            <a:effectLst/>
          </c:spPr>
          <c:marker>
            <c:symbol val="none"/>
          </c:marker>
          <c:cat>
            <c:numRef>
              <c:f>'Impacto baja'!$B$17:$B$37</c:f>
              <c:numCache>
                <c:formatCode>yyyy</c:formatCode>
                <c:ptCount val="21"/>
                <c:pt idx="0">
                  <c:v>37257</c:v>
                </c:pt>
                <c:pt idx="1">
                  <c:v>37622</c:v>
                </c:pt>
                <c:pt idx="2">
                  <c:v>37987</c:v>
                </c:pt>
                <c:pt idx="3">
                  <c:v>38353</c:v>
                </c:pt>
                <c:pt idx="4">
                  <c:v>38718</c:v>
                </c:pt>
                <c:pt idx="5">
                  <c:v>39083</c:v>
                </c:pt>
                <c:pt idx="6">
                  <c:v>39448</c:v>
                </c:pt>
                <c:pt idx="7">
                  <c:v>39814</c:v>
                </c:pt>
                <c:pt idx="8">
                  <c:v>40179</c:v>
                </c:pt>
                <c:pt idx="9">
                  <c:v>40544</c:v>
                </c:pt>
                <c:pt idx="10">
                  <c:v>40909</c:v>
                </c:pt>
                <c:pt idx="11">
                  <c:v>41275</c:v>
                </c:pt>
                <c:pt idx="12">
                  <c:v>41640</c:v>
                </c:pt>
                <c:pt idx="13">
                  <c:v>42005</c:v>
                </c:pt>
                <c:pt idx="14">
                  <c:v>42370</c:v>
                </c:pt>
                <c:pt idx="15">
                  <c:v>42736</c:v>
                </c:pt>
                <c:pt idx="16">
                  <c:v>43101</c:v>
                </c:pt>
                <c:pt idx="17">
                  <c:v>43466</c:v>
                </c:pt>
                <c:pt idx="18">
                  <c:v>43831</c:v>
                </c:pt>
                <c:pt idx="19">
                  <c:v>44197</c:v>
                </c:pt>
                <c:pt idx="20">
                  <c:v>44562</c:v>
                </c:pt>
              </c:numCache>
            </c:numRef>
          </c:cat>
          <c:val>
            <c:numRef>
              <c:f>'Impacto baja'!$L$17:$L$37</c:f>
              <c:numCache>
                <c:formatCode>_-* #,##0.0_-;\-* #,##0.0_-;_-* "-"??_-;_-@_-</c:formatCode>
                <c:ptCount val="21"/>
                <c:pt idx="1">
                  <c:v>18.71657754010694</c:v>
                </c:pt>
                <c:pt idx="2">
                  <c:v>33.558558558558559</c:v>
                </c:pt>
                <c:pt idx="3">
                  <c:v>36.449048422066966</c:v>
                </c:pt>
                <c:pt idx="4">
                  <c:v>16.613700564971751</c:v>
                </c:pt>
                <c:pt idx="5">
                  <c:v>9.5230885692657097</c:v>
                </c:pt>
                <c:pt idx="6">
                  <c:v>37.779928117224216</c:v>
                </c:pt>
                <c:pt idx="7">
                  <c:v>-37.844888130831741</c:v>
                </c:pt>
                <c:pt idx="8">
                  <c:v>28.297013720742541</c:v>
                </c:pt>
                <c:pt idx="9">
                  <c:v>19.375943633618505</c:v>
                </c:pt>
                <c:pt idx="10">
                  <c:v>-0.87478920741989441</c:v>
                </c:pt>
                <c:pt idx="11">
                  <c:v>4.17862838915471</c:v>
                </c:pt>
                <c:pt idx="12">
                  <c:v>-4.9091651357419863</c:v>
                </c:pt>
                <c:pt idx="13">
                  <c:v>-47.772888268756041</c:v>
                </c:pt>
                <c:pt idx="14">
                  <c:v>-11.035758323057948</c:v>
                </c:pt>
                <c:pt idx="15">
                  <c:v>17.348117348117341</c:v>
                </c:pt>
                <c:pt idx="16">
                  <c:v>28.405511811023644</c:v>
                </c:pt>
                <c:pt idx="17">
                  <c:v>-12.632224436608936</c:v>
                </c:pt>
                <c:pt idx="18">
                  <c:v>-31.286190559747325</c:v>
                </c:pt>
                <c:pt idx="19">
                  <c:v>73.978549540347302</c:v>
                </c:pt>
                <c:pt idx="20">
                  <c:v>39.292528988698109</c:v>
                </c:pt>
              </c:numCache>
            </c:numRef>
          </c:val>
          <c:smooth val="0"/>
          <c:extLst>
            <c:ext xmlns:c16="http://schemas.microsoft.com/office/drawing/2014/chart" uri="{C3380CC4-5D6E-409C-BE32-E72D297353CC}">
              <c16:uniqueId val="{00000000-3490-4D0F-8AE9-22ED408EDEF1}"/>
            </c:ext>
          </c:extLst>
        </c:ser>
        <c:ser>
          <c:idx val="1"/>
          <c:order val="1"/>
          <c:tx>
            <c:strRef>
              <c:f>'Impacto baja'!$P$16</c:f>
              <c:strCache>
                <c:ptCount val="1"/>
                <c:pt idx="0">
                  <c:v>Precio medio combustibles</c:v>
                </c:pt>
              </c:strCache>
            </c:strRef>
          </c:tx>
          <c:spPr>
            <a:ln w="28575" cap="rnd">
              <a:solidFill>
                <a:srgbClr val="002060"/>
              </a:solidFill>
              <a:round/>
            </a:ln>
            <a:effectLst/>
          </c:spPr>
          <c:marker>
            <c:symbol val="none"/>
          </c:marker>
          <c:cat>
            <c:numRef>
              <c:f>'Impacto baja'!$B$17:$B$37</c:f>
              <c:numCache>
                <c:formatCode>yyyy</c:formatCode>
                <c:ptCount val="21"/>
                <c:pt idx="0">
                  <c:v>37257</c:v>
                </c:pt>
                <c:pt idx="1">
                  <c:v>37622</c:v>
                </c:pt>
                <c:pt idx="2">
                  <c:v>37987</c:v>
                </c:pt>
                <c:pt idx="3">
                  <c:v>38353</c:v>
                </c:pt>
                <c:pt idx="4">
                  <c:v>38718</c:v>
                </c:pt>
                <c:pt idx="5">
                  <c:v>39083</c:v>
                </c:pt>
                <c:pt idx="6">
                  <c:v>39448</c:v>
                </c:pt>
                <c:pt idx="7">
                  <c:v>39814</c:v>
                </c:pt>
                <c:pt idx="8">
                  <c:v>40179</c:v>
                </c:pt>
                <c:pt idx="9">
                  <c:v>40544</c:v>
                </c:pt>
                <c:pt idx="10">
                  <c:v>40909</c:v>
                </c:pt>
                <c:pt idx="11">
                  <c:v>41275</c:v>
                </c:pt>
                <c:pt idx="12">
                  <c:v>41640</c:v>
                </c:pt>
                <c:pt idx="13">
                  <c:v>42005</c:v>
                </c:pt>
                <c:pt idx="14">
                  <c:v>42370</c:v>
                </c:pt>
                <c:pt idx="15">
                  <c:v>42736</c:v>
                </c:pt>
                <c:pt idx="16">
                  <c:v>43101</c:v>
                </c:pt>
                <c:pt idx="17">
                  <c:v>43466</c:v>
                </c:pt>
                <c:pt idx="18">
                  <c:v>43831</c:v>
                </c:pt>
                <c:pt idx="19">
                  <c:v>44197</c:v>
                </c:pt>
                <c:pt idx="20">
                  <c:v>44562</c:v>
                </c:pt>
              </c:numCache>
            </c:numRef>
          </c:cat>
          <c:val>
            <c:numRef>
              <c:f>'Impacto baja'!$P$17:$P$37</c:f>
              <c:numCache>
                <c:formatCode>_-* #,##0.0_-;\-* #,##0.0_-;_-* "-"??_-;_-@_-</c:formatCode>
                <c:ptCount val="21"/>
                <c:pt idx="1">
                  <c:v>20.657391749164304</c:v>
                </c:pt>
                <c:pt idx="2">
                  <c:v>9.7887118128937516</c:v>
                </c:pt>
                <c:pt idx="3">
                  <c:v>36.850304249463704</c:v>
                </c:pt>
                <c:pt idx="4">
                  <c:v>17.213760396871521</c:v>
                </c:pt>
                <c:pt idx="5">
                  <c:v>19.761204619751638</c:v>
                </c:pt>
                <c:pt idx="6">
                  <c:v>32.434496463846529</c:v>
                </c:pt>
                <c:pt idx="7">
                  <c:v>-23.407720587766093</c:v>
                </c:pt>
                <c:pt idx="8">
                  <c:v>17.64467835751698</c:v>
                </c:pt>
                <c:pt idx="9">
                  <c:v>23.278100319543753</c:v>
                </c:pt>
                <c:pt idx="10">
                  <c:v>8.0997447963616196</c:v>
                </c:pt>
                <c:pt idx="11">
                  <c:v>-7.3853009655524033</c:v>
                </c:pt>
                <c:pt idx="12">
                  <c:v>-14.915168204597279</c:v>
                </c:pt>
                <c:pt idx="13">
                  <c:v>-35.891332013566384</c:v>
                </c:pt>
                <c:pt idx="14">
                  <c:v>-15.194153043145647</c:v>
                </c:pt>
                <c:pt idx="15">
                  <c:v>24.659023971018158</c:v>
                </c:pt>
                <c:pt idx="16">
                  <c:v>9.610693193497994</c:v>
                </c:pt>
                <c:pt idx="17">
                  <c:v>-14.28209518555343</c:v>
                </c:pt>
                <c:pt idx="18">
                  <c:v>-11.143341189291689</c:v>
                </c:pt>
                <c:pt idx="19">
                  <c:v>54.006759045023244</c:v>
                </c:pt>
                <c:pt idx="20">
                  <c:v>52.82384528828274</c:v>
                </c:pt>
              </c:numCache>
            </c:numRef>
          </c:val>
          <c:smooth val="0"/>
          <c:extLst>
            <c:ext xmlns:c16="http://schemas.microsoft.com/office/drawing/2014/chart" uri="{C3380CC4-5D6E-409C-BE32-E72D297353CC}">
              <c16:uniqueId val="{00000001-3490-4D0F-8AE9-22ED408EDEF1}"/>
            </c:ext>
          </c:extLst>
        </c:ser>
        <c:dLbls>
          <c:showLegendKey val="0"/>
          <c:showVal val="0"/>
          <c:showCatName val="0"/>
          <c:showSerName val="0"/>
          <c:showPercent val="0"/>
          <c:showBubbleSize val="0"/>
        </c:dLbls>
        <c:smooth val="0"/>
        <c:axId val="1174311680"/>
        <c:axId val="1174303776"/>
      </c:lineChart>
      <c:dateAx>
        <c:axId val="1174311680"/>
        <c:scaling>
          <c:orientation val="minMax"/>
          <c:min val="40179"/>
        </c:scaling>
        <c:delete val="0"/>
        <c:axPos val="b"/>
        <c:numFmt formatCode="yy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4303776"/>
        <c:crosses val="autoZero"/>
        <c:auto val="1"/>
        <c:lblOffset val="100"/>
        <c:baseTimeUnit val="years"/>
      </c:dateAx>
      <c:valAx>
        <c:axId val="1174303776"/>
        <c:scaling>
          <c:orientation val="minMax"/>
          <c:max val="90"/>
          <c:min val="-6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Tasa de variación</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4311680"/>
        <c:crosses val="autoZero"/>
        <c:crossBetween val="between"/>
      </c:valAx>
      <c:spPr>
        <a:noFill/>
        <a:ln>
          <a:noFill/>
        </a:ln>
        <a:effectLst/>
      </c:spPr>
    </c:plotArea>
    <c:legend>
      <c:legendPos val="b"/>
      <c:layout>
        <c:manualLayout>
          <c:xMode val="edge"/>
          <c:yMode val="edge"/>
          <c:x val="2.4024206349206337E-2"/>
          <c:y val="0.8800311111111111"/>
          <c:w val="0.9469115079365078"/>
          <c:h val="7.763555555555554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06471104011669"/>
          <c:y val="2.2246532876058722E-2"/>
          <c:w val="0.62289593624391215"/>
          <c:h val="0.7418479967820677"/>
        </c:manualLayout>
      </c:layout>
      <c:lineChart>
        <c:grouping val="standard"/>
        <c:varyColors val="0"/>
        <c:ser>
          <c:idx val="0"/>
          <c:order val="0"/>
          <c:tx>
            <c:strRef>
              <c:f>'Impacto baja'!$L$16</c:f>
              <c:strCache>
                <c:ptCount val="1"/>
                <c:pt idx="0">
                  <c:v>Precio WTI en USD$</c:v>
                </c:pt>
              </c:strCache>
            </c:strRef>
          </c:tx>
          <c:spPr>
            <a:ln w="28575" cap="rnd">
              <a:solidFill>
                <a:srgbClr val="002060"/>
              </a:solidFill>
              <a:round/>
            </a:ln>
            <a:effectLst/>
          </c:spPr>
          <c:marker>
            <c:symbol val="none"/>
          </c:marker>
          <c:cat>
            <c:numRef>
              <c:f>'Impacto baja'!$B$17:$B$37</c:f>
              <c:numCache>
                <c:formatCode>yyyy</c:formatCode>
                <c:ptCount val="21"/>
                <c:pt idx="0">
                  <c:v>37257</c:v>
                </c:pt>
                <c:pt idx="1">
                  <c:v>37622</c:v>
                </c:pt>
                <c:pt idx="2">
                  <c:v>37987</c:v>
                </c:pt>
                <c:pt idx="3">
                  <c:v>38353</c:v>
                </c:pt>
                <c:pt idx="4">
                  <c:v>38718</c:v>
                </c:pt>
                <c:pt idx="5">
                  <c:v>39083</c:v>
                </c:pt>
                <c:pt idx="6">
                  <c:v>39448</c:v>
                </c:pt>
                <c:pt idx="7">
                  <c:v>39814</c:v>
                </c:pt>
                <c:pt idx="8">
                  <c:v>40179</c:v>
                </c:pt>
                <c:pt idx="9">
                  <c:v>40544</c:v>
                </c:pt>
                <c:pt idx="10">
                  <c:v>40909</c:v>
                </c:pt>
                <c:pt idx="11">
                  <c:v>41275</c:v>
                </c:pt>
                <c:pt idx="12">
                  <c:v>41640</c:v>
                </c:pt>
                <c:pt idx="13">
                  <c:v>42005</c:v>
                </c:pt>
                <c:pt idx="14">
                  <c:v>42370</c:v>
                </c:pt>
                <c:pt idx="15">
                  <c:v>42736</c:v>
                </c:pt>
                <c:pt idx="16">
                  <c:v>43101</c:v>
                </c:pt>
                <c:pt idx="17">
                  <c:v>43466</c:v>
                </c:pt>
                <c:pt idx="18">
                  <c:v>43831</c:v>
                </c:pt>
                <c:pt idx="19">
                  <c:v>44197</c:v>
                </c:pt>
                <c:pt idx="20">
                  <c:v>44562</c:v>
                </c:pt>
              </c:numCache>
            </c:numRef>
          </c:cat>
          <c:val>
            <c:numRef>
              <c:f>'Impacto baja'!$L$17:$L$37</c:f>
              <c:numCache>
                <c:formatCode>_-* #,##0.0_-;\-* #,##0.0_-;_-* "-"??_-;_-@_-</c:formatCode>
                <c:ptCount val="21"/>
                <c:pt idx="1">
                  <c:v>18.71657754010694</c:v>
                </c:pt>
                <c:pt idx="2">
                  <c:v>33.558558558558559</c:v>
                </c:pt>
                <c:pt idx="3">
                  <c:v>36.449048422066966</c:v>
                </c:pt>
                <c:pt idx="4">
                  <c:v>16.613700564971751</c:v>
                </c:pt>
                <c:pt idx="5">
                  <c:v>9.5230885692657097</c:v>
                </c:pt>
                <c:pt idx="6">
                  <c:v>37.779928117224216</c:v>
                </c:pt>
                <c:pt idx="7">
                  <c:v>-37.844888130831741</c:v>
                </c:pt>
                <c:pt idx="8">
                  <c:v>28.297013720742541</c:v>
                </c:pt>
                <c:pt idx="9">
                  <c:v>19.375943633618505</c:v>
                </c:pt>
                <c:pt idx="10">
                  <c:v>-0.87478920741989441</c:v>
                </c:pt>
                <c:pt idx="11">
                  <c:v>4.17862838915471</c:v>
                </c:pt>
                <c:pt idx="12">
                  <c:v>-4.9091651357419863</c:v>
                </c:pt>
                <c:pt idx="13">
                  <c:v>-47.772888268756041</c:v>
                </c:pt>
                <c:pt idx="14">
                  <c:v>-11.035758323057948</c:v>
                </c:pt>
                <c:pt idx="15">
                  <c:v>17.348117348117341</c:v>
                </c:pt>
                <c:pt idx="16">
                  <c:v>28.405511811023644</c:v>
                </c:pt>
                <c:pt idx="17">
                  <c:v>-12.632224436608936</c:v>
                </c:pt>
                <c:pt idx="18">
                  <c:v>-31.286190559747325</c:v>
                </c:pt>
                <c:pt idx="19">
                  <c:v>73.978549540347302</c:v>
                </c:pt>
                <c:pt idx="20">
                  <c:v>39.292528988698109</c:v>
                </c:pt>
              </c:numCache>
            </c:numRef>
          </c:val>
          <c:smooth val="0"/>
          <c:extLst>
            <c:ext xmlns:c16="http://schemas.microsoft.com/office/drawing/2014/chart" uri="{C3380CC4-5D6E-409C-BE32-E72D297353CC}">
              <c16:uniqueId val="{00000000-2196-4BF1-996E-6AB13C661B57}"/>
            </c:ext>
          </c:extLst>
        </c:ser>
        <c:dLbls>
          <c:showLegendKey val="0"/>
          <c:showVal val="0"/>
          <c:showCatName val="0"/>
          <c:showSerName val="0"/>
          <c:showPercent val="0"/>
          <c:showBubbleSize val="0"/>
        </c:dLbls>
        <c:marker val="1"/>
        <c:smooth val="0"/>
        <c:axId val="1174311680"/>
        <c:axId val="1174303776"/>
      </c:lineChart>
      <c:lineChart>
        <c:grouping val="standard"/>
        <c:varyColors val="0"/>
        <c:ser>
          <c:idx val="1"/>
          <c:order val="1"/>
          <c:tx>
            <c:strRef>
              <c:f>'Impacto baja'!$T$16</c:f>
              <c:strCache>
                <c:ptCount val="1"/>
                <c:pt idx="0">
                  <c:v>IVA importaciones en USD$</c:v>
                </c:pt>
              </c:strCache>
            </c:strRef>
          </c:tx>
          <c:spPr>
            <a:ln w="28575" cap="rnd">
              <a:solidFill>
                <a:srgbClr val="C00000"/>
              </a:solidFill>
              <a:prstDash val="sysDash"/>
              <a:round/>
            </a:ln>
            <a:effectLst/>
          </c:spPr>
          <c:marker>
            <c:symbol val="none"/>
          </c:marker>
          <c:cat>
            <c:numRef>
              <c:f>'Impacto baja'!$B$17:$B$37</c:f>
              <c:numCache>
                <c:formatCode>yyyy</c:formatCode>
                <c:ptCount val="21"/>
                <c:pt idx="0">
                  <c:v>37257</c:v>
                </c:pt>
                <c:pt idx="1">
                  <c:v>37622</c:v>
                </c:pt>
                <c:pt idx="2">
                  <c:v>37987</c:v>
                </c:pt>
                <c:pt idx="3">
                  <c:v>38353</c:v>
                </c:pt>
                <c:pt idx="4">
                  <c:v>38718</c:v>
                </c:pt>
                <c:pt idx="5">
                  <c:v>39083</c:v>
                </c:pt>
                <c:pt idx="6">
                  <c:v>39448</c:v>
                </c:pt>
                <c:pt idx="7">
                  <c:v>39814</c:v>
                </c:pt>
                <c:pt idx="8">
                  <c:v>40179</c:v>
                </c:pt>
                <c:pt idx="9">
                  <c:v>40544</c:v>
                </c:pt>
                <c:pt idx="10">
                  <c:v>40909</c:v>
                </c:pt>
                <c:pt idx="11">
                  <c:v>41275</c:v>
                </c:pt>
                <c:pt idx="12">
                  <c:v>41640</c:v>
                </c:pt>
                <c:pt idx="13">
                  <c:v>42005</c:v>
                </c:pt>
                <c:pt idx="14">
                  <c:v>42370</c:v>
                </c:pt>
                <c:pt idx="15">
                  <c:v>42736</c:v>
                </c:pt>
                <c:pt idx="16">
                  <c:v>43101</c:v>
                </c:pt>
                <c:pt idx="17">
                  <c:v>43466</c:v>
                </c:pt>
                <c:pt idx="18">
                  <c:v>43831</c:v>
                </c:pt>
                <c:pt idx="19">
                  <c:v>44197</c:v>
                </c:pt>
                <c:pt idx="20">
                  <c:v>44562</c:v>
                </c:pt>
              </c:numCache>
            </c:numRef>
          </c:cat>
          <c:val>
            <c:numRef>
              <c:f>'Impacto baja'!$T$17:$T$37</c:f>
              <c:numCache>
                <c:formatCode>_-* #,##0.0_-;\-* #,##0.0_-;_-* "-"??_-;_-@_-</c:formatCode>
                <c:ptCount val="21"/>
                <c:pt idx="1">
                  <c:v>8.5415951281342615</c:v>
                </c:pt>
                <c:pt idx="2">
                  <c:v>11.44655303548501</c:v>
                </c:pt>
                <c:pt idx="3">
                  <c:v>13.29216404852383</c:v>
                </c:pt>
                <c:pt idx="4">
                  <c:v>14.870709272428883</c:v>
                </c:pt>
                <c:pt idx="5">
                  <c:v>20.526330696544022</c:v>
                </c:pt>
                <c:pt idx="6">
                  <c:v>7.3031060949701754</c:v>
                </c:pt>
                <c:pt idx="7">
                  <c:v>-19.741644291409031</c:v>
                </c:pt>
                <c:pt idx="8">
                  <c:v>16.97787974298987</c:v>
                </c:pt>
                <c:pt idx="9">
                  <c:v>18.979557037439633</c:v>
                </c:pt>
                <c:pt idx="10">
                  <c:v>5.2029278147948617</c:v>
                </c:pt>
                <c:pt idx="11">
                  <c:v>1.0617774978996408E-2</c:v>
                </c:pt>
                <c:pt idx="12">
                  <c:v>5.2409914614385258</c:v>
                </c:pt>
                <c:pt idx="13">
                  <c:v>-2.6797022855829056</c:v>
                </c:pt>
                <c:pt idx="14">
                  <c:v>-1.4743233595352194</c:v>
                </c:pt>
                <c:pt idx="15">
                  <c:v>11.063780653638304</c:v>
                </c:pt>
                <c:pt idx="16">
                  <c:v>7.0097046010250352</c:v>
                </c:pt>
                <c:pt idx="17">
                  <c:v>3.3561641606870722</c:v>
                </c:pt>
                <c:pt idx="18">
                  <c:v>-8.2641138675482182</c:v>
                </c:pt>
                <c:pt idx="19">
                  <c:v>43.385844706351975</c:v>
                </c:pt>
                <c:pt idx="20">
                  <c:v>21.659974976169934</c:v>
                </c:pt>
              </c:numCache>
            </c:numRef>
          </c:val>
          <c:smooth val="0"/>
          <c:extLst>
            <c:ext xmlns:c16="http://schemas.microsoft.com/office/drawing/2014/chart" uri="{C3380CC4-5D6E-409C-BE32-E72D297353CC}">
              <c16:uniqueId val="{00000001-2196-4BF1-996E-6AB13C661B57}"/>
            </c:ext>
          </c:extLst>
        </c:ser>
        <c:dLbls>
          <c:showLegendKey val="0"/>
          <c:showVal val="0"/>
          <c:showCatName val="0"/>
          <c:showSerName val="0"/>
          <c:showPercent val="0"/>
          <c:showBubbleSize val="0"/>
        </c:dLbls>
        <c:marker val="1"/>
        <c:smooth val="0"/>
        <c:axId val="2023272672"/>
        <c:axId val="915294128"/>
      </c:lineChart>
      <c:dateAx>
        <c:axId val="1174311680"/>
        <c:scaling>
          <c:orientation val="minMax"/>
        </c:scaling>
        <c:delete val="0"/>
        <c:axPos val="b"/>
        <c:numFmt formatCode="yy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4303776"/>
        <c:crosses val="autoZero"/>
        <c:auto val="1"/>
        <c:lblOffset val="100"/>
        <c:baseTimeUnit val="years"/>
      </c:dateAx>
      <c:valAx>
        <c:axId val="1174303776"/>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Tasa de variación de WTI</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4311680"/>
        <c:crosses val="autoZero"/>
        <c:crossBetween val="between"/>
      </c:valAx>
      <c:valAx>
        <c:axId val="915294128"/>
        <c:scaling>
          <c:orientation val="minMax"/>
        </c:scaling>
        <c:delete val="0"/>
        <c:axPos val="r"/>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Tasa de variación IVA importaciones</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3272672"/>
        <c:crosses val="max"/>
        <c:crossBetween val="between"/>
      </c:valAx>
      <c:dateAx>
        <c:axId val="2023272672"/>
        <c:scaling>
          <c:orientation val="minMax"/>
        </c:scaling>
        <c:delete val="1"/>
        <c:axPos val="b"/>
        <c:numFmt formatCode="yyyy" sourceLinked="1"/>
        <c:majorTickMark val="out"/>
        <c:minorTickMark val="none"/>
        <c:tickLblPos val="nextTo"/>
        <c:crossAx val="915294128"/>
        <c:crosses val="autoZero"/>
        <c:auto val="1"/>
        <c:lblOffset val="100"/>
        <c:baseTimeUnit val="years"/>
        <c:majorUnit val="1"/>
        <c:minorUnit val="1"/>
      </c:dateAx>
      <c:spPr>
        <a:noFill/>
        <a:ln>
          <a:noFill/>
        </a:ln>
        <a:effectLst/>
      </c:spPr>
    </c:plotArea>
    <c:legend>
      <c:legendPos val="b"/>
      <c:layout>
        <c:manualLayout>
          <c:xMode val="edge"/>
          <c:yMode val="edge"/>
          <c:x val="4.9999913186154925E-2"/>
          <c:y val="0.91197687937713179"/>
          <c:w val="0.89999982637230991"/>
          <c:h val="8.802312062286825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02539682539684"/>
          <c:y val="0.12231503704295453"/>
          <c:w val="0.7345380952380951"/>
          <c:h val="0.62536009641935475"/>
        </c:manualLayout>
      </c:layout>
      <c:lineChart>
        <c:grouping val="standard"/>
        <c:varyColors val="0"/>
        <c:ser>
          <c:idx val="0"/>
          <c:order val="0"/>
          <c:tx>
            <c:strRef>
              <c:f>Graficos!$E$2</c:f>
              <c:strCache>
                <c:ptCount val="1"/>
                <c:pt idx="0">
                  <c:v>Guatemala</c:v>
                </c:pt>
              </c:strCache>
            </c:strRef>
          </c:tx>
          <c:spPr>
            <a:ln w="25400" cap="rnd">
              <a:solidFill>
                <a:srgbClr val="C00000"/>
              </a:solidFill>
              <a:round/>
            </a:ln>
            <a:effectLst/>
          </c:spPr>
          <c:marker>
            <c:symbol val="none"/>
          </c:marker>
          <c:cat>
            <c:numRef>
              <c:f>Graficos!$B$17:$B$46</c:f>
              <c:numCache>
                <c:formatCode>mmm\-yy</c:formatCode>
                <c:ptCount val="30"/>
                <c:pt idx="0">
                  <c:v>44228</c:v>
                </c:pt>
                <c:pt idx="1">
                  <c:v>44256</c:v>
                </c:pt>
                <c:pt idx="2">
                  <c:v>44287</c:v>
                </c:pt>
                <c:pt idx="3">
                  <c:v>44317</c:v>
                </c:pt>
                <c:pt idx="4">
                  <c:v>44348</c:v>
                </c:pt>
                <c:pt idx="5">
                  <c:v>44378</c:v>
                </c:pt>
                <c:pt idx="6">
                  <c:v>44409</c:v>
                </c:pt>
                <c:pt idx="7">
                  <c:v>44440</c:v>
                </c:pt>
                <c:pt idx="8">
                  <c:v>44470</c:v>
                </c:pt>
                <c:pt idx="9">
                  <c:v>44501</c:v>
                </c:pt>
                <c:pt idx="10">
                  <c:v>44531</c:v>
                </c:pt>
                <c:pt idx="11">
                  <c:v>44562</c:v>
                </c:pt>
                <c:pt idx="12">
                  <c:v>44593</c:v>
                </c:pt>
                <c:pt idx="13">
                  <c:v>44621</c:v>
                </c:pt>
                <c:pt idx="14">
                  <c:v>44652</c:v>
                </c:pt>
                <c:pt idx="15">
                  <c:v>44682</c:v>
                </c:pt>
                <c:pt idx="16">
                  <c:v>44713</c:v>
                </c:pt>
                <c:pt idx="17">
                  <c:v>44743</c:v>
                </c:pt>
                <c:pt idx="18">
                  <c:v>44774</c:v>
                </c:pt>
                <c:pt idx="19">
                  <c:v>44805</c:v>
                </c:pt>
                <c:pt idx="20">
                  <c:v>44835</c:v>
                </c:pt>
                <c:pt idx="21">
                  <c:v>44866</c:v>
                </c:pt>
                <c:pt idx="22">
                  <c:v>44896</c:v>
                </c:pt>
                <c:pt idx="23">
                  <c:v>44927</c:v>
                </c:pt>
                <c:pt idx="24">
                  <c:v>44958</c:v>
                </c:pt>
                <c:pt idx="25">
                  <c:v>44986</c:v>
                </c:pt>
                <c:pt idx="26">
                  <c:v>45017</c:v>
                </c:pt>
                <c:pt idx="27">
                  <c:v>45047</c:v>
                </c:pt>
                <c:pt idx="28">
                  <c:v>45078</c:v>
                </c:pt>
                <c:pt idx="29">
                  <c:v>45108</c:v>
                </c:pt>
              </c:numCache>
            </c:numRef>
          </c:cat>
          <c:val>
            <c:numRef>
              <c:f>Graficos!$F$17:$F$44</c:f>
              <c:numCache>
                <c:formatCode>_(* #,##0.00_);_(* \(#,##0.00\);_(* "-"??_);_(@_)</c:formatCode>
                <c:ptCount val="28"/>
                <c:pt idx="0">
                  <c:v>5.0000000000000001E-3</c:v>
                </c:pt>
                <c:pt idx="1">
                  <c:v>0.36681818181818182</c:v>
                </c:pt>
                <c:pt idx="2">
                  <c:v>0.81035714285714289</c:v>
                </c:pt>
                <c:pt idx="3">
                  <c:v>1.6313333333333335</c:v>
                </c:pt>
                <c:pt idx="4">
                  <c:v>3.4173333333333336</c:v>
                </c:pt>
                <c:pt idx="5">
                  <c:v>6.3546428571428564</c:v>
                </c:pt>
                <c:pt idx="6">
                  <c:v>15.262000000000006</c:v>
                </c:pt>
                <c:pt idx="7">
                  <c:v>22.44814814814815</c:v>
                </c:pt>
                <c:pt idx="8">
                  <c:v>28.012258064516125</c:v>
                </c:pt>
                <c:pt idx="9">
                  <c:v>31.553999999999995</c:v>
                </c:pt>
                <c:pt idx="10">
                  <c:v>35.421612903225792</c:v>
                </c:pt>
                <c:pt idx="11">
                  <c:v>37.731612903225809</c:v>
                </c:pt>
                <c:pt idx="12">
                  <c:v>39.479999999999997</c:v>
                </c:pt>
                <c:pt idx="13">
                  <c:v>41.608888888888892</c:v>
                </c:pt>
                <c:pt idx="14">
                  <c:v>44.902000000000001</c:v>
                </c:pt>
                <c:pt idx="15">
                  <c:v>45.88</c:v>
                </c:pt>
                <c:pt idx="16">
                  <c:v>46.379999999999995</c:v>
                </c:pt>
                <c:pt idx="17">
                  <c:v>46.723749999999995</c:v>
                </c:pt>
                <c:pt idx="18">
                  <c:v>47.98571428571428</c:v>
                </c:pt>
                <c:pt idx="19">
                  <c:v>49.056000000000004</c:v>
                </c:pt>
                <c:pt idx="20">
                  <c:v>49.445</c:v>
                </c:pt>
                <c:pt idx="21">
                  <c:v>49.576666666666675</c:v>
                </c:pt>
                <c:pt idx="22">
                  <c:v>49.625</c:v>
                </c:pt>
                <c:pt idx="23">
                  <c:v>49.70333333333334</c:v>
                </c:pt>
                <c:pt idx="24">
                  <c:v>49.88000000000001</c:v>
                </c:pt>
                <c:pt idx="25">
                  <c:v>49.977499999999999</c:v>
                </c:pt>
                <c:pt idx="26">
                  <c:v>50.05</c:v>
                </c:pt>
                <c:pt idx="27">
                  <c:v>50.07</c:v>
                </c:pt>
              </c:numCache>
            </c:numRef>
          </c:val>
          <c:smooth val="0"/>
          <c:extLst>
            <c:ext xmlns:c16="http://schemas.microsoft.com/office/drawing/2014/chart" uri="{C3380CC4-5D6E-409C-BE32-E72D297353CC}">
              <c16:uniqueId val="{00000000-2BE3-4D7B-927B-1B86DDB82E81}"/>
            </c:ext>
          </c:extLst>
        </c:ser>
        <c:dLbls>
          <c:showLegendKey val="0"/>
          <c:showVal val="0"/>
          <c:showCatName val="0"/>
          <c:showSerName val="0"/>
          <c:showPercent val="0"/>
          <c:showBubbleSize val="0"/>
        </c:dLbls>
        <c:marker val="1"/>
        <c:smooth val="0"/>
        <c:axId val="1939707888"/>
        <c:axId val="1939746160"/>
      </c:lineChart>
      <c:lineChart>
        <c:grouping val="standard"/>
        <c:varyColors val="0"/>
        <c:ser>
          <c:idx val="1"/>
          <c:order val="1"/>
          <c:tx>
            <c:strRef>
              <c:f>Graficos!$M$2</c:f>
              <c:strCache>
                <c:ptCount val="1"/>
                <c:pt idx="0">
                  <c:v>Mundo</c:v>
                </c:pt>
              </c:strCache>
            </c:strRef>
          </c:tx>
          <c:spPr>
            <a:ln w="25400" cap="rnd">
              <a:solidFill>
                <a:schemeClr val="accent1">
                  <a:lumMod val="50000"/>
                </a:schemeClr>
              </a:solidFill>
              <a:round/>
            </a:ln>
            <a:effectLst/>
          </c:spPr>
          <c:marker>
            <c:symbol val="none"/>
          </c:marker>
          <c:cat>
            <c:numRef>
              <c:f>Graficos!$B$17:$B$46</c:f>
              <c:numCache>
                <c:formatCode>mmm\-yy</c:formatCode>
                <c:ptCount val="30"/>
                <c:pt idx="0">
                  <c:v>44228</c:v>
                </c:pt>
                <c:pt idx="1">
                  <c:v>44256</c:v>
                </c:pt>
                <c:pt idx="2">
                  <c:v>44287</c:v>
                </c:pt>
                <c:pt idx="3">
                  <c:v>44317</c:v>
                </c:pt>
                <c:pt idx="4">
                  <c:v>44348</c:v>
                </c:pt>
                <c:pt idx="5">
                  <c:v>44378</c:v>
                </c:pt>
                <c:pt idx="6">
                  <c:v>44409</c:v>
                </c:pt>
                <c:pt idx="7">
                  <c:v>44440</c:v>
                </c:pt>
                <c:pt idx="8">
                  <c:v>44470</c:v>
                </c:pt>
                <c:pt idx="9">
                  <c:v>44501</c:v>
                </c:pt>
                <c:pt idx="10">
                  <c:v>44531</c:v>
                </c:pt>
                <c:pt idx="11">
                  <c:v>44562</c:v>
                </c:pt>
                <c:pt idx="12">
                  <c:v>44593</c:v>
                </c:pt>
                <c:pt idx="13">
                  <c:v>44621</c:v>
                </c:pt>
                <c:pt idx="14">
                  <c:v>44652</c:v>
                </c:pt>
                <c:pt idx="15">
                  <c:v>44682</c:v>
                </c:pt>
                <c:pt idx="16">
                  <c:v>44713</c:v>
                </c:pt>
                <c:pt idx="17">
                  <c:v>44743</c:v>
                </c:pt>
                <c:pt idx="18">
                  <c:v>44774</c:v>
                </c:pt>
                <c:pt idx="19">
                  <c:v>44805</c:v>
                </c:pt>
                <c:pt idx="20">
                  <c:v>44835</c:v>
                </c:pt>
                <c:pt idx="21">
                  <c:v>44866</c:v>
                </c:pt>
                <c:pt idx="22">
                  <c:v>44896</c:v>
                </c:pt>
                <c:pt idx="23">
                  <c:v>44927</c:v>
                </c:pt>
                <c:pt idx="24">
                  <c:v>44958</c:v>
                </c:pt>
                <c:pt idx="25">
                  <c:v>44986</c:v>
                </c:pt>
                <c:pt idx="26">
                  <c:v>45017</c:v>
                </c:pt>
                <c:pt idx="27">
                  <c:v>45047</c:v>
                </c:pt>
                <c:pt idx="28">
                  <c:v>45078</c:v>
                </c:pt>
                <c:pt idx="29">
                  <c:v>45108</c:v>
                </c:pt>
              </c:numCache>
            </c:numRef>
          </c:cat>
          <c:val>
            <c:numRef>
              <c:f>Graficos!$N$17:$N$44</c:f>
              <c:numCache>
                <c:formatCode>_(* #,##0.00_);_(* \(#,##0.00\);_(* "-"??_);_(@_)</c:formatCode>
                <c:ptCount val="28"/>
                <c:pt idx="0">
                  <c:v>1.3614285714285717</c:v>
                </c:pt>
                <c:pt idx="1">
                  <c:v>3.1741935483870964</c:v>
                </c:pt>
                <c:pt idx="2">
                  <c:v>6.2130000000000019</c:v>
                </c:pt>
                <c:pt idx="3">
                  <c:v>9.1638709677419357</c:v>
                </c:pt>
                <c:pt idx="4">
                  <c:v>18.515333333333334</c:v>
                </c:pt>
                <c:pt idx="5">
                  <c:v>25.747741935483869</c:v>
                </c:pt>
                <c:pt idx="6">
                  <c:v>32.056129032258063</c:v>
                </c:pt>
                <c:pt idx="7">
                  <c:v>42.317666666666668</c:v>
                </c:pt>
                <c:pt idx="8">
                  <c:v>47.048387096774185</c:v>
                </c:pt>
                <c:pt idx="9">
                  <c:v>51.232666666666653</c:v>
                </c:pt>
                <c:pt idx="10">
                  <c:v>55.496451612903229</c:v>
                </c:pt>
                <c:pt idx="11">
                  <c:v>58.954838709677425</c:v>
                </c:pt>
                <c:pt idx="12">
                  <c:v>61.238214285714285</c:v>
                </c:pt>
                <c:pt idx="13">
                  <c:v>63.025161290322586</c:v>
                </c:pt>
                <c:pt idx="14">
                  <c:v>64.054666666666677</c:v>
                </c:pt>
                <c:pt idx="15">
                  <c:v>64.739032258064512</c:v>
                </c:pt>
                <c:pt idx="16">
                  <c:v>65.303000000000011</c:v>
                </c:pt>
                <c:pt idx="17">
                  <c:v>65.964838709677423</c:v>
                </c:pt>
                <c:pt idx="18">
                  <c:v>66.772580645161284</c:v>
                </c:pt>
                <c:pt idx="19">
                  <c:v>67.25866666666667</c:v>
                </c:pt>
                <c:pt idx="20">
                  <c:v>67.69548387096772</c:v>
                </c:pt>
                <c:pt idx="21">
                  <c:v>68.237666666666655</c:v>
                </c:pt>
                <c:pt idx="22">
                  <c:v>68.864193548387107</c:v>
                </c:pt>
                <c:pt idx="23">
                  <c:v>69.189354838709676</c:v>
                </c:pt>
                <c:pt idx="24">
                  <c:v>69.471071428571406</c:v>
                </c:pt>
                <c:pt idx="25">
                  <c:v>69.696774193548379</c:v>
                </c:pt>
                <c:pt idx="26">
                  <c:v>69.915666666666695</c:v>
                </c:pt>
                <c:pt idx="27">
                  <c:v>70.090322580645122</c:v>
                </c:pt>
              </c:numCache>
            </c:numRef>
          </c:val>
          <c:smooth val="0"/>
          <c:extLst>
            <c:ext xmlns:c16="http://schemas.microsoft.com/office/drawing/2014/chart" uri="{C3380CC4-5D6E-409C-BE32-E72D297353CC}">
              <c16:uniqueId val="{00000001-2BE3-4D7B-927B-1B86DDB82E81}"/>
            </c:ext>
          </c:extLst>
        </c:ser>
        <c:dLbls>
          <c:showLegendKey val="0"/>
          <c:showVal val="0"/>
          <c:showCatName val="0"/>
          <c:showSerName val="0"/>
          <c:showPercent val="0"/>
          <c:showBubbleSize val="0"/>
        </c:dLbls>
        <c:marker val="1"/>
        <c:smooth val="0"/>
        <c:axId val="475685664"/>
        <c:axId val="475680672"/>
      </c:lineChart>
      <c:dateAx>
        <c:axId val="193970788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39746160"/>
        <c:crosses val="autoZero"/>
        <c:auto val="1"/>
        <c:lblOffset val="100"/>
        <c:baseTimeUnit val="months"/>
        <c:majorUnit val="1"/>
        <c:majorTimeUnit val="months"/>
      </c:dateAx>
      <c:valAx>
        <c:axId val="1939746160"/>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700">
                    <a:latin typeface="Times New Roman" panose="02020603050405020304" pitchFamily="18" charset="0"/>
                    <a:cs typeface="Times New Roman" panose="02020603050405020304" pitchFamily="18" charset="0"/>
                  </a:rPr>
                  <a:t>Porcentaje</a:t>
                </a:r>
                <a:endParaRPr lang="es-GT" sz="700" b="0" i="0" u="none" strike="noStrike" baseline="0">
                  <a:effectLst/>
                  <a:latin typeface="Times New Roman" panose="02020603050405020304" pitchFamily="18" charset="0"/>
                  <a:cs typeface="Times New Roman" panose="02020603050405020304" pitchFamily="18" charset="0"/>
                </a:endParaRPr>
              </a:p>
            </c:rich>
          </c:tx>
          <c:layout>
            <c:manualLayout>
              <c:xMode val="edge"/>
              <c:yMode val="edge"/>
              <c:x val="1.5119047619047619E-2"/>
              <c:y val="0.32597013888888887"/>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39707888"/>
        <c:crosses val="autoZero"/>
        <c:crossBetween val="between"/>
      </c:valAx>
      <c:valAx>
        <c:axId val="475680672"/>
        <c:scaling>
          <c:orientation val="minMax"/>
        </c:scaling>
        <c:delete val="1"/>
        <c:axPos val="r"/>
        <c:numFmt formatCode="_(* #,##0.00_);_(* \(#,##0.00\);_(* &quot;-&quot;??_);_(@_)" sourceLinked="1"/>
        <c:majorTickMark val="out"/>
        <c:minorTickMark val="none"/>
        <c:tickLblPos val="nextTo"/>
        <c:crossAx val="475685664"/>
        <c:crosses val="max"/>
        <c:crossBetween val="between"/>
      </c:valAx>
      <c:dateAx>
        <c:axId val="475685664"/>
        <c:scaling>
          <c:orientation val="minMax"/>
        </c:scaling>
        <c:delete val="1"/>
        <c:axPos val="b"/>
        <c:numFmt formatCode="mmm\-yy" sourceLinked="1"/>
        <c:majorTickMark val="out"/>
        <c:minorTickMark val="none"/>
        <c:tickLblPos val="nextTo"/>
        <c:crossAx val="475680672"/>
        <c:crosses val="autoZero"/>
        <c:auto val="1"/>
        <c:lblOffset val="100"/>
        <c:baseTimeUnit val="months"/>
      </c:dateAx>
      <c:spPr>
        <a:noFill/>
        <a:ln>
          <a:noFill/>
        </a:ln>
        <a:effectLst/>
      </c:spPr>
    </c:plotArea>
    <c:legend>
      <c:legendPos val="t"/>
      <c:layout>
        <c:manualLayout>
          <c:xMode val="edge"/>
          <c:yMode val="edge"/>
          <c:x val="0.14717265684531369"/>
          <c:y val="2.7813446396123573E-3"/>
          <c:w val="0.78089246031746018"/>
          <c:h val="8.118467988149032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0107142857143"/>
          <c:y val="0.10645184736523319"/>
          <c:w val="0.59894126984126994"/>
          <c:h val="0.64122289521502118"/>
        </c:manualLayout>
      </c:layout>
      <c:lineChart>
        <c:grouping val="standard"/>
        <c:varyColors val="0"/>
        <c:ser>
          <c:idx val="0"/>
          <c:order val="0"/>
          <c:tx>
            <c:strRef>
              <c:f>Graficos!$M$2</c:f>
              <c:strCache>
                <c:ptCount val="1"/>
                <c:pt idx="0">
                  <c:v>Mundo</c:v>
                </c:pt>
              </c:strCache>
            </c:strRef>
          </c:tx>
          <c:spPr>
            <a:ln w="28575" cap="rnd">
              <a:solidFill>
                <a:srgbClr val="002060"/>
              </a:solidFill>
              <a:round/>
            </a:ln>
            <a:effectLst/>
          </c:spPr>
          <c:marker>
            <c:symbol val="none"/>
          </c:marker>
          <c:cat>
            <c:numRef>
              <c:f>Graficos!$B$4:$B$46</c:f>
              <c:numCache>
                <c:formatCode>mmm\-yy</c:formatCode>
                <c:ptCount val="4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numCache>
            </c:numRef>
          </c:cat>
          <c:val>
            <c:numRef>
              <c:f>Graficos!$M$4:$M$46</c:f>
              <c:numCache>
                <c:formatCode>_(* #,##0.00_);_(* \(#,##0.00\);_(* "-"??_);_(@_)</c:formatCode>
                <c:ptCount val="43"/>
                <c:pt idx="0">
                  <c:v>9.8569999999999994E-3</c:v>
                </c:pt>
                <c:pt idx="1">
                  <c:v>7.4693999999999997E-2</c:v>
                </c:pt>
                <c:pt idx="2">
                  <c:v>0.69643299999999997</c:v>
                </c:pt>
                <c:pt idx="3">
                  <c:v>2.2236389999999999</c:v>
                </c:pt>
                <c:pt idx="4">
                  <c:v>2.8912969999999998</c:v>
                </c:pt>
                <c:pt idx="5">
                  <c:v>4.2684879999999996</c:v>
                </c:pt>
                <c:pt idx="6">
                  <c:v>6.9737780000000003</c:v>
                </c:pt>
                <c:pt idx="7">
                  <c:v>8.2876639999999995</c:v>
                </c:pt>
                <c:pt idx="8">
                  <c:v>8.6321490000000001</c:v>
                </c:pt>
                <c:pt idx="9">
                  <c:v>11.771179</c:v>
                </c:pt>
                <c:pt idx="10">
                  <c:v>17.711870999999999</c:v>
                </c:pt>
                <c:pt idx="11">
                  <c:v>18.803336000000002</c:v>
                </c:pt>
                <c:pt idx="12">
                  <c:v>20.050730999999999</c:v>
                </c:pt>
                <c:pt idx="13">
                  <c:v>11.018248</c:v>
                </c:pt>
                <c:pt idx="14">
                  <c:v>14.179228</c:v>
                </c:pt>
                <c:pt idx="15">
                  <c:v>21.966954999999999</c:v>
                </c:pt>
                <c:pt idx="16">
                  <c:v>20.505320000000001</c:v>
                </c:pt>
                <c:pt idx="17">
                  <c:v>11.398797</c:v>
                </c:pt>
                <c:pt idx="18">
                  <c:v>15.575094999999999</c:v>
                </c:pt>
                <c:pt idx="19">
                  <c:v>20.090025000000001</c:v>
                </c:pt>
                <c:pt idx="20">
                  <c:v>16.039166000000002</c:v>
                </c:pt>
                <c:pt idx="21">
                  <c:v>13.500786</c:v>
                </c:pt>
                <c:pt idx="22">
                  <c:v>15.264818</c:v>
                </c:pt>
                <c:pt idx="23">
                  <c:v>23.424251999999999</c:v>
                </c:pt>
                <c:pt idx="24">
                  <c:v>91.806023999999994</c:v>
                </c:pt>
                <c:pt idx="25">
                  <c:v>58.926307999999999</c:v>
                </c:pt>
                <c:pt idx="26">
                  <c:v>48.901178000000002</c:v>
                </c:pt>
                <c:pt idx="27">
                  <c:v>25.270142</c:v>
                </c:pt>
                <c:pt idx="28">
                  <c:v>17.081921999999999</c:v>
                </c:pt>
                <c:pt idx="29">
                  <c:v>16.41461</c:v>
                </c:pt>
                <c:pt idx="30">
                  <c:v>31.229194</c:v>
                </c:pt>
                <c:pt idx="31">
                  <c:v>24.485617000000001</c:v>
                </c:pt>
                <c:pt idx="32">
                  <c:v>14.09226</c:v>
                </c:pt>
                <c:pt idx="33">
                  <c:v>13.681355999999999</c:v>
                </c:pt>
                <c:pt idx="34">
                  <c:v>11.239758</c:v>
                </c:pt>
                <c:pt idx="35">
                  <c:v>90.999273000000002</c:v>
                </c:pt>
                <c:pt idx="36">
                  <c:v>23.033781999999999</c:v>
                </c:pt>
                <c:pt idx="37">
                  <c:v>4.8084290000000003</c:v>
                </c:pt>
                <c:pt idx="38">
                  <c:v>3.8205460000000002</c:v>
                </c:pt>
                <c:pt idx="39">
                  <c:v>3.2497259999999999</c:v>
                </c:pt>
                <c:pt idx="40">
                  <c:v>2.1579410000000001</c:v>
                </c:pt>
                <c:pt idx="41">
                  <c:v>1.03844</c:v>
                </c:pt>
                <c:pt idx="42">
                  <c:v>0.393486</c:v>
                </c:pt>
              </c:numCache>
            </c:numRef>
          </c:val>
          <c:smooth val="1"/>
          <c:extLst>
            <c:ext xmlns:c16="http://schemas.microsoft.com/office/drawing/2014/chart" uri="{C3380CC4-5D6E-409C-BE32-E72D297353CC}">
              <c16:uniqueId val="{00000000-A446-4A73-8918-0E719C428A09}"/>
            </c:ext>
          </c:extLst>
        </c:ser>
        <c:dLbls>
          <c:showLegendKey val="0"/>
          <c:showVal val="0"/>
          <c:showCatName val="0"/>
          <c:showSerName val="0"/>
          <c:showPercent val="0"/>
          <c:showBubbleSize val="0"/>
        </c:dLbls>
        <c:marker val="1"/>
        <c:smooth val="0"/>
        <c:axId val="1939707888"/>
        <c:axId val="1939746160"/>
      </c:lineChart>
      <c:lineChart>
        <c:grouping val="standard"/>
        <c:varyColors val="0"/>
        <c:ser>
          <c:idx val="1"/>
          <c:order val="1"/>
          <c:tx>
            <c:strRef>
              <c:f>Graficos!$E$2</c:f>
              <c:strCache>
                <c:ptCount val="1"/>
                <c:pt idx="0">
                  <c:v>Guatemala</c:v>
                </c:pt>
              </c:strCache>
            </c:strRef>
          </c:tx>
          <c:spPr>
            <a:ln w="22225" cap="rnd">
              <a:solidFill>
                <a:srgbClr val="C00000"/>
              </a:solidFill>
              <a:round/>
            </a:ln>
            <a:effectLst/>
          </c:spPr>
          <c:marker>
            <c:symbol val="none"/>
          </c:marker>
          <c:cat>
            <c:numRef>
              <c:f>Graficos!$B$4:$B$46</c:f>
              <c:numCache>
                <c:formatCode>mmm\-yy</c:formatCode>
                <c:ptCount val="4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numCache>
            </c:numRef>
          </c:cat>
          <c:val>
            <c:numRef>
              <c:f>Graficos!$E$4:$E$46</c:f>
              <c:numCache>
                <c:formatCode>_-* #,##0.0_-;\-* #,##0.0_-;_-* "-"??_-;_-@_-</c:formatCode>
                <c:ptCount val="43"/>
                <c:pt idx="0">
                  <c:v>0</c:v>
                </c:pt>
                <c:pt idx="1">
                  <c:v>0</c:v>
                </c:pt>
                <c:pt idx="2">
                  <c:v>7.9000000000000001E-2</c:v>
                </c:pt>
                <c:pt idx="3">
                  <c:v>0.52100000000000002</c:v>
                </c:pt>
                <c:pt idx="4">
                  <c:v>4.05</c:v>
                </c:pt>
                <c:pt idx="5">
                  <c:v>12.323</c:v>
                </c:pt>
                <c:pt idx="6">
                  <c:v>31.896000000000001</c:v>
                </c:pt>
                <c:pt idx="7">
                  <c:v>25.085999999999999</c:v>
                </c:pt>
                <c:pt idx="8">
                  <c:v>17.056000000000001</c:v>
                </c:pt>
                <c:pt idx="9">
                  <c:v>16.370999999999999</c:v>
                </c:pt>
                <c:pt idx="10">
                  <c:v>14.632</c:v>
                </c:pt>
                <c:pt idx="11">
                  <c:v>15.195</c:v>
                </c:pt>
                <c:pt idx="12">
                  <c:v>21.952000000000002</c:v>
                </c:pt>
                <c:pt idx="13">
                  <c:v>15.217000000000001</c:v>
                </c:pt>
                <c:pt idx="14">
                  <c:v>19.498999999999999</c:v>
                </c:pt>
                <c:pt idx="15">
                  <c:v>32.412999999999997</c:v>
                </c:pt>
                <c:pt idx="16">
                  <c:v>27.978000000000002</c:v>
                </c:pt>
                <c:pt idx="17">
                  <c:v>38.448999999999998</c:v>
                </c:pt>
                <c:pt idx="18">
                  <c:v>69.459999999999994</c:v>
                </c:pt>
                <c:pt idx="19">
                  <c:v>103.66500000000001</c:v>
                </c:pt>
                <c:pt idx="20">
                  <c:v>91.444999999999993</c:v>
                </c:pt>
                <c:pt idx="21">
                  <c:v>44.158000000000001</c:v>
                </c:pt>
                <c:pt idx="22">
                  <c:v>16.207999999999998</c:v>
                </c:pt>
                <c:pt idx="23">
                  <c:v>9.0649999999999995</c:v>
                </c:pt>
                <c:pt idx="24">
                  <c:v>61.651000000000003</c:v>
                </c:pt>
                <c:pt idx="25">
                  <c:v>87.936000000000007</c:v>
                </c:pt>
                <c:pt idx="26">
                  <c:v>49.798999999999999</c:v>
                </c:pt>
                <c:pt idx="27">
                  <c:v>18.928000000000001</c:v>
                </c:pt>
                <c:pt idx="28">
                  <c:v>15.109</c:v>
                </c:pt>
                <c:pt idx="29">
                  <c:v>41.201999999999998</c:v>
                </c:pt>
                <c:pt idx="30">
                  <c:v>136.45099999999999</c:v>
                </c:pt>
                <c:pt idx="31">
                  <c:v>60.576000000000001</c:v>
                </c:pt>
                <c:pt idx="32">
                  <c:v>24.19</c:v>
                </c:pt>
                <c:pt idx="33">
                  <c:v>17.864999999999998</c:v>
                </c:pt>
                <c:pt idx="34">
                  <c:v>13.829000000000001</c:v>
                </c:pt>
                <c:pt idx="35">
                  <c:v>47.44</c:v>
                </c:pt>
                <c:pt idx="36">
                  <c:v>25.373000000000001</c:v>
                </c:pt>
                <c:pt idx="37">
                  <c:v>8.9459999999999997</c:v>
                </c:pt>
                <c:pt idx="38">
                  <c:v>8.3849999999999998</c:v>
                </c:pt>
                <c:pt idx="39">
                  <c:v>3.8159999999999998</c:v>
                </c:pt>
                <c:pt idx="40">
                  <c:v>3.9990000000000001</c:v>
                </c:pt>
                <c:pt idx="41">
                  <c:v>7.3369999999999997</c:v>
                </c:pt>
                <c:pt idx="42">
                  <c:v>5.0670000000000002</c:v>
                </c:pt>
              </c:numCache>
            </c:numRef>
          </c:val>
          <c:smooth val="1"/>
          <c:extLst>
            <c:ext xmlns:c16="http://schemas.microsoft.com/office/drawing/2014/chart" uri="{C3380CC4-5D6E-409C-BE32-E72D297353CC}">
              <c16:uniqueId val="{00000001-A446-4A73-8918-0E719C428A09}"/>
            </c:ext>
          </c:extLst>
        </c:ser>
        <c:dLbls>
          <c:showLegendKey val="0"/>
          <c:showVal val="0"/>
          <c:showCatName val="0"/>
          <c:showSerName val="0"/>
          <c:showPercent val="0"/>
          <c:showBubbleSize val="0"/>
        </c:dLbls>
        <c:marker val="1"/>
        <c:smooth val="0"/>
        <c:axId val="475685664"/>
        <c:axId val="475680672"/>
      </c:lineChart>
      <c:dateAx>
        <c:axId val="193970788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39746160"/>
        <c:crosses val="autoZero"/>
        <c:auto val="1"/>
        <c:lblOffset val="100"/>
        <c:baseTimeUnit val="months"/>
        <c:majorUnit val="2"/>
        <c:majorTimeUnit val="months"/>
      </c:dateAx>
      <c:valAx>
        <c:axId val="1939746160"/>
        <c:scaling>
          <c:orientation val="minMax"/>
          <c:min val="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GT" sz="700"/>
                  <a:t>Mundo (millones)</a:t>
                </a:r>
                <a:endParaRPr lang="es-GT" sz="700" b="0" i="0" u="none" strike="noStrike" baseline="0">
                  <a:effectLst/>
                </a:endParaRPr>
              </a:p>
            </c:rich>
          </c:tx>
          <c:layout>
            <c:manualLayout>
              <c:xMode val="edge"/>
              <c:yMode val="edge"/>
              <c:x val="1.5119047619047619E-2"/>
              <c:y val="0.32597013888888887"/>
            </c:manualLayout>
          </c:layout>
          <c:overlay val="0"/>
          <c:spPr>
            <a:noFill/>
            <a:ln>
              <a:noFill/>
            </a:ln>
            <a:effectLst/>
          </c:spPr>
        </c:title>
        <c:numFmt formatCode="_-* #,##0.0_-;\-* #,##0.0_-;_-* &quot;-&quot;?_-;_-@_-"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39707888"/>
        <c:crosses val="autoZero"/>
        <c:crossBetween val="between"/>
      </c:valAx>
      <c:valAx>
        <c:axId val="475680672"/>
        <c:scaling>
          <c:orientation val="minMax"/>
          <c:min val="0"/>
        </c:scaling>
        <c:delete val="0"/>
        <c:axPos val="r"/>
        <c:title>
          <c:tx>
            <c:rich>
              <a:bodyPr/>
              <a:lstStyle/>
              <a:p>
                <a:pPr>
                  <a:defRPr sz="700"/>
                </a:pPr>
                <a:r>
                  <a:rPr lang="es-GT" sz="700" b="0"/>
                  <a:t>Guatemala (miles)</a:t>
                </a:r>
              </a:p>
            </c:rich>
          </c:tx>
          <c:layout>
            <c:manualLayout>
              <c:xMode val="edge"/>
              <c:yMode val="edge"/>
              <c:x val="0.94069207200914406"/>
              <c:y val="0.21921913980814264"/>
            </c:manualLayout>
          </c:layout>
          <c:overlay val="0"/>
        </c:title>
        <c:numFmt formatCode="_-* #,##0.0_-;\-* #,##0.0_-;_-* &quot;-&quot;??_-;_-@_-" sourceLinked="1"/>
        <c:majorTickMark val="none"/>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es-GT"/>
          </a:p>
        </c:txPr>
        <c:crossAx val="475685664"/>
        <c:crosses val="max"/>
        <c:crossBetween val="between"/>
      </c:valAx>
      <c:dateAx>
        <c:axId val="475685664"/>
        <c:scaling>
          <c:orientation val="minMax"/>
        </c:scaling>
        <c:delete val="1"/>
        <c:axPos val="b"/>
        <c:numFmt formatCode="mmm\-yy" sourceLinked="1"/>
        <c:majorTickMark val="out"/>
        <c:minorTickMark val="none"/>
        <c:tickLblPos val="nextTo"/>
        <c:crossAx val="475680672"/>
        <c:crosses val="autoZero"/>
        <c:auto val="1"/>
        <c:lblOffset val="100"/>
        <c:baseTimeUnit val="months"/>
      </c:dateAx>
    </c:plotArea>
    <c:legend>
      <c:legendPos val="t"/>
      <c:layout>
        <c:manualLayout>
          <c:xMode val="edge"/>
          <c:yMode val="edge"/>
          <c:x val="0.14213312801625602"/>
          <c:y val="3.9267110841913963E-3"/>
          <c:w val="0.78089246031746018"/>
          <c:h val="6.339991858065907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97916666666662"/>
          <c:y val="0.13915555555555556"/>
          <c:w val="0.74644409722222227"/>
          <c:h val="0.77769086760052653"/>
        </c:manualLayout>
      </c:layout>
      <c:scatterChart>
        <c:scatterStyle val="lineMarker"/>
        <c:varyColors val="0"/>
        <c:ser>
          <c:idx val="0"/>
          <c:order val="0"/>
          <c:spPr>
            <a:ln w="25400" cap="rnd">
              <a:noFill/>
              <a:round/>
            </a:ln>
            <a:effectLst/>
          </c:spPr>
          <c:marker>
            <c:symbol val="diamond"/>
            <c:size val="5"/>
            <c:spPr>
              <a:solidFill>
                <a:srgbClr val="002060"/>
              </a:solidFill>
              <a:ln w="9525">
                <a:noFill/>
              </a:ln>
              <a:effectLst/>
            </c:spPr>
          </c:marker>
          <c:dLbls>
            <c:dLbl>
              <c:idx val="0"/>
              <c:tx>
                <c:rich>
                  <a:bodyPr/>
                  <a:lstStyle/>
                  <a:p>
                    <a:fld id="{BD20D596-9D94-4FBA-A428-40C1ED170BCE}"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5A9-44E5-9825-0E0E5B941658}"/>
                </c:ext>
              </c:extLst>
            </c:dLbl>
            <c:dLbl>
              <c:idx val="1"/>
              <c:tx>
                <c:rich>
                  <a:bodyPr/>
                  <a:lstStyle/>
                  <a:p>
                    <a:fld id="{56D76C55-A724-4360-89B6-81A246AC5944}"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5A9-44E5-9825-0E0E5B941658}"/>
                </c:ext>
              </c:extLst>
            </c:dLbl>
            <c:dLbl>
              <c:idx val="2"/>
              <c:tx>
                <c:rich>
                  <a:bodyPr/>
                  <a:lstStyle/>
                  <a:p>
                    <a:fld id="{E01B60F6-35E8-4F9F-AFBC-6C49E842A26B}"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A5A9-44E5-9825-0E0E5B941658}"/>
                </c:ext>
              </c:extLst>
            </c:dLbl>
            <c:dLbl>
              <c:idx val="3"/>
              <c:tx>
                <c:rich>
                  <a:bodyPr/>
                  <a:lstStyle/>
                  <a:p>
                    <a:fld id="{983C43E3-9AC7-4A25-AB0B-4EED518BB4DF}"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5A9-44E5-9825-0E0E5B941658}"/>
                </c:ext>
              </c:extLst>
            </c:dLbl>
            <c:dLbl>
              <c:idx val="4"/>
              <c:tx>
                <c:rich>
                  <a:bodyPr/>
                  <a:lstStyle/>
                  <a:p>
                    <a:fld id="{611ADBA5-1067-4F4F-997C-FB203735D8B1}"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5A9-44E5-9825-0E0E5B941658}"/>
                </c:ext>
              </c:extLst>
            </c:dLbl>
            <c:dLbl>
              <c:idx val="5"/>
              <c:tx>
                <c:rich>
                  <a:bodyPr/>
                  <a:lstStyle/>
                  <a:p>
                    <a:fld id="{20FB9DC9-B877-4170-A84A-042B0885759C}"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5A9-44E5-9825-0E0E5B941658}"/>
                </c:ext>
              </c:extLst>
            </c:dLbl>
            <c:dLbl>
              <c:idx val="6"/>
              <c:layout>
                <c:manualLayout>
                  <c:x val="-6.1284375000000078E-2"/>
                  <c:y val="6.7579166666666662E-2"/>
                </c:manualLayout>
              </c:layout>
              <c:tx>
                <c:rich>
                  <a:bodyPr/>
                  <a:lstStyle/>
                  <a:p>
                    <a:fld id="{697E1623-29EE-4028-864C-B82C01A97DA1}"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5A9-44E5-9825-0E0E5B941658}"/>
                </c:ext>
              </c:extLst>
            </c:dLbl>
            <c:dLbl>
              <c:idx val="7"/>
              <c:tx>
                <c:rich>
                  <a:bodyPr/>
                  <a:lstStyle/>
                  <a:p>
                    <a:fld id="{7DA5C9E7-79B2-4014-949B-DB58FAED471C}"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5A9-44E5-9825-0E0E5B941658}"/>
                </c:ext>
              </c:extLst>
            </c:dLbl>
            <c:dLbl>
              <c:idx val="8"/>
              <c:layout>
                <c:manualLayout>
                  <c:x val="-6.3268749999999999E-2"/>
                  <c:y val="9.4037499999999996E-2"/>
                </c:manualLayout>
              </c:layout>
              <c:tx>
                <c:rich>
                  <a:bodyPr/>
                  <a:lstStyle/>
                  <a:p>
                    <a:fld id="{E4CBA320-69E1-4E3A-A0DF-D2F834BE29F4}"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5A9-44E5-9825-0E0E5B941658}"/>
                </c:ext>
              </c:extLst>
            </c:dLbl>
            <c:dLbl>
              <c:idx val="9"/>
              <c:tx>
                <c:rich>
                  <a:bodyPr/>
                  <a:lstStyle/>
                  <a:p>
                    <a:fld id="{03693F8C-6825-46B2-AC89-083A68363982}"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A5A9-44E5-9825-0E0E5B941658}"/>
                </c:ext>
              </c:extLst>
            </c:dLbl>
            <c:dLbl>
              <c:idx val="10"/>
              <c:tx>
                <c:rich>
                  <a:bodyPr/>
                  <a:lstStyle/>
                  <a:p>
                    <a:fld id="{8FBBF098-FD8E-4304-A2BF-E08C02F4C368}"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A5A9-44E5-9825-0E0E5B941658}"/>
                </c:ext>
              </c:extLst>
            </c:dLbl>
            <c:dLbl>
              <c:idx val="11"/>
              <c:tx>
                <c:rich>
                  <a:bodyPr/>
                  <a:lstStyle/>
                  <a:p>
                    <a:fld id="{0D0CEEEA-5D42-4E9B-A386-D85E4656CA00}"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5A9-44E5-9825-0E0E5B941658}"/>
                </c:ext>
              </c:extLst>
            </c:dLbl>
            <c:dLbl>
              <c:idx val="12"/>
              <c:tx>
                <c:rich>
                  <a:bodyPr/>
                  <a:lstStyle/>
                  <a:p>
                    <a:fld id="{61E9B357-85FF-40AF-B87C-CD8CAD7A31EA}"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5A9-44E5-9825-0E0E5B941658}"/>
                </c:ext>
              </c:extLst>
            </c:dLbl>
            <c:dLbl>
              <c:idx val="13"/>
              <c:tx>
                <c:rich>
                  <a:bodyPr/>
                  <a:lstStyle/>
                  <a:p>
                    <a:fld id="{FD9EEE31-2745-4E8B-BBF2-496D9D416A95}" type="CELLRANGE">
                      <a:rPr lang="en-US"/>
                      <a:pPr/>
                      <a:t>[CELLRANGE]</a:t>
                    </a:fld>
                    <a:endParaRPr lang="es-GT"/>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A5A9-44E5-9825-0E0E5B941658}"/>
                </c:ext>
              </c:extLst>
            </c:dLbl>
            <c:dLbl>
              <c:idx val="14"/>
              <c:tx>
                <c:rich>
                  <a:bodyPr/>
                  <a:lstStyle/>
                  <a:p>
                    <a:fld id="{B9ABCF3D-CC84-47CC-BF46-D61EC5CC184A}"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A5A9-44E5-9825-0E0E5B941658}"/>
                </c:ext>
              </c:extLst>
            </c:dLbl>
            <c:dLbl>
              <c:idx val="15"/>
              <c:tx>
                <c:rich>
                  <a:bodyPr/>
                  <a:lstStyle/>
                  <a:p>
                    <a:fld id="{454FAA84-DDBF-4F03-9532-F1E1D7CE4900}"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A5A9-44E5-9825-0E0E5B941658}"/>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rgbClr val="C00000"/>
                </a:solidFill>
                <a:prstDash val="sysDot"/>
              </a:ln>
              <a:effectLst/>
            </c:spPr>
            <c:trendlineType val="linear"/>
            <c:dispRSqr val="0"/>
            <c:dispEq val="0"/>
          </c:trendline>
          <c:xVal>
            <c:numRef>
              <c:f>gráfico!$D$4:$D$19</c:f>
              <c:numCache>
                <c:formatCode>_(* #,##0.00_);_(* \(#,##0.00\);_(* "-"??_);_(@_)</c:formatCode>
                <c:ptCount val="16"/>
                <c:pt idx="0">
                  <c:v>77.433600000000425</c:v>
                </c:pt>
                <c:pt idx="1">
                  <c:v>76.039927272727098</c:v>
                </c:pt>
                <c:pt idx="2">
                  <c:v>77.897963636363741</c:v>
                </c:pt>
                <c:pt idx="3">
                  <c:v>66.272545454545465</c:v>
                </c:pt>
                <c:pt idx="4">
                  <c:v>88.996581818181653</c:v>
                </c:pt>
                <c:pt idx="5">
                  <c:v>78.97225454545476</c:v>
                </c:pt>
                <c:pt idx="6">
                  <c:v>78.947854545454931</c:v>
                </c:pt>
                <c:pt idx="7">
                  <c:v>70.746581818181795</c:v>
                </c:pt>
                <c:pt idx="8">
                  <c:v>77.897963636363741</c:v>
                </c:pt>
                <c:pt idx="9">
                  <c:v>83.817309090908907</c:v>
                </c:pt>
                <c:pt idx="10">
                  <c:v>83.205018181818417</c:v>
                </c:pt>
                <c:pt idx="11">
                  <c:v>74.118218181817909</c:v>
                </c:pt>
                <c:pt idx="12">
                  <c:v>79.720763636363486</c:v>
                </c:pt>
                <c:pt idx="13">
                  <c:v>76.654509090909201</c:v>
                </c:pt>
                <c:pt idx="14">
                  <c:v>69.022872727272457</c:v>
                </c:pt>
                <c:pt idx="15">
                  <c:v>69.363563636363409</c:v>
                </c:pt>
              </c:numCache>
            </c:numRef>
          </c:xVal>
          <c:yVal>
            <c:numRef>
              <c:f>gráfico!$J$4:$J$19</c:f>
              <c:numCache>
                <c:formatCode>_-* #,##0.0_-;\-* #,##0.0_-;_-* "-"??_-;_-@_-</c:formatCode>
                <c:ptCount val="16"/>
                <c:pt idx="0">
                  <c:v>-1.8</c:v>
                </c:pt>
                <c:pt idx="1">
                  <c:v>-7.9420000000000002</c:v>
                </c:pt>
                <c:pt idx="2">
                  <c:v>-7.048</c:v>
                </c:pt>
                <c:pt idx="3">
                  <c:v>-4.0510000000000002</c:v>
                </c:pt>
                <c:pt idx="4">
                  <c:v>-8.9649999999999999</c:v>
                </c:pt>
                <c:pt idx="5">
                  <c:v>-17.945</c:v>
                </c:pt>
                <c:pt idx="6">
                  <c:v>-6.72</c:v>
                </c:pt>
                <c:pt idx="7">
                  <c:v>-3.879</c:v>
                </c:pt>
                <c:pt idx="8">
                  <c:v>-7.048</c:v>
                </c:pt>
                <c:pt idx="9">
                  <c:v>-8.7379999999999995</c:v>
                </c:pt>
                <c:pt idx="10">
                  <c:v>-11.018000000000001</c:v>
                </c:pt>
                <c:pt idx="11">
                  <c:v>-8.1669999999999998</c:v>
                </c:pt>
                <c:pt idx="12">
                  <c:v>-6.0629999999999997</c:v>
                </c:pt>
                <c:pt idx="13">
                  <c:v>-0.82</c:v>
                </c:pt>
                <c:pt idx="14">
                  <c:v>-3.4049999999999998</c:v>
                </c:pt>
                <c:pt idx="15">
                  <c:v>-5.2329999999999997</c:v>
                </c:pt>
              </c:numCache>
            </c:numRef>
          </c:yVal>
          <c:smooth val="0"/>
          <c:extLst>
            <c:ext xmlns:c15="http://schemas.microsoft.com/office/drawing/2012/chart" uri="{02D57815-91ED-43cb-92C2-25804820EDAC}">
              <c15:datalabelsRange>
                <c15:f>gráfico!$C$4:$C$19</c15:f>
                <c15:dlblRangeCache>
                  <c:ptCount val="16"/>
                  <c:pt idx="0">
                    <c:v>GTM</c:v>
                  </c:pt>
                  <c:pt idx="1">
                    <c:v>SLV</c:v>
                  </c:pt>
                  <c:pt idx="2">
                    <c:v>COL</c:v>
                  </c:pt>
                  <c:pt idx="3">
                    <c:v>CRI</c:v>
                  </c:pt>
                  <c:pt idx="4">
                    <c:v>HND</c:v>
                  </c:pt>
                  <c:pt idx="5">
                    <c:v>PAN</c:v>
                  </c:pt>
                  <c:pt idx="6">
                    <c:v>DOM</c:v>
                  </c:pt>
                  <c:pt idx="7">
                    <c:v>BRA</c:v>
                  </c:pt>
                  <c:pt idx="8">
                    <c:v>COL</c:v>
                  </c:pt>
                  <c:pt idx="9">
                    <c:v>BOL</c:v>
                  </c:pt>
                  <c:pt idx="10">
                    <c:v>PER</c:v>
                  </c:pt>
                  <c:pt idx="11">
                    <c:v>MEX</c:v>
                  </c:pt>
                  <c:pt idx="12">
                    <c:v>CHL</c:v>
                  </c:pt>
                  <c:pt idx="13">
                    <c:v>PRY</c:v>
                  </c:pt>
                  <c:pt idx="14">
                    <c:v>USA</c:v>
                  </c:pt>
                  <c:pt idx="15">
                    <c:v>CAN</c:v>
                  </c:pt>
                </c15:dlblRangeCache>
              </c15:datalabelsRange>
            </c:ext>
            <c:ext xmlns:c16="http://schemas.microsoft.com/office/drawing/2014/chart" uri="{C3380CC4-5D6E-409C-BE32-E72D297353CC}">
              <c16:uniqueId val="{00000011-A5A9-44E5-9825-0E0E5B941658}"/>
            </c:ext>
          </c:extLst>
        </c:ser>
        <c:dLbls>
          <c:showLegendKey val="0"/>
          <c:showVal val="0"/>
          <c:showCatName val="0"/>
          <c:showSerName val="0"/>
          <c:showPercent val="0"/>
          <c:showBubbleSize val="0"/>
        </c:dLbls>
        <c:axId val="1704179791"/>
        <c:axId val="1704178959"/>
      </c:scatterChart>
      <c:valAx>
        <c:axId val="1704179791"/>
        <c:scaling>
          <c:orientation val="minMax"/>
          <c:max val="90"/>
          <c:min val="65"/>
        </c:scaling>
        <c:delete val="0"/>
        <c:axPos val="b"/>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Promedio anual del índice de rigos  (stringency index)</a:t>
                </a:r>
              </a:p>
            </c:rich>
          </c:tx>
          <c:layout>
            <c:manualLayout>
              <c:xMode val="edge"/>
              <c:yMode val="edge"/>
              <c:x val="0.20763927111095679"/>
              <c:y val="0.9168438638597612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0_);_(* \(#,##0.00\);_(* &quot;-&quot;??_);_(@_)"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04178959"/>
        <c:crosses val="autoZero"/>
        <c:crossBetween val="midCat"/>
      </c:valAx>
      <c:valAx>
        <c:axId val="1704178959"/>
        <c:scaling>
          <c:orientation val="minMax"/>
        </c:scaling>
        <c:delete val="0"/>
        <c:axPos val="l"/>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Crecimiento económico en 2020</a:t>
                </a:r>
              </a:p>
            </c:rich>
          </c:tx>
          <c:layout>
            <c:manualLayout>
              <c:xMode val="edge"/>
              <c:yMode val="edge"/>
              <c:x val="4.4084070527567734E-3"/>
              <c:y val="0.13033632154604408"/>
            </c:manualLayout>
          </c:layout>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0417979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5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099573488663508E-2"/>
          <c:y val="5.0087033840119463E-2"/>
          <c:w val="0.84918726040959414"/>
          <c:h val="0.76589755790892278"/>
        </c:manualLayout>
      </c:layout>
      <c:lineChart>
        <c:grouping val="standard"/>
        <c:varyColors val="0"/>
        <c:ser>
          <c:idx val="0"/>
          <c:order val="0"/>
          <c:tx>
            <c:strRef>
              <c:f>Graficos!$I$3</c:f>
              <c:strCache>
                <c:ptCount val="1"/>
                <c:pt idx="0">
                  <c:v>Indice de rigor </c:v>
                </c:pt>
              </c:strCache>
            </c:strRef>
          </c:tx>
          <c:spPr>
            <a:ln w="25400" cap="rnd">
              <a:solidFill>
                <a:srgbClr val="002060"/>
              </a:solidFill>
              <a:round/>
            </a:ln>
            <a:effectLst/>
          </c:spPr>
          <c:marker>
            <c:symbol val="none"/>
          </c:marker>
          <c:cat>
            <c:numRef>
              <c:f>Graficos!$B$4:$B$39</c:f>
              <c:numCache>
                <c:formatCode>mmm\-yy</c:formatCode>
                <c:ptCount val="36"/>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numCache>
            </c:numRef>
          </c:cat>
          <c:val>
            <c:numRef>
              <c:f>Graficos!$I$4:$I$39</c:f>
              <c:numCache>
                <c:formatCode>0.0</c:formatCode>
                <c:ptCount val="36"/>
                <c:pt idx="0">
                  <c:v>1.915862068965517</c:v>
                </c:pt>
                <c:pt idx="1">
                  <c:v>11.110000000000008</c:v>
                </c:pt>
                <c:pt idx="2">
                  <c:v>57.049032258064514</c:v>
                </c:pt>
                <c:pt idx="3">
                  <c:v>94.724666666666707</c:v>
                </c:pt>
                <c:pt idx="4">
                  <c:v>96.30000000000004</c:v>
                </c:pt>
                <c:pt idx="5">
                  <c:v>96.300000000000026</c:v>
                </c:pt>
                <c:pt idx="6">
                  <c:v>94.806451612903231</c:v>
                </c:pt>
                <c:pt idx="7">
                  <c:v>87.039999999999978</c:v>
                </c:pt>
                <c:pt idx="8">
                  <c:v>78.61166666666665</c:v>
                </c:pt>
                <c:pt idx="9">
                  <c:v>49.539999999999978</c:v>
                </c:pt>
                <c:pt idx="10">
                  <c:v>49.539999999999978</c:v>
                </c:pt>
                <c:pt idx="11">
                  <c:v>50.344193548387068</c:v>
                </c:pt>
                <c:pt idx="12">
                  <c:v>54.747419354838719</c:v>
                </c:pt>
                <c:pt idx="13">
                  <c:v>52.77999999999998</c:v>
                </c:pt>
                <c:pt idx="14">
                  <c:v>52.959032258064511</c:v>
                </c:pt>
                <c:pt idx="15">
                  <c:v>49.813333333333297</c:v>
                </c:pt>
                <c:pt idx="16">
                  <c:v>51.849999999999973</c:v>
                </c:pt>
                <c:pt idx="17">
                  <c:v>51.84999999999998</c:v>
                </c:pt>
                <c:pt idx="18">
                  <c:v>52.419999999999995</c:v>
                </c:pt>
                <c:pt idx="19">
                  <c:v>56.243225806451612</c:v>
                </c:pt>
                <c:pt idx="20">
                  <c:v>66.200000000000031</c:v>
                </c:pt>
                <c:pt idx="21">
                  <c:v>50.434193548387093</c:v>
                </c:pt>
                <c:pt idx="22">
                  <c:v>47.129999999999995</c:v>
                </c:pt>
                <c:pt idx="23">
                  <c:v>56.793870967741896</c:v>
                </c:pt>
                <c:pt idx="24">
                  <c:v>52.503548387096778</c:v>
                </c:pt>
                <c:pt idx="25">
                  <c:v>58.685000000000009</c:v>
                </c:pt>
                <c:pt idx="26">
                  <c:v>48.136451612903194</c:v>
                </c:pt>
                <c:pt idx="27">
                  <c:v>40.736666666666643</c:v>
                </c:pt>
                <c:pt idx="28">
                  <c:v>45.32774193548385</c:v>
                </c:pt>
                <c:pt idx="29">
                  <c:v>43.059999999999967</c:v>
                </c:pt>
                <c:pt idx="30">
                  <c:v>41.025483870967726</c:v>
                </c:pt>
                <c:pt idx="31">
                  <c:v>37.646129032258088</c:v>
                </c:pt>
                <c:pt idx="32">
                  <c:v>36.570000000000022</c:v>
                </c:pt>
                <c:pt idx="33">
                  <c:v>36.570000000000014</c:v>
                </c:pt>
                <c:pt idx="34">
                  <c:v>36.570000000000022</c:v>
                </c:pt>
                <c:pt idx="35">
                  <c:v>36.570000000000014</c:v>
                </c:pt>
              </c:numCache>
            </c:numRef>
          </c:val>
          <c:smooth val="0"/>
          <c:extLst>
            <c:ext xmlns:c16="http://schemas.microsoft.com/office/drawing/2014/chart" uri="{C3380CC4-5D6E-409C-BE32-E72D297353CC}">
              <c16:uniqueId val="{00000000-F6C8-4035-B5D4-9192219E60C6}"/>
            </c:ext>
          </c:extLst>
        </c:ser>
        <c:ser>
          <c:idx val="1"/>
          <c:order val="1"/>
          <c:tx>
            <c:strRef>
              <c:f>Graficos!$J$3</c:f>
              <c:strCache>
                <c:ptCount val="1"/>
                <c:pt idx="0">
                  <c:v>Promedio 2020</c:v>
                </c:pt>
              </c:strCache>
            </c:strRef>
          </c:tx>
          <c:spPr>
            <a:ln w="25400" cap="rnd">
              <a:solidFill>
                <a:schemeClr val="accent2"/>
              </a:solidFill>
              <a:prstDash val="sysDash"/>
              <a:round/>
            </a:ln>
            <a:effectLst/>
          </c:spPr>
          <c:marker>
            <c:symbol val="none"/>
          </c:marker>
          <c:dLbls>
            <c:dLbl>
              <c:idx val="6"/>
              <c:layout>
                <c:manualLayout>
                  <c:x val="-0.10310992063492064"/>
                  <c:y val="5.4640277777777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C8-4035-B5D4-9192219E60C6}"/>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Graficos!$B$4:$B$39</c:f>
              <c:numCache>
                <c:formatCode>mmm\-yy</c:formatCode>
                <c:ptCount val="36"/>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numCache>
            </c:numRef>
          </c:cat>
          <c:val>
            <c:numRef>
              <c:f>Graficos!$J$4:$J$39</c:f>
              <c:numCache>
                <c:formatCode>0.0</c:formatCode>
                <c:ptCount val="36"/>
                <c:pt idx="0">
                  <c:v>63.94015606847114</c:v>
                </c:pt>
                <c:pt idx="1">
                  <c:v>63.94015606847114</c:v>
                </c:pt>
                <c:pt idx="2">
                  <c:v>63.94015606847114</c:v>
                </c:pt>
                <c:pt idx="3">
                  <c:v>63.94015606847114</c:v>
                </c:pt>
                <c:pt idx="4">
                  <c:v>63.94015606847114</c:v>
                </c:pt>
                <c:pt idx="5">
                  <c:v>63.94015606847114</c:v>
                </c:pt>
                <c:pt idx="6">
                  <c:v>63.94015606847114</c:v>
                </c:pt>
                <c:pt idx="7">
                  <c:v>63.94015606847114</c:v>
                </c:pt>
                <c:pt idx="8">
                  <c:v>63.94015606847114</c:v>
                </c:pt>
                <c:pt idx="9">
                  <c:v>63.94015606847114</c:v>
                </c:pt>
                <c:pt idx="10">
                  <c:v>63.94015606847114</c:v>
                </c:pt>
                <c:pt idx="11">
                  <c:v>63.94015606847114</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numCache>
            </c:numRef>
          </c:val>
          <c:smooth val="0"/>
          <c:extLst>
            <c:ext xmlns:c16="http://schemas.microsoft.com/office/drawing/2014/chart" uri="{C3380CC4-5D6E-409C-BE32-E72D297353CC}">
              <c16:uniqueId val="{00000002-F6C8-4035-B5D4-9192219E60C6}"/>
            </c:ext>
          </c:extLst>
        </c:ser>
        <c:ser>
          <c:idx val="2"/>
          <c:order val="2"/>
          <c:tx>
            <c:strRef>
              <c:f>Graficos!$K$3</c:f>
              <c:strCache>
                <c:ptCount val="1"/>
                <c:pt idx="0">
                  <c:v>Promedio 2021</c:v>
                </c:pt>
              </c:strCache>
            </c:strRef>
          </c:tx>
          <c:spPr>
            <a:ln w="25400" cap="rnd">
              <a:solidFill>
                <a:schemeClr val="accent6">
                  <a:lumMod val="75000"/>
                </a:schemeClr>
              </a:solidFill>
              <a:prstDash val="sysDash"/>
              <a:round/>
            </a:ln>
            <a:effectLst/>
          </c:spPr>
          <c:marker>
            <c:symbol val="none"/>
          </c:marker>
          <c:dLbls>
            <c:dLbl>
              <c:idx val="18"/>
              <c:layout>
                <c:manualLayout>
                  <c:x val="-5.8261920428241395E-2"/>
                  <c:y val="5.4640400552857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C8-4035-B5D4-9192219E60C6}"/>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Graficos!$B$4:$B$39</c:f>
              <c:numCache>
                <c:formatCode>mmm\-yy</c:formatCode>
                <c:ptCount val="36"/>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numCache>
            </c:numRef>
          </c:cat>
          <c:val>
            <c:numRef>
              <c:f>Graficos!$K$4:$K$39</c:f>
              <c:numCache>
                <c:formatCode>0.0</c:formatCode>
                <c:ptCount val="36"/>
                <c:pt idx="0">
                  <c:v>#N/A</c:v>
                </c:pt>
                <c:pt idx="1">
                  <c:v>#N/A</c:v>
                </c:pt>
                <c:pt idx="2">
                  <c:v>#N/A</c:v>
                </c:pt>
                <c:pt idx="3">
                  <c:v>#N/A</c:v>
                </c:pt>
                <c:pt idx="4">
                  <c:v>#N/A</c:v>
                </c:pt>
                <c:pt idx="5">
                  <c:v>#N/A</c:v>
                </c:pt>
                <c:pt idx="6">
                  <c:v>#N/A</c:v>
                </c:pt>
                <c:pt idx="7">
                  <c:v>#N/A</c:v>
                </c:pt>
                <c:pt idx="8">
                  <c:v>#N/A</c:v>
                </c:pt>
                <c:pt idx="9">
                  <c:v>#N/A</c:v>
                </c:pt>
                <c:pt idx="10">
                  <c:v>#N/A</c:v>
                </c:pt>
                <c:pt idx="11">
                  <c:v>#N/A</c:v>
                </c:pt>
                <c:pt idx="12">
                  <c:v>53.601756272401424</c:v>
                </c:pt>
                <c:pt idx="13">
                  <c:v>53.601756272401424</c:v>
                </c:pt>
                <c:pt idx="14">
                  <c:v>53.601756272401424</c:v>
                </c:pt>
                <c:pt idx="15">
                  <c:v>53.601756272401424</c:v>
                </c:pt>
                <c:pt idx="16">
                  <c:v>53.601756272401424</c:v>
                </c:pt>
                <c:pt idx="17">
                  <c:v>53.601756272401424</c:v>
                </c:pt>
                <c:pt idx="18">
                  <c:v>53.601756272401424</c:v>
                </c:pt>
                <c:pt idx="19">
                  <c:v>53.601756272401424</c:v>
                </c:pt>
                <c:pt idx="20">
                  <c:v>53.601756272401424</c:v>
                </c:pt>
                <c:pt idx="21">
                  <c:v>53.601756272401424</c:v>
                </c:pt>
                <c:pt idx="22">
                  <c:v>53.601756272401424</c:v>
                </c:pt>
                <c:pt idx="23">
                  <c:v>53.601756272401424</c:v>
                </c:pt>
                <c:pt idx="24">
                  <c:v>#N/A</c:v>
                </c:pt>
                <c:pt idx="25">
                  <c:v>#N/A</c:v>
                </c:pt>
                <c:pt idx="26">
                  <c:v>#N/A</c:v>
                </c:pt>
                <c:pt idx="27">
                  <c:v>#N/A</c:v>
                </c:pt>
                <c:pt idx="28">
                  <c:v>#N/A</c:v>
                </c:pt>
                <c:pt idx="29">
                  <c:v>#N/A</c:v>
                </c:pt>
                <c:pt idx="30">
                  <c:v>#N/A</c:v>
                </c:pt>
                <c:pt idx="31">
                  <c:v>#N/A</c:v>
                </c:pt>
                <c:pt idx="32">
                  <c:v>#N/A</c:v>
                </c:pt>
                <c:pt idx="33">
                  <c:v>#N/A</c:v>
                </c:pt>
                <c:pt idx="34">
                  <c:v>#N/A</c:v>
                </c:pt>
                <c:pt idx="35">
                  <c:v>#N/A</c:v>
                </c:pt>
              </c:numCache>
            </c:numRef>
          </c:val>
          <c:smooth val="0"/>
          <c:extLst>
            <c:ext xmlns:c16="http://schemas.microsoft.com/office/drawing/2014/chart" uri="{C3380CC4-5D6E-409C-BE32-E72D297353CC}">
              <c16:uniqueId val="{00000004-F6C8-4035-B5D4-9192219E60C6}"/>
            </c:ext>
          </c:extLst>
        </c:ser>
        <c:ser>
          <c:idx val="3"/>
          <c:order val="3"/>
          <c:tx>
            <c:strRef>
              <c:f>Graficos!$L$3</c:f>
              <c:strCache>
                <c:ptCount val="1"/>
                <c:pt idx="0">
                  <c:v>Promedio 2022</c:v>
                </c:pt>
              </c:strCache>
            </c:strRef>
          </c:tx>
          <c:spPr>
            <a:ln w="25400" cap="rnd">
              <a:solidFill>
                <a:schemeClr val="accent4"/>
              </a:solidFill>
              <a:prstDash val="dash"/>
              <a:round/>
            </a:ln>
            <a:effectLst/>
          </c:spPr>
          <c:marker>
            <c:symbol val="none"/>
          </c:marker>
          <c:dLbls>
            <c:dLbl>
              <c:idx val="30"/>
              <c:layout>
                <c:manualLayout>
                  <c:x val="-4.9938788938492615E-2"/>
                  <c:y val="5.4640400552857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C8-4035-B5D4-9192219E60C6}"/>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Graficos!$B$4:$B$39</c:f>
              <c:numCache>
                <c:formatCode>mmm\-yy</c:formatCode>
                <c:ptCount val="36"/>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numCache>
            </c:numRef>
          </c:cat>
          <c:val>
            <c:numRef>
              <c:f>Graficos!$L$4:$L$39</c:f>
              <c:numCache>
                <c:formatCode>0.0</c:formatCode>
                <c:ptCount val="36"/>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42.783418458781362</c:v>
                </c:pt>
                <c:pt idx="25">
                  <c:v>42.783418458781362</c:v>
                </c:pt>
                <c:pt idx="26">
                  <c:v>42.783418458781362</c:v>
                </c:pt>
                <c:pt idx="27">
                  <c:v>42.783418458781362</c:v>
                </c:pt>
                <c:pt idx="28">
                  <c:v>42.783418458781362</c:v>
                </c:pt>
                <c:pt idx="29">
                  <c:v>42.783418458781362</c:v>
                </c:pt>
                <c:pt idx="30">
                  <c:v>42.783418458781362</c:v>
                </c:pt>
                <c:pt idx="31">
                  <c:v>42.783418458781362</c:v>
                </c:pt>
                <c:pt idx="32">
                  <c:v>42.783418458781362</c:v>
                </c:pt>
                <c:pt idx="33">
                  <c:v>42.783418458781362</c:v>
                </c:pt>
                <c:pt idx="34">
                  <c:v>42.783418458781362</c:v>
                </c:pt>
                <c:pt idx="35">
                  <c:v>42.783418458781362</c:v>
                </c:pt>
              </c:numCache>
            </c:numRef>
          </c:val>
          <c:smooth val="0"/>
          <c:extLst>
            <c:ext xmlns:c16="http://schemas.microsoft.com/office/drawing/2014/chart" uri="{C3380CC4-5D6E-409C-BE32-E72D297353CC}">
              <c16:uniqueId val="{00000006-F6C8-4035-B5D4-9192219E60C6}"/>
            </c:ext>
          </c:extLst>
        </c:ser>
        <c:dLbls>
          <c:showLegendKey val="0"/>
          <c:showVal val="0"/>
          <c:showCatName val="0"/>
          <c:showSerName val="0"/>
          <c:showPercent val="0"/>
          <c:showBubbleSize val="0"/>
        </c:dLbls>
        <c:smooth val="0"/>
        <c:axId val="1939714960"/>
        <c:axId val="1939739920"/>
      </c:lineChart>
      <c:dateAx>
        <c:axId val="193971496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39739920"/>
        <c:crosses val="autoZero"/>
        <c:auto val="1"/>
        <c:lblOffset val="100"/>
        <c:baseTimeUnit val="months"/>
        <c:majorUnit val="2"/>
        <c:majorTimeUnit val="months"/>
      </c:dateAx>
      <c:valAx>
        <c:axId val="19397399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39714960"/>
        <c:crosses val="autoZero"/>
        <c:crossBetween val="between"/>
      </c:valAx>
      <c:spPr>
        <a:noFill/>
        <a:ln>
          <a:noFill/>
        </a:ln>
        <a:effectLst/>
      </c:spPr>
    </c:plotArea>
    <c:legend>
      <c:legendPos val="b"/>
      <c:layout>
        <c:manualLayout>
          <c:xMode val="edge"/>
          <c:yMode val="edge"/>
          <c:x val="0.13290833333333335"/>
          <c:y val="2.1011111111111168E-2"/>
          <c:w val="0.8670916666666667"/>
          <c:h val="0.1411168112146546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5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212424551032082E-3"/>
          <c:w val="0.99350229658792633"/>
          <c:h val="0.89198191708686259"/>
        </c:manualLayout>
      </c:layout>
      <c:barChart>
        <c:barDir val="col"/>
        <c:grouping val="clustered"/>
        <c:varyColors val="0"/>
        <c:ser>
          <c:idx val="0"/>
          <c:order val="0"/>
          <c:tx>
            <c:strRef>
              <c:f>'Diseño de escenario'!$H$76</c:f>
              <c:strCache>
                <c:ptCount val="1"/>
                <c:pt idx="0">
                  <c:v>Escenario base</c:v>
                </c:pt>
              </c:strCache>
            </c:strRef>
          </c:tx>
          <c:spPr>
            <a:solidFill>
              <a:schemeClr val="bg1">
                <a:lumMod val="65000"/>
              </a:schemeClr>
            </a:solidFill>
            <a:ln>
              <a:noFill/>
            </a:ln>
            <a:effectLst/>
          </c:spPr>
          <c:invertIfNegative val="0"/>
          <c:dLbls>
            <c:dLbl>
              <c:idx val="2"/>
              <c:layout>
                <c:manualLayout>
                  <c:x val="-8.81944444444452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77-4933-BB80-D4BC84AAF2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'Diseño de escenario'!$I$75:$K$75</c:f>
              <c:strCache>
                <c:ptCount val="3"/>
                <c:pt idx="0">
                  <c:v>PIB real</c:v>
                </c:pt>
                <c:pt idx="1">
                  <c:v>Importaciones FOB</c:v>
                </c:pt>
                <c:pt idx="2">
                  <c:v>Deflactor del PIB</c:v>
                </c:pt>
              </c:strCache>
            </c:strRef>
          </c:cat>
          <c:val>
            <c:numRef>
              <c:f>'Diseño de escenario'!$I$76:$K$76</c:f>
              <c:numCache>
                <c:formatCode>0.0%</c:formatCode>
                <c:ptCount val="3"/>
                <c:pt idx="0">
                  <c:v>2.4999999999999859E-2</c:v>
                </c:pt>
                <c:pt idx="1">
                  <c:v>0.06</c:v>
                </c:pt>
                <c:pt idx="2">
                  <c:v>3.2951442152437949E-2</c:v>
                </c:pt>
              </c:numCache>
            </c:numRef>
          </c:val>
          <c:extLst>
            <c:ext xmlns:c16="http://schemas.microsoft.com/office/drawing/2014/chart" uri="{C3380CC4-5D6E-409C-BE32-E72D297353CC}">
              <c16:uniqueId val="{00000001-8077-4933-BB80-D4BC84AAF294}"/>
            </c:ext>
          </c:extLst>
        </c:ser>
        <c:ser>
          <c:idx val="1"/>
          <c:order val="1"/>
          <c:tx>
            <c:strRef>
              <c:f>'Diseño de escenario'!$J$69</c:f>
              <c:strCache>
                <c:ptCount val="1"/>
                <c:pt idx="0">
                  <c:v>Índice de rigor =60</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'Diseño de escenario'!$I$75:$K$75</c:f>
              <c:strCache>
                <c:ptCount val="3"/>
                <c:pt idx="0">
                  <c:v>PIB real</c:v>
                </c:pt>
                <c:pt idx="1">
                  <c:v>Importaciones FOB</c:v>
                </c:pt>
                <c:pt idx="2">
                  <c:v>Deflactor del PIB</c:v>
                </c:pt>
              </c:strCache>
            </c:strRef>
          </c:cat>
          <c:val>
            <c:numRef>
              <c:f>'Diseño de escenario'!$I$77:$K$77</c:f>
              <c:numCache>
                <c:formatCode>0.0%</c:formatCode>
                <c:ptCount val="3"/>
                <c:pt idx="0">
                  <c:v>1.2E-2</c:v>
                </c:pt>
                <c:pt idx="1">
                  <c:v>3.4524207061662482E-2</c:v>
                </c:pt>
                <c:pt idx="2">
                  <c:v>1.9951442152437947E-2</c:v>
                </c:pt>
              </c:numCache>
            </c:numRef>
          </c:val>
          <c:extLst>
            <c:ext xmlns:c16="http://schemas.microsoft.com/office/drawing/2014/chart" uri="{C3380CC4-5D6E-409C-BE32-E72D297353CC}">
              <c16:uniqueId val="{00000002-8077-4933-BB80-D4BC84AAF294}"/>
            </c:ext>
          </c:extLst>
        </c:ser>
        <c:ser>
          <c:idx val="2"/>
          <c:order val="2"/>
          <c:tx>
            <c:strRef>
              <c:f>'Diseño de escenario'!$O$69</c:f>
              <c:strCache>
                <c:ptCount val="1"/>
                <c:pt idx="0">
                  <c:v>Índice de Rigor = 80.0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'Diseño de escenario'!$N$77:$P$77</c:f>
              <c:numCache>
                <c:formatCode>0.0%</c:formatCode>
                <c:ptCount val="3"/>
                <c:pt idx="0">
                  <c:v>1E-3</c:v>
                </c:pt>
                <c:pt idx="1">
                  <c:v>1.5608724295109067E-2</c:v>
                </c:pt>
                <c:pt idx="2">
                  <c:v>1.4951442152437948E-2</c:v>
                </c:pt>
              </c:numCache>
            </c:numRef>
          </c:val>
          <c:extLst>
            <c:ext xmlns:c16="http://schemas.microsoft.com/office/drawing/2014/chart" uri="{C3380CC4-5D6E-409C-BE32-E72D297353CC}">
              <c16:uniqueId val="{00000003-8077-4933-BB80-D4BC84AAF294}"/>
            </c:ext>
          </c:extLst>
        </c:ser>
        <c:dLbls>
          <c:showLegendKey val="0"/>
          <c:showVal val="0"/>
          <c:showCatName val="0"/>
          <c:showSerName val="0"/>
          <c:showPercent val="0"/>
          <c:showBubbleSize val="0"/>
        </c:dLbls>
        <c:gapWidth val="100"/>
        <c:overlap val="-20"/>
        <c:axId val="703436175"/>
        <c:axId val="703442831"/>
      </c:barChart>
      <c:catAx>
        <c:axId val="70343617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03442831"/>
        <c:crosses val="autoZero"/>
        <c:auto val="1"/>
        <c:lblAlgn val="ctr"/>
        <c:lblOffset val="100"/>
        <c:noMultiLvlLbl val="0"/>
      </c:catAx>
      <c:valAx>
        <c:axId val="703442831"/>
        <c:scaling>
          <c:orientation val="minMax"/>
        </c:scaling>
        <c:delete val="1"/>
        <c:axPos val="l"/>
        <c:numFmt formatCode="0.0%" sourceLinked="1"/>
        <c:majorTickMark val="none"/>
        <c:minorTickMark val="none"/>
        <c:tickLblPos val="nextTo"/>
        <c:crossAx val="703436175"/>
        <c:crosses val="autoZero"/>
        <c:crossBetween val="between"/>
      </c:valAx>
      <c:spPr>
        <a:noFill/>
        <a:ln>
          <a:noFill/>
        </a:ln>
        <a:effectLst/>
      </c:spPr>
    </c:plotArea>
    <c:legend>
      <c:legendPos val="b"/>
      <c:layout>
        <c:manualLayout>
          <c:xMode val="edge"/>
          <c:yMode val="edge"/>
          <c:x val="0.80728036599591713"/>
          <c:y val="5.1342556943788933E-2"/>
          <c:w val="0.18939468503937007"/>
          <c:h val="0.226653667502918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18281466549075E-2"/>
          <c:y val="0"/>
          <c:w val="0.94456343706690182"/>
          <c:h val="0.8411747421510902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F82E-47C2-8205-E5403C8AD1D6}"/>
              </c:ext>
            </c:extLst>
          </c:dPt>
          <c:dPt>
            <c:idx val="1"/>
            <c:invertIfNegative val="0"/>
            <c:bubble3D val="0"/>
            <c:spPr>
              <a:solidFill>
                <a:srgbClr val="002060"/>
              </a:solidFill>
              <a:ln>
                <a:noFill/>
              </a:ln>
              <a:effectLst/>
            </c:spPr>
            <c:extLst>
              <c:ext xmlns:c16="http://schemas.microsoft.com/office/drawing/2014/chart" uri="{C3380CC4-5D6E-409C-BE32-E72D297353CC}">
                <c16:uniqueId val="{00000003-F82E-47C2-8205-E5403C8AD1D6}"/>
              </c:ext>
            </c:extLst>
          </c:dPt>
          <c:dPt>
            <c:idx val="2"/>
            <c:invertIfNegative val="0"/>
            <c:bubble3D val="0"/>
            <c:spPr>
              <a:solidFill>
                <a:srgbClr val="C00000"/>
              </a:solidFill>
              <a:ln>
                <a:noFill/>
              </a:ln>
              <a:effectLst/>
            </c:spPr>
            <c:extLst>
              <c:ext xmlns:c16="http://schemas.microsoft.com/office/drawing/2014/chart" uri="{C3380CC4-5D6E-409C-BE32-E72D297353CC}">
                <c16:uniqueId val="{00000005-F82E-47C2-8205-E5403C8AD1D6}"/>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3-F82E-47C2-8205-E5403C8AD1D6}"/>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5-F82E-47C2-8205-E5403C8AD1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'Impacto Fiscal'!$J$12:$L$12</c:f>
              <c:strCache>
                <c:ptCount val="3"/>
                <c:pt idx="0">
                  <c:v>Escenario base</c:v>
                </c:pt>
                <c:pt idx="1">
                  <c:v>índice de rigor = 60</c:v>
                </c:pt>
                <c:pt idx="2">
                  <c:v>índice de rigor = 80</c:v>
                </c:pt>
              </c:strCache>
            </c:strRef>
          </c:cat>
          <c:val>
            <c:numRef>
              <c:f>'Impacto Fiscal'!$J$13:$L$13</c:f>
              <c:numCache>
                <c:formatCode>0.0%</c:formatCode>
                <c:ptCount val="3"/>
                <c:pt idx="0">
                  <c:v>0.11689805712260525</c:v>
                </c:pt>
                <c:pt idx="1">
                  <c:v>0.115</c:v>
                </c:pt>
                <c:pt idx="2">
                  <c:v>0.112</c:v>
                </c:pt>
              </c:numCache>
            </c:numRef>
          </c:val>
          <c:extLst>
            <c:ext xmlns:c16="http://schemas.microsoft.com/office/drawing/2014/chart" uri="{C3380CC4-5D6E-409C-BE32-E72D297353CC}">
              <c16:uniqueId val="{00000006-F82E-47C2-8205-E5403C8AD1D6}"/>
            </c:ext>
          </c:extLst>
        </c:ser>
        <c:dLbls>
          <c:showLegendKey val="0"/>
          <c:showVal val="0"/>
          <c:showCatName val="0"/>
          <c:showSerName val="0"/>
          <c:showPercent val="0"/>
          <c:showBubbleSize val="0"/>
        </c:dLbls>
        <c:gapWidth val="80"/>
        <c:overlap val="-27"/>
        <c:axId val="745417887"/>
        <c:axId val="745408319"/>
      </c:barChart>
      <c:catAx>
        <c:axId val="7454178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45408319"/>
        <c:crosses val="autoZero"/>
        <c:auto val="1"/>
        <c:lblAlgn val="ctr"/>
        <c:lblOffset val="100"/>
        <c:noMultiLvlLbl val="0"/>
      </c:catAx>
      <c:valAx>
        <c:axId val="745408319"/>
        <c:scaling>
          <c:orientation val="minMax"/>
        </c:scaling>
        <c:delete val="1"/>
        <c:axPos val="l"/>
        <c:numFmt formatCode="0.0%" sourceLinked="1"/>
        <c:majorTickMark val="out"/>
        <c:minorTickMark val="none"/>
        <c:tickLblPos val="nextTo"/>
        <c:crossAx val="745417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896190476190475"/>
          <c:y val="3.4208031009798232E-2"/>
          <c:w val="0.8525939801879604"/>
          <c:h val="0.78730084853200144"/>
        </c:manualLayout>
      </c:layout>
      <c:barChart>
        <c:barDir val="col"/>
        <c:grouping val="clustered"/>
        <c:varyColors val="0"/>
        <c:ser>
          <c:idx val="0"/>
          <c:order val="0"/>
          <c:tx>
            <c:strRef>
              <c:f>'PIB real'!$B$30</c:f>
              <c:strCache>
                <c:ptCount val="1"/>
                <c:pt idx="0">
                  <c:v>Año presupuestario</c:v>
                </c:pt>
              </c:strCache>
            </c:strRef>
          </c:tx>
          <c:spPr>
            <a:solidFill>
              <a:schemeClr val="accent1">
                <a:shade val="65000"/>
              </a:schemeClr>
            </a:solidFill>
            <a:ln>
              <a:noFill/>
            </a:ln>
            <a:effectLst/>
          </c:spPr>
          <c:invertIfNegative val="0"/>
          <c:cat>
            <c:numRef>
              <c:f>'PIB real'!$E$29:$N$29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'PIB real'!$E$30:$N$30</c:f>
              <c:numCache>
                <c:formatCode>_-* #,##0.0_-;\-* #,##0.0_-;_-* "-"??_-;_-@_-</c:formatCode>
                <c:ptCount val="10"/>
                <c:pt idx="0">
                  <c:v>0.19758557790966336</c:v>
                </c:pt>
                <c:pt idx="1">
                  <c:v>0.87416913658175321</c:v>
                </c:pt>
                <c:pt idx="2">
                  <c:v>0.74004435825478376</c:v>
                </c:pt>
                <c:pt idx="3">
                  <c:v>-0.1075174423091001</c:v>
                </c:pt>
                <c:pt idx="4">
                  <c:v>-0.33966151633378283</c:v>
                </c:pt>
                <c:pt idx="5">
                  <c:v>-0.35496542187910052</c:v>
                </c:pt>
                <c:pt idx="6">
                  <c:v>0.41789792716311913</c:v>
                </c:pt>
                <c:pt idx="7">
                  <c:v>-4.7918576862091644</c:v>
                </c:pt>
                <c:pt idx="8">
                  <c:v>6.002408017800299</c:v>
                </c:pt>
                <c:pt idx="9">
                  <c:v>0.61800418184602446</c:v>
                </c:pt>
              </c:numCache>
            </c:numRef>
          </c:val>
          <c:extLst>
            <c:ext xmlns:c16="http://schemas.microsoft.com/office/drawing/2014/chart" uri="{C3380CC4-5D6E-409C-BE32-E72D297353CC}">
              <c16:uniqueId val="{00000000-DCAE-4C43-9EC2-77ACC531E4E5}"/>
            </c:ext>
          </c:extLst>
        </c:ser>
        <c:ser>
          <c:idx val="1"/>
          <c:order val="1"/>
          <c:tx>
            <c:strRef>
              <c:f>'PIB real'!$B$31</c:f>
              <c:strCache>
                <c:ptCount val="1"/>
                <c:pt idx="0">
                  <c:v>Año presupuestario+1</c:v>
                </c:pt>
              </c:strCache>
            </c:strRef>
          </c:tx>
          <c:spPr>
            <a:solidFill>
              <a:schemeClr val="accent1"/>
            </a:solidFill>
            <a:ln>
              <a:noFill/>
            </a:ln>
            <a:effectLst/>
          </c:spPr>
          <c:invertIfNegative val="0"/>
          <c:cat>
            <c:numRef>
              <c:f>'PIB real'!$E$29:$N$29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'PIB real'!$E$31:$N$31</c:f>
              <c:numCache>
                <c:formatCode>_-* #,##0.0_-;\-* #,##0.0_-;_-* "-"??_-;_-@_-</c:formatCode>
                <c:ptCount val="10"/>
                <c:pt idx="0">
                  <c:v>0.19758557790966336</c:v>
                </c:pt>
                <c:pt idx="1">
                  <c:v>0.57416913658175295</c:v>
                </c:pt>
                <c:pt idx="2">
                  <c:v>0.84004435825478385</c:v>
                </c:pt>
                <c:pt idx="3">
                  <c:v>-0.30751744230909983</c:v>
                </c:pt>
                <c:pt idx="4">
                  <c:v>-0.43966151633378292</c:v>
                </c:pt>
                <c:pt idx="5">
                  <c:v>-5.4965421879100695E-2</c:v>
                </c:pt>
                <c:pt idx="6">
                  <c:v>0.41789792716311913</c:v>
                </c:pt>
                <c:pt idx="7">
                  <c:v>-5.4918576862091637</c:v>
                </c:pt>
                <c:pt idx="8">
                  <c:v>4.9024080178002993</c:v>
                </c:pt>
                <c:pt idx="9">
                  <c:v>1.5180041818460244</c:v>
                </c:pt>
              </c:numCache>
            </c:numRef>
          </c:val>
          <c:extLst>
            <c:ext xmlns:c16="http://schemas.microsoft.com/office/drawing/2014/chart" uri="{C3380CC4-5D6E-409C-BE32-E72D297353CC}">
              <c16:uniqueId val="{00000001-DCAE-4C43-9EC2-77ACC531E4E5}"/>
            </c:ext>
          </c:extLst>
        </c:ser>
        <c:ser>
          <c:idx val="2"/>
          <c:order val="2"/>
          <c:tx>
            <c:strRef>
              <c:f>'PIB real'!$B$32</c:f>
              <c:strCache>
                <c:ptCount val="1"/>
                <c:pt idx="0">
                  <c:v>Año presupuestario+2</c:v>
                </c:pt>
              </c:strCache>
            </c:strRef>
          </c:tx>
          <c:spPr>
            <a:solidFill>
              <a:schemeClr val="accent1">
                <a:tint val="65000"/>
              </a:schemeClr>
            </a:solidFill>
            <a:ln>
              <a:noFill/>
            </a:ln>
            <a:effectLst/>
          </c:spPr>
          <c:invertIfNegative val="0"/>
          <c:trendline>
            <c:spPr>
              <a:ln w="19050" cap="rnd">
                <a:noFill/>
                <a:prstDash val="sysDot"/>
              </a:ln>
              <a:effectLst/>
            </c:spPr>
            <c:trendlineType val="linear"/>
            <c:dispRSqr val="0"/>
            <c:dispEq val="0"/>
          </c:trendline>
          <c:cat>
            <c:numRef>
              <c:f>'PIB real'!$E$29:$N$29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'PIB real'!$E$32:$N$32</c:f>
              <c:numCache>
                <c:formatCode>_-* #,##0.0_-;\-* #,##0.0_-;_-* "-"??_-;_-@_-</c:formatCode>
                <c:ptCount val="10"/>
                <c:pt idx="0">
                  <c:v>0.29758557790966345</c:v>
                </c:pt>
                <c:pt idx="1">
                  <c:v>0.57416913658175295</c:v>
                </c:pt>
                <c:pt idx="2">
                  <c:v>0.64004435825478367</c:v>
                </c:pt>
                <c:pt idx="3">
                  <c:v>-0.20751744230909974</c:v>
                </c:pt>
                <c:pt idx="4">
                  <c:v>-0.73966151633378274</c:v>
                </c:pt>
                <c:pt idx="5">
                  <c:v>-0.15496542187910034</c:v>
                </c:pt>
                <c:pt idx="6">
                  <c:v>0.91789792716311913</c:v>
                </c:pt>
                <c:pt idx="7">
                  <c:v>-5.4918576862091637</c:v>
                </c:pt>
                <c:pt idx="8">
                  <c:v>4.2024080178002992</c:v>
                </c:pt>
                <c:pt idx="9">
                  <c:v>0.91800418184602428</c:v>
                </c:pt>
              </c:numCache>
            </c:numRef>
          </c:val>
          <c:extLst>
            <c:ext xmlns:c16="http://schemas.microsoft.com/office/drawing/2014/chart" uri="{C3380CC4-5D6E-409C-BE32-E72D297353CC}">
              <c16:uniqueId val="{00000003-DCAE-4C43-9EC2-77ACC531E4E5}"/>
            </c:ext>
          </c:extLst>
        </c:ser>
        <c:dLbls>
          <c:showLegendKey val="0"/>
          <c:showVal val="0"/>
          <c:showCatName val="0"/>
          <c:showSerName val="0"/>
          <c:showPercent val="0"/>
          <c:showBubbleSize val="0"/>
        </c:dLbls>
        <c:gapWidth val="80"/>
        <c:overlap val="-30"/>
        <c:axId val="1149594064"/>
        <c:axId val="1149579504"/>
      </c:barChart>
      <c:catAx>
        <c:axId val="1149594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79504"/>
        <c:crosses val="autoZero"/>
        <c:auto val="1"/>
        <c:lblAlgn val="ctr"/>
        <c:lblOffset val="100"/>
        <c:noMultiLvlLbl val="0"/>
      </c:catAx>
      <c:valAx>
        <c:axId val="1149579504"/>
        <c:scaling>
          <c:orientation val="minMax"/>
          <c:min val="-8"/>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94064"/>
        <c:crosses val="autoZero"/>
        <c:crossBetween val="between"/>
      </c:valAx>
      <c:spPr>
        <a:noFill/>
        <a:ln>
          <a:noFill/>
        </a:ln>
        <a:effectLst/>
      </c:spPr>
    </c:plotArea>
    <c:legend>
      <c:legendPos val="b"/>
      <c:legendEntry>
        <c:idx val="3"/>
        <c:delete val="1"/>
      </c:legendEntry>
      <c:layout>
        <c:manualLayout>
          <c:xMode val="edge"/>
          <c:yMode val="edge"/>
          <c:x val="6.1753079756159512E-2"/>
          <c:y val="0.93785675334914853"/>
          <c:w val="0.88657448564897134"/>
          <c:h val="6.2143246650851483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871320083421559E-2"/>
          <c:y val="0"/>
          <c:w val="0.92672175288163461"/>
          <c:h val="0.86925779644956536"/>
        </c:manualLayout>
      </c:layout>
      <c:scatterChart>
        <c:scatterStyle val="lineMarker"/>
        <c:varyColors val="0"/>
        <c:ser>
          <c:idx val="0"/>
          <c:order val="0"/>
          <c:tx>
            <c:strRef>
              <c:f>Hoja1!$D$6</c:f>
              <c:strCache>
                <c:ptCount val="1"/>
                <c:pt idx="0">
                  <c:v>NIC</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Hoja1!$F$6</c:f>
              <c:numCache>
                <c:formatCode>_(* #,##0_);_(* \(#,##0\);_(* "-"??_);_(@_)</c:formatCode>
                <c:ptCount val="1"/>
                <c:pt idx="0">
                  <c:v>2090</c:v>
                </c:pt>
              </c:numCache>
            </c:numRef>
          </c:xVal>
          <c:yVal>
            <c:numRef>
              <c:f>Hoja1!$E$6</c:f>
              <c:numCache>
                <c:formatCode>General</c:formatCode>
                <c:ptCount val="1"/>
                <c:pt idx="0">
                  <c:v>0</c:v>
                </c:pt>
              </c:numCache>
            </c:numRef>
          </c:yVal>
          <c:smooth val="0"/>
          <c:extLst>
            <c:ext xmlns:c16="http://schemas.microsoft.com/office/drawing/2014/chart" uri="{C3380CC4-5D6E-409C-BE32-E72D297353CC}">
              <c16:uniqueId val="{00000000-4B58-4F66-A878-569E6CF47FA3}"/>
            </c:ext>
          </c:extLst>
        </c:ser>
        <c:ser>
          <c:idx val="1"/>
          <c:order val="1"/>
          <c:tx>
            <c:strRef>
              <c:f>Hoja1!$D$7</c:f>
              <c:strCache>
                <c:ptCount val="1"/>
                <c:pt idx="0">
                  <c:v>HND</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Hoja1!$F$7</c:f>
              <c:numCache>
                <c:formatCode>_(* #,##0_);_(* \(#,##0\);_(* "-"??_);_(@_)</c:formatCode>
                <c:ptCount val="1"/>
                <c:pt idx="0">
                  <c:v>2740</c:v>
                </c:pt>
              </c:numCache>
            </c:numRef>
          </c:xVal>
          <c:yVal>
            <c:numRef>
              <c:f>Hoja1!$E$7</c:f>
              <c:numCache>
                <c:formatCode>General</c:formatCode>
                <c:ptCount val="1"/>
                <c:pt idx="0">
                  <c:v>0</c:v>
                </c:pt>
              </c:numCache>
            </c:numRef>
          </c:yVal>
          <c:smooth val="0"/>
          <c:extLst>
            <c:ext xmlns:c16="http://schemas.microsoft.com/office/drawing/2014/chart" uri="{C3380CC4-5D6E-409C-BE32-E72D297353CC}">
              <c16:uniqueId val="{00000001-4B58-4F66-A878-569E6CF47FA3}"/>
            </c:ext>
          </c:extLst>
        </c:ser>
        <c:ser>
          <c:idx val="2"/>
          <c:order val="2"/>
          <c:tx>
            <c:strRef>
              <c:f>Hoja1!$D$8</c:f>
              <c:strCache>
                <c:ptCount val="1"/>
                <c:pt idx="0">
                  <c:v>BOL</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Hoja1!$F$8</c:f>
              <c:numCache>
                <c:formatCode>_(* #,##0_);_(* \(#,##0\);_(* "-"??_);_(@_)</c:formatCode>
                <c:ptCount val="1"/>
                <c:pt idx="0">
                  <c:v>3450</c:v>
                </c:pt>
              </c:numCache>
            </c:numRef>
          </c:xVal>
          <c:yVal>
            <c:numRef>
              <c:f>Hoja1!$E$8</c:f>
              <c:numCache>
                <c:formatCode>General</c:formatCode>
                <c:ptCount val="1"/>
                <c:pt idx="0">
                  <c:v>0</c:v>
                </c:pt>
              </c:numCache>
            </c:numRef>
          </c:yVal>
          <c:smooth val="0"/>
          <c:extLst>
            <c:ext xmlns:c16="http://schemas.microsoft.com/office/drawing/2014/chart" uri="{C3380CC4-5D6E-409C-BE32-E72D297353CC}">
              <c16:uniqueId val="{00000002-4B58-4F66-A878-569E6CF47FA3}"/>
            </c:ext>
          </c:extLst>
        </c:ser>
        <c:ser>
          <c:idx val="3"/>
          <c:order val="3"/>
          <c:tx>
            <c:strRef>
              <c:f>Hoja1!$D$9</c:f>
              <c:strCache>
                <c:ptCount val="1"/>
                <c:pt idx="0">
                  <c:v>SLV</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Hoja1!$F$9</c:f>
              <c:numCache>
                <c:formatCode>_(* #,##0_);_(* \(#,##0\);_(* "-"??_);_(@_)</c:formatCode>
                <c:ptCount val="1"/>
                <c:pt idx="0">
                  <c:v>4720</c:v>
                </c:pt>
              </c:numCache>
            </c:numRef>
          </c:xVal>
          <c:yVal>
            <c:numRef>
              <c:f>Hoja1!$E$9</c:f>
              <c:numCache>
                <c:formatCode>General</c:formatCode>
                <c:ptCount val="1"/>
                <c:pt idx="0">
                  <c:v>0</c:v>
                </c:pt>
              </c:numCache>
            </c:numRef>
          </c:yVal>
          <c:smooth val="0"/>
          <c:extLst>
            <c:ext xmlns:c16="http://schemas.microsoft.com/office/drawing/2014/chart" uri="{C3380CC4-5D6E-409C-BE32-E72D297353CC}">
              <c16:uniqueId val="{00000003-4B58-4F66-A878-569E6CF47FA3}"/>
            </c:ext>
          </c:extLst>
        </c:ser>
        <c:ser>
          <c:idx val="4"/>
          <c:order val="4"/>
          <c:tx>
            <c:strRef>
              <c:f>Hoja1!$D$10</c:f>
              <c:strCache>
                <c:ptCount val="1"/>
                <c:pt idx="0">
                  <c:v>GTM</c:v>
                </c:pt>
              </c:strCache>
            </c:strRef>
          </c:tx>
          <c:spPr>
            <a:ln w="25400" cap="rnd">
              <a:noFill/>
              <a:round/>
            </a:ln>
            <a:effectLst/>
          </c:spPr>
          <c:marker>
            <c:symbol val="diamond"/>
            <c:size val="7"/>
            <c:spPr>
              <a:solidFill>
                <a:srgbClr val="C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Hoja1!$F$10</c:f>
              <c:numCache>
                <c:formatCode>_(* #,##0_);_(* \(#,##0\);_(* "-"??_);_(@_)</c:formatCode>
                <c:ptCount val="1"/>
                <c:pt idx="0">
                  <c:v>5350</c:v>
                </c:pt>
              </c:numCache>
            </c:numRef>
          </c:xVal>
          <c:yVal>
            <c:numRef>
              <c:f>Hoja1!$E$10</c:f>
              <c:numCache>
                <c:formatCode>General</c:formatCode>
                <c:ptCount val="1"/>
                <c:pt idx="0">
                  <c:v>0</c:v>
                </c:pt>
              </c:numCache>
            </c:numRef>
          </c:yVal>
          <c:smooth val="0"/>
          <c:extLst>
            <c:ext xmlns:c16="http://schemas.microsoft.com/office/drawing/2014/chart" uri="{C3380CC4-5D6E-409C-BE32-E72D297353CC}">
              <c16:uniqueId val="{00000004-4B58-4F66-A878-569E6CF47FA3}"/>
            </c:ext>
          </c:extLst>
        </c:ser>
        <c:ser>
          <c:idx val="5"/>
          <c:order val="5"/>
          <c:tx>
            <c:strRef>
              <c:f>Hoja1!$D$11</c:f>
              <c:strCache>
                <c:ptCount val="1"/>
                <c:pt idx="0">
                  <c:v>COL</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Hoja1!$F$11</c:f>
              <c:numCache>
                <c:formatCode>_(* #,##0_);_(* \(#,##0\);_(* "-"??_);_(@_)</c:formatCode>
                <c:ptCount val="1"/>
                <c:pt idx="0">
                  <c:v>6510</c:v>
                </c:pt>
              </c:numCache>
            </c:numRef>
          </c:xVal>
          <c:yVal>
            <c:numRef>
              <c:f>Hoja1!$E$11</c:f>
              <c:numCache>
                <c:formatCode>General</c:formatCode>
                <c:ptCount val="1"/>
                <c:pt idx="0">
                  <c:v>0</c:v>
                </c:pt>
              </c:numCache>
            </c:numRef>
          </c:yVal>
          <c:smooth val="0"/>
          <c:extLst>
            <c:ext xmlns:c16="http://schemas.microsoft.com/office/drawing/2014/chart" uri="{C3380CC4-5D6E-409C-BE32-E72D297353CC}">
              <c16:uniqueId val="{00000005-4B58-4F66-A878-569E6CF47FA3}"/>
            </c:ext>
          </c:extLst>
        </c:ser>
        <c:ser>
          <c:idx val="6"/>
          <c:order val="6"/>
          <c:tx>
            <c:strRef>
              <c:f>Hoja1!$D$12</c:f>
              <c:strCache>
                <c:ptCount val="1"/>
                <c:pt idx="0">
                  <c:v>PER</c:v>
                </c:pt>
              </c:strCache>
            </c:strRef>
          </c:tx>
          <c:spPr>
            <a:ln w="25400" cap="rnd">
              <a:noFill/>
              <a:round/>
            </a:ln>
            <a:effectLst/>
          </c:spPr>
          <c:marker>
            <c:symbol val="diamond"/>
            <c:size val="7"/>
            <c:spPr>
              <a:solidFill>
                <a:schemeClr val="accent1">
                  <a:lumMod val="6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Hoja1!$F$12</c:f>
              <c:numCache>
                <c:formatCode>_(* #,##0_);_(* \(#,##0\);_(* "-"??_);_(@_)</c:formatCode>
                <c:ptCount val="1"/>
                <c:pt idx="0">
                  <c:v>6770</c:v>
                </c:pt>
              </c:numCache>
            </c:numRef>
          </c:xVal>
          <c:yVal>
            <c:numRef>
              <c:f>Hoja1!$E$12</c:f>
              <c:numCache>
                <c:formatCode>General</c:formatCode>
                <c:ptCount val="1"/>
                <c:pt idx="0">
                  <c:v>0</c:v>
                </c:pt>
              </c:numCache>
            </c:numRef>
          </c:yVal>
          <c:smooth val="0"/>
          <c:extLst>
            <c:ext xmlns:c16="http://schemas.microsoft.com/office/drawing/2014/chart" uri="{C3380CC4-5D6E-409C-BE32-E72D297353CC}">
              <c16:uniqueId val="{00000006-4B58-4F66-A878-569E6CF47FA3}"/>
            </c:ext>
          </c:extLst>
        </c:ser>
        <c:ser>
          <c:idx val="7"/>
          <c:order val="7"/>
          <c:tx>
            <c:strRef>
              <c:f>Hoja1!$D$13</c:f>
              <c:strCache>
                <c:ptCount val="1"/>
                <c:pt idx="0">
                  <c:v>BRA</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Hoja1!$F$13</c:f>
              <c:numCache>
                <c:formatCode>_(* #,##0_);_(* \(#,##0\);_(* "-"??_);_(@_)</c:formatCode>
                <c:ptCount val="1"/>
                <c:pt idx="0">
                  <c:v>8140</c:v>
                </c:pt>
              </c:numCache>
            </c:numRef>
          </c:xVal>
          <c:yVal>
            <c:numRef>
              <c:f>Hoja1!$E$13</c:f>
              <c:numCache>
                <c:formatCode>General</c:formatCode>
                <c:ptCount val="1"/>
                <c:pt idx="0">
                  <c:v>0</c:v>
                </c:pt>
              </c:numCache>
            </c:numRef>
          </c:yVal>
          <c:smooth val="0"/>
          <c:extLst>
            <c:ext xmlns:c16="http://schemas.microsoft.com/office/drawing/2014/chart" uri="{C3380CC4-5D6E-409C-BE32-E72D297353CC}">
              <c16:uniqueId val="{00000007-4B58-4F66-A878-569E6CF47FA3}"/>
            </c:ext>
          </c:extLst>
        </c:ser>
        <c:ser>
          <c:idx val="8"/>
          <c:order val="8"/>
          <c:tx>
            <c:strRef>
              <c:f>Hoja1!$D$14</c:f>
              <c:strCache>
                <c:ptCount val="1"/>
                <c:pt idx="0">
                  <c:v>DOM</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Hoja1!$F$14</c:f>
              <c:numCache>
                <c:formatCode>_(* #,##0_);_(* \(#,##0\);_(* "-"??_);_(@_)</c:formatCode>
                <c:ptCount val="1"/>
                <c:pt idx="0">
                  <c:v>9050</c:v>
                </c:pt>
              </c:numCache>
            </c:numRef>
          </c:xVal>
          <c:yVal>
            <c:numRef>
              <c:f>Hoja1!$E$14</c:f>
              <c:numCache>
                <c:formatCode>General</c:formatCode>
                <c:ptCount val="1"/>
                <c:pt idx="0">
                  <c:v>0</c:v>
                </c:pt>
              </c:numCache>
            </c:numRef>
          </c:yVal>
          <c:smooth val="0"/>
          <c:extLst>
            <c:ext xmlns:c16="http://schemas.microsoft.com/office/drawing/2014/chart" uri="{C3380CC4-5D6E-409C-BE32-E72D297353CC}">
              <c16:uniqueId val="{00000008-4B58-4F66-A878-569E6CF47FA3}"/>
            </c:ext>
          </c:extLst>
        </c:ser>
        <c:ser>
          <c:idx val="9"/>
          <c:order val="9"/>
          <c:tx>
            <c:strRef>
              <c:f>Hoja1!$D$15</c:f>
              <c:strCache>
                <c:ptCount val="1"/>
                <c:pt idx="0">
                  <c:v>MEX</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Hoja1!$F$15</c:f>
              <c:numCache>
                <c:formatCode>_(* #,##0_);_(* \(#,##0\);_(* "-"??_);_(@_)</c:formatCode>
                <c:ptCount val="1"/>
                <c:pt idx="0">
                  <c:v>10410</c:v>
                </c:pt>
              </c:numCache>
            </c:numRef>
          </c:xVal>
          <c:yVal>
            <c:numRef>
              <c:f>Hoja1!$E$15</c:f>
              <c:numCache>
                <c:formatCode>General</c:formatCode>
                <c:ptCount val="1"/>
                <c:pt idx="0">
                  <c:v>0</c:v>
                </c:pt>
              </c:numCache>
            </c:numRef>
          </c:yVal>
          <c:smooth val="0"/>
          <c:extLst>
            <c:ext xmlns:c16="http://schemas.microsoft.com/office/drawing/2014/chart" uri="{C3380CC4-5D6E-409C-BE32-E72D297353CC}">
              <c16:uniqueId val="{00000009-4B58-4F66-A878-569E6CF47FA3}"/>
            </c:ext>
          </c:extLst>
        </c:ser>
        <c:ser>
          <c:idx val="10"/>
          <c:order val="10"/>
          <c:tx>
            <c:strRef>
              <c:f>Hoja1!$D$16</c:f>
              <c:strCache>
                <c:ptCount val="1"/>
                <c:pt idx="0">
                  <c:v>ARG</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Hoja1!$F$16</c:f>
              <c:numCache>
                <c:formatCode>_(* #,##0_);_(* \(#,##0\);_(* "-"??_);_(@_)</c:formatCode>
                <c:ptCount val="1"/>
                <c:pt idx="0">
                  <c:v>11620</c:v>
                </c:pt>
              </c:numCache>
            </c:numRef>
          </c:xVal>
          <c:yVal>
            <c:numRef>
              <c:f>Hoja1!$E$16</c:f>
              <c:numCache>
                <c:formatCode>General</c:formatCode>
                <c:ptCount val="1"/>
                <c:pt idx="0">
                  <c:v>0</c:v>
                </c:pt>
              </c:numCache>
            </c:numRef>
          </c:yVal>
          <c:smooth val="0"/>
          <c:extLst>
            <c:ext xmlns:c16="http://schemas.microsoft.com/office/drawing/2014/chart" uri="{C3380CC4-5D6E-409C-BE32-E72D297353CC}">
              <c16:uniqueId val="{0000000A-4B58-4F66-A878-569E6CF47FA3}"/>
            </c:ext>
          </c:extLst>
        </c:ser>
        <c:ser>
          <c:idx val="11"/>
          <c:order val="11"/>
          <c:tx>
            <c:strRef>
              <c:f>Hoja1!$D$17</c:f>
              <c:strCache>
                <c:ptCount val="1"/>
                <c:pt idx="0">
                  <c:v>CRI</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Hoja1!$F$17</c:f>
              <c:numCache>
                <c:formatCode>_(* #,##0_);_(* \(#,##0\);_(* "-"??_);_(@_)</c:formatCode>
                <c:ptCount val="1"/>
                <c:pt idx="0">
                  <c:v>12670</c:v>
                </c:pt>
              </c:numCache>
            </c:numRef>
          </c:xVal>
          <c:yVal>
            <c:numRef>
              <c:f>Hoja1!$E$17</c:f>
              <c:numCache>
                <c:formatCode>General</c:formatCode>
                <c:ptCount val="1"/>
                <c:pt idx="0">
                  <c:v>0</c:v>
                </c:pt>
              </c:numCache>
            </c:numRef>
          </c:yVal>
          <c:smooth val="0"/>
          <c:extLst>
            <c:ext xmlns:c16="http://schemas.microsoft.com/office/drawing/2014/chart" uri="{C3380CC4-5D6E-409C-BE32-E72D297353CC}">
              <c16:uniqueId val="{0000000B-4B58-4F66-A878-569E6CF47FA3}"/>
            </c:ext>
          </c:extLst>
        </c:ser>
        <c:ser>
          <c:idx val="12"/>
          <c:order val="12"/>
          <c:tx>
            <c:strRef>
              <c:f>Hoja1!$D$18</c:f>
              <c:strCache>
                <c:ptCount val="1"/>
                <c:pt idx="0">
                  <c:v>PAN</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Hoja1!$F$18</c:f>
              <c:numCache>
                <c:formatCode>_(* #,##0_);_(* \(#,##0\);_(* "-"??_);_(@_)</c:formatCode>
                <c:ptCount val="1"/>
                <c:pt idx="0">
                  <c:v>16750</c:v>
                </c:pt>
              </c:numCache>
            </c:numRef>
          </c:xVal>
          <c:yVal>
            <c:numRef>
              <c:f>Hoja1!$E$18</c:f>
              <c:numCache>
                <c:formatCode>General</c:formatCode>
                <c:ptCount val="1"/>
                <c:pt idx="0">
                  <c:v>0</c:v>
                </c:pt>
              </c:numCache>
            </c:numRef>
          </c:yVal>
          <c:smooth val="0"/>
          <c:extLst>
            <c:ext xmlns:c16="http://schemas.microsoft.com/office/drawing/2014/chart" uri="{C3380CC4-5D6E-409C-BE32-E72D297353CC}">
              <c16:uniqueId val="{0000000C-4B58-4F66-A878-569E6CF47FA3}"/>
            </c:ext>
          </c:extLst>
        </c:ser>
        <c:ser>
          <c:idx val="13"/>
          <c:order val="13"/>
          <c:tx>
            <c:strRef>
              <c:f>Hoja1!$D$19</c:f>
              <c:strCache>
                <c:ptCount val="1"/>
                <c:pt idx="0">
                  <c:v>CHL</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Hoja1!$F$19</c:f>
              <c:numCache>
                <c:formatCode>_(* #,##0_);_(* \(#,##0\);_(* "-"??_);_(@_)</c:formatCode>
                <c:ptCount val="1"/>
                <c:pt idx="0">
                  <c:v>15360</c:v>
                </c:pt>
              </c:numCache>
            </c:numRef>
          </c:xVal>
          <c:yVal>
            <c:numRef>
              <c:f>Hoja1!$E$19</c:f>
              <c:numCache>
                <c:formatCode>General</c:formatCode>
                <c:ptCount val="1"/>
                <c:pt idx="0">
                  <c:v>0</c:v>
                </c:pt>
              </c:numCache>
            </c:numRef>
          </c:yVal>
          <c:smooth val="0"/>
          <c:extLst>
            <c:ext xmlns:c16="http://schemas.microsoft.com/office/drawing/2014/chart" uri="{C3380CC4-5D6E-409C-BE32-E72D297353CC}">
              <c16:uniqueId val="{0000000D-4B58-4F66-A878-569E6CF47FA3}"/>
            </c:ext>
          </c:extLst>
        </c:ser>
        <c:ser>
          <c:idx val="14"/>
          <c:order val="14"/>
          <c:tx>
            <c:strRef>
              <c:f>Hoja1!$D$20</c:f>
              <c:strCache>
                <c:ptCount val="1"/>
                <c:pt idx="0">
                  <c:v>URY</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Hoja1!$F$20</c:f>
              <c:numCache>
                <c:formatCode>_(* #,##0_);_(* \(#,##0\);_(* "-"??_);_(@_)</c:formatCode>
                <c:ptCount val="1"/>
                <c:pt idx="0">
                  <c:v>18030</c:v>
                </c:pt>
              </c:numCache>
            </c:numRef>
          </c:xVal>
          <c:yVal>
            <c:numRef>
              <c:f>Hoja1!$E$20</c:f>
              <c:numCache>
                <c:formatCode>General</c:formatCode>
                <c:ptCount val="1"/>
                <c:pt idx="0">
                  <c:v>0</c:v>
                </c:pt>
              </c:numCache>
            </c:numRef>
          </c:yVal>
          <c:smooth val="0"/>
          <c:extLst>
            <c:ext xmlns:c16="http://schemas.microsoft.com/office/drawing/2014/chart" uri="{C3380CC4-5D6E-409C-BE32-E72D297353CC}">
              <c16:uniqueId val="{0000000E-4B58-4F66-A878-569E6CF47FA3}"/>
            </c:ext>
          </c:extLst>
        </c:ser>
        <c:dLbls>
          <c:showLegendKey val="0"/>
          <c:showVal val="0"/>
          <c:showCatName val="0"/>
          <c:showSerName val="0"/>
          <c:showPercent val="0"/>
          <c:showBubbleSize val="0"/>
        </c:dLbls>
        <c:axId val="785836159"/>
        <c:axId val="785836991"/>
      </c:scatterChart>
      <c:valAx>
        <c:axId val="785836159"/>
        <c:scaling>
          <c:orientation val="minMax"/>
        </c:scaling>
        <c:delete val="0"/>
        <c:axPos val="b"/>
        <c:numFmt formatCode="_(* #,##0_);_(* \(#,##0\);_(* &quot;-&quot;??_);_(@_)"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85836991"/>
        <c:crosses val="autoZero"/>
        <c:crossBetween val="midCat"/>
      </c:valAx>
      <c:valAx>
        <c:axId val="785836991"/>
        <c:scaling>
          <c:orientation val="minMax"/>
          <c:max val="1"/>
          <c:min val="-1"/>
        </c:scaling>
        <c:delete val="1"/>
        <c:axPos val="l"/>
        <c:numFmt formatCode="General" sourceLinked="1"/>
        <c:majorTickMark val="none"/>
        <c:minorTickMark val="none"/>
        <c:tickLblPos val="low"/>
        <c:crossAx val="78583615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userShapes r:id="rId5"/>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391940513312544E-2"/>
          <c:y val="2.4668516805427074E-2"/>
          <c:w val="0.98560805948668728"/>
          <c:h val="0.84728245694542592"/>
        </c:manualLayout>
      </c:layout>
      <c:barChart>
        <c:barDir val="col"/>
        <c:grouping val="clustered"/>
        <c:varyColors val="0"/>
        <c:ser>
          <c:idx val="0"/>
          <c:order val="0"/>
          <c:spPr>
            <a:solidFill>
              <a:schemeClr val="accent5">
                <a:lumMod val="60000"/>
                <a:lumOff val="40000"/>
              </a:schemeClr>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D54B-4B89-BFAA-FBCD311B84CA}"/>
              </c:ext>
            </c:extLst>
          </c:dPt>
          <c:dPt>
            <c:idx val="1"/>
            <c:invertIfNegative val="0"/>
            <c:bubble3D val="0"/>
            <c:spPr>
              <a:solidFill>
                <a:srgbClr val="002060"/>
              </a:solidFill>
              <a:ln>
                <a:noFill/>
              </a:ln>
              <a:effectLst/>
            </c:spPr>
            <c:extLst>
              <c:ext xmlns:c16="http://schemas.microsoft.com/office/drawing/2014/chart" uri="{C3380CC4-5D6E-409C-BE32-E72D297353CC}">
                <c16:uniqueId val="{00000003-D54B-4B89-BFAA-FBCD311B84C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deuda'!$AB$89:$AI$89</c:f>
              <c:numCache>
                <c:formatCode>General</c:formatCode>
                <c:ptCount val="8"/>
                <c:pt idx="0">
                  <c:v>2021</c:v>
                </c:pt>
                <c:pt idx="1">
                  <c:v>2022</c:v>
                </c:pt>
                <c:pt idx="2">
                  <c:v>2023</c:v>
                </c:pt>
                <c:pt idx="3">
                  <c:v>2024</c:v>
                </c:pt>
                <c:pt idx="4">
                  <c:v>2025</c:v>
                </c:pt>
                <c:pt idx="5">
                  <c:v>2026</c:v>
                </c:pt>
                <c:pt idx="6">
                  <c:v>2027</c:v>
                </c:pt>
                <c:pt idx="7">
                  <c:v>2028</c:v>
                </c:pt>
              </c:numCache>
            </c:numRef>
          </c:cat>
          <c:val>
            <c:numRef>
              <c:f>'Indicadores de deuda'!$AB$90:$AI$90</c:f>
              <c:numCache>
                <c:formatCode>_-* #,##0.0_-;\-* #,##0.0_-;_-* "-"??_-;_-@_-</c:formatCode>
                <c:ptCount val="8"/>
                <c:pt idx="0">
                  <c:v>30.750579824097606</c:v>
                </c:pt>
                <c:pt idx="1">
                  <c:v>29.174396726571743</c:v>
                </c:pt>
                <c:pt idx="2">
                  <c:v>28.425119858440446</c:v>
                </c:pt>
                <c:pt idx="3">
                  <c:v>27.876116483613622</c:v>
                </c:pt>
                <c:pt idx="4">
                  <c:v>27.526061114596917</c:v>
                </c:pt>
                <c:pt idx="5">
                  <c:v>26.645332172085528</c:v>
                </c:pt>
                <c:pt idx="6">
                  <c:v>25.323102599174756</c:v>
                </c:pt>
                <c:pt idx="7">
                  <c:v>23.73462798483687</c:v>
                </c:pt>
              </c:numCache>
            </c:numRef>
          </c:val>
          <c:extLst>
            <c:ext xmlns:c16="http://schemas.microsoft.com/office/drawing/2014/chart" uri="{C3380CC4-5D6E-409C-BE32-E72D297353CC}">
              <c16:uniqueId val="{00000004-D54B-4B89-BFAA-FBCD311B84CA}"/>
            </c:ext>
          </c:extLst>
        </c:ser>
        <c:dLbls>
          <c:showLegendKey val="0"/>
          <c:showVal val="0"/>
          <c:showCatName val="0"/>
          <c:showSerName val="0"/>
          <c:showPercent val="0"/>
          <c:showBubbleSize val="0"/>
        </c:dLbls>
        <c:gapWidth val="40"/>
        <c:overlap val="-27"/>
        <c:axId val="1883116159"/>
        <c:axId val="1883125311"/>
      </c:barChart>
      <c:catAx>
        <c:axId val="188311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83125311"/>
        <c:crosses val="autoZero"/>
        <c:auto val="1"/>
        <c:lblAlgn val="ctr"/>
        <c:lblOffset val="100"/>
        <c:noMultiLvlLbl val="0"/>
      </c:catAx>
      <c:valAx>
        <c:axId val="1883125311"/>
        <c:scaling>
          <c:orientation val="minMax"/>
          <c:max val="34"/>
        </c:scaling>
        <c:delete val="1"/>
        <c:axPos val="l"/>
        <c:numFmt formatCode="_-* #,##0.0_-;\-* #,##0.0_-;_-* &quot;-&quot;??_-;_-@_-" sourceLinked="1"/>
        <c:majorTickMark val="out"/>
        <c:minorTickMark val="none"/>
        <c:tickLblPos val="nextTo"/>
        <c:crossAx val="1883116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58573928258972E-2"/>
          <c:y val="0"/>
          <c:w val="0.97234142607174101"/>
          <c:h val="0.8247277600938181"/>
        </c:manualLayout>
      </c:layout>
      <c:barChart>
        <c:barDir val="col"/>
        <c:grouping val="clustered"/>
        <c:varyColors val="0"/>
        <c:ser>
          <c:idx val="0"/>
          <c:order val="0"/>
          <c:spPr>
            <a:solidFill>
              <a:schemeClr val="accent6">
                <a:lumMod val="60000"/>
                <a:lumOff val="40000"/>
              </a:schemeClr>
            </a:solidFill>
            <a:ln>
              <a:no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33AC-4C5D-9248-8AF465C54BC8}"/>
              </c:ext>
            </c:extLst>
          </c:dPt>
          <c:dPt>
            <c:idx val="1"/>
            <c:invertIfNegative val="0"/>
            <c:bubble3D val="0"/>
            <c:spPr>
              <a:solidFill>
                <a:schemeClr val="accent6">
                  <a:lumMod val="50000"/>
                </a:schemeClr>
              </a:solidFill>
              <a:ln>
                <a:noFill/>
              </a:ln>
              <a:effectLst/>
            </c:spPr>
            <c:extLst>
              <c:ext xmlns:c16="http://schemas.microsoft.com/office/drawing/2014/chart" uri="{C3380CC4-5D6E-409C-BE32-E72D297353CC}">
                <c16:uniqueId val="{00000003-33AC-4C5D-9248-8AF465C54BC8}"/>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deuda'!$AB$89:$AI$89</c:f>
              <c:numCache>
                <c:formatCode>General</c:formatCode>
                <c:ptCount val="8"/>
                <c:pt idx="0">
                  <c:v>2021</c:v>
                </c:pt>
                <c:pt idx="1">
                  <c:v>2022</c:v>
                </c:pt>
                <c:pt idx="2">
                  <c:v>2023</c:v>
                </c:pt>
                <c:pt idx="3">
                  <c:v>2024</c:v>
                </c:pt>
                <c:pt idx="4">
                  <c:v>2025</c:v>
                </c:pt>
                <c:pt idx="5">
                  <c:v>2026</c:v>
                </c:pt>
                <c:pt idx="6">
                  <c:v>2027</c:v>
                </c:pt>
                <c:pt idx="7">
                  <c:v>2028</c:v>
                </c:pt>
              </c:numCache>
            </c:numRef>
          </c:cat>
          <c:val>
            <c:numRef>
              <c:f>'Indicadores de deuda'!$AB$91:$AI$91</c:f>
              <c:numCache>
                <c:formatCode>_-* #,##0.0_-;\-* #,##0.0_-;_-* "-"??_-;_-@_-</c:formatCode>
                <c:ptCount val="8"/>
                <c:pt idx="0">
                  <c:v>248.69804107438699</c:v>
                </c:pt>
                <c:pt idx="1">
                  <c:v>230.51337699275854</c:v>
                </c:pt>
                <c:pt idx="2">
                  <c:v>230.61707271441293</c:v>
                </c:pt>
                <c:pt idx="3">
                  <c:v>227.19348887093642</c:v>
                </c:pt>
                <c:pt idx="4">
                  <c:v>222.62439034759089</c:v>
                </c:pt>
                <c:pt idx="5">
                  <c:v>213.97716178357356</c:v>
                </c:pt>
                <c:pt idx="6">
                  <c:v>201.9890943237744</c:v>
                </c:pt>
                <c:pt idx="7">
                  <c:v>188.05454690603355</c:v>
                </c:pt>
              </c:numCache>
            </c:numRef>
          </c:val>
          <c:extLst>
            <c:ext xmlns:c16="http://schemas.microsoft.com/office/drawing/2014/chart" uri="{C3380CC4-5D6E-409C-BE32-E72D297353CC}">
              <c16:uniqueId val="{00000004-33AC-4C5D-9248-8AF465C54BC8}"/>
            </c:ext>
          </c:extLst>
        </c:ser>
        <c:dLbls>
          <c:showLegendKey val="0"/>
          <c:showVal val="0"/>
          <c:showCatName val="0"/>
          <c:showSerName val="0"/>
          <c:showPercent val="0"/>
          <c:showBubbleSize val="0"/>
        </c:dLbls>
        <c:gapWidth val="40"/>
        <c:overlap val="-27"/>
        <c:axId val="1883116159"/>
        <c:axId val="1883125311"/>
      </c:barChart>
      <c:catAx>
        <c:axId val="188311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83125311"/>
        <c:crosses val="autoZero"/>
        <c:auto val="1"/>
        <c:lblAlgn val="ctr"/>
        <c:lblOffset val="100"/>
        <c:noMultiLvlLbl val="0"/>
      </c:catAx>
      <c:valAx>
        <c:axId val="1883125311"/>
        <c:scaling>
          <c:orientation val="minMax"/>
        </c:scaling>
        <c:delete val="1"/>
        <c:axPos val="l"/>
        <c:numFmt formatCode="_-* #,##0.0_-;\-* #,##0.0_-;_-* &quot;-&quot;??_-;_-@_-" sourceLinked="1"/>
        <c:majorTickMark val="none"/>
        <c:minorTickMark val="none"/>
        <c:tickLblPos val="nextTo"/>
        <c:crossAx val="1883116159"/>
        <c:crosses val="autoZero"/>
        <c:crossBetween val="between"/>
      </c:valAx>
    </c:plotArea>
    <c:plotVisOnly val="1"/>
    <c:dispBlanksAs val="gap"/>
    <c:showDLblsOverMax val="0"/>
    <c:extLst/>
  </c:chart>
  <c:spPr>
    <a:ln>
      <a:noFill/>
    </a:ln>
  </c:spPr>
  <c:txPr>
    <a:bodyPr/>
    <a:lstStyle/>
    <a:p>
      <a:pPr>
        <a:defRPr/>
      </a:pPr>
      <a:endParaRPr lang="es-G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765873015873E-2"/>
          <c:y val="0"/>
          <c:w val="0.93077777777777781"/>
          <c:h val="0.76956001928330386"/>
        </c:manualLayout>
      </c:layout>
      <c:barChart>
        <c:barDir val="col"/>
        <c:grouping val="clustered"/>
        <c:varyColors val="0"/>
        <c:ser>
          <c:idx val="0"/>
          <c:order val="0"/>
          <c:tx>
            <c:strRef>
              <c:f>'Indicadores de deuda'!$A$15</c:f>
              <c:strCache>
                <c:ptCount val="1"/>
                <c:pt idx="0">
                  <c:v>Servicio de deuda/ ingresos fiscales SITFIN</c:v>
                </c:pt>
              </c:strCache>
            </c:strRef>
          </c:tx>
          <c:spPr>
            <a:solidFill>
              <a:schemeClr val="accent5">
                <a:lumMod val="60000"/>
                <a:lumOff val="40000"/>
              </a:schemeClr>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7D9C-481F-AF6F-237FCCAD1604}"/>
              </c:ext>
            </c:extLst>
          </c:dPt>
          <c:dPt>
            <c:idx val="1"/>
            <c:invertIfNegative val="0"/>
            <c:bubble3D val="0"/>
            <c:spPr>
              <a:solidFill>
                <a:srgbClr val="002060"/>
              </a:solidFill>
              <a:ln>
                <a:noFill/>
              </a:ln>
              <a:effectLst/>
            </c:spPr>
            <c:extLst>
              <c:ext xmlns:c16="http://schemas.microsoft.com/office/drawing/2014/chart" uri="{C3380CC4-5D6E-409C-BE32-E72D297353CC}">
                <c16:uniqueId val="{00000003-7D9C-481F-AF6F-237FCCAD1604}"/>
              </c:ext>
            </c:extLst>
          </c:dPt>
          <c:dPt>
            <c:idx val="2"/>
            <c:invertIfNegative val="0"/>
            <c:bubble3D val="0"/>
            <c:extLst>
              <c:ext xmlns:c16="http://schemas.microsoft.com/office/drawing/2014/chart" uri="{C3380CC4-5D6E-409C-BE32-E72D297353CC}">
                <c16:uniqueId val="{00000004-7D9C-481F-AF6F-237FCCAD160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deuda'!$I$10:$P$10</c:f>
              <c:numCache>
                <c:formatCode>General</c:formatCode>
                <c:ptCount val="8"/>
                <c:pt idx="0">
                  <c:v>2021</c:v>
                </c:pt>
                <c:pt idx="1">
                  <c:v>2022</c:v>
                </c:pt>
                <c:pt idx="2">
                  <c:v>2023</c:v>
                </c:pt>
                <c:pt idx="3">
                  <c:v>2024</c:v>
                </c:pt>
                <c:pt idx="4">
                  <c:v>2025</c:v>
                </c:pt>
                <c:pt idx="5">
                  <c:v>2026</c:v>
                </c:pt>
                <c:pt idx="6">
                  <c:v>2027</c:v>
                </c:pt>
                <c:pt idx="7">
                  <c:v>2028</c:v>
                </c:pt>
              </c:numCache>
            </c:numRef>
          </c:cat>
          <c:val>
            <c:numRef>
              <c:f>'Indicadores de deuda'!$I$15:$P$15</c:f>
              <c:numCache>
                <c:formatCode>_-* #,##0.0_-;\-* #,##0.0_-;_-* "-"??_-;_-@_-</c:formatCode>
                <c:ptCount val="8"/>
                <c:pt idx="0">
                  <c:v>24.20103120487725</c:v>
                </c:pt>
                <c:pt idx="1">
                  <c:v>22.492328606202626</c:v>
                </c:pt>
                <c:pt idx="2">
                  <c:v>18.832596902149891</c:v>
                </c:pt>
                <c:pt idx="3">
                  <c:v>23.582631008319751</c:v>
                </c:pt>
                <c:pt idx="4">
                  <c:v>22.108094141693137</c:v>
                </c:pt>
                <c:pt idx="5">
                  <c:v>20.871398824238408</c:v>
                </c:pt>
                <c:pt idx="6">
                  <c:v>24.294585315473817</c:v>
                </c:pt>
                <c:pt idx="7">
                  <c:v>18.889619000013084</c:v>
                </c:pt>
              </c:numCache>
            </c:numRef>
          </c:val>
          <c:extLst>
            <c:ext xmlns:c16="http://schemas.microsoft.com/office/drawing/2014/chart" uri="{C3380CC4-5D6E-409C-BE32-E72D297353CC}">
              <c16:uniqueId val="{00000005-7D9C-481F-AF6F-237FCCAD1604}"/>
            </c:ext>
          </c:extLst>
        </c:ser>
        <c:dLbls>
          <c:showLegendKey val="0"/>
          <c:showVal val="0"/>
          <c:showCatName val="0"/>
          <c:showSerName val="0"/>
          <c:showPercent val="0"/>
          <c:showBubbleSize val="0"/>
        </c:dLbls>
        <c:gapWidth val="75"/>
        <c:axId val="1614501087"/>
        <c:axId val="1614497759"/>
      </c:barChart>
      <c:lineChart>
        <c:grouping val="standard"/>
        <c:varyColors val="0"/>
        <c:ser>
          <c:idx val="1"/>
          <c:order val="1"/>
          <c:tx>
            <c:strRef>
              <c:f>'Indicadores de deuda'!$A$31</c:f>
              <c:strCache>
                <c:ptCount val="1"/>
                <c:pt idx="0">
                  <c:v>Promedio 2017-2022</c:v>
                </c:pt>
              </c:strCache>
            </c:strRef>
          </c:tx>
          <c:spPr>
            <a:ln w="28575" cap="rnd">
              <a:solidFill>
                <a:schemeClr val="accent5"/>
              </a:solidFill>
              <a:prstDash val="solid"/>
              <a:round/>
            </a:ln>
            <a:effectLst/>
          </c:spPr>
          <c:marker>
            <c:symbol val="none"/>
          </c:marker>
          <c:dLbls>
            <c:dLbl>
              <c:idx val="1"/>
              <c:layout>
                <c:manualLayout>
                  <c:x val="-0.15119062738125477"/>
                  <c:y val="0.105791615327490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9C-481F-AF6F-237FCCAD1604}"/>
                </c:ext>
              </c:extLst>
            </c:dLbl>
            <c:spPr>
              <a:solidFill>
                <a:schemeClr val="bg1"/>
              </a:solidFill>
              <a:ln>
                <a:solidFill>
                  <a:schemeClr val="accent5"/>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'Indicadores de deuda'!$I$10:$P$10</c:f>
              <c:numCache>
                <c:formatCode>General</c:formatCode>
                <c:ptCount val="8"/>
                <c:pt idx="0">
                  <c:v>2021</c:v>
                </c:pt>
                <c:pt idx="1">
                  <c:v>2022</c:v>
                </c:pt>
                <c:pt idx="2">
                  <c:v>2023</c:v>
                </c:pt>
                <c:pt idx="3">
                  <c:v>2024</c:v>
                </c:pt>
                <c:pt idx="4">
                  <c:v>2025</c:v>
                </c:pt>
                <c:pt idx="5">
                  <c:v>2026</c:v>
                </c:pt>
                <c:pt idx="6">
                  <c:v>2027</c:v>
                </c:pt>
                <c:pt idx="7">
                  <c:v>2028</c:v>
                </c:pt>
              </c:numCache>
            </c:numRef>
          </c:cat>
          <c:val>
            <c:numRef>
              <c:f>'Indicadores de deuda'!$I$31:$J$31</c:f>
              <c:numCache>
                <c:formatCode>_-* #,##0.0_-;\-* #,##0.0_-;_-* "-"??_-;_-@_-</c:formatCode>
                <c:ptCount val="2"/>
                <c:pt idx="0">
                  <c:v>24.823597631171463</c:v>
                </c:pt>
                <c:pt idx="1">
                  <c:v>24.823597631171463</c:v>
                </c:pt>
              </c:numCache>
            </c:numRef>
          </c:val>
          <c:smooth val="0"/>
          <c:extLst>
            <c:ext xmlns:c16="http://schemas.microsoft.com/office/drawing/2014/chart" uri="{C3380CC4-5D6E-409C-BE32-E72D297353CC}">
              <c16:uniqueId val="{00000007-7D9C-481F-AF6F-237FCCAD1604}"/>
            </c:ext>
          </c:extLst>
        </c:ser>
        <c:dLbls>
          <c:showLegendKey val="0"/>
          <c:showVal val="0"/>
          <c:showCatName val="0"/>
          <c:showSerName val="0"/>
          <c:showPercent val="0"/>
          <c:showBubbleSize val="0"/>
        </c:dLbls>
        <c:marker val="1"/>
        <c:smooth val="0"/>
        <c:axId val="1614501087"/>
        <c:axId val="1614497759"/>
      </c:lineChart>
      <c:catAx>
        <c:axId val="16145010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14497759"/>
        <c:crosses val="autoZero"/>
        <c:auto val="1"/>
        <c:lblAlgn val="ctr"/>
        <c:lblOffset val="100"/>
        <c:noMultiLvlLbl val="0"/>
      </c:catAx>
      <c:valAx>
        <c:axId val="1614497759"/>
        <c:scaling>
          <c:orientation val="minMax"/>
          <c:min val="10"/>
        </c:scaling>
        <c:delete val="1"/>
        <c:axPos val="l"/>
        <c:numFmt formatCode="_-* #,##0.0_-;\-* #,##0.0_-;_-* &quot;-&quot;??_-;_-@_-" sourceLinked="1"/>
        <c:majorTickMark val="out"/>
        <c:minorTickMark val="none"/>
        <c:tickLblPos val="nextTo"/>
        <c:crossAx val="1614501087"/>
        <c:crosses val="autoZero"/>
        <c:crossBetween val="between"/>
      </c:valAx>
      <c:spPr>
        <a:noFill/>
        <a:ln>
          <a:noFill/>
        </a:ln>
        <a:effectLst/>
      </c:spPr>
    </c:plotArea>
    <c:legend>
      <c:legendPos val="b"/>
      <c:legendEntry>
        <c:idx val="0"/>
        <c:delete val="1"/>
      </c:legendEntry>
      <c:layout>
        <c:manualLayout>
          <c:xMode val="edge"/>
          <c:yMode val="edge"/>
          <c:x val="7.0270106879893032E-2"/>
          <c:y val="0.94049758618512647"/>
          <c:w val="0.83932580751659547"/>
          <c:h val="4.90290386244000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35317460317461E-2"/>
          <c:y val="0"/>
          <c:w val="0.89549999999999996"/>
          <c:h val="0.76139675397718154"/>
        </c:manualLayout>
      </c:layout>
      <c:barChart>
        <c:barDir val="col"/>
        <c:grouping val="clustered"/>
        <c:varyColors val="0"/>
        <c:ser>
          <c:idx val="0"/>
          <c:order val="0"/>
          <c:tx>
            <c:strRef>
              <c:f>'Indicadores de deuda'!$A$32</c:f>
              <c:strCache>
                <c:ptCount val="1"/>
                <c:pt idx="0">
                  <c:v>Servicios de deuda externa / exportaciones SITFIN</c:v>
                </c:pt>
              </c:strCache>
            </c:strRef>
          </c:tx>
          <c:spPr>
            <a:solidFill>
              <a:schemeClr val="accent6">
                <a:lumMod val="60000"/>
                <a:lumOff val="40000"/>
              </a:schemeClr>
            </a:solidFill>
            <a:ln>
              <a:no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2621-40C7-BEA2-DD42ECE5F346}"/>
              </c:ext>
            </c:extLst>
          </c:dPt>
          <c:dPt>
            <c:idx val="1"/>
            <c:invertIfNegative val="0"/>
            <c:bubble3D val="0"/>
            <c:spPr>
              <a:solidFill>
                <a:schemeClr val="accent6">
                  <a:lumMod val="50000"/>
                </a:schemeClr>
              </a:solidFill>
              <a:ln>
                <a:noFill/>
              </a:ln>
              <a:effectLst/>
            </c:spPr>
            <c:extLst>
              <c:ext xmlns:c16="http://schemas.microsoft.com/office/drawing/2014/chart" uri="{C3380CC4-5D6E-409C-BE32-E72D297353CC}">
                <c16:uniqueId val="{00000003-2621-40C7-BEA2-DD42ECE5F346}"/>
              </c:ext>
            </c:extLst>
          </c:dPt>
          <c:dPt>
            <c:idx val="2"/>
            <c:invertIfNegative val="0"/>
            <c:bubble3D val="0"/>
            <c:extLst>
              <c:ext xmlns:c16="http://schemas.microsoft.com/office/drawing/2014/chart" uri="{C3380CC4-5D6E-409C-BE32-E72D297353CC}">
                <c16:uniqueId val="{00000004-2621-40C7-BEA2-DD42ECE5F346}"/>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deuda'!$I$10:$P$10</c:f>
              <c:numCache>
                <c:formatCode>General</c:formatCode>
                <c:ptCount val="8"/>
                <c:pt idx="0">
                  <c:v>2021</c:v>
                </c:pt>
                <c:pt idx="1">
                  <c:v>2022</c:v>
                </c:pt>
                <c:pt idx="2">
                  <c:v>2023</c:v>
                </c:pt>
                <c:pt idx="3">
                  <c:v>2024</c:v>
                </c:pt>
                <c:pt idx="4">
                  <c:v>2025</c:v>
                </c:pt>
                <c:pt idx="5">
                  <c:v>2026</c:v>
                </c:pt>
                <c:pt idx="6">
                  <c:v>2027</c:v>
                </c:pt>
                <c:pt idx="7">
                  <c:v>2028</c:v>
                </c:pt>
              </c:numCache>
            </c:numRef>
          </c:cat>
          <c:val>
            <c:numRef>
              <c:f>'Indicadores de deuda'!$I$32:$P$32</c:f>
              <c:numCache>
                <c:formatCode>_-* #,##0.0_-;\-* #,##0.0_-;_-* "-"??_-;_-@_-</c:formatCode>
                <c:ptCount val="8"/>
                <c:pt idx="0">
                  <c:v>5.5168896569138388</c:v>
                </c:pt>
                <c:pt idx="1">
                  <c:v>8.6211844990664481</c:v>
                </c:pt>
                <c:pt idx="2">
                  <c:v>4.7171344022928468</c:v>
                </c:pt>
                <c:pt idx="3">
                  <c:v>6.3835824029189521</c:v>
                </c:pt>
                <c:pt idx="4">
                  <c:v>5.8333363238554892</c:v>
                </c:pt>
                <c:pt idx="5">
                  <c:v>5.7007169200565073</c:v>
                </c:pt>
                <c:pt idx="6">
                  <c:v>8.7574002319606095</c:v>
                </c:pt>
                <c:pt idx="7">
                  <c:v>7.9314485902809579</c:v>
                </c:pt>
              </c:numCache>
            </c:numRef>
          </c:val>
          <c:extLst>
            <c:ext xmlns:c16="http://schemas.microsoft.com/office/drawing/2014/chart" uri="{C3380CC4-5D6E-409C-BE32-E72D297353CC}">
              <c16:uniqueId val="{00000005-2621-40C7-BEA2-DD42ECE5F346}"/>
            </c:ext>
          </c:extLst>
        </c:ser>
        <c:dLbls>
          <c:showLegendKey val="0"/>
          <c:showVal val="0"/>
          <c:showCatName val="0"/>
          <c:showSerName val="0"/>
          <c:showPercent val="0"/>
          <c:showBubbleSize val="0"/>
        </c:dLbls>
        <c:gapWidth val="75"/>
        <c:axId val="1614501087"/>
        <c:axId val="1614497759"/>
      </c:barChart>
      <c:lineChart>
        <c:grouping val="standard"/>
        <c:varyColors val="0"/>
        <c:ser>
          <c:idx val="1"/>
          <c:order val="1"/>
          <c:tx>
            <c:strRef>
              <c:f>'Indicadores de deuda'!$A$31</c:f>
              <c:strCache>
                <c:ptCount val="1"/>
                <c:pt idx="0">
                  <c:v>Promedio 2017-2022</c:v>
                </c:pt>
              </c:strCache>
            </c:strRef>
          </c:tx>
          <c:spPr>
            <a:ln w="28575" cap="rnd">
              <a:solidFill>
                <a:schemeClr val="accent6"/>
              </a:solidFill>
              <a:prstDash val="solid"/>
              <a:round/>
            </a:ln>
            <a:effectLst/>
          </c:spPr>
          <c:marker>
            <c:symbol val="none"/>
          </c:marker>
          <c:dLbls>
            <c:dLbl>
              <c:idx val="1"/>
              <c:layout>
                <c:manualLayout>
                  <c:x val="-0.12599218948437899"/>
                  <c:y val="9.1680133060018862E-2"/>
                </c:manualLayout>
              </c:layout>
              <c:spPr>
                <a:solidFill>
                  <a:schemeClr val="bg1"/>
                </a:solidFill>
                <a:ln>
                  <a:solidFill>
                    <a:schemeClr val="accent6"/>
                  </a:solidFill>
                </a:ln>
                <a:effectLst/>
              </c:spPr>
              <c:txPr>
                <a:bodyPr wrap="square" lIns="38100" tIns="19050" rIns="38100" bIns="19050" anchor="ctr">
                  <a:spAutoFit/>
                </a:bodyPr>
                <a:lstStyle/>
                <a:p>
                  <a:pPr>
                    <a:defRPr sz="800" b="1">
                      <a:solidFill>
                        <a:schemeClr val="accent6"/>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21-40C7-BEA2-DD42ECE5F346}"/>
                </c:ext>
              </c:extLst>
            </c:dLbl>
            <c:spPr>
              <a:noFill/>
              <a:ln>
                <a:solidFill>
                  <a:schemeClr val="accent6"/>
                </a:solid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'Indicadores de deuda'!$I$10:$P$10</c:f>
              <c:numCache>
                <c:formatCode>General</c:formatCode>
                <c:ptCount val="8"/>
                <c:pt idx="0">
                  <c:v>2021</c:v>
                </c:pt>
                <c:pt idx="1">
                  <c:v>2022</c:v>
                </c:pt>
                <c:pt idx="2">
                  <c:v>2023</c:v>
                </c:pt>
                <c:pt idx="3">
                  <c:v>2024</c:v>
                </c:pt>
                <c:pt idx="4">
                  <c:v>2025</c:v>
                </c:pt>
                <c:pt idx="5">
                  <c:v>2026</c:v>
                </c:pt>
                <c:pt idx="6">
                  <c:v>2027</c:v>
                </c:pt>
                <c:pt idx="7">
                  <c:v>2028</c:v>
                </c:pt>
              </c:numCache>
            </c:numRef>
          </c:cat>
          <c:val>
            <c:numRef>
              <c:f>'Indicadores de deuda'!$I$33:$J$33</c:f>
              <c:numCache>
                <c:formatCode>_-* #,##0.0_-;\-* #,##0.0_-;_-* "-"??_-;_-@_-</c:formatCode>
                <c:ptCount val="2"/>
                <c:pt idx="0">
                  <c:v>6.4318309355638963</c:v>
                </c:pt>
                <c:pt idx="1">
                  <c:v>6.4318309355638963</c:v>
                </c:pt>
              </c:numCache>
            </c:numRef>
          </c:val>
          <c:smooth val="0"/>
          <c:extLst>
            <c:ext xmlns:c16="http://schemas.microsoft.com/office/drawing/2014/chart" uri="{C3380CC4-5D6E-409C-BE32-E72D297353CC}">
              <c16:uniqueId val="{00000007-2621-40C7-BEA2-DD42ECE5F346}"/>
            </c:ext>
          </c:extLst>
        </c:ser>
        <c:dLbls>
          <c:showLegendKey val="0"/>
          <c:showVal val="0"/>
          <c:showCatName val="0"/>
          <c:showSerName val="0"/>
          <c:showPercent val="0"/>
          <c:showBubbleSize val="0"/>
        </c:dLbls>
        <c:marker val="1"/>
        <c:smooth val="0"/>
        <c:axId val="1614501087"/>
        <c:axId val="1614497759"/>
      </c:lineChart>
      <c:catAx>
        <c:axId val="16145010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14497759"/>
        <c:crosses val="autoZero"/>
        <c:auto val="1"/>
        <c:lblAlgn val="ctr"/>
        <c:lblOffset val="100"/>
        <c:noMultiLvlLbl val="0"/>
      </c:catAx>
      <c:valAx>
        <c:axId val="1614497759"/>
        <c:scaling>
          <c:orientation val="minMax"/>
        </c:scaling>
        <c:delete val="1"/>
        <c:axPos val="l"/>
        <c:numFmt formatCode="_-* #,##0.0_-;\-* #,##0.0_-;_-* &quot;-&quot;??_-;_-@_-" sourceLinked="1"/>
        <c:majorTickMark val="out"/>
        <c:minorTickMark val="none"/>
        <c:tickLblPos val="nextTo"/>
        <c:crossAx val="1614501087"/>
        <c:crosses val="autoZero"/>
        <c:crossBetween val="between"/>
      </c:valAx>
    </c:plotArea>
    <c:legend>
      <c:legendPos val="b"/>
      <c:legendEntry>
        <c:idx val="0"/>
        <c:delete val="1"/>
      </c:legendEntry>
      <c:layout>
        <c:manualLayout>
          <c:xMode val="edge"/>
          <c:yMode val="edge"/>
          <c:x val="7.0270106879893032E-2"/>
          <c:y val="0.94049758618512647"/>
          <c:w val="0.83932580751659547"/>
          <c:h val="4.90290386244000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36507936507937E-2"/>
          <c:y val="7.7611111111111117E-2"/>
          <c:w val="0.89920634920634901"/>
          <c:h val="0.77181111111111111"/>
        </c:manualLayout>
      </c:layout>
      <c:barChart>
        <c:barDir val="col"/>
        <c:grouping val="clustered"/>
        <c:varyColors val="0"/>
        <c:ser>
          <c:idx val="0"/>
          <c:order val="0"/>
          <c:tx>
            <c:strRef>
              <c:f>'Indicadores de deuda'!$A$13</c:f>
              <c:strCache>
                <c:ptCount val="1"/>
                <c:pt idx="0">
                  <c:v>Intereses /PIB </c:v>
                </c:pt>
              </c:strCache>
            </c:strRef>
          </c:tx>
          <c:spPr>
            <a:solidFill>
              <a:schemeClr val="accent5">
                <a:lumMod val="60000"/>
                <a:lumOff val="40000"/>
              </a:schemeClr>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5A03-4128-B470-47555A5807F2}"/>
              </c:ext>
            </c:extLst>
          </c:dPt>
          <c:dPt>
            <c:idx val="1"/>
            <c:invertIfNegative val="0"/>
            <c:bubble3D val="0"/>
            <c:spPr>
              <a:solidFill>
                <a:srgbClr val="002060"/>
              </a:solidFill>
              <a:ln>
                <a:noFill/>
              </a:ln>
              <a:effectLst/>
            </c:spPr>
            <c:extLst>
              <c:ext xmlns:c16="http://schemas.microsoft.com/office/drawing/2014/chart" uri="{C3380CC4-5D6E-409C-BE32-E72D297353CC}">
                <c16:uniqueId val="{00000003-5A03-4128-B470-47555A5807F2}"/>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deuda'!$I$10:$P$10</c:f>
              <c:numCache>
                <c:formatCode>General</c:formatCode>
                <c:ptCount val="8"/>
                <c:pt idx="0">
                  <c:v>2021</c:v>
                </c:pt>
                <c:pt idx="1">
                  <c:v>2022</c:v>
                </c:pt>
                <c:pt idx="2">
                  <c:v>2023</c:v>
                </c:pt>
                <c:pt idx="3">
                  <c:v>2024</c:v>
                </c:pt>
                <c:pt idx="4">
                  <c:v>2025</c:v>
                </c:pt>
                <c:pt idx="5">
                  <c:v>2026</c:v>
                </c:pt>
                <c:pt idx="6">
                  <c:v>2027</c:v>
                </c:pt>
                <c:pt idx="7">
                  <c:v>2028</c:v>
                </c:pt>
              </c:numCache>
            </c:numRef>
          </c:cat>
          <c:val>
            <c:numRef>
              <c:f>'Indicadores de deuda'!$I$13:$P$13</c:f>
              <c:numCache>
                <c:formatCode>_-* #,##0.0_-;\-* #,##0.0_-;_-* "-"??_-;_-@_-</c:formatCode>
                <c:ptCount val="8"/>
                <c:pt idx="0">
                  <c:v>1.734730451016546</c:v>
                </c:pt>
                <c:pt idx="1">
                  <c:v>1.6671700492182542</c:v>
                </c:pt>
                <c:pt idx="2" formatCode="_(* #,##0.00_);_(* \(#,##0.00\);_(* &quot;-&quot;??_);_(@_)">
                  <c:v>1.6336264060642198</c:v>
                </c:pt>
                <c:pt idx="3">
                  <c:v>1.6076973180559613</c:v>
                </c:pt>
                <c:pt idx="4">
                  <c:v>1.6075343047240565</c:v>
                </c:pt>
                <c:pt idx="5">
                  <c:v>1.5089283812804235</c:v>
                </c:pt>
                <c:pt idx="6">
                  <c:v>1.4696007267405737</c:v>
                </c:pt>
                <c:pt idx="7">
                  <c:v>1.4463779556330709</c:v>
                </c:pt>
              </c:numCache>
            </c:numRef>
          </c:val>
          <c:extLst>
            <c:ext xmlns:c16="http://schemas.microsoft.com/office/drawing/2014/chart" uri="{C3380CC4-5D6E-409C-BE32-E72D297353CC}">
              <c16:uniqueId val="{00000004-5A03-4128-B470-47555A5807F2}"/>
            </c:ext>
          </c:extLst>
        </c:ser>
        <c:dLbls>
          <c:showLegendKey val="0"/>
          <c:showVal val="0"/>
          <c:showCatName val="0"/>
          <c:showSerName val="0"/>
          <c:showPercent val="0"/>
          <c:showBubbleSize val="0"/>
        </c:dLbls>
        <c:gapWidth val="60"/>
        <c:overlap val="-27"/>
        <c:axId val="331228432"/>
        <c:axId val="331224688"/>
      </c:barChart>
      <c:catAx>
        <c:axId val="331228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31224688"/>
        <c:crosses val="autoZero"/>
        <c:auto val="1"/>
        <c:lblAlgn val="ctr"/>
        <c:lblOffset val="100"/>
        <c:noMultiLvlLbl val="0"/>
      </c:catAx>
      <c:valAx>
        <c:axId val="331224688"/>
        <c:scaling>
          <c:orientation val="minMax"/>
          <c:min val="0.70000000000000007"/>
        </c:scaling>
        <c:delete val="1"/>
        <c:axPos val="l"/>
        <c:numFmt formatCode="_-* #,##0.0_-;\-* #,##0.0_-;_-* &quot;-&quot;??_-;_-@_-" sourceLinked="1"/>
        <c:majorTickMark val="out"/>
        <c:minorTickMark val="none"/>
        <c:tickLblPos val="nextTo"/>
        <c:crossAx val="331228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33172368881042E-2"/>
          <c:y val="5.5773806672096325E-2"/>
          <c:w val="0.90290702078846152"/>
          <c:h val="0.78461166666666671"/>
        </c:manualLayout>
      </c:layout>
      <c:barChart>
        <c:barDir val="col"/>
        <c:grouping val="clustered"/>
        <c:varyColors val="0"/>
        <c:ser>
          <c:idx val="0"/>
          <c:order val="0"/>
          <c:tx>
            <c:strRef>
              <c:f>'Indicadores de deuda'!$A$14</c:f>
              <c:strCache>
                <c:ptCount val="1"/>
                <c:pt idx="0">
                  <c:v>Intereses/Ingresos </c:v>
                </c:pt>
              </c:strCache>
            </c:strRef>
          </c:tx>
          <c:spPr>
            <a:solidFill>
              <a:schemeClr val="accent6">
                <a:lumMod val="60000"/>
                <a:lumOff val="40000"/>
              </a:schemeClr>
            </a:solidFill>
            <a:ln>
              <a:no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FB73-4E14-8203-1961077D179E}"/>
              </c:ext>
            </c:extLst>
          </c:dPt>
          <c:dPt>
            <c:idx val="1"/>
            <c:invertIfNegative val="0"/>
            <c:bubble3D val="0"/>
            <c:spPr>
              <a:solidFill>
                <a:schemeClr val="accent6">
                  <a:lumMod val="50000"/>
                </a:schemeClr>
              </a:solidFill>
              <a:ln>
                <a:noFill/>
              </a:ln>
              <a:effectLst/>
            </c:spPr>
            <c:extLst>
              <c:ext xmlns:c16="http://schemas.microsoft.com/office/drawing/2014/chart" uri="{C3380CC4-5D6E-409C-BE32-E72D297353CC}">
                <c16:uniqueId val="{00000003-FB73-4E14-8203-1961077D179E}"/>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deuda'!$I$10:$P$10</c:f>
              <c:numCache>
                <c:formatCode>General</c:formatCode>
                <c:ptCount val="8"/>
                <c:pt idx="0">
                  <c:v>2021</c:v>
                </c:pt>
                <c:pt idx="1">
                  <c:v>2022</c:v>
                </c:pt>
                <c:pt idx="2">
                  <c:v>2023</c:v>
                </c:pt>
                <c:pt idx="3">
                  <c:v>2024</c:v>
                </c:pt>
                <c:pt idx="4">
                  <c:v>2025</c:v>
                </c:pt>
                <c:pt idx="5">
                  <c:v>2026</c:v>
                </c:pt>
                <c:pt idx="6">
                  <c:v>2027</c:v>
                </c:pt>
                <c:pt idx="7">
                  <c:v>2028</c:v>
                </c:pt>
              </c:numCache>
            </c:numRef>
          </c:cat>
          <c:val>
            <c:numRef>
              <c:f>'Indicadores de deuda'!$I$14:$P$14</c:f>
              <c:numCache>
                <c:formatCode>_-* #,##0.0_-;\-* #,##0.0_-;_-* "-"??_-;_-@_-</c:formatCode>
                <c:ptCount val="8"/>
                <c:pt idx="0">
                  <c:v>14.029786346396584</c:v>
                </c:pt>
                <c:pt idx="1">
                  <c:v>13.172680198609291</c:v>
                </c:pt>
                <c:pt idx="2">
                  <c:v>13.253845245040502</c:v>
                </c:pt>
                <c:pt idx="3">
                  <c:v>13.102914208020715</c:v>
                </c:pt>
                <c:pt idx="4">
                  <c:v>13.001364164023149</c:v>
                </c:pt>
                <c:pt idx="5">
                  <c:v>12.117552533247157</c:v>
                </c:pt>
                <c:pt idx="6">
                  <c:v>11.72223342891494</c:v>
                </c:pt>
                <c:pt idx="7">
                  <c:v>11.459962687227334</c:v>
                </c:pt>
              </c:numCache>
            </c:numRef>
          </c:val>
          <c:extLst>
            <c:ext xmlns:c16="http://schemas.microsoft.com/office/drawing/2014/chart" uri="{C3380CC4-5D6E-409C-BE32-E72D297353CC}">
              <c16:uniqueId val="{00000004-FB73-4E14-8203-1961077D179E}"/>
            </c:ext>
          </c:extLst>
        </c:ser>
        <c:dLbls>
          <c:showLegendKey val="0"/>
          <c:showVal val="0"/>
          <c:showCatName val="0"/>
          <c:showSerName val="0"/>
          <c:showPercent val="0"/>
          <c:showBubbleSize val="0"/>
        </c:dLbls>
        <c:gapWidth val="50"/>
        <c:overlap val="-27"/>
        <c:axId val="331228432"/>
        <c:axId val="331224688"/>
      </c:barChart>
      <c:catAx>
        <c:axId val="33122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31224688"/>
        <c:crosses val="autoZero"/>
        <c:auto val="1"/>
        <c:lblAlgn val="ctr"/>
        <c:lblOffset val="100"/>
        <c:noMultiLvlLbl val="0"/>
      </c:catAx>
      <c:valAx>
        <c:axId val="331224688"/>
        <c:scaling>
          <c:orientation val="minMax"/>
          <c:min val="10"/>
        </c:scaling>
        <c:delete val="1"/>
        <c:axPos val="l"/>
        <c:numFmt formatCode="_-* #,##0.0_-;\-* #,##0.0_-;_-* &quot;-&quot;??_-;_-@_-" sourceLinked="1"/>
        <c:majorTickMark val="out"/>
        <c:minorTickMark val="none"/>
        <c:tickLblPos val="nextTo"/>
        <c:crossAx val="331228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deuda'!$A$17</c:f>
              <c:strCache>
                <c:ptCount val="1"/>
                <c:pt idx="0">
                  <c:v>Reservas/Deuda Externa</c:v>
                </c:pt>
              </c:strCache>
            </c:strRef>
          </c:tx>
          <c:spPr>
            <a:solidFill>
              <a:schemeClr val="accent4">
                <a:lumMod val="60000"/>
                <a:lumOff val="40000"/>
              </a:schemeClr>
            </a:solidFill>
            <a:ln>
              <a:noFill/>
            </a:ln>
            <a:effectLst/>
          </c:spPr>
          <c:invertIfNegative val="0"/>
          <c:dLbls>
            <c:dLbl>
              <c:idx val="2"/>
              <c:layout>
                <c:manualLayout>
                  <c:x val="3.4750529423304406E-7"/>
                  <c:y val="4.0562768488797328E-2"/>
                </c:manualLayout>
              </c:layout>
              <c:showLegendKey val="0"/>
              <c:showVal val="1"/>
              <c:showCatName val="0"/>
              <c:showSerName val="0"/>
              <c:showPercent val="0"/>
              <c:showBubbleSize val="0"/>
              <c:extLst>
                <c:ext xmlns:c15="http://schemas.microsoft.com/office/drawing/2012/chart" uri="{CE6537A1-D6FC-4f65-9D91-7224C49458BB}">
                  <c15:layout>
                    <c:manualLayout>
                      <c:w val="0.25862039008164284"/>
                      <c:h val="0.1637470256631374"/>
                    </c:manualLayout>
                  </c15:layout>
                </c:ext>
                <c:ext xmlns:c16="http://schemas.microsoft.com/office/drawing/2014/chart" uri="{C3380CC4-5D6E-409C-BE32-E72D297353CC}">
                  <c16:uniqueId val="{00000000-6C7E-4E1D-91BD-7EC0717BA6FC}"/>
                </c:ext>
              </c:extLst>
            </c:dLbl>
            <c:dLbl>
              <c:idx val="3"/>
              <c:layout>
                <c:manualLayout>
                  <c:x val="-1.7653268947552415E-2"/>
                  <c:y val="4.0562768488797328E-2"/>
                </c:manualLayout>
              </c:layout>
              <c:showLegendKey val="0"/>
              <c:showVal val="1"/>
              <c:showCatName val="0"/>
              <c:showSerName val="0"/>
              <c:showPercent val="0"/>
              <c:showBubbleSize val="0"/>
              <c:extLst>
                <c:ext xmlns:c15="http://schemas.microsoft.com/office/drawing/2012/chart" uri="{CE6537A1-D6FC-4f65-9D91-7224C49458BB}">
                  <c15:layout>
                    <c:manualLayout>
                      <c:w val="0.33806010034562878"/>
                      <c:h val="0.1637470256631374"/>
                    </c:manualLayout>
                  </c15:layout>
                </c:ext>
                <c:ext xmlns:c16="http://schemas.microsoft.com/office/drawing/2014/chart" uri="{C3380CC4-5D6E-409C-BE32-E72D297353CC}">
                  <c16:uniqueId val="{00000001-6C7E-4E1D-91BD-7EC0717BA6FC}"/>
                </c:ext>
              </c:extLst>
            </c:dLbl>
            <c:dLbl>
              <c:idx val="4"/>
              <c:layout>
                <c:manualLayout>
                  <c:x val="3.4750529420270287E-7"/>
                  <c:y val="3.0422076366597998E-2"/>
                </c:manualLayout>
              </c:layout>
              <c:showLegendKey val="0"/>
              <c:showVal val="1"/>
              <c:showCatName val="0"/>
              <c:showSerName val="0"/>
              <c:showPercent val="0"/>
              <c:showBubbleSize val="0"/>
              <c:extLst>
                <c:ext xmlns:c15="http://schemas.microsoft.com/office/drawing/2012/chart" uri="{CE6537A1-D6FC-4f65-9D91-7224C49458BB}">
                  <c15:layout>
                    <c:manualLayout>
                      <c:w val="0.29392692797674769"/>
                      <c:h val="0.1637470256631374"/>
                    </c:manualLayout>
                  </c15:layout>
                </c:ext>
                <c:ext xmlns:c16="http://schemas.microsoft.com/office/drawing/2014/chart" uri="{C3380CC4-5D6E-409C-BE32-E72D297353CC}">
                  <c16:uniqueId val="{00000002-6C7E-4E1D-91BD-7EC0717BA6FC}"/>
                </c:ext>
              </c:extLst>
            </c:dLbl>
            <c:dLbl>
              <c:idx val="5"/>
              <c:layout>
                <c:manualLayout>
                  <c:x val="0"/>
                  <c:y val="1.5211038183298999E-2"/>
                </c:manualLayout>
              </c:layout>
              <c:showLegendKey val="0"/>
              <c:showVal val="1"/>
              <c:showCatName val="0"/>
              <c:showSerName val="0"/>
              <c:showPercent val="0"/>
              <c:showBubbleSize val="0"/>
              <c:extLst>
                <c:ext xmlns:c15="http://schemas.microsoft.com/office/drawing/2012/chart" uri="{CE6537A1-D6FC-4f65-9D91-7224C49458BB}">
                  <c15:layout>
                    <c:manualLayout>
                      <c:w val="0.32040683139807635"/>
                      <c:h val="0.1637470256631374"/>
                    </c:manualLayout>
                  </c15:layout>
                </c:ext>
                <c:ext xmlns:c16="http://schemas.microsoft.com/office/drawing/2014/chart" uri="{C3380CC4-5D6E-409C-BE32-E72D297353CC}">
                  <c16:uniqueId val="{00000003-6C7E-4E1D-91BD-7EC0717BA6FC}"/>
                </c:ext>
              </c:extLst>
            </c:dLbl>
            <c:dLbl>
              <c:idx val="6"/>
              <c:layout>
                <c:manualLayout>
                  <c:x val="-2.2167151493106014E-3"/>
                  <c:y val="-3.4103507088796368E-3"/>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15:layout>
                    <c:manualLayout>
                      <c:w val="0.22736410925228975"/>
                      <c:h val="0.14343993177699604"/>
                    </c:manualLayout>
                  </c15:layout>
                </c:ext>
                <c:ext xmlns:c16="http://schemas.microsoft.com/office/drawing/2014/chart" uri="{C3380CC4-5D6E-409C-BE32-E72D297353CC}">
                  <c16:uniqueId val="{00000004-6C7E-4E1D-91BD-7EC0717BA6F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deuda'!$D$10:$J$10</c:f>
              <c:numCache>
                <c:formatCode>General</c:formatCode>
                <c:ptCount val="7"/>
                <c:pt idx="0">
                  <c:v>2016</c:v>
                </c:pt>
                <c:pt idx="1">
                  <c:v>2017</c:v>
                </c:pt>
                <c:pt idx="2">
                  <c:v>2018</c:v>
                </c:pt>
                <c:pt idx="3">
                  <c:v>2019</c:v>
                </c:pt>
                <c:pt idx="4">
                  <c:v>2020</c:v>
                </c:pt>
                <c:pt idx="5">
                  <c:v>2021</c:v>
                </c:pt>
                <c:pt idx="6">
                  <c:v>2022</c:v>
                </c:pt>
              </c:numCache>
            </c:numRef>
          </c:cat>
          <c:val>
            <c:numRef>
              <c:f>'Indicadores de deuda'!$D$17:$J$17</c:f>
              <c:numCache>
                <c:formatCode>_-* #,##0.0_-;\-* #,##0.0_-;_-* "-"??_-;_-@_-</c:formatCode>
                <c:ptCount val="7"/>
                <c:pt idx="0">
                  <c:v>114.28337724741256</c:v>
                </c:pt>
                <c:pt idx="1">
                  <c:v>143.82436216371178</c:v>
                </c:pt>
                <c:pt idx="2">
                  <c:v>155.08977355653192</c:v>
                </c:pt>
                <c:pt idx="3">
                  <c:v>162.41292537949749</c:v>
                </c:pt>
                <c:pt idx="4">
                  <c:v>176.73308927583653</c:v>
                </c:pt>
                <c:pt idx="5">
                  <c:v>188.6934339186127</c:v>
                </c:pt>
                <c:pt idx="6">
                  <c:v>180.5071358432113</c:v>
                </c:pt>
              </c:numCache>
            </c:numRef>
          </c:val>
          <c:extLst>
            <c:ext xmlns:c16="http://schemas.microsoft.com/office/drawing/2014/chart" uri="{C3380CC4-5D6E-409C-BE32-E72D297353CC}">
              <c16:uniqueId val="{00000005-6C7E-4E1D-91BD-7EC0717BA6FC}"/>
            </c:ext>
          </c:extLst>
        </c:ser>
        <c:dLbls>
          <c:showLegendKey val="0"/>
          <c:showVal val="0"/>
          <c:showCatName val="0"/>
          <c:showSerName val="0"/>
          <c:showPercent val="0"/>
          <c:showBubbleSize val="0"/>
        </c:dLbls>
        <c:gapWidth val="60"/>
        <c:overlap val="-27"/>
        <c:axId val="331228432"/>
        <c:axId val="331224688"/>
      </c:barChart>
      <c:catAx>
        <c:axId val="33122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31224688"/>
        <c:crosses val="autoZero"/>
        <c:auto val="1"/>
        <c:lblAlgn val="ctr"/>
        <c:lblOffset val="100"/>
        <c:noMultiLvlLbl val="0"/>
      </c:catAx>
      <c:valAx>
        <c:axId val="331224688"/>
        <c:scaling>
          <c:orientation val="minMax"/>
        </c:scaling>
        <c:delete val="1"/>
        <c:axPos val="l"/>
        <c:numFmt formatCode="_-* #,##0.0_-;\-* #,##0.0_-;_-* &quot;-&quot;??_-;_-@_-" sourceLinked="1"/>
        <c:majorTickMark val="out"/>
        <c:minorTickMark val="none"/>
        <c:tickLblPos val="nextTo"/>
        <c:crossAx val="331228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91312094647566E-2"/>
          <c:y val="1.6618550413865354E-2"/>
          <c:w val="0.95926876202694056"/>
          <c:h val="0.73835201424306662"/>
        </c:manualLayout>
      </c:layout>
      <c:barChart>
        <c:barDir val="col"/>
        <c:grouping val="clustered"/>
        <c:varyColors val="0"/>
        <c:ser>
          <c:idx val="0"/>
          <c:order val="0"/>
          <c:tx>
            <c:strRef>
              <c:f>'Deuda otros'!$K$4</c:f>
              <c:strCache>
                <c:ptCount val="1"/>
                <c:pt idx="0">
                  <c:v>2022</c:v>
                </c:pt>
              </c:strCache>
            </c:strRef>
          </c:tx>
          <c:spPr>
            <a:solidFill>
              <a:srgbClr val="002060"/>
            </a:solidFill>
            <a:ln>
              <a:solidFill>
                <a:schemeClr val="tx1"/>
              </a:solidFill>
            </a:ln>
            <a:effectLst/>
          </c:spPr>
          <c:invertIfNegative val="0"/>
          <c:dLbls>
            <c:dLbl>
              <c:idx val="0"/>
              <c:layout>
                <c:manualLayout>
                  <c:x val="-9.05897960303877E-3"/>
                  <c:y val="8.79152892951456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14-4436-96D5-50CE12648928}"/>
                </c:ext>
              </c:extLst>
            </c:dLbl>
            <c:dLbl>
              <c:idx val="1"/>
              <c:layout>
                <c:manualLayout>
                  <c:x val="-2.2690078539830704E-3"/>
                  <c:y val="8.7916043639585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14-4436-96D5-50CE12648928}"/>
                </c:ext>
              </c:extLst>
            </c:dLbl>
            <c:dLbl>
              <c:idx val="2"/>
              <c:layout>
                <c:manualLayout>
                  <c:x val="-2.2690078539831329E-3"/>
                  <c:y val="1.3187406545937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14-4436-96D5-50CE12648928}"/>
                </c:ext>
              </c:extLst>
            </c:dLbl>
            <c:dLbl>
              <c:idx val="4"/>
              <c:layout>
                <c:manualLayout>
                  <c:x val="-2.2690078539830912E-3"/>
                  <c:y val="1.3187406545937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14-4436-96D5-50CE12648928}"/>
                </c:ext>
              </c:extLst>
            </c:dLbl>
            <c:dLbl>
              <c:idx val="5"/>
              <c:layout>
                <c:manualLayout>
                  <c:x val="0"/>
                  <c:y val="1.758320872791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14-4436-96D5-50CE12648928}"/>
                </c:ext>
              </c:extLst>
            </c:dLbl>
            <c:dLbl>
              <c:idx val="6"/>
              <c:layout>
                <c:manualLayout>
                  <c:x val="-2.2666339700254611E-3"/>
                  <c:y val="4.3957476841518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14-4436-96D5-50CE1264892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'Deuda otros'!$I$5:$I$12</c:f>
              <c:strCache>
                <c:ptCount val="8"/>
                <c:pt idx="0">
                  <c:v>Economias avanzadas</c:v>
                </c:pt>
                <c:pt idx="1">
                  <c:v>Latinoamérica y el Caribe</c:v>
                </c:pt>
                <c:pt idx="2">
                  <c:v>E.E.U.U</c:v>
                </c:pt>
                <c:pt idx="3">
                  <c:v>Brasil</c:v>
                </c:pt>
                <c:pt idx="4">
                  <c:v>México</c:v>
                </c:pt>
                <c:pt idx="5">
                  <c:v>Chile</c:v>
                </c:pt>
                <c:pt idx="6">
                  <c:v>Perú</c:v>
                </c:pt>
                <c:pt idx="7">
                  <c:v>Guatemala</c:v>
                </c:pt>
              </c:strCache>
            </c:strRef>
          </c:cat>
          <c:val>
            <c:numRef>
              <c:f>'Deuda otros'!$K$5:$K$12</c:f>
              <c:numCache>
                <c:formatCode>_-* #,##0.0_-;\-* #,##0.0_-;_-* "-"??_-;_-@_-</c:formatCode>
                <c:ptCount val="8"/>
                <c:pt idx="0">
                  <c:v>117.377</c:v>
                </c:pt>
                <c:pt idx="1">
                  <c:v>71.561000000000007</c:v>
                </c:pt>
                <c:pt idx="2">
                  <c:v>126.426</c:v>
                </c:pt>
                <c:pt idx="3">
                  <c:v>90.721999999999994</c:v>
                </c:pt>
                <c:pt idx="4">
                  <c:v>58.671999999999997</c:v>
                </c:pt>
                <c:pt idx="5">
                  <c:v>36.302999999999997</c:v>
                </c:pt>
                <c:pt idx="6">
                  <c:v>36.353999999999999</c:v>
                </c:pt>
                <c:pt idx="7">
                  <c:v>29.174396726571743</c:v>
                </c:pt>
              </c:numCache>
            </c:numRef>
          </c:val>
          <c:extLst>
            <c:ext xmlns:c16="http://schemas.microsoft.com/office/drawing/2014/chart" uri="{C3380CC4-5D6E-409C-BE32-E72D297353CC}">
              <c16:uniqueId val="{00000006-4114-4436-96D5-50CE12648928}"/>
            </c:ext>
          </c:extLst>
        </c:ser>
        <c:ser>
          <c:idx val="1"/>
          <c:order val="1"/>
          <c:tx>
            <c:strRef>
              <c:f>'Deuda otros'!$L$4</c:f>
              <c:strCache>
                <c:ptCount val="1"/>
                <c:pt idx="0">
                  <c:v>2023 py/</c:v>
                </c:pt>
              </c:strCache>
            </c:strRef>
          </c:tx>
          <c:spPr>
            <a:solidFill>
              <a:schemeClr val="accent4"/>
            </a:solidFill>
            <a:ln>
              <a:solidFill>
                <a:schemeClr val="tx1"/>
              </a:solidFill>
            </a:ln>
            <a:effectLst/>
          </c:spPr>
          <c:invertIfNegative val="0"/>
          <c:dLbls>
            <c:dLbl>
              <c:idx val="1"/>
              <c:layout>
                <c:manualLayout>
                  <c:x val="4.5332679400509222E-3"/>
                  <c:y val="1.00394801326326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14-4436-96D5-50CE12648928}"/>
                </c:ext>
              </c:extLst>
            </c:dLbl>
            <c:dLbl>
              <c:idx val="3"/>
              <c:layout>
                <c:manualLayout>
                  <c:x val="-7.5952380952390192E-4"/>
                  <c:y val="-3.2337589396370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14-4436-96D5-50CE12648928}"/>
                </c:ext>
              </c:extLst>
            </c:dLbl>
            <c:dLbl>
              <c:idx val="7"/>
              <c:layout>
                <c:manualLayout>
                  <c:x val="4.53326794005092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14-4436-96D5-50CE1264892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otros'!$I$5:$I$12</c:f>
              <c:strCache>
                <c:ptCount val="8"/>
                <c:pt idx="0">
                  <c:v>Economias avanzadas</c:v>
                </c:pt>
                <c:pt idx="1">
                  <c:v>Latinoamérica y el Caribe</c:v>
                </c:pt>
                <c:pt idx="2">
                  <c:v>E.E.U.U</c:v>
                </c:pt>
                <c:pt idx="3">
                  <c:v>Brasil</c:v>
                </c:pt>
                <c:pt idx="4">
                  <c:v>México</c:v>
                </c:pt>
                <c:pt idx="5">
                  <c:v>Chile</c:v>
                </c:pt>
                <c:pt idx="6">
                  <c:v>Perú</c:v>
                </c:pt>
                <c:pt idx="7">
                  <c:v>Guatemala</c:v>
                </c:pt>
              </c:strCache>
            </c:strRef>
          </c:cat>
          <c:val>
            <c:numRef>
              <c:f>'Deuda otros'!$L$5:$L$12</c:f>
              <c:numCache>
                <c:formatCode>_-* #,##0.0_-;\-* #,##0.0_-;_-* "-"??_-;_-@_-</c:formatCode>
                <c:ptCount val="8"/>
                <c:pt idx="0">
                  <c:v>112.491</c:v>
                </c:pt>
                <c:pt idx="1">
                  <c:v>69.402000000000001</c:v>
                </c:pt>
                <c:pt idx="2">
                  <c:v>121.68300000000001</c:v>
                </c:pt>
                <c:pt idx="3">
                  <c:v>85.906000000000006</c:v>
                </c:pt>
                <c:pt idx="4">
                  <c:v>56.029000000000003</c:v>
                </c:pt>
                <c:pt idx="5">
                  <c:v>37.976999999999997</c:v>
                </c:pt>
                <c:pt idx="6">
                  <c:v>33.372999999999998</c:v>
                </c:pt>
                <c:pt idx="7">
                  <c:v>28.425119858440446</c:v>
                </c:pt>
              </c:numCache>
            </c:numRef>
          </c:val>
          <c:extLst>
            <c:ext xmlns:c16="http://schemas.microsoft.com/office/drawing/2014/chart" uri="{C3380CC4-5D6E-409C-BE32-E72D297353CC}">
              <c16:uniqueId val="{0000000A-4114-4436-96D5-50CE12648928}"/>
            </c:ext>
          </c:extLst>
        </c:ser>
        <c:ser>
          <c:idx val="2"/>
          <c:order val="2"/>
          <c:tx>
            <c:strRef>
              <c:f>'Deuda otros'!$M$4</c:f>
              <c:strCache>
                <c:ptCount val="1"/>
                <c:pt idx="0">
                  <c:v>2024 py/</c:v>
                </c:pt>
              </c:strCache>
            </c:strRef>
          </c:tx>
          <c:spPr>
            <a:solidFill>
              <a:schemeClr val="accent3"/>
            </a:solidFill>
            <a:ln>
              <a:solidFill>
                <a:schemeClr val="tx1"/>
              </a:solidFill>
            </a:ln>
            <a:effectLst/>
          </c:spPr>
          <c:invertIfNegative val="0"/>
          <c:dLbls>
            <c:dLbl>
              <c:idx val="0"/>
              <c:layout>
                <c:manualLayout>
                  <c:x val="5.0396825396825514E-3"/>
                  <c:y val="1.411111111111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14-4436-96D5-50CE12648928}"/>
                </c:ext>
              </c:extLst>
            </c:dLbl>
            <c:spPr>
              <a:noFill/>
              <a:ln>
                <a:noFill/>
              </a:ln>
              <a:effectLst/>
            </c:spPr>
            <c:txPr>
              <a:bodyPr wrap="square" lIns="38100" tIns="19050" rIns="38100" bIns="19050" anchor="ctr">
                <a:spAutoFit/>
              </a:bodyPr>
              <a:lstStyle/>
              <a:p>
                <a:pPr>
                  <a:defRPr sz="700" b="1">
                    <a:solidFill>
                      <a:schemeClr val="tx1">
                        <a:lumMod val="85000"/>
                        <a:lumOff val="15000"/>
                      </a:schemeClr>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'Deuda otros'!$I$5:$I$12</c:f>
              <c:strCache>
                <c:ptCount val="8"/>
                <c:pt idx="0">
                  <c:v>Economias avanzadas</c:v>
                </c:pt>
                <c:pt idx="1">
                  <c:v>Latinoamérica y el Caribe</c:v>
                </c:pt>
                <c:pt idx="2">
                  <c:v>E.E.U.U</c:v>
                </c:pt>
                <c:pt idx="3">
                  <c:v>Brasil</c:v>
                </c:pt>
                <c:pt idx="4">
                  <c:v>México</c:v>
                </c:pt>
                <c:pt idx="5">
                  <c:v>Chile</c:v>
                </c:pt>
                <c:pt idx="6">
                  <c:v>Perú</c:v>
                </c:pt>
                <c:pt idx="7">
                  <c:v>Guatemala</c:v>
                </c:pt>
              </c:strCache>
            </c:strRef>
          </c:cat>
          <c:val>
            <c:numRef>
              <c:f>'Deuda otros'!$M$5:$M$12</c:f>
              <c:numCache>
                <c:formatCode>_-* #,##0.0_-;\-* #,##0.0_-;_-* "-"??_-;_-@_-</c:formatCode>
                <c:ptCount val="8"/>
                <c:pt idx="0">
                  <c:v>112.419</c:v>
                </c:pt>
                <c:pt idx="1">
                  <c:v>68.206000000000003</c:v>
                </c:pt>
                <c:pt idx="2">
                  <c:v>122.23099999999999</c:v>
                </c:pt>
                <c:pt idx="3">
                  <c:v>88.403000000000006</c:v>
                </c:pt>
                <c:pt idx="4">
                  <c:v>55.591999999999999</c:v>
                </c:pt>
                <c:pt idx="5">
                  <c:v>36.624000000000002</c:v>
                </c:pt>
                <c:pt idx="6">
                  <c:v>32.994999999999997</c:v>
                </c:pt>
                <c:pt idx="7">
                  <c:v>27.876116483613622</c:v>
                </c:pt>
              </c:numCache>
            </c:numRef>
          </c:val>
          <c:extLst>
            <c:ext xmlns:c16="http://schemas.microsoft.com/office/drawing/2014/chart" uri="{C3380CC4-5D6E-409C-BE32-E72D297353CC}">
              <c16:uniqueId val="{0000000C-4114-4436-96D5-50CE12648928}"/>
            </c:ext>
          </c:extLst>
        </c:ser>
        <c:dLbls>
          <c:showLegendKey val="0"/>
          <c:showVal val="0"/>
          <c:showCatName val="0"/>
          <c:showSerName val="0"/>
          <c:showPercent val="0"/>
          <c:showBubbleSize val="0"/>
        </c:dLbls>
        <c:gapWidth val="70"/>
        <c:overlap val="-30"/>
        <c:axId val="1206540031"/>
        <c:axId val="1206539615"/>
      </c:barChart>
      <c:catAx>
        <c:axId val="120654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06539615"/>
        <c:crosses val="autoZero"/>
        <c:auto val="1"/>
        <c:lblAlgn val="ctr"/>
        <c:lblOffset val="100"/>
        <c:noMultiLvlLbl val="0"/>
      </c:catAx>
      <c:valAx>
        <c:axId val="1206539615"/>
        <c:scaling>
          <c:orientation val="minMax"/>
          <c:min val="20"/>
        </c:scaling>
        <c:delete val="1"/>
        <c:axPos val="l"/>
        <c:numFmt formatCode="_-* #,##0.0_-;\-* #,##0.0_-;_-* &quot;-&quot;??_-;_-@_-" sourceLinked="1"/>
        <c:majorTickMark val="out"/>
        <c:minorTickMark val="none"/>
        <c:tickLblPos val="nextTo"/>
        <c:crossAx val="1206540031"/>
        <c:crosses val="autoZero"/>
        <c:crossBetween val="between"/>
      </c:valAx>
    </c:plotArea>
    <c:legend>
      <c:legendPos val="b"/>
      <c:layout>
        <c:manualLayout>
          <c:xMode val="edge"/>
          <c:yMode val="edge"/>
          <c:x val="0.11163263487990878"/>
          <c:y val="0.92547964608733702"/>
          <c:w val="0.81520294348228917"/>
          <c:h val="4.842101639231385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4037074941229"/>
          <c:y val="6.0884283750339288E-2"/>
          <c:w val="0.82827846121356852"/>
          <c:h val="0.75778500000000004"/>
        </c:manualLayout>
      </c:layout>
      <c:scatterChart>
        <c:scatterStyle val="lineMarker"/>
        <c:varyColors val="0"/>
        <c:ser>
          <c:idx val="0"/>
          <c:order val="0"/>
          <c:tx>
            <c:strRef>
              <c:f>'graf_2 esce'!$G$1</c:f>
              <c:strCache>
                <c:ptCount val="1"/>
                <c:pt idx="0">
                  <c:v>Deuda/Ingresos fiscales</c:v>
                </c:pt>
              </c:strCache>
            </c:strRef>
          </c:tx>
          <c:spPr>
            <a:ln w="28575" cap="rnd">
              <a:noFill/>
              <a:round/>
            </a:ln>
            <a:effectLst/>
          </c:spPr>
          <c:marker>
            <c:symbol val="diamond"/>
            <c:size val="6"/>
            <c:spPr>
              <a:solidFill>
                <a:srgbClr val="002060"/>
              </a:solidFill>
              <a:ln w="9525">
                <a:noFill/>
              </a:ln>
              <a:effectLst/>
            </c:spPr>
          </c:marker>
          <c:dPt>
            <c:idx val="9"/>
            <c:marker>
              <c:symbol val="diamond"/>
              <c:size val="6"/>
              <c:spPr>
                <a:solidFill>
                  <a:srgbClr val="C00000"/>
                </a:solidFill>
                <a:ln w="9525">
                  <a:noFill/>
                </a:ln>
                <a:effectLst/>
              </c:spPr>
            </c:marker>
            <c:bubble3D val="0"/>
            <c:extLst>
              <c:ext xmlns:c16="http://schemas.microsoft.com/office/drawing/2014/chart" uri="{C3380CC4-5D6E-409C-BE32-E72D297353CC}">
                <c16:uniqueId val="{00000000-B4C1-4D34-AABB-6DE098196DCA}"/>
              </c:ext>
            </c:extLst>
          </c:dPt>
          <c:dPt>
            <c:idx val="14"/>
            <c:marker>
              <c:symbol val="diamond"/>
              <c:size val="6"/>
              <c:spPr>
                <a:solidFill>
                  <a:srgbClr val="002060"/>
                </a:solidFill>
                <a:ln w="9525">
                  <a:noFill/>
                </a:ln>
                <a:effectLst/>
              </c:spPr>
            </c:marker>
            <c:bubble3D val="0"/>
            <c:extLst>
              <c:ext xmlns:c16="http://schemas.microsoft.com/office/drawing/2014/chart" uri="{C3380CC4-5D6E-409C-BE32-E72D297353CC}">
                <c16:uniqueId val="{00000001-B4C1-4D34-AABB-6DE098196DCA}"/>
              </c:ext>
            </c:extLst>
          </c:dPt>
          <c:dLbls>
            <c:dLbl>
              <c:idx val="0"/>
              <c:layout>
                <c:manualLayout>
                  <c:x val="2.5697031992803891E-3"/>
                  <c:y val="-3.7735849056603772E-2"/>
                </c:manualLayout>
              </c:layout>
              <c:tx>
                <c:rich>
                  <a:bodyPr/>
                  <a:lstStyle/>
                  <a:p>
                    <a:fld id="{582E04C9-2F3B-46BA-A767-9EF0A3F886F4}"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4C1-4D34-AABB-6DE098196DCA}"/>
                </c:ext>
              </c:extLst>
            </c:dLbl>
            <c:dLbl>
              <c:idx val="1"/>
              <c:tx>
                <c:rich>
                  <a:bodyPr/>
                  <a:lstStyle/>
                  <a:p>
                    <a:fld id="{EC668A96-7053-4613-88D8-C6B2D82A060A}"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4C1-4D34-AABB-6DE098196DCA}"/>
                </c:ext>
              </c:extLst>
            </c:dLbl>
            <c:dLbl>
              <c:idx val="2"/>
              <c:tx>
                <c:rich>
                  <a:bodyPr/>
                  <a:lstStyle/>
                  <a:p>
                    <a:fld id="{2A34AB85-7F26-40B8-B6A6-93BEE095FF64}"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4C1-4D34-AABB-6DE098196DCA}"/>
                </c:ext>
              </c:extLst>
            </c:dLbl>
            <c:dLbl>
              <c:idx val="3"/>
              <c:tx>
                <c:rich>
                  <a:bodyPr/>
                  <a:lstStyle/>
                  <a:p>
                    <a:fld id="{71BBF83C-CBCE-4C2A-B78A-BB1F31DFE8AB}"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4C1-4D34-AABB-6DE098196DCA}"/>
                </c:ext>
              </c:extLst>
            </c:dLbl>
            <c:dLbl>
              <c:idx val="4"/>
              <c:tx>
                <c:rich>
                  <a:bodyPr/>
                  <a:lstStyle/>
                  <a:p>
                    <a:fld id="{45923AA6-89FA-46BC-AF41-AFA3DBD172C4}"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4C1-4D34-AABB-6DE098196DCA}"/>
                </c:ext>
              </c:extLst>
            </c:dLbl>
            <c:dLbl>
              <c:idx val="5"/>
              <c:layout>
                <c:manualLayout>
                  <c:x val="-6.3957961055627663E-2"/>
                  <c:y val="3.9288333222874658E-2"/>
                </c:manualLayout>
              </c:layout>
              <c:tx>
                <c:rich>
                  <a:bodyPr/>
                  <a:lstStyle/>
                  <a:p>
                    <a:fld id="{77E6B2F3-DFB2-48C9-AFF1-0B499B6534DE}"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4C1-4D34-AABB-6DE098196DCA}"/>
                </c:ext>
              </c:extLst>
            </c:dLbl>
            <c:dLbl>
              <c:idx val="6"/>
              <c:layout>
                <c:manualLayout>
                  <c:x val="-1.324325601959871E-2"/>
                  <c:y val="0"/>
                </c:manualLayout>
              </c:layout>
              <c:tx>
                <c:rich>
                  <a:bodyPr/>
                  <a:lstStyle/>
                  <a:p>
                    <a:fld id="{51150E7A-72E9-4C17-B43F-573F975BEFB2}"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B4C1-4D34-AABB-6DE098196DCA}"/>
                </c:ext>
              </c:extLst>
            </c:dLbl>
            <c:dLbl>
              <c:idx val="7"/>
              <c:tx>
                <c:rich>
                  <a:bodyPr/>
                  <a:lstStyle/>
                  <a:p>
                    <a:fld id="{683D03EF-02FC-4148-BE3F-AF14AE269BA8}"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B4C1-4D34-AABB-6DE098196DCA}"/>
                </c:ext>
              </c:extLst>
            </c:dLbl>
            <c:dLbl>
              <c:idx val="8"/>
              <c:tx>
                <c:rich>
                  <a:bodyPr/>
                  <a:lstStyle/>
                  <a:p>
                    <a:fld id="{3B941316-37BA-4B44-B938-A21D586EE668}"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4C1-4D34-AABB-6DE098196DCA}"/>
                </c:ext>
              </c:extLst>
            </c:dLbl>
            <c:dLbl>
              <c:idx val="9"/>
              <c:tx>
                <c:rich>
                  <a:bodyPr/>
                  <a:lstStyle/>
                  <a:p>
                    <a:fld id="{F82AEA78-D9E6-43DC-8497-FC258DD0FB73}"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4C1-4D34-AABB-6DE098196DCA}"/>
                </c:ext>
              </c:extLst>
            </c:dLbl>
            <c:dLbl>
              <c:idx val="10"/>
              <c:layout>
                <c:manualLayout>
                  <c:x val="-7.0761851672406034E-2"/>
                  <c:y val="-3.3857619610601554E-2"/>
                </c:manualLayout>
              </c:layout>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B-B4C1-4D34-AABB-6DE098196DCA}"/>
                </c:ext>
              </c:extLst>
            </c:dLbl>
            <c:dLbl>
              <c:idx val="11"/>
              <c:layout>
                <c:manualLayout>
                  <c:x val="-0.12987859622434431"/>
                  <c:y val="-1.0860572061392163E-2"/>
                </c:manualLayout>
              </c:layout>
              <c:tx>
                <c:rich>
                  <a:bodyPr/>
                  <a:lstStyle/>
                  <a:p>
                    <a:fld id="{DF324979-8894-4FA7-A114-30F48C716E7F}"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B4C1-4D34-AABB-6DE098196DCA}"/>
                </c:ext>
              </c:extLst>
            </c:dLbl>
            <c:dLbl>
              <c:idx val="12"/>
              <c:tx>
                <c:rich>
                  <a:bodyPr/>
                  <a:lstStyle/>
                  <a:p>
                    <a:fld id="{D9F5DB56-78C0-478C-A849-17D839091643}"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B4C1-4D34-AABB-6DE098196DCA}"/>
                </c:ext>
              </c:extLst>
            </c:dLbl>
            <c:dLbl>
              <c:idx val="13"/>
              <c:layout>
                <c:manualLayout>
                  <c:x val="-1.7675054293873761E-2"/>
                  <c:y val="-1.0156988749686829E-2"/>
                </c:manualLayout>
              </c:layout>
              <c:tx>
                <c:rich>
                  <a:bodyPr/>
                  <a:lstStyle/>
                  <a:p>
                    <a:fld id="{2F651571-9E8B-43E4-A921-FC8B446BB11A}"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B4C1-4D34-AABB-6DE098196DCA}"/>
                </c:ext>
              </c:extLst>
            </c:dLbl>
            <c:dLbl>
              <c:idx val="14"/>
              <c:layout>
                <c:manualLayout>
                  <c:x val="-0.11311719953390396"/>
                  <c:y val="-3.258171618417649E-2"/>
                </c:manualLayout>
              </c:layout>
              <c:tx>
                <c:rich>
                  <a:bodyPr/>
                  <a:lstStyle/>
                  <a:p>
                    <a:fld id="{4F5A4082-6D86-45C7-B797-9BE84268A5B5}"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4C1-4D34-AABB-6DE098196DCA}"/>
                </c:ext>
              </c:extLst>
            </c:dLbl>
            <c:dLbl>
              <c:idx val="15"/>
              <c:layout>
                <c:manualLayout>
                  <c:x val="-0.10109768740655067"/>
                  <c:y val="2.1721144122784225E-2"/>
                </c:manualLayout>
              </c:layout>
              <c:tx>
                <c:rich>
                  <a:bodyPr/>
                  <a:lstStyle/>
                  <a:p>
                    <a:fld id="{9215A346-3ED1-49D5-BFDE-BF71F63288E6}"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B4C1-4D34-AABB-6DE098196DCA}"/>
                </c:ext>
              </c:extLst>
            </c:dLbl>
            <c:dLbl>
              <c:idx val="16"/>
              <c:layout>
                <c:manualLayout>
                  <c:x val="-1.7634638789770962E-2"/>
                  <c:y val="-3.9002483180168565E-2"/>
                </c:manualLayout>
              </c:layout>
              <c:tx>
                <c:rich>
                  <a:bodyPr/>
                  <a:lstStyle/>
                  <a:p>
                    <a:fld id="{59E393BE-FE50-48FE-9F7B-F7AF64644772}"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B4C1-4D34-AABB-6DE098196DCA}"/>
                </c:ext>
              </c:extLst>
            </c:dLbl>
            <c:dLbl>
              <c:idx val="18"/>
              <c:layout>
                <c:manualLayout>
                  <c:x val="-6.4682356507061722E-2"/>
                  <c:y val="4.1500692985988949E-2"/>
                </c:manualLayout>
              </c:layout>
              <c:tx>
                <c:rich>
                  <a:bodyPr/>
                  <a:lstStyle/>
                  <a:p>
                    <a:fld id="{69AAA769-90CD-4160-B86F-50D39F4E8EFC}"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B4C1-4D34-AABB-6DE098196DCA}"/>
                </c:ext>
              </c:extLst>
            </c:dLbl>
            <c:dLbl>
              <c:idx val="19"/>
              <c:layout>
                <c:manualLayout>
                  <c:x val="-6.1801861424793603E-2"/>
                  <c:y val="3.7484096552044412E-2"/>
                </c:manualLayout>
              </c:layout>
              <c:tx>
                <c:rich>
                  <a:bodyPr/>
                  <a:lstStyle/>
                  <a:p>
                    <a:fld id="{677D4A7B-6E77-4D0A-B851-29B7A5390044}"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B4C1-4D34-AABB-6DE098196DCA}"/>
                </c:ext>
              </c:extLst>
            </c:dLbl>
            <c:dLbl>
              <c:idx val="20"/>
              <c:layout>
                <c:manualLayout>
                  <c:x val="-7.7495293604028764E-2"/>
                  <c:y val="-4.7652695118992623E-2"/>
                </c:manualLayout>
              </c:layout>
              <c:tx>
                <c:rich>
                  <a:bodyPr/>
                  <a:lstStyle/>
                  <a:p>
                    <a:fld id="{3CC0814A-1DD3-4C88-9EB7-751399BF40BB}"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B4C1-4D34-AABB-6DE098196DCA}"/>
                </c:ext>
              </c:extLst>
            </c:dLbl>
            <c:dLbl>
              <c:idx val="21"/>
              <c:tx>
                <c:rich>
                  <a:bodyPr/>
                  <a:lstStyle/>
                  <a:p>
                    <a:fld id="{CFFFAE15-435B-44F9-922D-168B337B67D2}"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B4C1-4D34-AABB-6DE098196DCA}"/>
                </c:ext>
              </c:extLst>
            </c:dLbl>
            <c:dLbl>
              <c:idx val="22"/>
              <c:layout>
                <c:manualLayout>
                  <c:x val="-6.1801861424793637E-2"/>
                  <c:y val="-4.7652695118992623E-2"/>
                </c:manualLayout>
              </c:layout>
              <c:tx>
                <c:rich>
                  <a:bodyPr/>
                  <a:lstStyle/>
                  <a:p>
                    <a:fld id="{68667BEC-1A34-4ADF-B2BB-52351803CBC5}"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4C1-4D34-AABB-6DE098196DCA}"/>
                </c:ext>
              </c:extLst>
            </c:dLbl>
            <c:dLbl>
              <c:idx val="23"/>
              <c:layout>
                <c:manualLayout>
                  <c:x val="-6.0223793647130139E-2"/>
                  <c:y val="-3.641639370251494E-2"/>
                </c:manualLayout>
              </c:layout>
              <c:tx>
                <c:rich>
                  <a:bodyPr/>
                  <a:lstStyle/>
                  <a:p>
                    <a:fld id="{067B347A-E0A6-4B6A-BBD7-DAF56E400CED}"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4C1-4D34-AABB-6DE098196DCA}"/>
                </c:ext>
              </c:extLst>
            </c:dLbl>
            <c:dLbl>
              <c:idx val="24"/>
              <c:layout>
                <c:manualLayout>
                  <c:x val="-6.0234916591818517E-2"/>
                  <c:y val="4.6584992269462965E-2"/>
                </c:manualLayout>
              </c:layout>
              <c:tx>
                <c:rich>
                  <a:bodyPr/>
                  <a:lstStyle/>
                  <a:p>
                    <a:fld id="{AAB2257C-BCB0-4586-8725-CCA27734B589}"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4C1-4D34-AABB-6DE098196DCA}"/>
                </c:ext>
              </c:extLst>
            </c:dLbl>
            <c:dLbl>
              <c:idx val="25"/>
              <c:tx>
                <c:rich>
                  <a:bodyPr/>
                  <a:lstStyle/>
                  <a:p>
                    <a:fld id="{6964BD14-6951-4B6B-A277-902363FB8EE9}"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4C1-4D34-AABB-6DE098196DCA}"/>
                </c:ext>
              </c:extLst>
            </c:dLbl>
            <c:dLbl>
              <c:idx val="28"/>
              <c:tx>
                <c:rich>
                  <a:bodyPr/>
                  <a:lstStyle/>
                  <a:p>
                    <a:fld id="{910B28B9-DB26-4F1B-9B20-0C9091CEA6D0}"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4C1-4D34-AABB-6DE098196DCA}"/>
                </c:ext>
              </c:extLst>
            </c:dLbl>
            <c:dLbl>
              <c:idx val="29"/>
              <c:layout>
                <c:manualLayout>
                  <c:x val="-0.11841695470458845"/>
                  <c:y val="-1.0168598566948305E-2"/>
                </c:manualLayout>
              </c:layout>
              <c:tx>
                <c:rich>
                  <a:bodyPr/>
                  <a:lstStyle/>
                  <a:p>
                    <a:fld id="{B4C1EFC6-0EB1-4B58-8105-02E4676282BF}"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4C1-4D34-AABB-6DE098196DCA}"/>
                </c:ext>
              </c:extLst>
            </c:dLbl>
            <c:dLbl>
              <c:idx val="30"/>
              <c:layout>
                <c:manualLayout>
                  <c:x val="-7.1855613055000184E-2"/>
                  <c:y val="-4.7652695118992623E-2"/>
                </c:manualLayout>
              </c:layout>
              <c:tx>
                <c:rich>
                  <a:bodyPr/>
                  <a:lstStyle/>
                  <a:p>
                    <a:fld id="{69A7B184-99E5-4358-92F1-B59FFC31FD7E}"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4C1-4D34-AABB-6DE098196DCA}"/>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rgbClr val="C00000"/>
                </a:solidFill>
                <a:prstDash val="sysDot"/>
              </a:ln>
              <a:effectLst/>
            </c:spPr>
            <c:trendlineType val="linear"/>
            <c:dispRSqr val="0"/>
            <c:dispEq val="0"/>
          </c:trendline>
          <c:xVal>
            <c:numRef>
              <c:f>'graf_2 esce'!$D$3:$D$19</c:f>
              <c:numCache>
                <c:formatCode>_-* #,##0.0_-;\-* #,##0.0_-;_-* "-"??_-;_-@_-</c:formatCode>
                <c:ptCount val="17"/>
                <c:pt idx="0">
                  <c:v>60.427999999999997</c:v>
                </c:pt>
                <c:pt idx="1">
                  <c:v>76.266000000000005</c:v>
                </c:pt>
                <c:pt idx="2">
                  <c:v>82.305000000000007</c:v>
                </c:pt>
                <c:pt idx="3">
                  <c:v>88.403000000000006</c:v>
                </c:pt>
                <c:pt idx="4">
                  <c:v>36.624000000000002</c:v>
                </c:pt>
                <c:pt idx="5">
                  <c:v>61.973999999999997</c:v>
                </c:pt>
                <c:pt idx="6">
                  <c:v>63.53</c:v>
                </c:pt>
                <c:pt idx="7">
                  <c:v>58.302</c:v>
                </c:pt>
                <c:pt idx="8">
                  <c:v>76.102999999999994</c:v>
                </c:pt>
                <c:pt idx="9">
                  <c:v>28.425119858440446</c:v>
                </c:pt>
                <c:pt idx="11">
                  <c:v>55.591999999999999</c:v>
                </c:pt>
                <c:pt idx="12">
                  <c:v>44.52</c:v>
                </c:pt>
                <c:pt idx="13">
                  <c:v>54.344000000000001</c:v>
                </c:pt>
                <c:pt idx="14">
                  <c:v>40.433999999999997</c:v>
                </c:pt>
                <c:pt idx="15">
                  <c:v>32.994999999999997</c:v>
                </c:pt>
                <c:pt idx="16">
                  <c:v>62.311999999999998</c:v>
                </c:pt>
              </c:numCache>
            </c:numRef>
          </c:xVal>
          <c:yVal>
            <c:numRef>
              <c:f>'graf_2 esce'!$G$3:$G$19</c:f>
              <c:numCache>
                <c:formatCode>_-* #,##0.0_-;\-* #,##0.0_-;_-* "-"??_-;_-@_-</c:formatCode>
                <c:ptCount val="17"/>
                <c:pt idx="0">
                  <c:v>267.12050216603302</c:v>
                </c:pt>
                <c:pt idx="1">
                  <c:v>235.87665852225282</c:v>
                </c:pt>
                <c:pt idx="2">
                  <c:v>297.08706323996535</c:v>
                </c:pt>
                <c:pt idx="3">
                  <c:v>246.59823147089185</c:v>
                </c:pt>
                <c:pt idx="4">
                  <c:v>147.82047142395868</c:v>
                </c:pt>
                <c:pt idx="5">
                  <c:v>197.32543700448943</c:v>
                </c:pt>
                <c:pt idx="6">
                  <c:v>409.71236940539148</c:v>
                </c:pt>
                <c:pt idx="7">
                  <c:v>392.28905934598305</c:v>
                </c:pt>
                <c:pt idx="8">
                  <c:v>304.25378803022426</c:v>
                </c:pt>
                <c:pt idx="9">
                  <c:v>230.61707271441293</c:v>
                </c:pt>
                <c:pt idx="11">
                  <c:v>232.5052279381012</c:v>
                </c:pt>
                <c:pt idx="12">
                  <c:v>169.57416012798049</c:v>
                </c:pt>
                <c:pt idx="13">
                  <c:v>274.25687610396164</c:v>
                </c:pt>
                <c:pt idx="14">
                  <c:v>201.94785735690738</c:v>
                </c:pt>
                <c:pt idx="15">
                  <c:v>153.30824272837097</c:v>
                </c:pt>
                <c:pt idx="16">
                  <c:v>233.48321342925661</c:v>
                </c:pt>
              </c:numCache>
            </c:numRef>
          </c:yVal>
          <c:smooth val="0"/>
          <c:extLst>
            <c:ext xmlns:c15="http://schemas.microsoft.com/office/drawing/2012/chart" uri="{02D57815-91ED-43cb-92C2-25804820EDAC}">
              <c15:datalabelsRange>
                <c15:f>'graf_2 esce'!$A$3:$A$19</c15:f>
                <c15:dlblRangeCache>
                  <c:ptCount val="17"/>
                  <c:pt idx="0">
                    <c:v>BLZ</c:v>
                  </c:pt>
                  <c:pt idx="1">
                    <c:v>ARG</c:v>
                  </c:pt>
                  <c:pt idx="2">
                    <c:v>BOL</c:v>
                  </c:pt>
                  <c:pt idx="3">
                    <c:v>BRA</c:v>
                  </c:pt>
                  <c:pt idx="4">
                    <c:v>CHL</c:v>
                  </c:pt>
                  <c:pt idx="5">
                    <c:v>COL</c:v>
                  </c:pt>
                  <c:pt idx="6">
                    <c:v>CRI</c:v>
                  </c:pt>
                  <c:pt idx="7">
                    <c:v>DOM</c:v>
                  </c:pt>
                  <c:pt idx="8">
                    <c:v>SLV</c:v>
                  </c:pt>
                  <c:pt idx="9">
                    <c:v>GTM</c:v>
                  </c:pt>
                  <c:pt idx="10">
                    <c:v>HND</c:v>
                  </c:pt>
                  <c:pt idx="11">
                    <c:v>MEX</c:v>
                  </c:pt>
                  <c:pt idx="12">
                    <c:v>NIC</c:v>
                  </c:pt>
                  <c:pt idx="13">
                    <c:v>PAN</c:v>
                  </c:pt>
                  <c:pt idx="14">
                    <c:v>PRY</c:v>
                  </c:pt>
                  <c:pt idx="15">
                    <c:v>PER</c:v>
                  </c:pt>
                  <c:pt idx="16">
                    <c:v>URY</c:v>
                  </c:pt>
                </c15:dlblRangeCache>
              </c15:datalabelsRange>
            </c:ext>
            <c:ext xmlns:c16="http://schemas.microsoft.com/office/drawing/2014/chart" uri="{C3380CC4-5D6E-409C-BE32-E72D297353CC}">
              <c16:uniqueId val="{0000001D-B4C1-4D34-AABB-6DE098196DCA}"/>
            </c:ext>
          </c:extLst>
        </c:ser>
        <c:dLbls>
          <c:showLegendKey val="0"/>
          <c:showVal val="0"/>
          <c:showCatName val="0"/>
          <c:showSerName val="0"/>
          <c:showPercent val="0"/>
          <c:showBubbleSize val="0"/>
        </c:dLbls>
        <c:axId val="1500410655"/>
        <c:axId val="1500411071"/>
      </c:scatterChart>
      <c:valAx>
        <c:axId val="1500410655"/>
        <c:scaling>
          <c:orientation val="minMax"/>
          <c:max val="100"/>
          <c:min val="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Deuda/PIB (%)</a:t>
                </a:r>
              </a:p>
            </c:rich>
          </c:tx>
          <c:layout>
            <c:manualLayout>
              <c:xMode val="edge"/>
              <c:yMode val="edge"/>
              <c:x val="0.38683711083774946"/>
              <c:y val="0.927941817902945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1500411071"/>
        <c:crosses val="autoZero"/>
        <c:crossBetween val="midCat"/>
        <c:majorUnit val="20"/>
      </c:valAx>
      <c:valAx>
        <c:axId val="1500411071"/>
        <c:scaling>
          <c:orientation val="minMax"/>
          <c:min val="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Deuda/Ingresos</a:t>
                </a:r>
                <a:r>
                  <a:rPr lang="es-GT" sz="800" baseline="0">
                    <a:latin typeface="Times New Roman" panose="02020603050405020304" pitchFamily="18" charset="0"/>
                    <a:cs typeface="Times New Roman" panose="02020603050405020304" pitchFamily="18" charset="0"/>
                  </a:rPr>
                  <a:t> fiscales (%)</a:t>
                </a:r>
                <a:endParaRPr lang="es-GT" sz="800">
                  <a:latin typeface="Times New Roman" panose="02020603050405020304" pitchFamily="18" charset="0"/>
                  <a:cs typeface="Times New Roman" panose="02020603050405020304" pitchFamily="18" charset="0"/>
                </a:endParaRPr>
              </a:p>
            </c:rich>
          </c:tx>
          <c:layout>
            <c:manualLayout>
              <c:xMode val="edge"/>
              <c:yMode val="edge"/>
              <c:x val="4.4287622597628321E-3"/>
              <c:y val="0.2054314191012163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41065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43548387096774E-2"/>
          <c:y val="0"/>
          <c:w val="0.90927419354838712"/>
          <c:h val="0.7665185874703465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real'!$B$42:$B$44</c:f>
              <c:strCache>
                <c:ptCount val="3"/>
                <c:pt idx="0">
                  <c:v>Año presupuestario</c:v>
                </c:pt>
                <c:pt idx="1">
                  <c:v>Año presupuestario+1</c:v>
                </c:pt>
                <c:pt idx="2">
                  <c:v>Año presupuestario+2</c:v>
                </c:pt>
              </c:strCache>
            </c:strRef>
          </c:cat>
          <c:val>
            <c:numRef>
              <c:f>'PIB real'!$D$42:$D$44</c:f>
              <c:numCache>
                <c:formatCode>_(* #,##0.00_);_(* \(#,##0.00\);_(* "-"??_);_(@_)</c:formatCode>
                <c:ptCount val="3"/>
                <c:pt idx="0">
                  <c:v>1.3794776217638225</c:v>
                </c:pt>
                <c:pt idx="1">
                  <c:v>1.3522048944910952</c:v>
                </c:pt>
                <c:pt idx="2">
                  <c:v>1.414411126628679</c:v>
                </c:pt>
              </c:numCache>
            </c:numRef>
          </c:val>
          <c:extLst>
            <c:ext xmlns:c16="http://schemas.microsoft.com/office/drawing/2014/chart" uri="{C3380CC4-5D6E-409C-BE32-E72D297353CC}">
              <c16:uniqueId val="{00000000-3532-4F5A-8729-46A0648A1D08}"/>
            </c:ext>
          </c:extLst>
        </c:ser>
        <c:dLbls>
          <c:showLegendKey val="0"/>
          <c:showVal val="0"/>
          <c:showCatName val="0"/>
          <c:showSerName val="0"/>
          <c:showPercent val="0"/>
          <c:showBubbleSize val="0"/>
        </c:dLbls>
        <c:gapWidth val="219"/>
        <c:overlap val="-27"/>
        <c:axId val="1217834752"/>
        <c:axId val="1217835168"/>
      </c:barChart>
      <c:catAx>
        <c:axId val="121783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17835168"/>
        <c:crosses val="autoZero"/>
        <c:auto val="1"/>
        <c:lblAlgn val="ctr"/>
        <c:lblOffset val="100"/>
        <c:noMultiLvlLbl val="0"/>
      </c:catAx>
      <c:valAx>
        <c:axId val="1217835168"/>
        <c:scaling>
          <c:orientation val="minMax"/>
          <c:min val="1.2"/>
        </c:scaling>
        <c:delete val="1"/>
        <c:axPos val="l"/>
        <c:numFmt formatCode="_(* #,##0.00_);_(* \(#,##0.00\);_(* &quot;-&quot;??_);_(@_)" sourceLinked="1"/>
        <c:majorTickMark val="none"/>
        <c:minorTickMark val="none"/>
        <c:tickLblPos val="nextTo"/>
        <c:crossAx val="121783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453469411607244E-2"/>
          <c:y val="0"/>
          <c:w val="0.93721184061951557"/>
          <c:h val="0.73283970459733117"/>
        </c:manualLayout>
      </c:layout>
      <c:barChart>
        <c:barDir val="col"/>
        <c:grouping val="clustered"/>
        <c:varyColors val="0"/>
        <c:ser>
          <c:idx val="0"/>
          <c:order val="0"/>
          <c:spPr>
            <a:solidFill>
              <a:srgbClr val="002060"/>
            </a:solidFill>
            <a:ln>
              <a:noFill/>
            </a:ln>
            <a:effectLst/>
          </c:spPr>
          <c:invertIfNegative val="0"/>
          <c:dPt>
            <c:idx val="9"/>
            <c:invertIfNegative val="0"/>
            <c:bubble3D val="0"/>
            <c:spPr>
              <a:solidFill>
                <a:srgbClr val="C00000"/>
              </a:solidFill>
              <a:ln>
                <a:noFill/>
              </a:ln>
              <a:effectLst/>
            </c:spPr>
            <c:extLst>
              <c:ext xmlns:c16="http://schemas.microsoft.com/office/drawing/2014/chart" uri="{C3380CC4-5D6E-409C-BE32-E72D297353CC}">
                <c16:uniqueId val="{00000001-D7CD-41F0-A06E-71DA4B2D6323}"/>
              </c:ext>
            </c:extLst>
          </c:dPt>
          <c:dPt>
            <c:idx val="10"/>
            <c:invertIfNegative val="0"/>
            <c:bubble3D val="0"/>
            <c:spPr>
              <a:solidFill>
                <a:srgbClr val="002060"/>
              </a:solidFill>
              <a:ln>
                <a:noFill/>
              </a:ln>
              <a:effectLst/>
            </c:spPr>
            <c:extLst>
              <c:ext xmlns:c16="http://schemas.microsoft.com/office/drawing/2014/chart" uri="{C3380CC4-5D6E-409C-BE32-E72D297353CC}">
                <c16:uniqueId val="{00000003-D7CD-41F0-A06E-71DA4B2D6323}"/>
              </c:ext>
            </c:extLst>
          </c:dPt>
          <c:dPt>
            <c:idx val="11"/>
            <c:invertIfNegative val="0"/>
            <c:bubble3D val="0"/>
            <c:spPr>
              <a:solidFill>
                <a:srgbClr val="002060"/>
              </a:solidFill>
              <a:ln>
                <a:noFill/>
              </a:ln>
              <a:effectLst/>
            </c:spPr>
            <c:extLst>
              <c:ext xmlns:c16="http://schemas.microsoft.com/office/drawing/2014/chart" uri="{C3380CC4-5D6E-409C-BE32-E72D297353CC}">
                <c16:uniqueId val="{00000005-D7CD-41F0-A06E-71DA4B2D6323}"/>
              </c:ext>
            </c:extLst>
          </c:dPt>
          <c:dLbls>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D7CD-41F0-A06E-71DA4B2D63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de escenarios'!$AO$19:$AO$34</c:f>
              <c:strCache>
                <c:ptCount val="16"/>
                <c:pt idx="0">
                  <c:v>Argentina</c:v>
                </c:pt>
                <c:pt idx="1">
                  <c:v>Ecuador</c:v>
                </c:pt>
                <c:pt idx="2">
                  <c:v>El Salvador</c:v>
                </c:pt>
                <c:pt idx="3">
                  <c:v>Bolivia</c:v>
                </c:pt>
                <c:pt idx="4">
                  <c:v>Honduras</c:v>
                </c:pt>
                <c:pt idx="5">
                  <c:v>México</c:v>
                </c:pt>
                <c:pt idx="6">
                  <c:v>Colombia</c:v>
                </c:pt>
                <c:pt idx="7">
                  <c:v>Rep. Dominicana</c:v>
                </c:pt>
                <c:pt idx="8">
                  <c:v>Costa Rica</c:v>
                </c:pt>
                <c:pt idx="9">
                  <c:v>Guatemala</c:v>
                </c:pt>
                <c:pt idx="10">
                  <c:v>Paraguay</c:v>
                </c:pt>
                <c:pt idx="11">
                  <c:v>Brasil</c:v>
                </c:pt>
                <c:pt idx="12">
                  <c:v>Panama</c:v>
                </c:pt>
                <c:pt idx="13">
                  <c:v>Perú</c:v>
                </c:pt>
                <c:pt idx="14">
                  <c:v>Chile</c:v>
                </c:pt>
                <c:pt idx="15">
                  <c:v>Uruguay</c:v>
                </c:pt>
              </c:strCache>
            </c:strRef>
          </c:cat>
          <c:val>
            <c:numRef>
              <c:f>'Resumen de escenarios'!$AP$19:$AP$34</c:f>
              <c:numCache>
                <c:formatCode>_-* #,##0_-;\-* #,##0_-;_-* "-"??_-;_-@_-</c:formatCode>
                <c:ptCount val="16"/>
                <c:pt idx="0">
                  <c:v>1982.299</c:v>
                </c:pt>
                <c:pt idx="1">
                  <c:v>1933.7810000000002</c:v>
                </c:pt>
                <c:pt idx="2">
                  <c:v>934.52599999999995</c:v>
                </c:pt>
                <c:pt idx="3">
                  <c:v>908.28200000000004</c:v>
                </c:pt>
                <c:pt idx="4">
                  <c:v>471.34400000000005</c:v>
                </c:pt>
                <c:pt idx="5">
                  <c:v>353.96000000000004</c:v>
                </c:pt>
                <c:pt idx="6">
                  <c:v>313.14299999999997</c:v>
                </c:pt>
                <c:pt idx="7">
                  <c:v>296.76900000000001</c:v>
                </c:pt>
                <c:pt idx="8">
                  <c:v>261.93200000000002</c:v>
                </c:pt>
                <c:pt idx="9">
                  <c:v>219.81899999999999</c:v>
                </c:pt>
                <c:pt idx="10">
                  <c:v>202.43899999999999</c:v>
                </c:pt>
                <c:pt idx="11">
                  <c:v>197.35499999999999</c:v>
                </c:pt>
                <c:pt idx="12">
                  <c:v>194.68099999999998</c:v>
                </c:pt>
                <c:pt idx="13">
                  <c:v>162.85300000000001</c:v>
                </c:pt>
                <c:pt idx="14">
                  <c:v>118.919</c:v>
                </c:pt>
                <c:pt idx="15">
                  <c:v>89.415000000000006</c:v>
                </c:pt>
              </c:numCache>
            </c:numRef>
          </c:val>
          <c:extLst>
            <c:ext xmlns:c16="http://schemas.microsoft.com/office/drawing/2014/chart" uri="{C3380CC4-5D6E-409C-BE32-E72D297353CC}">
              <c16:uniqueId val="{00000006-D7CD-41F0-A06E-71DA4B2D6323}"/>
            </c:ext>
          </c:extLst>
        </c:ser>
        <c:dLbls>
          <c:showLegendKey val="0"/>
          <c:showVal val="0"/>
          <c:showCatName val="0"/>
          <c:showSerName val="0"/>
          <c:showPercent val="0"/>
          <c:showBubbleSize val="0"/>
        </c:dLbls>
        <c:gapWidth val="100"/>
        <c:overlap val="-27"/>
        <c:axId val="502931279"/>
        <c:axId val="502929199"/>
      </c:barChart>
      <c:catAx>
        <c:axId val="502931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2929199"/>
        <c:crosses val="autoZero"/>
        <c:auto val="1"/>
        <c:lblAlgn val="ctr"/>
        <c:lblOffset val="100"/>
        <c:noMultiLvlLbl val="0"/>
      </c:catAx>
      <c:valAx>
        <c:axId val="502929199"/>
        <c:scaling>
          <c:orientation val="minMax"/>
        </c:scaling>
        <c:delete val="1"/>
        <c:axPos val="l"/>
        <c:numFmt formatCode="_-* #,##0_-;\-* #,##0_-;_-* &quot;-&quot;??_-;_-@_-" sourceLinked="1"/>
        <c:majorTickMark val="none"/>
        <c:minorTickMark val="none"/>
        <c:tickLblPos val="nextTo"/>
        <c:crossAx val="502931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100" b="1">
                <a:latin typeface="Times New Roman" panose="02020603050405020304" pitchFamily="18" charset="0"/>
                <a:cs typeface="Times New Roman" panose="02020603050405020304" pitchFamily="18" charset="0"/>
              </a:rPr>
              <a:t>Flujos de creación de deuda</a:t>
            </a:r>
          </a:p>
        </c:rich>
      </c:tx>
      <c:layout>
        <c:manualLayout>
          <c:xMode val="edge"/>
          <c:yMode val="edge"/>
          <c:x val="6.9206387070803455E-2"/>
          <c:y val="2.9677777777777779E-2"/>
        </c:manualLayout>
      </c:layout>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4.4879437716025407E-2"/>
          <c:y val="4.8758865248226951E-2"/>
          <c:w val="0.93628648156648575"/>
          <c:h val="0.68301902237467849"/>
        </c:manualLayout>
      </c:layout>
      <c:barChart>
        <c:barDir val="col"/>
        <c:grouping val="stacked"/>
        <c:varyColors val="0"/>
        <c:ser>
          <c:idx val="0"/>
          <c:order val="0"/>
          <c:tx>
            <c:strRef>
              <c:f>'Baseline debt'!$B$154</c:f>
              <c:strCache>
                <c:ptCount val="1"/>
                <c:pt idx="0">
                  <c:v>Deficit primario</c:v>
                </c:pt>
              </c:strCache>
            </c:strRef>
          </c:tx>
          <c: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solidFill>
                <a:schemeClr val="tx1"/>
              </a:solidFill>
            </a:ln>
            <a:effectLst>
              <a:outerShdw blurRad="50800" dist="38100" dir="5400000" algn="t" rotWithShape="0">
                <a:prstClr val="black">
                  <a:alpha val="40000"/>
                </a:prstClr>
              </a:outerShdw>
            </a:effectLst>
          </c:spPr>
          <c:invertIfNegative val="0"/>
          <c:cat>
            <c:numRef>
              <c:f>'Baseline debt'!$O$101:$AC$101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'Baseline debt'!$O$154:$AC$154</c:f>
              <c:numCache>
                <c:formatCode>_-* #,##0.0_-;\-* #,##0.0_-;_-* "-"??_-;_-@_-</c:formatCode>
                <c:ptCount val="15"/>
                <c:pt idx="0">
                  <c:v>0.44960223336676997</c:v>
                </c:pt>
                <c:pt idx="1">
                  <c:v>-0.12799145099036124</c:v>
                </c:pt>
                <c:pt idx="2">
                  <c:v>-0.42859395090087027</c:v>
                </c:pt>
                <c:pt idx="3">
                  <c:v>-0.13584839390330039</c:v>
                </c:pt>
                <c:pt idx="4">
                  <c:v>0.34189152136091217</c:v>
                </c:pt>
                <c:pt idx="5">
                  <c:v>0.6047093016075884</c:v>
                </c:pt>
                <c:pt idx="6">
                  <c:v>3.1881966346445125</c:v>
                </c:pt>
                <c:pt idx="7">
                  <c:v>-0.56718374536972327</c:v>
                </c:pt>
                <c:pt idx="8">
                  <c:v>3.9355873624689508E-2</c:v>
                </c:pt>
                <c:pt idx="9" formatCode="_(* #,##0.00_);_(* \(#,##0.00\);_(* &quot;-&quot;??_);_(@_)">
                  <c:v>6.2516368494801355E-2</c:v>
                </c:pt>
                <c:pt idx="10">
                  <c:v>0.13363321949901774</c:v>
                </c:pt>
                <c:pt idx="11">
                  <c:v>-0.33244825378208631</c:v>
                </c:pt>
                <c:pt idx="12">
                  <c:v>-0.73676663587920643</c:v>
                </c:pt>
                <c:pt idx="13">
                  <c:v>-1.1916877730483169</c:v>
                </c:pt>
                <c:pt idx="14">
                  <c:v>-1.5164975791974484</c:v>
                </c:pt>
              </c:numCache>
            </c:numRef>
          </c:val>
          <c:extLst>
            <c:ext xmlns:c16="http://schemas.microsoft.com/office/drawing/2014/chart" uri="{C3380CC4-5D6E-409C-BE32-E72D297353CC}">
              <c16:uniqueId val="{00000000-45D6-4C84-96E7-CC2777C74BE4}"/>
            </c:ext>
          </c:extLst>
        </c:ser>
        <c:ser>
          <c:idx val="1"/>
          <c:order val="1"/>
          <c:tx>
            <c:strRef>
              <c:f>'Baseline debt'!$B$159</c:f>
              <c:strCache>
                <c:ptCount val="1"/>
                <c:pt idx="0">
                  <c:v>Tasa de interes real</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solidFill>
                <a:schemeClr val="tx1"/>
              </a:solidFill>
            </a:ln>
            <a:effectLst>
              <a:outerShdw blurRad="50800" dist="38100" dir="5400000" algn="t" rotWithShape="0">
                <a:prstClr val="black">
                  <a:alpha val="40000"/>
                </a:prstClr>
              </a:outerShdw>
            </a:effectLst>
          </c:spPr>
          <c:invertIfNegative val="1"/>
          <c:cat>
            <c:numRef>
              <c:f>'Baseline debt'!$O$101:$AC$101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'Baseline debt'!$O$159:$AC$159</c:f>
              <c:numCache>
                <c:formatCode>_-* #,##0.0_-;\-* #,##0.0_-;_-* "-"??_-;_-@_-</c:formatCode>
                <c:ptCount val="15"/>
                <c:pt idx="0">
                  <c:v>0.7605099740453295</c:v>
                </c:pt>
                <c:pt idx="1">
                  <c:v>1.0450711210302279</c:v>
                </c:pt>
                <c:pt idx="2">
                  <c:v>0.86564510542295248</c:v>
                </c:pt>
                <c:pt idx="3">
                  <c:v>1.0771211997008605</c:v>
                </c:pt>
                <c:pt idx="4">
                  <c:v>1.2136502920147674</c:v>
                </c:pt>
                <c:pt idx="5">
                  <c:v>0.6988784755206856</c:v>
                </c:pt>
                <c:pt idx="6">
                  <c:v>0.95790614515702854</c:v>
                </c:pt>
                <c:pt idx="7">
                  <c:v>0.88647622418902372</c:v>
                </c:pt>
                <c:pt idx="8">
                  <c:v>-0.12514278461191372</c:v>
                </c:pt>
                <c:pt idx="9" formatCode="_(* #,##0.00_);_(* \(#,##0.00\);_(* &quot;-&quot;??_);_(@_)">
                  <c:v>0.43626352216693287</c:v>
                </c:pt>
                <c:pt idx="10">
                  <c:v>0.81051282339015973</c:v>
                </c:pt>
                <c:pt idx="11">
                  <c:v>1.0242658082358183</c:v>
                </c:pt>
                <c:pt idx="12">
                  <c:v>0.99559022792021357</c:v>
                </c:pt>
                <c:pt idx="13">
                  <c:v>0.96334065959495607</c:v>
                </c:pt>
                <c:pt idx="14">
                  <c:v>0.90500014366603676</c:v>
                </c:pt>
              </c:numCache>
            </c:numRef>
          </c:val>
          <c:extLst>
            <c:ext xmlns:c16="http://schemas.microsoft.com/office/drawing/2014/chart" uri="{C3380CC4-5D6E-409C-BE32-E72D297353CC}">
              <c16:uniqueId val="{00000001-45D6-4C84-96E7-CC2777C74BE4}"/>
            </c:ext>
          </c:extLst>
        </c:ser>
        <c:ser>
          <c:idx val="2"/>
          <c:order val="2"/>
          <c:tx>
            <c:strRef>
              <c:f>'Baseline debt'!$B$160</c:f>
              <c:strCache>
                <c:ptCount val="1"/>
                <c:pt idx="0">
                  <c:v>Crecimiento del PIB real</c:v>
                </c:pt>
              </c:strCache>
            </c:strRef>
          </c:tx>
          <c:spPr>
            <a:gradFill>
              <a:gsLst>
                <a:gs pos="0">
                  <a:srgbClr val="C00000"/>
                </a:gs>
                <a:gs pos="48000">
                  <a:srgbClr val="FF0000"/>
                </a:gs>
                <a:gs pos="100000">
                  <a:srgbClr val="FF5050"/>
                </a:gs>
              </a:gsLst>
              <a:lin ang="16200000" scaled="1"/>
            </a:gradFill>
            <a:ln>
              <a:solidFill>
                <a:schemeClr val="tx1"/>
              </a:solidFill>
            </a:ln>
            <a:effectLst>
              <a:outerShdw blurRad="50800" dist="38100" dir="5400000" algn="t" rotWithShape="0">
                <a:prstClr val="black">
                  <a:alpha val="40000"/>
                </a:prstClr>
              </a:outerShdw>
            </a:effectLst>
          </c:spPr>
          <c:invertIfNegative val="0"/>
          <c:cat>
            <c:numRef>
              <c:f>'Baseline debt'!$O$101:$AC$101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'Baseline debt'!$O$160:$AC$160</c:f>
              <c:numCache>
                <c:formatCode>_-* #,##0.0_-;\-* #,##0.0_-;_-* "-"??_-;_-@_-</c:formatCode>
                <c:ptCount val="15"/>
                <c:pt idx="0">
                  <c:v>-1.0126114327896816</c:v>
                </c:pt>
                <c:pt idx="1">
                  <c:v>-0.93258452374065903</c:v>
                </c:pt>
                <c:pt idx="2">
                  <c:v>-0.61610002911752415</c:v>
                </c:pt>
                <c:pt idx="3">
                  <c:v>-0.7225244390626484</c:v>
                </c:pt>
                <c:pt idx="4">
                  <c:v>-0.80812290265584552</c:v>
                </c:pt>
                <c:pt idx="5">
                  <c:v>-0.95374210931652459</c:v>
                </c:pt>
                <c:pt idx="6">
                  <c:v>0.45665150981298203</c:v>
                </c:pt>
                <c:pt idx="7">
                  <c:v>-2.2150212007869943</c:v>
                </c:pt>
                <c:pt idx="8">
                  <c:v>-1.0778687151278588</c:v>
                </c:pt>
                <c:pt idx="9" formatCode="_(* #,##0.00_);_(* \(#,##0.00\);_(* &quot;-&quot;??_);_(@_)">
                  <c:v>-0.90278242413617382</c:v>
                </c:pt>
                <c:pt idx="10">
                  <c:v>-0.64539650163939566</c:v>
                </c:pt>
                <c:pt idx="11">
                  <c:v>-0.92689067794585533</c:v>
                </c:pt>
                <c:pt idx="12">
                  <c:v>-0.93805953277808996</c:v>
                </c:pt>
                <c:pt idx="13">
                  <c:v>-0.90771807679030547</c:v>
                </c:pt>
                <c:pt idx="14">
                  <c:v>-0.86300859079669012</c:v>
                </c:pt>
              </c:numCache>
            </c:numRef>
          </c:val>
          <c:extLst>
            <c:ext xmlns:c16="http://schemas.microsoft.com/office/drawing/2014/chart" uri="{C3380CC4-5D6E-409C-BE32-E72D297353CC}">
              <c16:uniqueId val="{00000002-45D6-4C84-96E7-CC2777C74BE4}"/>
            </c:ext>
          </c:extLst>
        </c:ser>
        <c:ser>
          <c:idx val="3"/>
          <c:order val="3"/>
          <c:tx>
            <c:strRef>
              <c:f>'Baseline debt'!$B$161</c:f>
              <c:strCache>
                <c:ptCount val="1"/>
                <c:pt idx="0">
                  <c:v>Contribución de depreciación del tipo de cambio</c:v>
                </c:pt>
              </c:strCache>
            </c:strRef>
          </c:tx>
          <c:spPr>
            <a:gradFill>
              <a:gsLst>
                <a:gs pos="0">
                  <a:srgbClr val="7030A0"/>
                </a:gs>
                <a:gs pos="52000">
                  <a:srgbClr val="9A57CD"/>
                </a:gs>
                <a:gs pos="100000">
                  <a:srgbClr val="B888DC"/>
                </a:gs>
              </a:gsLst>
              <a:lin ang="16200000" scaled="1"/>
            </a:gradFill>
            <a:ln>
              <a:solidFill>
                <a:schemeClr val="tx1"/>
              </a:solidFill>
            </a:ln>
            <a:effectLst>
              <a:outerShdw blurRad="50800" dist="38100" dir="5400000" algn="t" rotWithShape="0">
                <a:prstClr val="black">
                  <a:alpha val="40000"/>
                </a:prstClr>
              </a:outerShdw>
            </a:effectLst>
          </c:spPr>
          <c:invertIfNegative val="0"/>
          <c:cat>
            <c:numRef>
              <c:f>'Baseline debt'!$O$101:$AC$101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'Baseline debt'!$O$161:$AC$161</c:f>
              <c:numCache>
                <c:formatCode>_-* #,##0.0_-;\-* #,##0.0_-;_-* "-"??_-;_-@_-</c:formatCode>
                <c:ptCount val="15"/>
                <c:pt idx="0">
                  <c:v>-0.41985620396261136</c:v>
                </c:pt>
                <c:pt idx="1">
                  <c:v>5.9095005560718838E-2</c:v>
                </c:pt>
                <c:pt idx="2">
                  <c:v>-0.18124401659783054</c:v>
                </c:pt>
                <c:pt idx="3">
                  <c:v>-0.30088767890561896</c:v>
                </c:pt>
                <c:pt idx="4">
                  <c:v>0.64964073263894428</c:v>
                </c:pt>
                <c:pt idx="5">
                  <c:v>-5.6602181894431752E-2</c:v>
                </c:pt>
                <c:pt idx="6">
                  <c:v>0.15549172252562948</c:v>
                </c:pt>
                <c:pt idx="7">
                  <c:v>-0.12525922610812865</c:v>
                </c:pt>
                <c:pt idx="8">
                  <c:v>0.19727814390887927</c:v>
                </c:pt>
                <c:pt idx="9" formatCode="_(* #,##0.00_);_(* \(#,##0.00\);_(* &quot;-&quot;??_);_(@_)">
                  <c:v>-3.1786620679502388E-3</c:v>
                </c:pt>
                <c:pt idx="10">
                  <c:v>-8.3752231479414282E-2</c:v>
                </c:pt>
                <c:pt idx="11">
                  <c:v>2.7731877819327691E-2</c:v>
                </c:pt>
                <c:pt idx="12">
                  <c:v>1.9749238848891282E-2</c:v>
                </c:pt>
                <c:pt idx="13">
                  <c:v>1.3925087516239809E-2</c:v>
                </c:pt>
                <c:pt idx="14">
                  <c:v>9.8481111926770112E-3</c:v>
                </c:pt>
              </c:numCache>
            </c:numRef>
          </c:val>
          <c:extLst>
            <c:ext xmlns:c16="http://schemas.microsoft.com/office/drawing/2014/chart" uri="{C3380CC4-5D6E-409C-BE32-E72D297353CC}">
              <c16:uniqueId val="{00000003-45D6-4C84-96E7-CC2777C74BE4}"/>
            </c:ext>
          </c:extLst>
        </c:ser>
        <c:ser>
          <c:idx val="4"/>
          <c:order val="4"/>
          <c:tx>
            <c:strRef>
              <c:f>'Baseline debt'!$B$162</c:f>
              <c:strCache>
                <c:ptCount val="1"/>
                <c:pt idx="0">
                  <c:v>Otros flujos de creación de deuda</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solidFill>
                <a:schemeClr val="tx1"/>
              </a:solidFill>
            </a:ln>
            <a:effectLst>
              <a:outerShdw blurRad="50800" dist="38100" dir="5400000" algn="t" rotWithShape="0">
                <a:prstClr val="black">
                  <a:alpha val="40000"/>
                </a:prstClr>
              </a:outerShdw>
            </a:effectLst>
          </c:spPr>
          <c:invertIfNegative val="0"/>
          <c:cat>
            <c:numRef>
              <c:f>'Baseline debt'!$O$101:$AC$101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'Baseline debt'!$O$162:$AC$162</c:f>
              <c:numCache>
                <c:formatCode>_-* #,##0.0_-;\-* #,##0.0_-;_-* "-"??_-;_-@_-</c:formatCode>
                <c:ptCount val="15"/>
                <c:pt idx="0">
                  <c:v>-4.6880994432122694E-2</c:v>
                </c:pt>
                <c:pt idx="1">
                  <c:v>0.13238892355769738</c:v>
                </c:pt>
                <c:pt idx="2">
                  <c:v>0.51203596362721859</c:v>
                </c:pt>
                <c:pt idx="3">
                  <c:v>0.18908451938193008</c:v>
                </c:pt>
                <c:pt idx="4">
                  <c:v>-3.8458573050809054E-2</c:v>
                </c:pt>
                <c:pt idx="5">
                  <c:v>-0.25504799440847109</c:v>
                </c:pt>
                <c:pt idx="6">
                  <c:v>0.21028229397193765</c:v>
                </c:pt>
                <c:pt idx="7">
                  <c:v>1.3136418469857691</c:v>
                </c:pt>
                <c:pt idx="8">
                  <c:v>-0.52674836128209335</c:v>
                </c:pt>
                <c:pt idx="9" formatCode="_(* #,##0.00_);_(* \(#,##0.00\);_(* &quot;-&quot;??_);_(@_)">
                  <c:v>-0.22949402608883371</c:v>
                </c:pt>
                <c:pt idx="10">
                  <c:v>-0.6271932137637547</c:v>
                </c:pt>
                <c:pt idx="11">
                  <c:v>-1.4800458108081872E-2</c:v>
                </c:pt>
                <c:pt idx="12">
                  <c:v>-1.1086007080917268E-2</c:v>
                </c:pt>
                <c:pt idx="13">
                  <c:v>-5.4412153465143174E-3</c:v>
                </c:pt>
                <c:pt idx="14">
                  <c:v>-4.6831788043209862E-3</c:v>
                </c:pt>
              </c:numCache>
            </c:numRef>
          </c:val>
          <c:extLst>
            <c:ext xmlns:c16="http://schemas.microsoft.com/office/drawing/2014/chart" uri="{C3380CC4-5D6E-409C-BE32-E72D297353CC}">
              <c16:uniqueId val="{00000004-45D6-4C84-96E7-CC2777C74BE4}"/>
            </c:ext>
          </c:extLst>
        </c:ser>
        <c:ser>
          <c:idx val="5"/>
          <c:order val="5"/>
          <c:tx>
            <c:strRef>
              <c:f>'Baseline debt'!$B$163</c:f>
              <c:strCache>
                <c:ptCount val="1"/>
                <c:pt idx="0">
                  <c:v>Residuo</c:v>
                </c:pt>
              </c:strCache>
            </c:strRef>
          </c:tx>
          <c:spPr>
            <a:gradFill>
              <a:gsLst>
                <a:gs pos="0">
                  <a:schemeClr val="bg1">
                    <a:lumMod val="50000"/>
                  </a:schemeClr>
                </a:gs>
                <a:gs pos="52000">
                  <a:schemeClr val="bg1">
                    <a:lumMod val="65000"/>
                  </a:schemeClr>
                </a:gs>
                <a:gs pos="100000">
                  <a:schemeClr val="bg1">
                    <a:lumMod val="75000"/>
                  </a:schemeClr>
                </a:gs>
              </a:gsLst>
              <a:lin ang="16200000" scaled="1"/>
            </a:gradFill>
            <a:ln>
              <a:solidFill>
                <a:schemeClr val="tx1"/>
              </a:solidFill>
            </a:ln>
            <a:effectLst/>
          </c:spPr>
          <c:invertIfNegative val="0"/>
          <c:cat>
            <c:numRef>
              <c:f>'Baseline debt'!$O$101:$AC$101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'Baseline debt'!$O$163:$AC$163</c:f>
              <c:numCache>
                <c:formatCode>_-* #,##0.0_-;\-* #,##0.0_-;_-* "-"??_-;_-@_-</c:formatCode>
                <c:ptCount val="15"/>
                <c:pt idx="0">
                  <c:v>-0.11777818273225904</c:v>
                </c:pt>
                <c:pt idx="1">
                  <c:v>-4.8468114813287333E-2</c:v>
                </c:pt>
                <c:pt idx="2">
                  <c:v>-3.6907503589846069E-2</c:v>
                </c:pt>
                <c:pt idx="3">
                  <c:v>1.432490264931649E-2</c:v>
                </c:pt>
                <c:pt idx="4">
                  <c:v>-3.1534523388316194E-2</c:v>
                </c:pt>
                <c:pt idx="5">
                  <c:v>-3.4465027102597079E-2</c:v>
                </c:pt>
                <c:pt idx="6">
                  <c:v>7.096234659716405E-2</c:v>
                </c:pt>
                <c:pt idx="7">
                  <c:v>-6.8632756833384434E-2</c:v>
                </c:pt>
                <c:pt idx="8">
                  <c:v>-8.3057254037566253E-2</c:v>
                </c:pt>
                <c:pt idx="9" formatCode="_(* #,##0.00_);_(* \(#,##0.00\);_(* &quot;-&quot;??_);_(@_)">
                  <c:v>-0.11260164650007309</c:v>
                </c:pt>
                <c:pt idx="10" formatCode="_(* #,##0.00_);_(* \(#,##0.00\);_(* &quot;-&quot;??_);_(@_)">
                  <c:v>-0.13680747083343742</c:v>
                </c:pt>
                <c:pt idx="11">
                  <c:v>-0.12791366523582695</c:v>
                </c:pt>
                <c:pt idx="12">
                  <c:v>-0.21015623354228052</c:v>
                </c:pt>
                <c:pt idx="13">
                  <c:v>-0.19464825483683046</c:v>
                </c:pt>
                <c:pt idx="14">
                  <c:v>-0.11913352039814118</c:v>
                </c:pt>
              </c:numCache>
            </c:numRef>
          </c:val>
          <c:extLst>
            <c:ext xmlns:c16="http://schemas.microsoft.com/office/drawing/2014/chart" uri="{C3380CC4-5D6E-409C-BE32-E72D297353CC}">
              <c16:uniqueId val="{00000005-45D6-4C84-96E7-CC2777C74BE4}"/>
            </c:ext>
          </c:extLst>
        </c:ser>
        <c:dLbls>
          <c:showLegendKey val="0"/>
          <c:showVal val="0"/>
          <c:showCatName val="0"/>
          <c:showSerName val="0"/>
          <c:showPercent val="0"/>
          <c:showBubbleSize val="0"/>
        </c:dLbls>
        <c:gapWidth val="80"/>
        <c:overlap val="100"/>
        <c:axId val="52185951"/>
        <c:axId val="52184703"/>
      </c:barChart>
      <c:lineChart>
        <c:grouping val="standard"/>
        <c:varyColors val="0"/>
        <c:ser>
          <c:idx val="6"/>
          <c:order val="6"/>
          <c:tx>
            <c:strRef>
              <c:f>'Baseline debt'!$B$151</c:f>
              <c:strCache>
                <c:ptCount val="1"/>
                <c:pt idx="0">
                  <c:v>Cambio en la deuda pública</c:v>
                </c:pt>
              </c:strCache>
            </c:strRef>
          </c:tx>
          <c:spPr>
            <a:ln w="28575" cap="rnd">
              <a:solidFill>
                <a:schemeClr val="tx1"/>
              </a:solidFill>
              <a:round/>
            </a:ln>
            <a:effectLst/>
          </c:spPr>
          <c:marker>
            <c:symbol val="none"/>
          </c:marker>
          <c:val>
            <c:numRef>
              <c:f>'Baseline debt'!$O$151:$AC$151</c:f>
              <c:numCache>
                <c:formatCode>_-* #,##0.0_-;\-* #,##0.0_-;_-* "-"??_-;_-@_-</c:formatCode>
                <c:ptCount val="15"/>
                <c:pt idx="0">
                  <c:v>-0.3870146065045752</c:v>
                </c:pt>
                <c:pt idx="1">
                  <c:v>0.12751096060433653</c:v>
                </c:pt>
                <c:pt idx="2">
                  <c:v>0.11483556884410007</c:v>
                </c:pt>
                <c:pt idx="3">
                  <c:v>0.12127010986053932</c:v>
                </c:pt>
                <c:pt idx="4">
                  <c:v>1.327066546919653</c:v>
                </c:pt>
                <c:pt idx="5">
                  <c:v>3.7304644062494674E-3</c:v>
                </c:pt>
                <c:pt idx="6">
                  <c:v>5.0394906527092544</c:v>
                </c:pt>
                <c:pt idx="7">
                  <c:v>-0.77597885792343746</c:v>
                </c:pt>
                <c:pt idx="8">
                  <c:v>-1.5761830975258633</c:v>
                </c:pt>
                <c:pt idx="9" formatCode="_(* #,##0.00_);_(* \(#,##0.00\);_(* &quot;-&quot;??_);_(@_)">
                  <c:v>-0.74927686813129668</c:v>
                </c:pt>
                <c:pt idx="10">
                  <c:v>-0.5490033748268246</c:v>
                </c:pt>
                <c:pt idx="11">
                  <c:v>-0.35005536901670453</c:v>
                </c:pt>
                <c:pt idx="12">
                  <c:v>-0.88072894251138933</c:v>
                </c:pt>
                <c:pt idx="13">
                  <c:v>-1.3222295729107714</c:v>
                </c:pt>
                <c:pt idx="14">
                  <c:v>-1.5884746143378869</c:v>
                </c:pt>
              </c:numCache>
            </c:numRef>
          </c:val>
          <c:smooth val="0"/>
          <c:extLst>
            <c:ext xmlns:c16="http://schemas.microsoft.com/office/drawing/2014/chart" uri="{C3380CC4-5D6E-409C-BE32-E72D297353CC}">
              <c16:uniqueId val="{00000006-45D6-4C84-96E7-CC2777C74BE4}"/>
            </c:ext>
          </c:extLst>
        </c:ser>
        <c:dLbls>
          <c:showLegendKey val="0"/>
          <c:showVal val="0"/>
          <c:showCatName val="0"/>
          <c:showSerName val="0"/>
          <c:showPercent val="0"/>
          <c:showBubbleSize val="0"/>
        </c:dLbls>
        <c:marker val="1"/>
        <c:smooth val="0"/>
        <c:axId val="52185951"/>
        <c:axId val="52184703"/>
      </c:lineChart>
      <c:catAx>
        <c:axId val="5218595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2184703"/>
        <c:crosses val="autoZero"/>
        <c:auto val="1"/>
        <c:lblAlgn val="ctr"/>
        <c:lblOffset val="100"/>
        <c:noMultiLvlLbl val="0"/>
      </c:catAx>
      <c:valAx>
        <c:axId val="52184703"/>
        <c:scaling>
          <c:orientation val="minMax"/>
          <c:max val="6.5"/>
        </c:scaling>
        <c:delete val="0"/>
        <c:axPos val="l"/>
        <c:majorGridlines>
          <c:spPr>
            <a:ln w="9525" cap="flat" cmpd="sng" algn="ctr">
              <a:no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2185951"/>
        <c:crosses val="autoZero"/>
        <c:crossBetween val="between"/>
      </c:valAx>
      <c:spPr>
        <a:noFill/>
        <a:ln>
          <a:solidFill>
            <a:schemeClr val="bg1">
              <a:lumMod val="75000"/>
            </a:schemeClr>
          </a:solidFill>
        </a:ln>
        <a:effectLst/>
      </c:spPr>
    </c:plotArea>
    <c:legend>
      <c:legendPos val="b"/>
      <c:layout>
        <c:manualLayout>
          <c:xMode val="edge"/>
          <c:yMode val="edge"/>
          <c:x val="1.8752957396321365E-2"/>
          <c:y val="0.84367500317966859"/>
          <c:w val="0.97169012785957809"/>
          <c:h val="0.1468234532357464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54365079365082E-2"/>
          <c:y val="7.7611111111111117E-2"/>
          <c:w val="0.87190119047619052"/>
          <c:h val="0.72476944444444447"/>
        </c:manualLayout>
      </c:layout>
      <c:areaChart>
        <c:grouping val="stacked"/>
        <c:varyColors val="0"/>
        <c:ser>
          <c:idx val="0"/>
          <c:order val="0"/>
          <c:spPr>
            <a:solidFill>
              <a:schemeClr val="accent1">
                <a:alpha val="0"/>
              </a:schemeClr>
            </a:solidFill>
            <a:ln>
              <a:noFill/>
            </a:ln>
            <a:effectLst/>
          </c:spPr>
          <c:cat>
            <c:numRef>
              <c:f>Fanchart!$R$42:$Z$42</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Fanchart!$R$43:$Z$43</c:f>
              <c:numCache>
                <c:formatCode>_-* #,##0.0_-;\-* #,##0.0_-;_-* "-"??_-;_-@_-</c:formatCode>
                <c:ptCount val="9"/>
                <c:pt idx="0">
                  <c:v>31.526558682021044</c:v>
                </c:pt>
                <c:pt idx="1">
                  <c:v>30.750579824097606</c:v>
                </c:pt>
                <c:pt idx="2">
                  <c:v>29.174396726571743</c:v>
                </c:pt>
                <c:pt idx="3">
                  <c:v>28.450725377197767</c:v>
                </c:pt>
                <c:pt idx="4">
                  <c:v>25.009436133070693</c:v>
                </c:pt>
                <c:pt idx="5">
                  <c:v>24.009363206689105</c:v>
                </c:pt>
                <c:pt idx="6">
                  <c:v>22.478339661593548</c:v>
                </c:pt>
                <c:pt idx="7">
                  <c:v>20.668189081104654</c:v>
                </c:pt>
                <c:pt idx="8">
                  <c:v>18.72965547929261</c:v>
                </c:pt>
              </c:numCache>
            </c:numRef>
          </c:val>
          <c:extLst>
            <c:ext xmlns:c16="http://schemas.microsoft.com/office/drawing/2014/chart" uri="{C3380CC4-5D6E-409C-BE32-E72D297353CC}">
              <c16:uniqueId val="{00000000-C706-4556-BF41-E96C7ACB4141}"/>
            </c:ext>
          </c:extLst>
        </c:ser>
        <c:ser>
          <c:idx val="1"/>
          <c:order val="1"/>
          <c:tx>
            <c:strRef>
              <c:f>Fanchart!$J$44</c:f>
              <c:strCache>
                <c:ptCount val="1"/>
                <c:pt idx="0">
                  <c:v>10th-25th</c:v>
                </c:pt>
              </c:strCache>
            </c:strRef>
          </c:tx>
          <c:spPr>
            <a:solidFill>
              <a:schemeClr val="accent5">
                <a:lumMod val="60000"/>
                <a:lumOff val="40000"/>
              </a:schemeClr>
            </a:solidFill>
            <a:ln>
              <a:noFill/>
            </a:ln>
            <a:effectLst/>
          </c:spPr>
          <c:cat>
            <c:numRef>
              <c:f>Fanchart!$R$42:$Z$42</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Fanchart!$R$44:$Z$44</c:f>
              <c:numCache>
                <c:formatCode>General</c:formatCode>
                <c:ptCount val="9"/>
                <c:pt idx="0">
                  <c:v>0</c:v>
                </c:pt>
                <c:pt idx="1">
                  <c:v>0</c:v>
                </c:pt>
                <c:pt idx="2">
                  <c:v>0</c:v>
                </c:pt>
                <c:pt idx="3" formatCode="_-* #,##0.0_-;\-* #,##0.0_-;_-* &quot;-&quot;??_-;_-@_-">
                  <c:v>0</c:v>
                </c:pt>
                <c:pt idx="4" formatCode="_-* #,##0.0_-;\-* #,##0.0_-;_-* &quot;-&quot;??_-;_-@_-">
                  <c:v>1.2278244860991716</c:v>
                </c:pt>
                <c:pt idx="5" formatCode="_-* #,##0.0_-;\-* #,##0.0_-;_-* &quot;-&quot;??_-;_-@_-">
                  <c:v>1.5214270251649453</c:v>
                </c:pt>
                <c:pt idx="6" formatCode="_-* #,##0.0_-;\-* #,##0.0_-;_-* &quot;-&quot;??_-;_-@_-">
                  <c:v>1.9968948741898447</c:v>
                </c:pt>
                <c:pt idx="7" formatCode="_-* #,##0.0_-;\-* #,##0.0_-;_-* &quot;-&quot;??_-;_-@_-">
                  <c:v>2.2522295706657287</c:v>
                </c:pt>
                <c:pt idx="8" formatCode="_-* #,##0.0_-;\-* #,##0.0_-;_-* &quot;-&quot;??_-;_-@_-">
                  <c:v>2.3758191951216867</c:v>
                </c:pt>
              </c:numCache>
            </c:numRef>
          </c:val>
          <c:extLst>
            <c:ext xmlns:c16="http://schemas.microsoft.com/office/drawing/2014/chart" uri="{C3380CC4-5D6E-409C-BE32-E72D297353CC}">
              <c16:uniqueId val="{00000001-C706-4556-BF41-E96C7ACB4141}"/>
            </c:ext>
          </c:extLst>
        </c:ser>
        <c:ser>
          <c:idx val="2"/>
          <c:order val="2"/>
          <c:tx>
            <c:strRef>
              <c:f>Fanchart!$J$45</c:f>
              <c:strCache>
                <c:ptCount val="1"/>
                <c:pt idx="0">
                  <c:v>25th-50th</c:v>
                </c:pt>
              </c:strCache>
            </c:strRef>
          </c:tx>
          <c:spPr>
            <a:solidFill>
              <a:schemeClr val="accent5">
                <a:lumMod val="75000"/>
              </a:schemeClr>
            </a:solidFill>
            <a:ln>
              <a:noFill/>
            </a:ln>
            <a:effectLst/>
          </c:spPr>
          <c:cat>
            <c:numRef>
              <c:f>Fanchart!$R$42:$Z$42</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Fanchart!$R$45:$Z$45</c:f>
              <c:numCache>
                <c:formatCode>General</c:formatCode>
                <c:ptCount val="9"/>
                <c:pt idx="0">
                  <c:v>0</c:v>
                </c:pt>
                <c:pt idx="1">
                  <c:v>0</c:v>
                </c:pt>
                <c:pt idx="2">
                  <c:v>0</c:v>
                </c:pt>
                <c:pt idx="3" formatCode="_-* #,##0.0_-;\-* #,##0.0_-;_-* &quot;-&quot;??_-;_-@_-">
                  <c:v>0</c:v>
                </c:pt>
                <c:pt idx="4" formatCode="_-* #,##0.0_-;\-* #,##0.0_-;_-* &quot;-&quot;??_-;_-@_-">
                  <c:v>1.6985514552806669</c:v>
                </c:pt>
                <c:pt idx="5" formatCode="_-* #,##0.0_-;\-* #,##0.0_-;_-* &quot;-&quot;??_-;_-@_-">
                  <c:v>1.9591449722930809</c:v>
                </c:pt>
                <c:pt idx="6" formatCode="_-* #,##0.0_-;\-* #,##0.0_-;_-* &quot;-&quot;??_-;_-@_-">
                  <c:v>2.2057091947781466</c:v>
                </c:pt>
                <c:pt idx="7" formatCode="_-* #,##0.0_-;\-* #,##0.0_-;_-* &quot;-&quot;??_-;_-@_-">
                  <c:v>2.3533823516253576</c:v>
                </c:pt>
                <c:pt idx="8" formatCode="_-* #,##0.0_-;\-* #,##0.0_-;_-* &quot;-&quot;??_-;_-@_-">
                  <c:v>2.7004341105899279</c:v>
                </c:pt>
              </c:numCache>
            </c:numRef>
          </c:val>
          <c:extLst>
            <c:ext xmlns:c16="http://schemas.microsoft.com/office/drawing/2014/chart" uri="{C3380CC4-5D6E-409C-BE32-E72D297353CC}">
              <c16:uniqueId val="{00000002-C706-4556-BF41-E96C7ACB4141}"/>
            </c:ext>
          </c:extLst>
        </c:ser>
        <c:ser>
          <c:idx val="3"/>
          <c:order val="3"/>
          <c:tx>
            <c:strRef>
              <c:f>Fanchart!$J$46</c:f>
              <c:strCache>
                <c:ptCount val="1"/>
                <c:pt idx="0">
                  <c:v>50th-75th</c:v>
                </c:pt>
              </c:strCache>
            </c:strRef>
          </c:tx>
          <c:spPr>
            <a:solidFill>
              <a:schemeClr val="accent5">
                <a:lumMod val="75000"/>
              </a:schemeClr>
            </a:solidFill>
            <a:ln>
              <a:noFill/>
            </a:ln>
            <a:effectLst/>
          </c:spPr>
          <c:cat>
            <c:numRef>
              <c:f>Fanchart!$R$42:$Z$42</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Fanchart!$R$46:$Z$46</c:f>
              <c:numCache>
                <c:formatCode>General</c:formatCode>
                <c:ptCount val="9"/>
                <c:pt idx="0">
                  <c:v>0</c:v>
                </c:pt>
                <c:pt idx="1">
                  <c:v>0</c:v>
                </c:pt>
                <c:pt idx="2">
                  <c:v>0</c:v>
                </c:pt>
                <c:pt idx="3" formatCode="_-* #,##0.0_-;\-* #,##0.0_-;_-* &quot;-&quot;??_-;_-@_-">
                  <c:v>0</c:v>
                </c:pt>
                <c:pt idx="4" formatCode="_-* #,##0.0_-;\-* #,##0.0_-;_-* &quot;-&quot;??_-;_-@_-">
                  <c:v>1.4966646865810396</c:v>
                </c:pt>
                <c:pt idx="5" formatCode="_-* #,##0.0_-;\-* #,##0.0_-;_-* &quot;-&quot;??_-;_-@_-">
                  <c:v>2.0044994846524613</c:v>
                </c:pt>
                <c:pt idx="6" formatCode="_-* #,##0.0_-;\-* #,##0.0_-;_-* &quot;-&quot;??_-;_-@_-">
                  <c:v>2.1788313652376265</c:v>
                </c:pt>
                <c:pt idx="7" formatCode="_-* #,##0.0_-;\-* #,##0.0_-;_-* &quot;-&quot;??_-;_-@_-">
                  <c:v>2.426331374410684</c:v>
                </c:pt>
                <c:pt idx="8" formatCode="_-* #,##0.0_-;\-* #,##0.0_-;_-* &quot;-&quot;??_-;_-@_-">
                  <c:v>2.6589138991656851</c:v>
                </c:pt>
              </c:numCache>
            </c:numRef>
          </c:val>
          <c:extLst>
            <c:ext xmlns:c16="http://schemas.microsoft.com/office/drawing/2014/chart" uri="{C3380CC4-5D6E-409C-BE32-E72D297353CC}">
              <c16:uniqueId val="{00000003-C706-4556-BF41-E96C7ACB4141}"/>
            </c:ext>
          </c:extLst>
        </c:ser>
        <c:ser>
          <c:idx val="4"/>
          <c:order val="4"/>
          <c:tx>
            <c:strRef>
              <c:f>Fanchart!$J$47</c:f>
              <c:strCache>
                <c:ptCount val="1"/>
                <c:pt idx="0">
                  <c:v>75th-90th</c:v>
                </c:pt>
              </c:strCache>
            </c:strRef>
          </c:tx>
          <c:spPr>
            <a:solidFill>
              <a:schemeClr val="accent5">
                <a:lumMod val="60000"/>
                <a:lumOff val="40000"/>
              </a:schemeClr>
            </a:solidFill>
            <a:ln>
              <a:noFill/>
            </a:ln>
            <a:effectLst/>
          </c:spPr>
          <c:cat>
            <c:numRef>
              <c:f>Fanchart!$R$42:$Z$42</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Fanchart!$R$47:$Z$47</c:f>
              <c:numCache>
                <c:formatCode>General</c:formatCode>
                <c:ptCount val="9"/>
                <c:pt idx="0">
                  <c:v>0</c:v>
                </c:pt>
                <c:pt idx="1">
                  <c:v>0</c:v>
                </c:pt>
                <c:pt idx="2">
                  <c:v>0</c:v>
                </c:pt>
                <c:pt idx="3" formatCode="_-* #,##0.0_-;\-* #,##0.0_-;_-* &quot;-&quot;??_-;_-@_-">
                  <c:v>0</c:v>
                </c:pt>
                <c:pt idx="4" formatCode="_-* #,##0.0_-;\-* #,##0.0_-;_-* &quot;-&quot;??_-;_-@_-">
                  <c:v>1.5286827193591701</c:v>
                </c:pt>
                <c:pt idx="5" formatCode="_-* #,##0.0_-;\-* #,##0.0_-;_-* &quot;-&quot;??_-;_-@_-">
                  <c:v>1.8066923731963447</c:v>
                </c:pt>
                <c:pt idx="6" formatCode="_-* #,##0.0_-;\-* #,##0.0_-;_-* &quot;-&quot;??_-;_-@_-">
                  <c:v>2.1750841112472887</c:v>
                </c:pt>
                <c:pt idx="7" formatCode="_-* #,##0.0_-;\-* #,##0.0_-;_-* &quot;-&quot;??_-;_-@_-">
                  <c:v>2.3704722990739446</c:v>
                </c:pt>
                <c:pt idx="8" formatCode="_-* #,##0.0_-;\-* #,##0.0_-;_-* &quot;-&quot;??_-;_-@_-">
                  <c:v>2.7069510158946763</c:v>
                </c:pt>
              </c:numCache>
            </c:numRef>
          </c:val>
          <c:extLst>
            <c:ext xmlns:c16="http://schemas.microsoft.com/office/drawing/2014/chart" uri="{C3380CC4-5D6E-409C-BE32-E72D297353CC}">
              <c16:uniqueId val="{00000004-C706-4556-BF41-E96C7ACB4141}"/>
            </c:ext>
          </c:extLst>
        </c:ser>
        <c:dLbls>
          <c:showLegendKey val="0"/>
          <c:showVal val="0"/>
          <c:showCatName val="0"/>
          <c:showSerName val="0"/>
          <c:showPercent val="0"/>
          <c:showBubbleSize val="0"/>
        </c:dLbls>
        <c:axId val="1802545663"/>
        <c:axId val="1802554399"/>
      </c:areaChart>
      <c:lineChart>
        <c:grouping val="standard"/>
        <c:varyColors val="0"/>
        <c:ser>
          <c:idx val="5"/>
          <c:order val="5"/>
          <c:tx>
            <c:v>Baseline</c:v>
          </c:tx>
          <c:spPr>
            <a:ln w="28575" cap="rnd">
              <a:solidFill>
                <a:schemeClr val="tx1"/>
              </a:solidFill>
              <a:round/>
            </a:ln>
            <a:effectLst/>
          </c:spPr>
          <c:marker>
            <c:symbol val="none"/>
          </c:marker>
          <c:val>
            <c:numRef>
              <c:f>Fanchart!$I$55:$Q$55</c:f>
              <c:numCache>
                <c:formatCode>_-* #,##0.0_-;\-* #,##0.0_-;_-* "-"??_-;_-@_-</c:formatCode>
                <c:ptCount val="9"/>
                <c:pt idx="0">
                  <c:v>31.526558682021044</c:v>
                </c:pt>
                <c:pt idx="1">
                  <c:v>30.750579824097606</c:v>
                </c:pt>
                <c:pt idx="2">
                  <c:v>29.174396726571743</c:v>
                </c:pt>
                <c:pt idx="3">
                  <c:v>28.425119858440446</c:v>
                </c:pt>
                <c:pt idx="4">
                  <c:v>27.876116483613622</c:v>
                </c:pt>
                <c:pt idx="5">
                  <c:v>27.526061114596917</c:v>
                </c:pt>
                <c:pt idx="6">
                  <c:v>26.645332172085528</c:v>
                </c:pt>
                <c:pt idx="7">
                  <c:v>25.323102599174756</c:v>
                </c:pt>
                <c:pt idx="8">
                  <c:v>23.73462798483687</c:v>
                </c:pt>
              </c:numCache>
            </c:numRef>
          </c:val>
          <c:smooth val="0"/>
          <c:extLst>
            <c:ext xmlns:c16="http://schemas.microsoft.com/office/drawing/2014/chart" uri="{C3380CC4-5D6E-409C-BE32-E72D297353CC}">
              <c16:uniqueId val="{00000005-C706-4556-BF41-E96C7ACB4141}"/>
            </c:ext>
          </c:extLst>
        </c:ser>
        <c:dLbls>
          <c:showLegendKey val="0"/>
          <c:showVal val="0"/>
          <c:showCatName val="0"/>
          <c:showSerName val="0"/>
          <c:showPercent val="0"/>
          <c:showBubbleSize val="0"/>
        </c:dLbls>
        <c:marker val="1"/>
        <c:smooth val="0"/>
        <c:axId val="1802545663"/>
        <c:axId val="1802554399"/>
      </c:lineChart>
      <c:catAx>
        <c:axId val="18025456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02554399"/>
        <c:crosses val="autoZero"/>
        <c:auto val="1"/>
        <c:lblAlgn val="ctr"/>
        <c:lblOffset val="100"/>
        <c:noMultiLvlLbl val="0"/>
      </c:catAx>
      <c:valAx>
        <c:axId val="1802554399"/>
        <c:scaling>
          <c:orientation val="minMax"/>
          <c:max val="50"/>
          <c:min val="15"/>
        </c:scaling>
        <c:delete val="0"/>
        <c:axPos val="l"/>
        <c:majorGridlines>
          <c:spPr>
            <a:ln w="9525" cap="flat" cmpd="sng" algn="ctr">
              <a:noFill/>
              <a:round/>
            </a:ln>
            <a:effectLst/>
          </c:spPr>
        </c:majorGridlines>
        <c:numFmt formatCode="_-* #,##0.0_-;\-* #,##0.0_-;_-* &quot;-&quot;??_-;_-@_-"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02545663"/>
        <c:crosses val="autoZero"/>
        <c:crossBetween val="midCat"/>
      </c:valAx>
      <c:spPr>
        <a:noFill/>
        <a:ln>
          <a:noFill/>
        </a:ln>
        <a:effectLst/>
      </c:spPr>
    </c:plotArea>
    <c:legend>
      <c:legendPos val="b"/>
      <c:legendEntry>
        <c:idx val="0"/>
        <c:delete val="1"/>
      </c:legendEntry>
      <c:layout>
        <c:manualLayout>
          <c:xMode val="edge"/>
          <c:yMode val="edge"/>
          <c:x val="8.1344444444444428E-2"/>
          <c:y val="0.88945833333333335"/>
          <c:w val="0.83731111111111112"/>
          <c:h val="0.110541666666666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01809795164633E-2"/>
          <c:y val="2.7748199185718761E-2"/>
          <c:w val="0.8950195958771382"/>
          <c:h val="0.6755693433716965"/>
        </c:manualLayout>
      </c:layout>
      <c:lineChart>
        <c:grouping val="standard"/>
        <c:varyColors val="0"/>
        <c:ser>
          <c:idx val="0"/>
          <c:order val="0"/>
          <c:tx>
            <c:strRef>
              <c:f>Blanchard!$A$27</c:f>
              <c:strCache>
                <c:ptCount val="1"/>
                <c:pt idx="0">
                  <c:v>Escenario base</c:v>
                </c:pt>
              </c:strCache>
            </c:strRef>
          </c:tx>
          <c:spPr>
            <a:ln w="28575" cap="rnd">
              <a:solidFill>
                <a:schemeClr val="tx2">
                  <a:lumMod val="75000"/>
                </a:schemeClr>
              </a:solidFill>
              <a:round/>
            </a:ln>
            <a:effectLst/>
          </c:spPr>
          <c:marker>
            <c:symbol val="none"/>
          </c:marker>
          <c:dLbls>
            <c:dLbl>
              <c:idx val="15"/>
              <c:layout>
                <c:manualLayout>
                  <c:x val="2.6410714285714284E-3"/>
                  <c:y val="2.82222222222222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CF-49AB-9B73-D8BCA1A9639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cat>
            <c:numRef>
              <c:f>Blanchard!$B$37:$AF$37</c:f>
              <c:numCache>
                <c:formatCode>General</c:formatCode>
                <c:ptCount val="31"/>
                <c:pt idx="0">
                  <c:v>2028</c:v>
                </c:pt>
                <c:pt idx="1">
                  <c:v>2029</c:v>
                </c:pt>
                <c:pt idx="2">
                  <c:v>2030</c:v>
                </c:pt>
                <c:pt idx="3">
                  <c:v>2031</c:v>
                </c:pt>
                <c:pt idx="4">
                  <c:v>2032</c:v>
                </c:pt>
                <c:pt idx="5">
                  <c:v>2033</c:v>
                </c:pt>
                <c:pt idx="6">
                  <c:v>2034</c:v>
                </c:pt>
                <c:pt idx="7">
                  <c:v>2035</c:v>
                </c:pt>
                <c:pt idx="8">
                  <c:v>2036</c:v>
                </c:pt>
                <c:pt idx="9">
                  <c:v>2037</c:v>
                </c:pt>
                <c:pt idx="10">
                  <c:v>2038</c:v>
                </c:pt>
                <c:pt idx="11">
                  <c:v>2039</c:v>
                </c:pt>
                <c:pt idx="12">
                  <c:v>2040</c:v>
                </c:pt>
                <c:pt idx="13">
                  <c:v>2041</c:v>
                </c:pt>
                <c:pt idx="14">
                  <c:v>2042</c:v>
                </c:pt>
                <c:pt idx="15">
                  <c:v>2043</c:v>
                </c:pt>
                <c:pt idx="16">
                  <c:v>2044</c:v>
                </c:pt>
                <c:pt idx="17">
                  <c:v>2045</c:v>
                </c:pt>
                <c:pt idx="18" formatCode="_-* #,##0.0_-;\-* #,##0.0_-;_-* &quot;-&quot;??_-;_-@_-">
                  <c:v>2046</c:v>
                </c:pt>
                <c:pt idx="19">
                  <c:v>2047</c:v>
                </c:pt>
                <c:pt idx="20">
                  <c:v>2048</c:v>
                </c:pt>
                <c:pt idx="21">
                  <c:v>2049</c:v>
                </c:pt>
                <c:pt idx="22">
                  <c:v>2050</c:v>
                </c:pt>
                <c:pt idx="23">
                  <c:v>2051</c:v>
                </c:pt>
                <c:pt idx="24">
                  <c:v>2052</c:v>
                </c:pt>
                <c:pt idx="25">
                  <c:v>2053</c:v>
                </c:pt>
                <c:pt idx="26">
                  <c:v>2054</c:v>
                </c:pt>
                <c:pt idx="27">
                  <c:v>2055</c:v>
                </c:pt>
                <c:pt idx="28">
                  <c:v>2056</c:v>
                </c:pt>
                <c:pt idx="29">
                  <c:v>2057</c:v>
                </c:pt>
                <c:pt idx="30">
                  <c:v>2058</c:v>
                </c:pt>
              </c:numCache>
            </c:numRef>
          </c:cat>
          <c:val>
            <c:numRef>
              <c:f>Blanchard!$B$29:$Q$29</c:f>
              <c:numCache>
                <c:formatCode>_-* #,##0.0_-;\-* #,##0.0_-;_-* "-"??_-;_-@_-</c:formatCode>
                <c:ptCount val="16"/>
                <c:pt idx="0">
                  <c:v>23.73462798483687</c:v>
                </c:pt>
                <c:pt idx="1">
                  <c:v>23.725853490746065</c:v>
                </c:pt>
                <c:pt idx="2">
                  <c:v>23.71715617884518</c:v>
                </c:pt>
                <c:pt idx="3">
                  <c:v>23.708535370224361</c:v>
                </c:pt>
                <c:pt idx="4">
                  <c:v>23.699990391945587</c:v>
                </c:pt>
                <c:pt idx="5">
                  <c:v>23.69152057699014</c:v>
                </c:pt>
                <c:pt idx="6">
                  <c:v>23.68312526420652</c:v>
                </c:pt>
                <c:pt idx="7">
                  <c:v>23.674803798258846</c:v>
                </c:pt>
                <c:pt idx="8">
                  <c:v>23.666555529575714</c:v>
                </c:pt>
                <c:pt idx="9">
                  <c:v>23.658379814299465</c:v>
                </c:pt>
                <c:pt idx="10">
                  <c:v>23.650276014235949</c:v>
                </c:pt>
                <c:pt idx="11">
                  <c:v>23.642243496804692</c:v>
                </c:pt>
                <c:pt idx="12">
                  <c:v>23.634281634989527</c:v>
                </c:pt>
                <c:pt idx="13">
                  <c:v>23.626389807289645</c:v>
                </c:pt>
                <c:pt idx="14">
                  <c:v>23.618567397671079</c:v>
                </c:pt>
                <c:pt idx="15">
                  <c:v>23.610813795518624</c:v>
                </c:pt>
              </c:numCache>
            </c:numRef>
          </c:val>
          <c:smooth val="0"/>
          <c:extLst>
            <c:ext xmlns:c16="http://schemas.microsoft.com/office/drawing/2014/chart" uri="{C3380CC4-5D6E-409C-BE32-E72D297353CC}">
              <c16:uniqueId val="{00000001-33CF-49AB-9B73-D8BCA1A96395}"/>
            </c:ext>
          </c:extLst>
        </c:ser>
        <c:ser>
          <c:idx val="1"/>
          <c:order val="1"/>
          <c:tx>
            <c:strRef>
              <c:f>Blanchard!$A$36</c:f>
              <c:strCache>
                <c:ptCount val="1"/>
                <c:pt idx="0">
                  <c:v>Choque de crecimiento</c:v>
                </c:pt>
              </c:strCache>
            </c:strRef>
          </c:tx>
          <c:spPr>
            <a:ln w="28575" cap="rnd" cmpd="sng">
              <a:solidFill>
                <a:srgbClr val="C00000"/>
              </a:solidFill>
              <a:prstDash val="lgDashDot"/>
              <a:round/>
            </a:ln>
            <a:effectLst/>
          </c:spPr>
          <c:marker>
            <c:symbol val="none"/>
          </c:marker>
          <c:dLbls>
            <c:dLbl>
              <c:idx val="15"/>
              <c:layout>
                <c:manualLayout>
                  <c:x val="0"/>
                  <c:y val="1.2513194726143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CF-49AB-9B73-D8BCA1A963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val>
            <c:numRef>
              <c:f>Blanchard!$B$38:$Q$38</c:f>
              <c:numCache>
                <c:formatCode>_-* #,##0.0_-;\-* #,##0.0_-;_-* "-"??_-;_-@_-</c:formatCode>
                <c:ptCount val="16"/>
                <c:pt idx="0">
                  <c:v>23.73462798483687</c:v>
                </c:pt>
                <c:pt idx="1">
                  <c:v>23.981726135266964</c:v>
                </c:pt>
                <c:pt idx="2">
                  <c:v>24.229314618466013</c:v>
                </c:pt>
                <c:pt idx="3">
                  <c:v>24.4773944074329</c:v>
                </c:pt>
                <c:pt idx="4">
                  <c:v>24.725966477097298</c:v>
                </c:pt>
                <c:pt idx="5">
                  <c:v>24.975031804323482</c:v>
                </c:pt>
                <c:pt idx="6">
                  <c:v>24.955346472276968</c:v>
                </c:pt>
                <c:pt idx="7">
                  <c:v>24.935834296314539</c:v>
                </c:pt>
                <c:pt idx="8">
                  <c:v>24.916493753320939</c:v>
                </c:pt>
                <c:pt idx="9">
                  <c:v>24.897323333578548</c:v>
                </c:pt>
                <c:pt idx="10">
                  <c:v>24.878321540649509</c:v>
                </c:pt>
                <c:pt idx="11">
                  <c:v>24.859486891258936</c:v>
                </c:pt>
                <c:pt idx="12">
                  <c:v>24.840817915179123</c:v>
                </c:pt>
                <c:pt idx="13">
                  <c:v>24.822313155114774</c:v>
                </c:pt>
                <c:pt idx="14">
                  <c:v>24.80397116658926</c:v>
                </c:pt>
                <c:pt idx="15">
                  <c:v>24.785790517831849</c:v>
                </c:pt>
              </c:numCache>
            </c:numRef>
          </c:val>
          <c:smooth val="0"/>
          <c:extLst>
            <c:ext xmlns:c16="http://schemas.microsoft.com/office/drawing/2014/chart" uri="{C3380CC4-5D6E-409C-BE32-E72D297353CC}">
              <c16:uniqueId val="{00000003-33CF-49AB-9B73-D8BCA1A96395}"/>
            </c:ext>
          </c:extLst>
        </c:ser>
        <c:ser>
          <c:idx val="2"/>
          <c:order val="2"/>
          <c:tx>
            <c:strRef>
              <c:f>Blanchard!$A$45</c:f>
              <c:strCache>
                <c:ptCount val="1"/>
                <c:pt idx="0">
                  <c:v>Choque de tasa de interés</c:v>
                </c:pt>
              </c:strCache>
            </c:strRef>
          </c:tx>
          <c:spPr>
            <a:ln w="28575" cap="rnd">
              <a:solidFill>
                <a:schemeClr val="accent3">
                  <a:lumMod val="75000"/>
                </a:schemeClr>
              </a:solidFill>
              <a:prstDash val="sysDash"/>
              <a:round/>
            </a:ln>
            <a:effectLst/>
          </c:spPr>
          <c:marker>
            <c:symbol val="none"/>
          </c:marker>
          <c:dLbls>
            <c:dLbl>
              <c:idx val="15"/>
              <c:layout>
                <c:manualLayout>
                  <c:x val="1.8458691520296508E-16"/>
                  <c:y val="-4.5650202028531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CF-49AB-9B73-D8BCA1A963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val>
            <c:numRef>
              <c:f>Blanchard!$B$47:$Q$47</c:f>
              <c:numCache>
                <c:formatCode>_-* #,##0.0_-;\-* #,##0.0_-;_-* "-"??_-;_-@_-</c:formatCode>
                <c:ptCount val="16"/>
                <c:pt idx="0">
                  <c:v>23.73462798483687</c:v>
                </c:pt>
                <c:pt idx="1">
                  <c:v>23.835869876802764</c:v>
                </c:pt>
                <c:pt idx="2">
                  <c:v>23.936690508418142</c:v>
                </c:pt>
                <c:pt idx="3">
                  <c:v>24.037091632517519</c:v>
                </c:pt>
                <c:pt idx="4">
                  <c:v>24.137074994641988</c:v>
                </c:pt>
                <c:pt idx="5">
                  <c:v>24.236642333069579</c:v>
                </c:pt>
                <c:pt idx="6">
                  <c:v>24.335795378845464</c:v>
                </c:pt>
                <c:pt idx="7">
                  <c:v>24.434535855812058</c:v>
                </c:pt>
                <c:pt idx="8">
                  <c:v>24.532865480638993</c:v>
                </c:pt>
                <c:pt idx="9">
                  <c:v>24.630785962852958</c:v>
                </c:pt>
                <c:pt idx="10">
                  <c:v>24.72829900486742</c:v>
                </c:pt>
                <c:pt idx="11">
                  <c:v>24.82540630201223</c:v>
                </c:pt>
                <c:pt idx="12">
                  <c:v>24.922109542563085</c:v>
                </c:pt>
                <c:pt idx="13">
                  <c:v>25.018410407770887</c:v>
                </c:pt>
                <c:pt idx="14">
                  <c:v>25.114310571890975</c:v>
                </c:pt>
                <c:pt idx="15">
                  <c:v>25.209811702212232</c:v>
                </c:pt>
              </c:numCache>
            </c:numRef>
          </c:val>
          <c:smooth val="0"/>
          <c:extLst>
            <c:ext xmlns:c16="http://schemas.microsoft.com/office/drawing/2014/chart" uri="{C3380CC4-5D6E-409C-BE32-E72D297353CC}">
              <c16:uniqueId val="{00000005-33CF-49AB-9B73-D8BCA1A96395}"/>
            </c:ext>
          </c:extLst>
        </c:ser>
        <c:ser>
          <c:idx val="3"/>
          <c:order val="3"/>
          <c:tx>
            <c:strRef>
              <c:f>Blanchard!$A$208</c:f>
              <c:strCache>
                <c:ptCount val="1"/>
                <c:pt idx="0">
                  <c:v>Choque de sp</c:v>
                </c:pt>
              </c:strCache>
            </c:strRef>
          </c:tx>
          <c:spPr>
            <a:ln w="28575" cap="rnd">
              <a:solidFill>
                <a:schemeClr val="accent4">
                  <a:lumMod val="75000"/>
                </a:schemeClr>
              </a:solidFill>
              <a:prstDash val="dashDot"/>
              <a:round/>
            </a:ln>
            <a:effectLst/>
          </c:spPr>
          <c:marker>
            <c:symbol val="none"/>
          </c:marker>
          <c:dLbls>
            <c:dLbl>
              <c:idx val="15"/>
              <c:layout>
                <c:manualLayout>
                  <c:x val="1.8458691520296508E-16"/>
                  <c:y val="-0.106550122316593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CF-49AB-9B73-D8BCA1A963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val>
            <c:numRef>
              <c:f>Blanchard!$B$210:$Q$210</c:f>
              <c:numCache>
                <c:formatCode>_-* #,##0.0_-;\-* #,##0.0_-;_-* "-"??_-;_-@_-</c:formatCode>
                <c:ptCount val="16"/>
                <c:pt idx="0">
                  <c:v>23.73462798483687</c:v>
                </c:pt>
                <c:pt idx="1">
                  <c:v>24.325853490746066</c:v>
                </c:pt>
                <c:pt idx="2">
                  <c:v>24.911878459871257</c:v>
                </c:pt>
                <c:pt idx="3">
                  <c:v>25.292748637165214</c:v>
                </c:pt>
                <c:pt idx="4">
                  <c:v>25.670268604856993</c:v>
                </c:pt>
                <c:pt idx="5">
                  <c:v>25.844467832054573</c:v>
                </c:pt>
                <c:pt idx="6">
                  <c:v>25.817134768307788</c:v>
                </c:pt>
                <c:pt idx="7">
                  <c:v>25.790042131609585</c:v>
                </c:pt>
                <c:pt idx="8">
                  <c:v>25.76318780711598</c:v>
                </c:pt>
                <c:pt idx="9">
                  <c:v>25.736569698585555</c:v>
                </c:pt>
                <c:pt idx="10">
                  <c:v>25.710185728215869</c:v>
                </c:pt>
                <c:pt idx="11">
                  <c:v>25.684033836481223</c:v>
                </c:pt>
                <c:pt idx="12">
                  <c:v>25.658111981971931</c:v>
                </c:pt>
                <c:pt idx="13">
                  <c:v>25.632418141234947</c:v>
                </c:pt>
                <c:pt idx="14">
                  <c:v>25.606950308615911</c:v>
                </c:pt>
                <c:pt idx="15">
                  <c:v>25.581706496102608</c:v>
                </c:pt>
              </c:numCache>
            </c:numRef>
          </c:val>
          <c:smooth val="0"/>
          <c:extLst>
            <c:ext xmlns:c16="http://schemas.microsoft.com/office/drawing/2014/chart" uri="{C3380CC4-5D6E-409C-BE32-E72D297353CC}">
              <c16:uniqueId val="{00000007-33CF-49AB-9B73-D8BCA1A96395}"/>
            </c:ext>
          </c:extLst>
        </c:ser>
        <c:ser>
          <c:idx val="4"/>
          <c:order val="4"/>
          <c:tx>
            <c:strRef>
              <c:f>Blanchard!$A$217</c:f>
              <c:strCache>
                <c:ptCount val="1"/>
                <c:pt idx="0">
                  <c:v>Choque combinado </c:v>
                </c:pt>
              </c:strCache>
            </c:strRef>
          </c:tx>
          <c:spPr>
            <a:ln w="28575" cap="rnd">
              <a:solidFill>
                <a:schemeClr val="accent6"/>
              </a:solidFill>
              <a:prstDash val="dashDot"/>
              <a:round/>
            </a:ln>
            <a:effectLst/>
          </c:spPr>
          <c:marker>
            <c:symbol val="none"/>
          </c:marker>
          <c:dLbls>
            <c:dLbl>
              <c:idx val="0"/>
              <c:layout>
                <c:manualLayout>
                  <c:x val="-3.0154640907717533E-2"/>
                  <c:y val="-0.1104076688537349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CF-49AB-9B73-D8BCA1A96395}"/>
                </c:ext>
              </c:extLst>
            </c:dLbl>
            <c:dLbl>
              <c:idx val="15"/>
              <c:layout>
                <c:manualLayout>
                  <c:x val="0"/>
                  <c:y val="-1.4841887155690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CF-49AB-9B73-D8BCA1A963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val>
            <c:numRef>
              <c:f>Blanchard!$B$219:$Q$219</c:f>
              <c:numCache>
                <c:formatCode>_-* #,##0.0_-;\-* #,##0.0_-;_-* "-"??_-;_-@_-</c:formatCode>
                <c:ptCount val="16"/>
                <c:pt idx="0">
                  <c:v>23.73462798483687</c:v>
                </c:pt>
                <c:pt idx="1">
                  <c:v>24.692939085080727</c:v>
                </c:pt>
                <c:pt idx="2">
                  <c:v>25.65764216605217</c:v>
                </c:pt>
                <c:pt idx="3">
                  <c:v>26.428779862567396</c:v>
                </c:pt>
                <c:pt idx="4">
                  <c:v>27.20506108428356</c:v>
                </c:pt>
                <c:pt idx="5">
                  <c:v>27.786520138758974</c:v>
                </c:pt>
                <c:pt idx="6">
                  <c:v>27.870902394107215</c:v>
                </c:pt>
                <c:pt idx="7">
                  <c:v>27.954933540860239</c:v>
                </c:pt>
                <c:pt idx="8">
                  <c:v>28.038615039956067</c:v>
                </c:pt>
                <c:pt idx="9">
                  <c:v>28.121948346253866</c:v>
                </c:pt>
                <c:pt idx="10">
                  <c:v>28.204934908559238</c:v>
                </c:pt>
                <c:pt idx="11">
                  <c:v>28.287576169649409</c:v>
                </c:pt>
                <c:pt idx="12">
                  <c:v>28.36987356629831</c:v>
                </c:pt>
                <c:pt idx="13">
                  <c:v>28.451828529301547</c:v>
                </c:pt>
                <c:pt idx="14">
                  <c:v>28.533442483501307</c:v>
                </c:pt>
                <c:pt idx="15">
                  <c:v>28.614716847811096</c:v>
                </c:pt>
              </c:numCache>
            </c:numRef>
          </c:val>
          <c:smooth val="0"/>
          <c:extLst>
            <c:ext xmlns:c16="http://schemas.microsoft.com/office/drawing/2014/chart" uri="{C3380CC4-5D6E-409C-BE32-E72D297353CC}">
              <c16:uniqueId val="{0000000A-33CF-49AB-9B73-D8BCA1A96395}"/>
            </c:ext>
          </c:extLst>
        </c:ser>
        <c:dLbls>
          <c:showLegendKey val="0"/>
          <c:showVal val="0"/>
          <c:showCatName val="0"/>
          <c:showSerName val="0"/>
          <c:showPercent val="0"/>
          <c:showBubbleSize val="0"/>
        </c:dLbls>
        <c:smooth val="0"/>
        <c:axId val="887694384"/>
        <c:axId val="887692416"/>
      </c:lineChart>
      <c:catAx>
        <c:axId val="88769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87692416"/>
        <c:crosses val="autoZero"/>
        <c:auto val="1"/>
        <c:lblAlgn val="ctr"/>
        <c:lblOffset val="100"/>
        <c:noMultiLvlLbl val="0"/>
      </c:catAx>
      <c:valAx>
        <c:axId val="887692416"/>
        <c:scaling>
          <c:orientation val="minMax"/>
          <c:min val="22"/>
        </c:scaling>
        <c:delete val="0"/>
        <c:axPos val="l"/>
        <c:majorGridlines>
          <c:spPr>
            <a:ln w="9525" cap="flat" cmpd="sng" algn="ctr">
              <a:no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87694384"/>
        <c:crosses val="autoZero"/>
        <c:crossBetween val="between"/>
      </c:valAx>
      <c:spPr>
        <a:noFill/>
        <a:ln>
          <a:noFill/>
        </a:ln>
        <a:effectLst/>
      </c:spPr>
    </c:plotArea>
    <c:legend>
      <c:legendPos val="b"/>
      <c:layout>
        <c:manualLayout>
          <c:xMode val="edge"/>
          <c:yMode val="edge"/>
          <c:x val="3.0167832606581547E-2"/>
          <c:y val="0.84796798393884032"/>
          <c:w val="0.95047523211495111"/>
          <c:h val="0.12377499714616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953548781025215E-2"/>
          <c:y val="2.9991169662995969E-2"/>
          <c:w val="0.84085313167029219"/>
          <c:h val="0.64560455177060083"/>
        </c:manualLayout>
      </c:layout>
      <c:lineChart>
        <c:grouping val="standard"/>
        <c:varyColors val="0"/>
        <c:ser>
          <c:idx val="0"/>
          <c:order val="0"/>
          <c:tx>
            <c:strRef>
              <c:f>Blanchard!$A$217</c:f>
              <c:strCache>
                <c:ptCount val="1"/>
                <c:pt idx="0">
                  <c:v>Choque combinado </c:v>
                </c:pt>
              </c:strCache>
            </c:strRef>
          </c:tx>
          <c:spPr>
            <a:ln w="28575" cap="rnd">
              <a:solidFill>
                <a:srgbClr val="FF9900"/>
              </a:solidFill>
              <a:prstDash val="dashDot"/>
              <a:round/>
            </a:ln>
            <a:effectLst/>
          </c:spPr>
          <c:marker>
            <c:symbol val="none"/>
          </c:marker>
          <c:dLbls>
            <c:dLbl>
              <c:idx val="15"/>
              <c:layout>
                <c:manualLayout>
                  <c:x val="-1.256543215311254E-3"/>
                  <c:y val="-3.332282482237439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99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AC-4A23-8BB1-E3A670809E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Blanchard!$B$218:$Q$218</c:f>
              <c:numCache>
                <c:formatCode>General</c:formatCode>
                <c:ptCount val="16"/>
                <c:pt idx="0">
                  <c:v>2028</c:v>
                </c:pt>
                <c:pt idx="1">
                  <c:v>2029</c:v>
                </c:pt>
                <c:pt idx="2">
                  <c:v>2030</c:v>
                </c:pt>
                <c:pt idx="3">
                  <c:v>2031</c:v>
                </c:pt>
                <c:pt idx="4">
                  <c:v>2032</c:v>
                </c:pt>
                <c:pt idx="5">
                  <c:v>2033</c:v>
                </c:pt>
                <c:pt idx="6">
                  <c:v>2034</c:v>
                </c:pt>
                <c:pt idx="7">
                  <c:v>2035</c:v>
                </c:pt>
                <c:pt idx="8">
                  <c:v>2036</c:v>
                </c:pt>
                <c:pt idx="9">
                  <c:v>2037</c:v>
                </c:pt>
                <c:pt idx="10">
                  <c:v>2038</c:v>
                </c:pt>
                <c:pt idx="11">
                  <c:v>2039</c:v>
                </c:pt>
                <c:pt idx="12">
                  <c:v>2040</c:v>
                </c:pt>
                <c:pt idx="13">
                  <c:v>2041</c:v>
                </c:pt>
                <c:pt idx="14">
                  <c:v>2042</c:v>
                </c:pt>
                <c:pt idx="15">
                  <c:v>2043</c:v>
                </c:pt>
              </c:numCache>
            </c:numRef>
          </c:cat>
          <c:val>
            <c:numRef>
              <c:f>Blanchard!$B$219:$Q$219</c:f>
              <c:numCache>
                <c:formatCode>_-* #,##0.0_-;\-* #,##0.0_-;_-* "-"??_-;_-@_-</c:formatCode>
                <c:ptCount val="16"/>
                <c:pt idx="0">
                  <c:v>23.73462798483687</c:v>
                </c:pt>
                <c:pt idx="1">
                  <c:v>24.692939085080727</c:v>
                </c:pt>
                <c:pt idx="2">
                  <c:v>25.65764216605217</c:v>
                </c:pt>
                <c:pt idx="3">
                  <c:v>26.428779862567396</c:v>
                </c:pt>
                <c:pt idx="4">
                  <c:v>27.20506108428356</c:v>
                </c:pt>
                <c:pt idx="5">
                  <c:v>27.786520138758974</c:v>
                </c:pt>
                <c:pt idx="6">
                  <c:v>27.870902394107215</c:v>
                </c:pt>
                <c:pt idx="7">
                  <c:v>27.954933540860239</c:v>
                </c:pt>
                <c:pt idx="8">
                  <c:v>28.038615039956067</c:v>
                </c:pt>
                <c:pt idx="9">
                  <c:v>28.121948346253866</c:v>
                </c:pt>
                <c:pt idx="10">
                  <c:v>28.204934908559238</c:v>
                </c:pt>
                <c:pt idx="11">
                  <c:v>28.287576169649409</c:v>
                </c:pt>
                <c:pt idx="12">
                  <c:v>28.36987356629831</c:v>
                </c:pt>
                <c:pt idx="13">
                  <c:v>28.451828529301547</c:v>
                </c:pt>
                <c:pt idx="14">
                  <c:v>28.533442483501307</c:v>
                </c:pt>
                <c:pt idx="15">
                  <c:v>28.614716847811096</c:v>
                </c:pt>
              </c:numCache>
            </c:numRef>
          </c:val>
          <c:smooth val="0"/>
          <c:extLst>
            <c:ext xmlns:c16="http://schemas.microsoft.com/office/drawing/2014/chart" uri="{C3380CC4-5D6E-409C-BE32-E72D297353CC}">
              <c16:uniqueId val="{00000001-4BAC-4A23-8BB1-E3A670809EF8}"/>
            </c:ext>
          </c:extLst>
        </c:ser>
        <c:ser>
          <c:idx val="1"/>
          <c:order val="1"/>
          <c:tx>
            <c:strRef>
              <c:f>Blanchard!$A$226</c:f>
              <c:strCache>
                <c:ptCount val="1"/>
                <c:pt idx="0">
                  <c:v>Choque combinado con balance primario en equilibrio</c:v>
                </c:pt>
              </c:strCache>
            </c:strRef>
          </c:tx>
          <c:spPr>
            <a:ln w="28575" cap="rnd">
              <a:solidFill>
                <a:srgbClr val="C00000"/>
              </a:solidFill>
              <a:prstDash val="dash"/>
              <a:round/>
            </a:ln>
            <a:effectLst/>
          </c:spPr>
          <c:marker>
            <c:symbol val="none"/>
          </c:marker>
          <c:dLbls>
            <c:dLbl>
              <c:idx val="15"/>
              <c:layout>
                <c:manualLayout>
                  <c:x val="-2.5440356925831909E-3"/>
                  <c:y val="-6.8744734058009552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AC-4A23-8BB1-E3A670809EF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Blanchard!$B$228:$Q$228</c:f>
              <c:numCache>
                <c:formatCode>_-* #,##0.0_-;\-* #,##0.0_-;_-* "-"??_-;_-@_-</c:formatCode>
                <c:ptCount val="16"/>
                <c:pt idx="0">
                  <c:v>23.73462798483687</c:v>
                </c:pt>
                <c:pt idx="1">
                  <c:v>24.692939085080727</c:v>
                </c:pt>
                <c:pt idx="2">
                  <c:v>25.65764216605217</c:v>
                </c:pt>
                <c:pt idx="3">
                  <c:v>26.428779862567396</c:v>
                </c:pt>
                <c:pt idx="4">
                  <c:v>26.605061084283559</c:v>
                </c:pt>
                <c:pt idx="5">
                  <c:v>26.782518110153049</c:v>
                </c:pt>
                <c:pt idx="6">
                  <c:v>26.671077946918231</c:v>
                </c:pt>
                <c:pt idx="7">
                  <c:v>26.560101478319247</c:v>
                </c:pt>
                <c:pt idx="8">
                  <c:v>26.44958677495552</c:v>
                </c:pt>
                <c:pt idx="9">
                  <c:v>26.339531915454572</c:v>
                </c:pt>
                <c:pt idx="10">
                  <c:v>26.229934986438618</c:v>
                </c:pt>
                <c:pt idx="11">
                  <c:v>26.120794082491305</c:v>
                </c:pt>
                <c:pt idx="12">
                  <c:v>26.012107306124584</c:v>
                </c:pt>
                <c:pt idx="13">
                  <c:v>25.90387276774571</c:v>
                </c:pt>
                <c:pt idx="14">
                  <c:v>25.796088585624421</c:v>
                </c:pt>
                <c:pt idx="15">
                  <c:v>25.688752885860179</c:v>
                </c:pt>
              </c:numCache>
            </c:numRef>
          </c:val>
          <c:smooth val="0"/>
          <c:extLst>
            <c:ext xmlns:c16="http://schemas.microsoft.com/office/drawing/2014/chart" uri="{C3380CC4-5D6E-409C-BE32-E72D297353CC}">
              <c16:uniqueId val="{00000003-4BAC-4A23-8BB1-E3A670809EF8}"/>
            </c:ext>
          </c:extLst>
        </c:ser>
        <c:ser>
          <c:idx val="2"/>
          <c:order val="2"/>
          <c:tx>
            <c:strRef>
              <c:f>Blanchard!$A$235</c:f>
              <c:strCache>
                <c:ptCount val="1"/>
                <c:pt idx="0">
                  <c:v>Choque combinado con reforma fiscal</c:v>
                </c:pt>
              </c:strCache>
            </c:strRef>
          </c:tx>
          <c:spPr>
            <a:ln w="28575" cap="rnd">
              <a:solidFill>
                <a:schemeClr val="accent3">
                  <a:lumMod val="75000"/>
                </a:schemeClr>
              </a:solidFill>
              <a:prstDash val="dashDot"/>
              <a:round/>
            </a:ln>
            <a:effectLst/>
          </c:spPr>
          <c:marker>
            <c:symbol val="none"/>
          </c:marker>
          <c:dLbls>
            <c:dLbl>
              <c:idx val="0"/>
              <c:layout>
                <c:manualLayout>
                  <c:x val="-2.6690789750494381E-2"/>
                  <c:y val="-0.1381392138532374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AC-4A23-8BB1-E3A670809EF8}"/>
                </c:ext>
              </c:extLst>
            </c:dLbl>
            <c:dLbl>
              <c:idx val="15"/>
              <c:layout>
                <c:manualLayout>
                  <c:x val="-1.2858871997557409E-3"/>
                  <c:y val="3.0794050761717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AC-4A23-8BB1-E3A670809EF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0"/>
            <c:showPercent val="0"/>
            <c:showBubbleSize val="0"/>
            <c:extLst>
              <c:ext xmlns:c15="http://schemas.microsoft.com/office/drawing/2012/chart" uri="{CE6537A1-D6FC-4f65-9D91-7224C49458BB}">
                <c15:showLeaderLines val="0"/>
              </c:ext>
            </c:extLst>
          </c:dLbls>
          <c:val>
            <c:numRef>
              <c:f>Blanchard!$B$237:$Q$237</c:f>
              <c:numCache>
                <c:formatCode>_-* #,##0.0_-;\-* #,##0.0_-;_-* "-"??_-;_-@_-</c:formatCode>
                <c:ptCount val="16"/>
                <c:pt idx="0">
                  <c:v>23.73462798483687</c:v>
                </c:pt>
                <c:pt idx="1">
                  <c:v>24.692939085080727</c:v>
                </c:pt>
                <c:pt idx="2">
                  <c:v>25.65764216605217</c:v>
                </c:pt>
                <c:pt idx="3">
                  <c:v>26.428779862567396</c:v>
                </c:pt>
                <c:pt idx="4">
                  <c:v>26.40506108428356</c:v>
                </c:pt>
                <c:pt idx="5">
                  <c:v>26.381184100617737</c:v>
                </c:pt>
                <c:pt idx="6">
                  <c:v>26.071413859805837</c:v>
                </c:pt>
                <c:pt idx="7">
                  <c:v>25.762932551052504</c:v>
                </c:pt>
                <c:pt idx="8">
                  <c:v>25.455734811202625</c:v>
                </c:pt>
                <c:pt idx="9">
                  <c:v>25.14981529941679</c:v>
                </c:pt>
                <c:pt idx="10">
                  <c:v>24.845168697078453</c:v>
                </c:pt>
                <c:pt idx="11">
                  <c:v>24.541789707701447</c:v>
                </c:pt>
                <c:pt idx="12">
                  <c:v>24.239673056837912</c:v>
                </c:pt>
                <c:pt idx="13">
                  <c:v>23.938813491986593</c:v>
                </c:pt>
                <c:pt idx="14">
                  <c:v>23.63920578250152</c:v>
                </c:pt>
                <c:pt idx="15">
                  <c:v>23.340844719501071</c:v>
                </c:pt>
              </c:numCache>
            </c:numRef>
          </c:val>
          <c:smooth val="0"/>
          <c:extLst>
            <c:ext xmlns:c16="http://schemas.microsoft.com/office/drawing/2014/chart" uri="{C3380CC4-5D6E-409C-BE32-E72D297353CC}">
              <c16:uniqueId val="{00000006-4BAC-4A23-8BB1-E3A670809EF8}"/>
            </c:ext>
          </c:extLst>
        </c:ser>
        <c:dLbls>
          <c:showLegendKey val="0"/>
          <c:showVal val="0"/>
          <c:showCatName val="0"/>
          <c:showSerName val="0"/>
          <c:showPercent val="0"/>
          <c:showBubbleSize val="0"/>
        </c:dLbls>
        <c:smooth val="0"/>
        <c:axId val="1219086368"/>
        <c:axId val="1178303544"/>
      </c:lineChart>
      <c:catAx>
        <c:axId val="12190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8303544"/>
        <c:crosses val="autoZero"/>
        <c:auto val="1"/>
        <c:lblAlgn val="ctr"/>
        <c:lblOffset val="100"/>
        <c:noMultiLvlLbl val="0"/>
      </c:catAx>
      <c:valAx>
        <c:axId val="1178303544"/>
        <c:scaling>
          <c:orientation val="minMax"/>
          <c:min val="20"/>
        </c:scaling>
        <c:delete val="0"/>
        <c:axPos val="l"/>
        <c:majorGridlines>
          <c:spPr>
            <a:ln w="9525" cap="flat" cmpd="sng" algn="ctr">
              <a:no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1219086368"/>
        <c:crosses val="autoZero"/>
        <c:crossBetween val="midCat"/>
      </c:valAx>
      <c:spPr>
        <a:noFill/>
        <a:ln>
          <a:noFill/>
        </a:ln>
        <a:effectLst/>
      </c:spPr>
    </c:plotArea>
    <c:legend>
      <c:legendPos val="b"/>
      <c:layout>
        <c:manualLayout>
          <c:xMode val="edge"/>
          <c:yMode val="edge"/>
          <c:x val="7.5595238095238094E-3"/>
          <c:y val="0.84133437197355676"/>
          <c:w val="0.98713316518975303"/>
          <c:h val="0.155849193650258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36507936507937E-2"/>
          <c:y val="2.296587926509182E-3"/>
          <c:w val="0.8891269841269841"/>
          <c:h val="0.75486679790026245"/>
        </c:manualLayout>
      </c:layout>
      <c:barChart>
        <c:barDir val="col"/>
        <c:grouping val="stacked"/>
        <c:varyColors val="0"/>
        <c:ser>
          <c:idx val="0"/>
          <c:order val="0"/>
          <c:tx>
            <c:strRef>
              <c:f>Hoja5!$C$50</c:f>
              <c:strCache>
                <c:ptCount val="1"/>
                <c:pt idx="0">
                  <c:v>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Hoja5!$B$51:$B$55</c:f>
              <c:strCache>
                <c:ptCount val="5"/>
                <c:pt idx="0">
                  <c:v>Mundo</c:v>
                </c:pt>
                <c:pt idx="1">
                  <c:v>Europa</c:v>
                </c:pt>
                <c:pt idx="2">
                  <c:v>Norteamérica</c:v>
                </c:pt>
                <c:pt idx="3">
                  <c:v>Suramérica</c:v>
                </c:pt>
                <c:pt idx="4">
                  <c:v>Guatemala</c:v>
                </c:pt>
              </c:strCache>
            </c:strRef>
          </c:cat>
          <c:val>
            <c:numRef>
              <c:f>Hoja5!$C$51:$C$55</c:f>
              <c:numCache>
                <c:formatCode>_-* #,##0.0_-;\-* #,##0.0_-;_-* "-"??_-;_-@_-</c:formatCode>
                <c:ptCount val="5"/>
                <c:pt idx="0">
                  <c:v>40.711801157391022</c:v>
                </c:pt>
                <c:pt idx="1">
                  <c:v>26.231293358340107</c:v>
                </c:pt>
                <c:pt idx="2">
                  <c:v>30.685189834977251</c:v>
                </c:pt>
                <c:pt idx="3">
                  <c:v>37.869400418652113</c:v>
                </c:pt>
                <c:pt idx="4">
                  <c:v>53.12737265850059</c:v>
                </c:pt>
              </c:numCache>
            </c:numRef>
          </c:val>
          <c:extLst>
            <c:ext xmlns:c16="http://schemas.microsoft.com/office/drawing/2014/chart" uri="{C3380CC4-5D6E-409C-BE32-E72D297353CC}">
              <c16:uniqueId val="{00000000-426F-4E25-9416-7D4F47962A23}"/>
            </c:ext>
          </c:extLst>
        </c:ser>
        <c:ser>
          <c:idx val="1"/>
          <c:order val="1"/>
          <c:tx>
            <c:strRef>
              <c:f>Hoja5!$D$50</c:f>
              <c:strCache>
                <c:ptCount val="1"/>
                <c:pt idx="0">
                  <c:v>25-59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Hoja5!$B$51:$B$55</c:f>
              <c:strCache>
                <c:ptCount val="5"/>
                <c:pt idx="0">
                  <c:v>Mundo</c:v>
                </c:pt>
                <c:pt idx="1">
                  <c:v>Europa</c:v>
                </c:pt>
                <c:pt idx="2">
                  <c:v>Norteamérica</c:v>
                </c:pt>
                <c:pt idx="3">
                  <c:v>Suramérica</c:v>
                </c:pt>
                <c:pt idx="4">
                  <c:v>Guatemala</c:v>
                </c:pt>
              </c:strCache>
            </c:strRef>
          </c:cat>
          <c:val>
            <c:numRef>
              <c:f>Hoja5!$D$51:$D$55</c:f>
              <c:numCache>
                <c:formatCode>_-* #,##0.0_-;\-* #,##0.0_-;_-* "-"??_-;_-@_-</c:formatCode>
                <c:ptCount val="5"/>
                <c:pt idx="0">
                  <c:v>45.387642425049158</c:v>
                </c:pt>
                <c:pt idx="1">
                  <c:v>47.448143314442596</c:v>
                </c:pt>
                <c:pt idx="2">
                  <c:v>45.617044605664965</c:v>
                </c:pt>
                <c:pt idx="3">
                  <c:v>48.00170257720994</c:v>
                </c:pt>
                <c:pt idx="4">
                  <c:v>39.756288252550945</c:v>
                </c:pt>
              </c:numCache>
            </c:numRef>
          </c:val>
          <c:extLst>
            <c:ext xmlns:c16="http://schemas.microsoft.com/office/drawing/2014/chart" uri="{C3380CC4-5D6E-409C-BE32-E72D297353CC}">
              <c16:uniqueId val="{00000001-426F-4E25-9416-7D4F47962A23}"/>
            </c:ext>
          </c:extLst>
        </c:ser>
        <c:ser>
          <c:idx val="2"/>
          <c:order val="2"/>
          <c:tx>
            <c:strRef>
              <c:f>Hoja5!$E$50</c:f>
              <c:strCache>
                <c:ptCount val="1"/>
                <c:pt idx="0">
                  <c:v>60+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Hoja5!$B$51:$B$55</c:f>
              <c:strCache>
                <c:ptCount val="5"/>
                <c:pt idx="0">
                  <c:v>Mundo</c:v>
                </c:pt>
                <c:pt idx="1">
                  <c:v>Europa</c:v>
                </c:pt>
                <c:pt idx="2">
                  <c:v>Norteamérica</c:v>
                </c:pt>
                <c:pt idx="3">
                  <c:v>Suramérica</c:v>
                </c:pt>
                <c:pt idx="4">
                  <c:v>Guatemala</c:v>
                </c:pt>
              </c:strCache>
            </c:strRef>
          </c:cat>
          <c:val>
            <c:numRef>
              <c:f>Hoja5!$E$51:$E$55</c:f>
              <c:numCache>
                <c:formatCode>_-* #,##0.0_-;\-* #,##0.0_-;_-* "-"??_-;_-@_-</c:formatCode>
                <c:ptCount val="5"/>
                <c:pt idx="0">
                  <c:v>13.900556417559828</c:v>
                </c:pt>
                <c:pt idx="1">
                  <c:v>26.320563327217293</c:v>
                </c:pt>
                <c:pt idx="2">
                  <c:v>23.697765559357791</c:v>
                </c:pt>
                <c:pt idx="3">
                  <c:v>14.128897004137938</c:v>
                </c:pt>
                <c:pt idx="4">
                  <c:v>7.1163390889484539</c:v>
                </c:pt>
              </c:numCache>
            </c:numRef>
          </c:val>
          <c:extLst>
            <c:ext xmlns:c16="http://schemas.microsoft.com/office/drawing/2014/chart" uri="{C3380CC4-5D6E-409C-BE32-E72D297353CC}">
              <c16:uniqueId val="{00000002-426F-4E25-9416-7D4F47962A23}"/>
            </c:ext>
          </c:extLst>
        </c:ser>
        <c:dLbls>
          <c:showLegendKey val="0"/>
          <c:showVal val="0"/>
          <c:showCatName val="0"/>
          <c:showSerName val="0"/>
          <c:showPercent val="0"/>
          <c:showBubbleSize val="0"/>
        </c:dLbls>
        <c:gapWidth val="80"/>
        <c:overlap val="100"/>
        <c:axId val="1117881024"/>
        <c:axId val="1117877280"/>
      </c:barChart>
      <c:catAx>
        <c:axId val="11178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17877280"/>
        <c:crosses val="autoZero"/>
        <c:auto val="1"/>
        <c:lblAlgn val="ctr"/>
        <c:lblOffset val="100"/>
        <c:noMultiLvlLbl val="0"/>
      </c:catAx>
      <c:valAx>
        <c:axId val="1117877280"/>
        <c:scaling>
          <c:orientation val="minMax"/>
        </c:scaling>
        <c:delete val="1"/>
        <c:axPos val="l"/>
        <c:numFmt formatCode="_-* #,##0.0_-;\-* #,##0.0_-;_-* &quot;-&quot;??_-;_-@_-" sourceLinked="1"/>
        <c:majorTickMark val="none"/>
        <c:minorTickMark val="none"/>
        <c:tickLblPos val="nextTo"/>
        <c:crossAx val="1117881024"/>
        <c:crosses val="autoZero"/>
        <c:crossBetween val="between"/>
      </c:valAx>
      <c:spPr>
        <a:noFill/>
        <a:ln>
          <a:noFill/>
        </a:ln>
        <a:effectLst/>
      </c:spPr>
    </c:plotArea>
    <c:legend>
      <c:legendPos val="b"/>
      <c:layout>
        <c:manualLayout>
          <c:xMode val="edge"/>
          <c:yMode val="edge"/>
          <c:x val="0.20240863919227839"/>
          <c:y val="0.86133661417322838"/>
          <c:w val="0.63046418592837183"/>
          <c:h val="0.138177083333333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36507936507937E-2"/>
          <c:y val="2.8216994348099132E-2"/>
          <c:w val="0.8891269841269841"/>
          <c:h val="0.72894707180007412"/>
        </c:manualLayout>
      </c:layout>
      <c:barChart>
        <c:barDir val="col"/>
        <c:grouping val="stacked"/>
        <c:varyColors val="0"/>
        <c:ser>
          <c:idx val="0"/>
          <c:order val="0"/>
          <c:tx>
            <c:strRef>
              <c:f>Hoja5!$C$50</c:f>
              <c:strCache>
                <c:ptCount val="1"/>
                <c:pt idx="0">
                  <c:v>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Hoja5!$B$58:$B$62</c:f>
              <c:strCache>
                <c:ptCount val="5"/>
                <c:pt idx="0">
                  <c:v>Mundo</c:v>
                </c:pt>
                <c:pt idx="1">
                  <c:v>Europa</c:v>
                </c:pt>
                <c:pt idx="2">
                  <c:v>Norteamérica</c:v>
                </c:pt>
                <c:pt idx="3">
                  <c:v>Suramérica</c:v>
                </c:pt>
                <c:pt idx="4">
                  <c:v>Guatemala</c:v>
                </c:pt>
              </c:strCache>
            </c:strRef>
          </c:cat>
          <c:val>
            <c:numRef>
              <c:f>Hoja5!$C$58:$C$62</c:f>
              <c:numCache>
                <c:formatCode>_-* #,##0.0_-;\-* #,##0.0_-;_-* "-"??_-;_-@_-</c:formatCode>
                <c:ptCount val="5"/>
                <c:pt idx="0">
                  <c:v>35.292512672510306</c:v>
                </c:pt>
                <c:pt idx="1">
                  <c:v>23.34803206124424</c:v>
                </c:pt>
                <c:pt idx="2">
                  <c:v>26.581710309492262</c:v>
                </c:pt>
                <c:pt idx="3">
                  <c:v>30.065661479506357</c:v>
                </c:pt>
                <c:pt idx="4">
                  <c:v>39.747047750157918</c:v>
                </c:pt>
              </c:numCache>
            </c:numRef>
          </c:val>
          <c:extLst>
            <c:ext xmlns:c16="http://schemas.microsoft.com/office/drawing/2014/chart" uri="{C3380CC4-5D6E-409C-BE32-E72D297353CC}">
              <c16:uniqueId val="{00000000-4D05-4DF9-B0B1-F367B33B683C}"/>
            </c:ext>
          </c:extLst>
        </c:ser>
        <c:ser>
          <c:idx val="1"/>
          <c:order val="1"/>
          <c:tx>
            <c:strRef>
              <c:f>Hoja5!$D$50</c:f>
              <c:strCache>
                <c:ptCount val="1"/>
                <c:pt idx="0">
                  <c:v>25-59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Hoja5!$B$58:$B$62</c:f>
              <c:strCache>
                <c:ptCount val="5"/>
                <c:pt idx="0">
                  <c:v>Mundo</c:v>
                </c:pt>
                <c:pt idx="1">
                  <c:v>Europa</c:v>
                </c:pt>
                <c:pt idx="2">
                  <c:v>Norteamérica</c:v>
                </c:pt>
                <c:pt idx="3">
                  <c:v>Suramérica</c:v>
                </c:pt>
                <c:pt idx="4">
                  <c:v>Guatemala</c:v>
                </c:pt>
              </c:strCache>
            </c:strRef>
          </c:cat>
          <c:val>
            <c:numRef>
              <c:f>Hoja5!$D$58:$D$62</c:f>
              <c:numCache>
                <c:formatCode>_-* #,##0.0_-;\-* #,##0.0_-;_-* "-"??_-;_-@_-</c:formatCode>
                <c:ptCount val="5"/>
                <c:pt idx="0">
                  <c:v>33.183819507135667</c:v>
                </c:pt>
                <c:pt idx="1">
                  <c:v>29.1524213907343</c:v>
                </c:pt>
                <c:pt idx="2">
                  <c:v>32.446179188706459</c:v>
                </c:pt>
                <c:pt idx="3">
                  <c:v>34.177733227728723</c:v>
                </c:pt>
                <c:pt idx="4">
                  <c:v>38.350936305347929</c:v>
                </c:pt>
              </c:numCache>
            </c:numRef>
          </c:val>
          <c:extLst>
            <c:ext xmlns:c16="http://schemas.microsoft.com/office/drawing/2014/chart" uri="{C3380CC4-5D6E-409C-BE32-E72D297353CC}">
              <c16:uniqueId val="{00000001-4D05-4DF9-B0B1-F367B33B683C}"/>
            </c:ext>
          </c:extLst>
        </c:ser>
        <c:ser>
          <c:idx val="2"/>
          <c:order val="2"/>
          <c:tx>
            <c:strRef>
              <c:f>Hoja5!$E$50</c:f>
              <c:strCache>
                <c:ptCount val="1"/>
                <c:pt idx="0">
                  <c:v>60+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Hoja5!$B$58:$B$62</c:f>
              <c:strCache>
                <c:ptCount val="5"/>
                <c:pt idx="0">
                  <c:v>Mundo</c:v>
                </c:pt>
                <c:pt idx="1">
                  <c:v>Europa</c:v>
                </c:pt>
                <c:pt idx="2">
                  <c:v>Norteamérica</c:v>
                </c:pt>
                <c:pt idx="3">
                  <c:v>Suramérica</c:v>
                </c:pt>
                <c:pt idx="4">
                  <c:v>Guatemala</c:v>
                </c:pt>
              </c:strCache>
            </c:strRef>
          </c:cat>
          <c:val>
            <c:numRef>
              <c:f>Hoja5!$E$58:$E$62</c:f>
              <c:numCache>
                <c:formatCode>_-* #,##0.0_-;\-* #,##0.0_-;_-* "-"??_-;_-@_-</c:formatCode>
                <c:ptCount val="5"/>
                <c:pt idx="0">
                  <c:v>19.7421380150113</c:v>
                </c:pt>
                <c:pt idx="1">
                  <c:v>33.50008085105636</c:v>
                </c:pt>
                <c:pt idx="2">
                  <c:v>28.398633936262861</c:v>
                </c:pt>
                <c:pt idx="3">
                  <c:v>22.42709931691045</c:v>
                </c:pt>
                <c:pt idx="4">
                  <c:v>11.490644987748428</c:v>
                </c:pt>
              </c:numCache>
            </c:numRef>
          </c:val>
          <c:extLst>
            <c:ext xmlns:c16="http://schemas.microsoft.com/office/drawing/2014/chart" uri="{C3380CC4-5D6E-409C-BE32-E72D297353CC}">
              <c16:uniqueId val="{00000002-4D05-4DF9-B0B1-F367B33B683C}"/>
            </c:ext>
          </c:extLst>
        </c:ser>
        <c:dLbls>
          <c:showLegendKey val="0"/>
          <c:showVal val="0"/>
          <c:showCatName val="0"/>
          <c:showSerName val="0"/>
          <c:showPercent val="0"/>
          <c:showBubbleSize val="0"/>
        </c:dLbls>
        <c:gapWidth val="80"/>
        <c:overlap val="100"/>
        <c:axId val="1117881024"/>
        <c:axId val="1117877280"/>
      </c:barChart>
      <c:catAx>
        <c:axId val="11178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1117877280"/>
        <c:crosses val="autoZero"/>
        <c:auto val="1"/>
        <c:lblAlgn val="ctr"/>
        <c:lblOffset val="100"/>
        <c:noMultiLvlLbl val="0"/>
      </c:catAx>
      <c:valAx>
        <c:axId val="1117877280"/>
        <c:scaling>
          <c:orientation val="minMax"/>
        </c:scaling>
        <c:delete val="1"/>
        <c:axPos val="l"/>
        <c:numFmt formatCode="_-* #,##0.0_-;\-* #,##0.0_-;_-* &quot;-&quot;??_-;_-@_-" sourceLinked="1"/>
        <c:majorTickMark val="none"/>
        <c:minorTickMark val="none"/>
        <c:tickLblPos val="nextTo"/>
        <c:crossAx val="1117881024"/>
        <c:crosses val="autoZero"/>
        <c:crossBetween val="between"/>
      </c:valAx>
    </c:plotArea>
    <c:legend>
      <c:legendPos val="b"/>
      <c:layout>
        <c:manualLayout>
          <c:xMode val="edge"/>
          <c:yMode val="edge"/>
          <c:x val="0.31515549593599185"/>
          <c:y val="0.86365900336564694"/>
          <c:w val="0.37976944444444444"/>
          <c:h val="0.1275243055555555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22173075233811"/>
          <c:y val="3.5277777777777776E-2"/>
          <c:w val="0.57461724836908723"/>
          <c:h val="0.7177472222222222"/>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E9C1-407D-95F7-C5A730EF0C40}"/>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E9C1-407D-95F7-C5A730EF0C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C1-407D-95F7-C5A730EF0C40}"/>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E9C1-407D-95F7-C5A730EF0C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9C1-407D-95F7-C5A730EF0C40}"/>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6="http://schemas.microsoft.com/office/drawing/2014/chart" uri="{C3380CC4-5D6E-409C-BE32-E72D297353CC}">
                  <c16:uniqueId val="{00000001-E9C1-407D-95F7-C5A730EF0C40}"/>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6="http://schemas.microsoft.com/office/drawing/2014/chart" uri="{C3380CC4-5D6E-409C-BE32-E72D297353CC}">
                  <c16:uniqueId val="{00000003-E9C1-407D-95F7-C5A730EF0C40}"/>
                </c:ext>
              </c:extLst>
            </c:dLbl>
            <c:dLbl>
              <c:idx val="2"/>
              <c:layout>
                <c:manualLayout>
                  <c:x val="0.20063924442620892"/>
                  <c:y val="2.223680555555555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C1-407D-95F7-C5A730EF0C40}"/>
                </c:ext>
              </c:extLst>
            </c:dLbl>
            <c:dLbl>
              <c:idx val="3"/>
              <c:layout>
                <c:manualLayout>
                  <c:x val="0.14474399645074237"/>
                  <c:y val="0.1161805555555555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C1-407D-95F7-C5A730EF0C40}"/>
                </c:ext>
              </c:extLst>
            </c:dLbl>
            <c:dLbl>
              <c:idx val="4"/>
              <c:layout>
                <c:manualLayout>
                  <c:x val="0.10672346368404491"/>
                  <c:y val="8.157986111111109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9C1-407D-95F7-C5A730EF0C4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Actuales!$E$3:$E$7</c:f>
              <c:strCache>
                <c:ptCount val="5"/>
                <c:pt idx="0">
                  <c:v>MINEDUC</c:v>
                </c:pt>
                <c:pt idx="1">
                  <c:v>MINGOB</c:v>
                </c:pt>
                <c:pt idx="2">
                  <c:v>MSPAS</c:v>
                </c:pt>
                <c:pt idx="3">
                  <c:v>Otros NM.</c:v>
                </c:pt>
                <c:pt idx="4">
                  <c:v>Otras N.NM.</c:v>
                </c:pt>
              </c:strCache>
            </c:strRef>
          </c:cat>
          <c:val>
            <c:numRef>
              <c:f>Actuales!$F$3:$F$7</c:f>
              <c:numCache>
                <c:formatCode>_-* #,##0.0_-;\-* #,##0.0_-;_-* "-"??_-;_-@_-</c:formatCode>
                <c:ptCount val="5"/>
                <c:pt idx="0">
                  <c:v>127532.60763730966</c:v>
                </c:pt>
                <c:pt idx="1">
                  <c:v>44667</c:v>
                </c:pt>
                <c:pt idx="2">
                  <c:v>30621</c:v>
                </c:pt>
                <c:pt idx="3">
                  <c:v>19281.392362690342</c:v>
                </c:pt>
                <c:pt idx="4">
                  <c:v>20898</c:v>
                </c:pt>
              </c:numCache>
            </c:numRef>
          </c:val>
          <c:extLst>
            <c:ext xmlns:c16="http://schemas.microsoft.com/office/drawing/2014/chart" uri="{C3380CC4-5D6E-409C-BE32-E72D297353CC}">
              <c16:uniqueId val="{0000000A-E9C1-407D-95F7-C5A730EF0C40}"/>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6.6666666666671576E-5"/>
          <c:y val="0.74636458333333333"/>
          <c:w val="0.97164444444444453"/>
          <c:h val="0.2007187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Actuales!$K$4:$K$9</c:f>
              <c:strCache>
                <c:ptCount val="6"/>
                <c:pt idx="0">
                  <c:v>20 o menos</c:v>
                </c:pt>
                <c:pt idx="1">
                  <c:v>21 a 29</c:v>
                </c:pt>
                <c:pt idx="2">
                  <c:v>30 a 39</c:v>
                </c:pt>
                <c:pt idx="3">
                  <c:v>40 a 49</c:v>
                </c:pt>
                <c:pt idx="4">
                  <c:v>50 a 59</c:v>
                </c:pt>
                <c:pt idx="5">
                  <c:v>60 o más</c:v>
                </c:pt>
              </c:strCache>
            </c:strRef>
          </c:cat>
          <c:val>
            <c:numRef>
              <c:f>Actuales!$M$4:$M$9</c:f>
              <c:numCache>
                <c:formatCode>0.0</c:formatCode>
                <c:ptCount val="6"/>
                <c:pt idx="0">
                  <c:v>9.5587278365412656E-2</c:v>
                </c:pt>
                <c:pt idx="1">
                  <c:v>9.4730134226079628</c:v>
                </c:pt>
                <c:pt idx="2">
                  <c:v>38.131695036193022</c:v>
                </c:pt>
                <c:pt idx="3">
                  <c:v>30.685760188122945</c:v>
                </c:pt>
                <c:pt idx="4">
                  <c:v>15.771452163727995</c:v>
                </c:pt>
                <c:pt idx="5">
                  <c:v>5.8424919109826643</c:v>
                </c:pt>
              </c:numCache>
            </c:numRef>
          </c:val>
          <c:extLst>
            <c:ext xmlns:c16="http://schemas.microsoft.com/office/drawing/2014/chart" uri="{C3380CC4-5D6E-409C-BE32-E72D297353CC}">
              <c16:uniqueId val="{00000000-618A-4D3A-9F80-A05ED1286F67}"/>
            </c:ext>
          </c:extLst>
        </c:ser>
        <c:dLbls>
          <c:showLegendKey val="0"/>
          <c:showVal val="0"/>
          <c:showCatName val="0"/>
          <c:showSerName val="0"/>
          <c:showPercent val="0"/>
          <c:showBubbleSize val="0"/>
        </c:dLbls>
        <c:gapWidth val="100"/>
        <c:overlap val="-27"/>
        <c:axId val="615497616"/>
        <c:axId val="615498032"/>
      </c:barChart>
      <c:catAx>
        <c:axId val="61549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5498032"/>
        <c:crosses val="autoZero"/>
        <c:auto val="1"/>
        <c:lblAlgn val="ctr"/>
        <c:lblOffset val="100"/>
        <c:noMultiLvlLbl val="0"/>
      </c:catAx>
      <c:valAx>
        <c:axId val="615498032"/>
        <c:scaling>
          <c:orientation val="minMax"/>
        </c:scaling>
        <c:delete val="1"/>
        <c:axPos val="l"/>
        <c:numFmt formatCode="0.0" sourceLinked="1"/>
        <c:majorTickMark val="none"/>
        <c:minorTickMark val="none"/>
        <c:tickLblPos val="nextTo"/>
        <c:crossAx val="615497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Actuales!$E$3:$E$7</c:f>
              <c:strCache>
                <c:ptCount val="5"/>
                <c:pt idx="0">
                  <c:v>MINEDUC</c:v>
                </c:pt>
                <c:pt idx="1">
                  <c:v>MINGOB</c:v>
                </c:pt>
                <c:pt idx="2">
                  <c:v>MSPAS</c:v>
                </c:pt>
                <c:pt idx="3">
                  <c:v>Otros NM.</c:v>
                </c:pt>
                <c:pt idx="4">
                  <c:v>Otras N.NM.</c:v>
                </c:pt>
              </c:strCache>
            </c:strRef>
          </c:cat>
          <c:val>
            <c:numRef>
              <c:f>Actuales!$H$3:$H$7</c:f>
              <c:numCache>
                <c:formatCode>_-* #,##0.0_-;\-* #,##0.0_-;_-* "-"??_-;_-@_-</c:formatCode>
                <c:ptCount val="5"/>
                <c:pt idx="0">
                  <c:v>7.922907230209506</c:v>
                </c:pt>
                <c:pt idx="1">
                  <c:v>5.2029731284841105</c:v>
                </c:pt>
                <c:pt idx="2">
                  <c:v>7.5399367816202556</c:v>
                </c:pt>
                <c:pt idx="3">
                  <c:v>7.7383856654043148</c:v>
                </c:pt>
                <c:pt idx="4">
                  <c:v>8.5982389119721709</c:v>
                </c:pt>
              </c:numCache>
            </c:numRef>
          </c:val>
          <c:extLst>
            <c:ext xmlns:c16="http://schemas.microsoft.com/office/drawing/2014/chart" uri="{C3380CC4-5D6E-409C-BE32-E72D297353CC}">
              <c16:uniqueId val="{00000000-C978-46C9-9DA3-0C81C701B5A6}"/>
            </c:ext>
          </c:extLst>
        </c:ser>
        <c:dLbls>
          <c:showLegendKey val="0"/>
          <c:showVal val="0"/>
          <c:showCatName val="0"/>
          <c:showSerName val="0"/>
          <c:showPercent val="0"/>
          <c:showBubbleSize val="0"/>
        </c:dLbls>
        <c:gapWidth val="150"/>
        <c:overlap val="-27"/>
        <c:axId val="1524277648"/>
        <c:axId val="1524273904"/>
      </c:barChart>
      <c:catAx>
        <c:axId val="152427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4273904"/>
        <c:crosses val="autoZero"/>
        <c:auto val="1"/>
        <c:lblAlgn val="ctr"/>
        <c:lblOffset val="100"/>
        <c:noMultiLvlLbl val="0"/>
      </c:catAx>
      <c:valAx>
        <c:axId val="1524273904"/>
        <c:scaling>
          <c:orientation val="minMax"/>
        </c:scaling>
        <c:delete val="1"/>
        <c:axPos val="l"/>
        <c:numFmt formatCode="_-* #,##0.0_-;\-* #,##0.0_-;_-* &quot;-&quot;??_-;_-@_-" sourceLinked="1"/>
        <c:majorTickMark val="none"/>
        <c:minorTickMark val="none"/>
        <c:tickLblPos val="nextTo"/>
        <c:crossAx val="1524277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896190476190475"/>
          <c:y val="3.4208031009798232E-2"/>
          <c:w val="0.84079999999999999"/>
          <c:h val="0.78730084853200144"/>
        </c:manualLayout>
      </c:layout>
      <c:barChart>
        <c:barDir val="col"/>
        <c:grouping val="clustered"/>
        <c:varyColors val="0"/>
        <c:ser>
          <c:idx val="0"/>
          <c:order val="0"/>
          <c:tx>
            <c:strRef>
              <c:f>'PIB nominal'!$B$30</c:f>
              <c:strCache>
                <c:ptCount val="1"/>
                <c:pt idx="0">
                  <c:v>Año presupuestario</c:v>
                </c:pt>
              </c:strCache>
            </c:strRef>
          </c:tx>
          <c:spPr>
            <a:solidFill>
              <a:schemeClr val="accent1">
                <a:shade val="65000"/>
              </a:schemeClr>
            </a:solidFill>
            <a:ln>
              <a:noFill/>
            </a:ln>
            <a:effectLst/>
          </c:spPr>
          <c:invertIfNegative val="0"/>
          <c:cat>
            <c:numRef>
              <c:f>'PIB nominal'!$E$29:$N$29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'PIB nominal'!$E$30:$N$30</c:f>
              <c:numCache>
                <c:formatCode>_(* #,##0.00_);_(* \(#,##0.00\);_(* "-"??_);_(@_)</c:formatCode>
                <c:ptCount val="10"/>
                <c:pt idx="0">
                  <c:v>-0.41149273794937891</c:v>
                </c:pt>
                <c:pt idx="1">
                  <c:v>-8.3721159935928213E-2</c:v>
                </c:pt>
                <c:pt idx="2">
                  <c:v>-0.1952662934300351</c:v>
                </c:pt>
                <c:pt idx="3">
                  <c:v>-9.4300474172726467E-2</c:v>
                </c:pt>
                <c:pt idx="4">
                  <c:v>-0.32058910670683627</c:v>
                </c:pt>
                <c:pt idx="5">
                  <c:v>-1.4250683783953004</c:v>
                </c:pt>
                <c:pt idx="6">
                  <c:v>-0.47304968570524508</c:v>
                </c:pt>
                <c:pt idx="7">
                  <c:v>-5.9700822160684623</c:v>
                </c:pt>
                <c:pt idx="8">
                  <c:v>6.3114555458497765</c:v>
                </c:pt>
                <c:pt idx="9">
                  <c:v>3.7986247308017598</c:v>
                </c:pt>
              </c:numCache>
            </c:numRef>
          </c:val>
          <c:extLst>
            <c:ext xmlns:c16="http://schemas.microsoft.com/office/drawing/2014/chart" uri="{C3380CC4-5D6E-409C-BE32-E72D297353CC}">
              <c16:uniqueId val="{00000000-DA66-40BA-AC26-82DE0A0C9033}"/>
            </c:ext>
          </c:extLst>
        </c:ser>
        <c:ser>
          <c:idx val="1"/>
          <c:order val="1"/>
          <c:tx>
            <c:strRef>
              <c:f>'PIB nominal'!$B$31</c:f>
              <c:strCache>
                <c:ptCount val="1"/>
                <c:pt idx="0">
                  <c:v>Año presupuestario+1</c:v>
                </c:pt>
              </c:strCache>
            </c:strRef>
          </c:tx>
          <c:spPr>
            <a:solidFill>
              <a:schemeClr val="accent1"/>
            </a:solidFill>
            <a:ln>
              <a:noFill/>
            </a:ln>
            <a:effectLst/>
          </c:spPr>
          <c:invertIfNegative val="0"/>
          <c:cat>
            <c:numRef>
              <c:f>'PIB nominal'!$E$29:$N$29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'PIB nominal'!$E$31:$N$31</c:f>
              <c:numCache>
                <c:formatCode>_(* #,##0.00_);_(* \(#,##0.00\);_(* "-"??_);_(@_)</c:formatCode>
                <c:ptCount val="10"/>
                <c:pt idx="0">
                  <c:v>-0.41149273794937891</c:v>
                </c:pt>
                <c:pt idx="1">
                  <c:v>-0.38372115993592804</c:v>
                </c:pt>
                <c:pt idx="2">
                  <c:v>0.10473370656996472</c:v>
                </c:pt>
                <c:pt idx="3">
                  <c:v>-0.59430047417272647</c:v>
                </c:pt>
                <c:pt idx="4">
                  <c:v>-0.82058910670683627</c:v>
                </c:pt>
                <c:pt idx="5">
                  <c:v>-1.6250683783953006</c:v>
                </c:pt>
                <c:pt idx="6">
                  <c:v>-7.3049685705245615E-2</c:v>
                </c:pt>
                <c:pt idx="7">
                  <c:v>-7.070082216068462</c:v>
                </c:pt>
                <c:pt idx="8">
                  <c:v>3.711455545849776</c:v>
                </c:pt>
                <c:pt idx="9">
                  <c:v>5.3986247308017594</c:v>
                </c:pt>
              </c:numCache>
            </c:numRef>
          </c:val>
          <c:extLst>
            <c:ext xmlns:c16="http://schemas.microsoft.com/office/drawing/2014/chart" uri="{C3380CC4-5D6E-409C-BE32-E72D297353CC}">
              <c16:uniqueId val="{00000001-DA66-40BA-AC26-82DE0A0C9033}"/>
            </c:ext>
          </c:extLst>
        </c:ser>
        <c:ser>
          <c:idx val="2"/>
          <c:order val="2"/>
          <c:tx>
            <c:strRef>
              <c:f>'PIB nominal'!$B$32</c:f>
              <c:strCache>
                <c:ptCount val="1"/>
                <c:pt idx="0">
                  <c:v>Año presupuestario+2</c:v>
                </c:pt>
              </c:strCache>
            </c:strRef>
          </c:tx>
          <c:spPr>
            <a:solidFill>
              <a:schemeClr val="accent1">
                <a:tint val="65000"/>
              </a:schemeClr>
            </a:solidFill>
            <a:ln>
              <a:noFill/>
            </a:ln>
            <a:effectLst/>
          </c:spPr>
          <c:invertIfNegative val="0"/>
          <c:trendline>
            <c:spPr>
              <a:ln w="19050" cap="rnd">
                <a:noFill/>
                <a:prstDash val="sysDot"/>
              </a:ln>
              <a:effectLst/>
            </c:spPr>
            <c:trendlineType val="linear"/>
            <c:dispRSqr val="0"/>
            <c:dispEq val="0"/>
          </c:trendline>
          <c:cat>
            <c:numRef>
              <c:f>'PIB nominal'!$E$29:$N$29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'PIB nominal'!$E$32:$N$32</c:f>
              <c:numCache>
                <c:formatCode>_(* #,##0.00_);_(* \(#,##0.00\);_(* "-"??_);_(@_)</c:formatCode>
                <c:ptCount val="10"/>
                <c:pt idx="0">
                  <c:v>-0.31149273794937926</c:v>
                </c:pt>
                <c:pt idx="1">
                  <c:v>-0.38372115993592804</c:v>
                </c:pt>
                <c:pt idx="2">
                  <c:v>-9.5266293430034565E-2</c:v>
                </c:pt>
                <c:pt idx="3">
                  <c:v>-0.49430047417272682</c:v>
                </c:pt>
                <c:pt idx="4">
                  <c:v>-1.2205891067068366</c:v>
                </c:pt>
                <c:pt idx="5">
                  <c:v>-1.3250683783953008</c:v>
                </c:pt>
                <c:pt idx="6">
                  <c:v>0.12695031429475456</c:v>
                </c:pt>
                <c:pt idx="7">
                  <c:v>-6.8700822160684627</c:v>
                </c:pt>
                <c:pt idx="8">
                  <c:v>2.9114555458497762</c:v>
                </c:pt>
                <c:pt idx="9">
                  <c:v>3.2986247308017598</c:v>
                </c:pt>
              </c:numCache>
            </c:numRef>
          </c:val>
          <c:extLst>
            <c:ext xmlns:c16="http://schemas.microsoft.com/office/drawing/2014/chart" uri="{C3380CC4-5D6E-409C-BE32-E72D297353CC}">
              <c16:uniqueId val="{00000003-DA66-40BA-AC26-82DE0A0C9033}"/>
            </c:ext>
          </c:extLst>
        </c:ser>
        <c:dLbls>
          <c:showLegendKey val="0"/>
          <c:showVal val="0"/>
          <c:showCatName val="0"/>
          <c:showSerName val="0"/>
          <c:showPercent val="0"/>
          <c:showBubbleSize val="0"/>
        </c:dLbls>
        <c:gapWidth val="80"/>
        <c:overlap val="-30"/>
        <c:axId val="1149594064"/>
        <c:axId val="1149579504"/>
      </c:barChart>
      <c:catAx>
        <c:axId val="1149594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79504"/>
        <c:crosses val="autoZero"/>
        <c:auto val="1"/>
        <c:lblAlgn val="ctr"/>
        <c:lblOffset val="100"/>
        <c:noMultiLvlLbl val="0"/>
      </c:catAx>
      <c:valAx>
        <c:axId val="1149579504"/>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94064"/>
        <c:crosses val="autoZero"/>
        <c:crossBetween val="between"/>
      </c:valAx>
    </c:plotArea>
    <c:legend>
      <c:legendPos val="b"/>
      <c:legendEntry>
        <c:idx val="3"/>
        <c:delete val="1"/>
      </c:legendEntry>
      <c:layout>
        <c:manualLayout>
          <c:xMode val="edge"/>
          <c:yMode val="edge"/>
          <c:x val="5.0000102499554132E-2"/>
          <c:y val="0.89374559322563729"/>
          <c:w val="0.89999979500089178"/>
          <c:h val="0.1062544067743627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19911757678137"/>
          <c:y val="0.1041516590311522"/>
          <c:w val="0.55243027578504"/>
          <c:h val="0.69059876558218058"/>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F345-44AD-BA28-06B4A80619EF}"/>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F345-44AD-BA28-06B4A80619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45-44AD-BA28-06B4A80619EF}"/>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F345-44AD-BA28-06B4A80619E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45-44AD-BA28-06B4A80619E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45-44AD-BA28-06B4A80619E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45-44AD-BA28-06B4A80619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extLst>
          </c:dLbls>
          <c:cat>
            <c:strRef>
              <c:f>'JP4'!$F$27:$F$31</c:f>
              <c:strCache>
                <c:ptCount val="5"/>
                <c:pt idx="0">
                  <c:v>PC.J</c:v>
                </c:pt>
                <c:pt idx="1">
                  <c:v>PC.S</c:v>
                </c:pt>
                <c:pt idx="2">
                  <c:v>PC.I</c:v>
                </c:pt>
                <c:pt idx="3">
                  <c:v>PM</c:v>
                </c:pt>
                <c:pt idx="4">
                  <c:v>Otras</c:v>
                </c:pt>
              </c:strCache>
            </c:strRef>
          </c:cat>
          <c:val>
            <c:numRef>
              <c:f>'JP4'!$H$27:$H$31</c:f>
              <c:numCache>
                <c:formatCode>0.0</c:formatCode>
                <c:ptCount val="5"/>
                <c:pt idx="0">
                  <c:v>74.125446104880552</c:v>
                </c:pt>
                <c:pt idx="1">
                  <c:v>20.622051470380519</c:v>
                </c:pt>
                <c:pt idx="2">
                  <c:v>1.2071904102752431</c:v>
                </c:pt>
                <c:pt idx="3">
                  <c:v>2.3399907718673782</c:v>
                </c:pt>
                <c:pt idx="4">
                  <c:v>1.7053212425963069</c:v>
                </c:pt>
              </c:numCache>
            </c:numRef>
          </c:val>
          <c:extLst>
            <c:ext xmlns:c16="http://schemas.microsoft.com/office/drawing/2014/chart" uri="{C3380CC4-5D6E-409C-BE32-E72D297353CC}">
              <c16:uniqueId val="{0000000A-F345-44AD-BA28-06B4A80619E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'JP4'!$V$4:$V$6</c:f>
              <c:strCache>
                <c:ptCount val="3"/>
                <c:pt idx="0">
                  <c:v>40 o menos</c:v>
                </c:pt>
                <c:pt idx="1">
                  <c:v>41 a 59</c:v>
                </c:pt>
                <c:pt idx="2">
                  <c:v>60 o más</c:v>
                </c:pt>
              </c:strCache>
            </c:strRef>
          </c:cat>
          <c:val>
            <c:numRef>
              <c:f>'JP4'!$X$4:$X$6</c:f>
              <c:numCache>
                <c:formatCode>_-* #,##0.0_-;\-* #,##0.0_-;_-* "-"??_-;_-@_-</c:formatCode>
                <c:ptCount val="3"/>
                <c:pt idx="0">
                  <c:v>2.4341553904535909</c:v>
                </c:pt>
                <c:pt idx="1">
                  <c:v>21.920581560684386</c:v>
                </c:pt>
                <c:pt idx="2">
                  <c:v>75.64526304886202</c:v>
                </c:pt>
              </c:numCache>
            </c:numRef>
          </c:val>
          <c:extLst>
            <c:ext xmlns:c16="http://schemas.microsoft.com/office/drawing/2014/chart" uri="{C3380CC4-5D6E-409C-BE32-E72D297353CC}">
              <c16:uniqueId val="{00000000-EDBC-4C5C-9764-1FAFDBF7A3D7}"/>
            </c:ext>
          </c:extLst>
        </c:ser>
        <c:dLbls>
          <c:showLegendKey val="0"/>
          <c:showVal val="0"/>
          <c:showCatName val="0"/>
          <c:showSerName val="0"/>
          <c:showPercent val="0"/>
          <c:showBubbleSize val="0"/>
        </c:dLbls>
        <c:gapWidth val="100"/>
        <c:overlap val="-27"/>
        <c:axId val="615493872"/>
        <c:axId val="615489296"/>
      </c:barChart>
      <c:catAx>
        <c:axId val="61549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5489296"/>
        <c:crosses val="autoZero"/>
        <c:auto val="1"/>
        <c:lblAlgn val="ctr"/>
        <c:lblOffset val="100"/>
        <c:noMultiLvlLbl val="0"/>
      </c:catAx>
      <c:valAx>
        <c:axId val="615489296"/>
        <c:scaling>
          <c:orientation val="minMax"/>
        </c:scaling>
        <c:delete val="1"/>
        <c:axPos val="l"/>
        <c:numFmt formatCode="_-* #,##0.0_-;\-* #,##0.0_-;_-* &quot;-&quot;??_-;_-@_-" sourceLinked="1"/>
        <c:majorTickMark val="none"/>
        <c:minorTickMark val="none"/>
        <c:tickLblPos val="nextTo"/>
        <c:crossAx val="61549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'JP4'!$J$33:$J$37</c:f>
              <c:strCache>
                <c:ptCount val="5"/>
                <c:pt idx="0">
                  <c:v>PC.J</c:v>
                </c:pt>
                <c:pt idx="1">
                  <c:v>PC.S</c:v>
                </c:pt>
                <c:pt idx="2">
                  <c:v>PC.I</c:v>
                </c:pt>
                <c:pt idx="3">
                  <c:v>PM</c:v>
                </c:pt>
                <c:pt idx="4">
                  <c:v>Otras</c:v>
                </c:pt>
              </c:strCache>
            </c:strRef>
          </c:cat>
          <c:val>
            <c:numRef>
              <c:f>'JP4'!$K$33:$K$37</c:f>
              <c:numCache>
                <c:formatCode>_-* #,##0.0_-;\-* #,##0.0_-;_-* "-"??_-;_-@_-</c:formatCode>
                <c:ptCount val="5"/>
                <c:pt idx="0">
                  <c:v>4.1514251368792712</c:v>
                </c:pt>
                <c:pt idx="1">
                  <c:v>3.1028654228310431</c:v>
                </c:pt>
                <c:pt idx="2">
                  <c:v>3.8105082535211139</c:v>
                </c:pt>
                <c:pt idx="3">
                  <c:v>2.8292891185647395</c:v>
                </c:pt>
                <c:pt idx="4">
                  <c:v>3.0847118387631136</c:v>
                </c:pt>
              </c:numCache>
            </c:numRef>
          </c:val>
          <c:extLst>
            <c:ext xmlns:c16="http://schemas.microsoft.com/office/drawing/2014/chart" uri="{C3380CC4-5D6E-409C-BE32-E72D297353CC}">
              <c16:uniqueId val="{00000000-16CE-467A-9B6E-C5B2FDAA73B9}"/>
            </c:ext>
          </c:extLst>
        </c:ser>
        <c:dLbls>
          <c:showLegendKey val="0"/>
          <c:showVal val="0"/>
          <c:showCatName val="0"/>
          <c:showSerName val="0"/>
          <c:showPercent val="0"/>
          <c:showBubbleSize val="0"/>
        </c:dLbls>
        <c:gapWidth val="100"/>
        <c:overlap val="-27"/>
        <c:axId val="615493872"/>
        <c:axId val="615489296"/>
      </c:barChart>
      <c:catAx>
        <c:axId val="61549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5489296"/>
        <c:crosses val="autoZero"/>
        <c:auto val="1"/>
        <c:lblAlgn val="ctr"/>
        <c:lblOffset val="100"/>
        <c:noMultiLvlLbl val="0"/>
      </c:catAx>
      <c:valAx>
        <c:axId val="615489296"/>
        <c:scaling>
          <c:orientation val="minMax"/>
        </c:scaling>
        <c:delete val="1"/>
        <c:axPos val="l"/>
        <c:numFmt formatCode="_-* #,##0.0_-;\-* #,##0.0_-;_-* &quot;-&quot;??_-;_-@_-" sourceLinked="1"/>
        <c:majorTickMark val="none"/>
        <c:minorTickMark val="none"/>
        <c:tickLblPos val="nextTo"/>
        <c:crossAx val="615493872"/>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825452083098215E-2"/>
          <c:y val="0"/>
          <c:w val="0.93530805892923807"/>
          <c:h val="0.6953978014995964"/>
        </c:manualLayout>
      </c:layout>
      <c:areaChart>
        <c:grouping val="stacked"/>
        <c:varyColors val="0"/>
        <c:ser>
          <c:idx val="0"/>
          <c:order val="0"/>
          <c:tx>
            <c:strRef>
              <c:f>Tablas!$J$27</c:f>
              <c:strCache>
                <c:ptCount val="1"/>
                <c:pt idx="0">
                  <c:v>Trabajadores</c:v>
                </c:pt>
              </c:strCache>
            </c:strRef>
          </c:tx>
          <c:spPr>
            <a:solidFill>
              <a:srgbClr val="002060"/>
            </a:solidFill>
            <a:ln>
              <a:noFill/>
            </a:ln>
            <a:effectLst/>
          </c:spPr>
          <c:cat>
            <c:numRef>
              <c:f>Tablas!$I$28:$I$52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Tablas!$J$28:$J$52</c:f>
              <c:numCache>
                <c:formatCode>_-* #,##0.0_-;\-* #,##0.0_-;_-* "-"??_-;_-@_-</c:formatCode>
                <c:ptCount val="25"/>
                <c:pt idx="0">
                  <c:v>223.85326244999999</c:v>
                </c:pt>
                <c:pt idx="1">
                  <c:v>302.64012695000002</c:v>
                </c:pt>
                <c:pt idx="2">
                  <c:v>356.70506982000001</c:v>
                </c:pt>
                <c:pt idx="3">
                  <c:v>414.21654515</c:v>
                </c:pt>
                <c:pt idx="4">
                  <c:v>468.59842936999996</c:v>
                </c:pt>
                <c:pt idx="5">
                  <c:v>504.57281274000002</c:v>
                </c:pt>
                <c:pt idx="6">
                  <c:v>539.66753398999992</c:v>
                </c:pt>
                <c:pt idx="7">
                  <c:v>549.80855453000004</c:v>
                </c:pt>
                <c:pt idx="8">
                  <c:v>585.09386030999997</c:v>
                </c:pt>
                <c:pt idx="9">
                  <c:v>658.62672170999997</c:v>
                </c:pt>
                <c:pt idx="10">
                  <c:v>746.50599986999998</c:v>
                </c:pt>
                <c:pt idx="11">
                  <c:v>921.85090646000003</c:v>
                </c:pt>
                <c:pt idx="12">
                  <c:v>1069.0560523899999</c:v>
                </c:pt>
                <c:pt idx="13">
                  <c:v>1214.36594674</c:v>
                </c:pt>
                <c:pt idx="14">
                  <c:v>1273.55675492</c:v>
                </c:pt>
                <c:pt idx="15">
                  <c:v>1427.3680208200001</c:v>
                </c:pt>
                <c:pt idx="16">
                  <c:v>1617.17200987</c:v>
                </c:pt>
                <c:pt idx="17">
                  <c:v>1650.94375223</c:v>
                </c:pt>
                <c:pt idx="18">
                  <c:v>2026.70881859</c:v>
                </c:pt>
                <c:pt idx="19">
                  <c:v>1883.5014274100001</c:v>
                </c:pt>
                <c:pt idx="20">
                  <c:v>1960.32506618</c:v>
                </c:pt>
                <c:pt idx="21">
                  <c:v>2332.7207125999998</c:v>
                </c:pt>
                <c:pt idx="22">
                  <c:v>2559.2344360099996</c:v>
                </c:pt>
                <c:pt idx="23">
                  <c:v>2669.8492563599998</c:v>
                </c:pt>
                <c:pt idx="24">
                  <c:v>2754.3443617600001</c:v>
                </c:pt>
              </c:numCache>
            </c:numRef>
          </c:val>
          <c:extLst>
            <c:ext xmlns:c16="http://schemas.microsoft.com/office/drawing/2014/chart" uri="{C3380CC4-5D6E-409C-BE32-E72D297353CC}">
              <c16:uniqueId val="{00000000-A73A-495E-BF67-31E69E7A2E83}"/>
            </c:ext>
          </c:extLst>
        </c:ser>
        <c:ser>
          <c:idx val="1"/>
          <c:order val="1"/>
          <c:tx>
            <c:strRef>
              <c:f>Tablas!$K$27</c:f>
              <c:strCache>
                <c:ptCount val="1"/>
                <c:pt idx="0">
                  <c:v>Patrono</c:v>
                </c:pt>
              </c:strCache>
            </c:strRef>
          </c:tx>
          <c:spPr>
            <a:solidFill>
              <a:schemeClr val="accent1"/>
            </a:solidFill>
            <a:ln>
              <a:noFill/>
            </a:ln>
            <a:effectLst/>
          </c:spPr>
          <c:cat>
            <c:numRef>
              <c:f>Tablas!$I$28:$I$52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Tablas!$K$28:$K$52</c:f>
              <c:numCache>
                <c:formatCode>_-* #,##0.0_-;\-* #,##0.0_-;_-* "-"??_-;_-@_-</c:formatCode>
                <c:ptCount val="25"/>
                <c:pt idx="0">
                  <c:v>416.56184890999998</c:v>
                </c:pt>
                <c:pt idx="1">
                  <c:v>484.60598212999997</c:v>
                </c:pt>
                <c:pt idx="2">
                  <c:v>649.1241941400001</c:v>
                </c:pt>
                <c:pt idx="3">
                  <c:v>716.61548653</c:v>
                </c:pt>
                <c:pt idx="4">
                  <c:v>794.27823670000009</c:v>
                </c:pt>
                <c:pt idx="5">
                  <c:v>877.46286957999996</c:v>
                </c:pt>
                <c:pt idx="6">
                  <c:v>976.06414395000013</c:v>
                </c:pt>
                <c:pt idx="7">
                  <c:v>1115.5675871999999</c:v>
                </c:pt>
                <c:pt idx="8">
                  <c:v>1243.5125756299999</c:v>
                </c:pt>
                <c:pt idx="9">
                  <c:v>1324.37886557</c:v>
                </c:pt>
                <c:pt idx="10">
                  <c:v>1449.17645399</c:v>
                </c:pt>
                <c:pt idx="11">
                  <c:v>1464.2629436099999</c:v>
                </c:pt>
                <c:pt idx="12">
                  <c:v>1455.7236914099999</c:v>
                </c:pt>
                <c:pt idx="13">
                  <c:v>1458.0528426600001</c:v>
                </c:pt>
                <c:pt idx="14">
                  <c:v>1586.17516798</c:v>
                </c:pt>
                <c:pt idx="15">
                  <c:v>1701.2042092199997</c:v>
                </c:pt>
                <c:pt idx="16">
                  <c:v>1673.78429876</c:v>
                </c:pt>
                <c:pt idx="17">
                  <c:v>1759.67006197</c:v>
                </c:pt>
                <c:pt idx="18">
                  <c:v>1786.7656970599999</c:v>
                </c:pt>
                <c:pt idx="19">
                  <c:v>2397.3861001899995</c:v>
                </c:pt>
                <c:pt idx="20">
                  <c:v>2295.0555866099994</c:v>
                </c:pt>
                <c:pt idx="21">
                  <c:v>2359.2514795100001</c:v>
                </c:pt>
                <c:pt idx="22">
                  <c:v>2137.8802289400001</c:v>
                </c:pt>
                <c:pt idx="23">
                  <c:v>2177.8451520100002</c:v>
                </c:pt>
                <c:pt idx="24">
                  <c:v>2257.9862763400001</c:v>
                </c:pt>
              </c:numCache>
            </c:numRef>
          </c:val>
          <c:extLst>
            <c:ext xmlns:c16="http://schemas.microsoft.com/office/drawing/2014/chart" uri="{C3380CC4-5D6E-409C-BE32-E72D297353CC}">
              <c16:uniqueId val="{00000001-A73A-495E-BF67-31E69E7A2E83}"/>
            </c:ext>
          </c:extLst>
        </c:ser>
        <c:dLbls>
          <c:showLegendKey val="0"/>
          <c:showVal val="0"/>
          <c:showCatName val="0"/>
          <c:showSerName val="0"/>
          <c:showPercent val="0"/>
          <c:showBubbleSize val="0"/>
        </c:dLbls>
        <c:axId val="1818987328"/>
        <c:axId val="1818977344"/>
      </c:areaChart>
      <c:lineChart>
        <c:grouping val="standard"/>
        <c:varyColors val="0"/>
        <c:ser>
          <c:idx val="2"/>
          <c:order val="2"/>
          <c:tx>
            <c:strRef>
              <c:f>Tablas!$L$27</c:f>
              <c:strCache>
                <c:ptCount val="1"/>
                <c:pt idx="0">
                  <c:v>Pago anual de pensiones</c:v>
                </c:pt>
              </c:strCache>
            </c:strRef>
          </c:tx>
          <c:spPr>
            <a:ln w="28575" cap="rnd">
              <a:solidFill>
                <a:schemeClr val="tx1"/>
              </a:solidFill>
              <a:round/>
            </a:ln>
            <a:effectLst/>
          </c:spPr>
          <c:marker>
            <c:symbol val="none"/>
          </c:marker>
          <c:dLbls>
            <c:dLbl>
              <c:idx val="0"/>
              <c:layout>
                <c:manualLayout>
                  <c:x val="-5.3226879574184989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3A-495E-BF67-31E69E7A2E83}"/>
                </c:ext>
              </c:extLst>
            </c:dLbl>
            <c:dLbl>
              <c:idx val="2"/>
              <c:layout>
                <c:manualLayout>
                  <c:x val="-3.7258815701929501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3A-495E-BF67-31E69E7A2E83}"/>
                </c:ext>
              </c:extLst>
            </c:dLbl>
            <c:dLbl>
              <c:idx val="12"/>
              <c:layout>
                <c:manualLayout>
                  <c:x val="-4.2581503659348069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3A-495E-BF67-31E69E7A2E83}"/>
                </c:ext>
              </c:extLst>
            </c:dLbl>
            <c:dLbl>
              <c:idx val="19"/>
              <c:layout>
                <c:manualLayout>
                  <c:x val="-6.3872255489021951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3A-495E-BF67-31E69E7A2E83}"/>
                </c:ext>
              </c:extLst>
            </c:dLbl>
            <c:dLbl>
              <c:idx val="21"/>
              <c:layout>
                <c:manualLayout>
                  <c:x val="-4.2581503659347972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3A-495E-BF67-31E69E7A2E83}"/>
                </c:ext>
              </c:extLst>
            </c:dLbl>
            <c:dLbl>
              <c:idx val="24"/>
              <c:layout>
                <c:manualLayout>
                  <c:x val="-3.185868055555555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3A-495E-BF67-31E69E7A2E83}"/>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Tablas!$L$28:$L$52</c:f>
              <c:numCache>
                <c:formatCode>_-* #,##0.0_-;\-* #,##0.0_-;_-* "-"??_-;_-@_-</c:formatCode>
                <c:ptCount val="25"/>
                <c:pt idx="0">
                  <c:v>640.41511135999997</c:v>
                </c:pt>
                <c:pt idx="1">
                  <c:v>787.24610908</c:v>
                </c:pt>
                <c:pt idx="2">
                  <c:v>1005.82926396</c:v>
                </c:pt>
                <c:pt idx="3">
                  <c:v>1130.83203168</c:v>
                </c:pt>
                <c:pt idx="4">
                  <c:v>1262.8766660700001</c:v>
                </c:pt>
                <c:pt idx="5">
                  <c:v>1382.03568232</c:v>
                </c:pt>
                <c:pt idx="6">
                  <c:v>1515.7316779400001</c:v>
                </c:pt>
                <c:pt idx="7">
                  <c:v>1665.37614173</c:v>
                </c:pt>
                <c:pt idx="8">
                  <c:v>1828.60643594</c:v>
                </c:pt>
                <c:pt idx="9">
                  <c:v>1983.0055872800001</c:v>
                </c:pt>
                <c:pt idx="10">
                  <c:v>2195.6824538599999</c:v>
                </c:pt>
                <c:pt idx="11">
                  <c:v>2386.1138500699999</c:v>
                </c:pt>
                <c:pt idx="12">
                  <c:v>2524.7797437999998</c:v>
                </c:pt>
                <c:pt idx="13">
                  <c:v>2672.4187894000002</c:v>
                </c:pt>
                <c:pt idx="14">
                  <c:v>2859.7319229</c:v>
                </c:pt>
                <c:pt idx="15">
                  <c:v>3128.5722300399998</c:v>
                </c:pt>
                <c:pt idx="16">
                  <c:v>3290.95630863</c:v>
                </c:pt>
                <c:pt idx="17">
                  <c:v>3410.6138142</c:v>
                </c:pt>
                <c:pt idx="18">
                  <c:v>3813.4745156499998</c:v>
                </c:pt>
                <c:pt idx="19">
                  <c:v>4280.8875275999999</c:v>
                </c:pt>
                <c:pt idx="20">
                  <c:v>4255.3806527899997</c:v>
                </c:pt>
                <c:pt idx="21">
                  <c:v>4691.9721921099999</c:v>
                </c:pt>
                <c:pt idx="22">
                  <c:v>4697.1146649499997</c:v>
                </c:pt>
                <c:pt idx="23">
                  <c:v>4847.69440837</c:v>
                </c:pt>
                <c:pt idx="24">
                  <c:v>5012.3306381000002</c:v>
                </c:pt>
              </c:numCache>
            </c:numRef>
          </c:val>
          <c:smooth val="0"/>
          <c:extLst>
            <c:ext xmlns:c16="http://schemas.microsoft.com/office/drawing/2014/chart" uri="{C3380CC4-5D6E-409C-BE32-E72D297353CC}">
              <c16:uniqueId val="{00000008-A73A-495E-BF67-31E69E7A2E83}"/>
            </c:ext>
          </c:extLst>
        </c:ser>
        <c:dLbls>
          <c:showLegendKey val="0"/>
          <c:showVal val="0"/>
          <c:showCatName val="0"/>
          <c:showSerName val="0"/>
          <c:showPercent val="0"/>
          <c:showBubbleSize val="0"/>
        </c:dLbls>
        <c:marker val="1"/>
        <c:smooth val="0"/>
        <c:axId val="1818987328"/>
        <c:axId val="1818977344"/>
      </c:lineChart>
      <c:catAx>
        <c:axId val="18189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18977344"/>
        <c:crosses val="autoZero"/>
        <c:auto val="1"/>
        <c:lblAlgn val="ctr"/>
        <c:lblOffset val="100"/>
        <c:noMultiLvlLbl val="0"/>
      </c:catAx>
      <c:valAx>
        <c:axId val="1818977344"/>
        <c:scaling>
          <c:orientation val="minMax"/>
        </c:scaling>
        <c:delete val="1"/>
        <c:axPos val="l"/>
        <c:numFmt formatCode="_-* #,##0.0_-;\-* #,##0.0_-;_-* &quot;-&quot;??_-;_-@_-" sourceLinked="1"/>
        <c:majorTickMark val="none"/>
        <c:minorTickMark val="none"/>
        <c:tickLblPos val="nextTo"/>
        <c:crossAx val="1818987328"/>
        <c:crosses val="autoZero"/>
        <c:crossBetween val="between"/>
        <c:dispUnits>
          <c:builtInUnit val="thousands"/>
        </c:dispUnits>
      </c:valAx>
      <c:spPr>
        <a:noFill/>
        <a:ln>
          <a:noFill/>
        </a:ln>
        <a:effectLst/>
      </c:spPr>
    </c:plotArea>
    <c:legend>
      <c:legendPos val="b"/>
      <c:layout>
        <c:manualLayout>
          <c:xMode val="edge"/>
          <c:yMode val="edge"/>
          <c:x val="0.05"/>
          <c:y val="0.86260625000000002"/>
          <c:w val="0.9"/>
          <c:h val="0.1109354166666666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s-GT"/>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75484537390251E-3"/>
          <c:y val="2.646669607410675E-2"/>
          <c:w val="0.96645433705136685"/>
          <c:h val="0.75597706219673577"/>
        </c:manualLayout>
      </c:layout>
      <c:lineChart>
        <c:grouping val="standard"/>
        <c:varyColors val="0"/>
        <c:ser>
          <c:idx val="0"/>
          <c:order val="0"/>
          <c:tx>
            <c:strRef>
              <c:f>Tablas!$D$27</c:f>
              <c:strCache>
                <c:ptCount val="1"/>
                <c:pt idx="0">
                  <c:v>Patrono</c:v>
                </c:pt>
              </c:strCache>
            </c:strRef>
          </c:tx>
          <c:spPr>
            <a:ln w="28575" cap="rnd">
              <a:solidFill>
                <a:srgbClr val="002060"/>
              </a:solidFill>
              <a:round/>
            </a:ln>
            <a:effectLst/>
          </c:spPr>
          <c:marker>
            <c:symbol val="none"/>
          </c:marker>
          <c:dLbls>
            <c:dLbl>
              <c:idx val="0"/>
              <c:layout>
                <c:manualLayout>
                  <c:x val="-7.4965277777777783E-2"/>
                  <c:y val="-0.114652777777777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15-4FE5-B229-2774EACACF4A}"/>
                </c:ext>
              </c:extLst>
            </c:dLbl>
            <c:dLbl>
              <c:idx val="7"/>
              <c:layout>
                <c:manualLayout>
                  <c:x val="-8.8194444444444478E-2"/>
                  <c:y val="-9.7013888888888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15-4FE5-B229-2774EACACF4A}"/>
                </c:ext>
              </c:extLst>
            </c:dLbl>
            <c:dLbl>
              <c:idx val="19"/>
              <c:layout>
                <c:manualLayout>
                  <c:x val="-7.4965277777777783E-2"/>
                  <c:y val="-0.10583333333333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15-4FE5-B229-2774EACACF4A}"/>
                </c:ext>
              </c:extLst>
            </c:dLbl>
            <c:dLbl>
              <c:idx val="24"/>
              <c:layout>
                <c:manualLayout>
                  <c:x val="-2.2050716648291068E-2"/>
                  <c:y val="7.937508032051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15-4FE5-B229-2774EACACF4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Tablas!$B$28:$B$72</c:f>
              <c:numCache>
                <c:formatCode>General</c:formatCode>
                <c:ptCount val="4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pt idx="27">
                  <c:v>2025</c:v>
                </c:pt>
                <c:pt idx="28">
                  <c:v>2026</c:v>
                </c:pt>
                <c:pt idx="29">
                  <c:v>2027</c:v>
                </c:pt>
                <c:pt idx="30">
                  <c:v>2028</c:v>
                </c:pt>
                <c:pt idx="31">
                  <c:v>2029</c:v>
                </c:pt>
                <c:pt idx="32">
                  <c:v>2030</c:v>
                </c:pt>
                <c:pt idx="33">
                  <c:v>2031</c:v>
                </c:pt>
                <c:pt idx="34">
                  <c:v>2032</c:v>
                </c:pt>
                <c:pt idx="35">
                  <c:v>2033</c:v>
                </c:pt>
                <c:pt idx="36">
                  <c:v>2034</c:v>
                </c:pt>
                <c:pt idx="37">
                  <c:v>2035</c:v>
                </c:pt>
                <c:pt idx="38">
                  <c:v>2036</c:v>
                </c:pt>
                <c:pt idx="39">
                  <c:v>2037</c:v>
                </c:pt>
                <c:pt idx="40">
                  <c:v>2038</c:v>
                </c:pt>
                <c:pt idx="41">
                  <c:v>2039</c:v>
                </c:pt>
                <c:pt idx="42">
                  <c:v>2040</c:v>
                </c:pt>
                <c:pt idx="43">
                  <c:v>2041</c:v>
                </c:pt>
                <c:pt idx="44">
                  <c:v>2042</c:v>
                </c:pt>
              </c:numCache>
            </c:numRef>
          </c:cat>
          <c:val>
            <c:numRef>
              <c:f>Tablas!$D$28:$D$52</c:f>
              <c:numCache>
                <c:formatCode>0.0%</c:formatCode>
                <c:ptCount val="25"/>
                <c:pt idx="0">
                  <c:v>0.19395903640846973</c:v>
                </c:pt>
                <c:pt idx="1">
                  <c:v>0.19072440466866333</c:v>
                </c:pt>
                <c:pt idx="2">
                  <c:v>0.21135578458701323</c:v>
                </c:pt>
                <c:pt idx="3">
                  <c:v>0.19285399789302604</c:v>
                </c:pt>
                <c:pt idx="4">
                  <c:v>0.19420878149821655</c:v>
                </c:pt>
                <c:pt idx="5">
                  <c:v>0.20032072591711703</c:v>
                </c:pt>
                <c:pt idx="6">
                  <c:v>0.21620280241013728</c:v>
                </c:pt>
                <c:pt idx="7">
                  <c:v>0.24289052696612387</c:v>
                </c:pt>
                <c:pt idx="8">
                  <c:v>0.24924350485752164</c:v>
                </c:pt>
                <c:pt idx="9">
                  <c:v>0.24069412031092807</c:v>
                </c:pt>
                <c:pt idx="10">
                  <c:v>0.23096241867491096</c:v>
                </c:pt>
                <c:pt idx="11">
                  <c:v>0.18471169060785558</c:v>
                </c:pt>
                <c:pt idx="12">
                  <c:v>0.16258599556964343</c:v>
                </c:pt>
                <c:pt idx="13">
                  <c:v>0.14314205535688179</c:v>
                </c:pt>
                <c:pt idx="14">
                  <c:v>0.1503345590527714</c:v>
                </c:pt>
                <c:pt idx="15">
                  <c:v>0.14574230742977679</c:v>
                </c:pt>
                <c:pt idx="16">
                  <c:v>0.13042843264678014</c:v>
                </c:pt>
                <c:pt idx="17">
                  <c:v>0.12257541559893433</c:v>
                </c:pt>
                <c:pt idx="18">
                  <c:v>0.12054183641283218</c:v>
                </c:pt>
                <c:pt idx="19">
                  <c:v>0.15331054273684255</c:v>
                </c:pt>
                <c:pt idx="20">
                  <c:v>0.14291002110972842</c:v>
                </c:pt>
                <c:pt idx="21">
                  <c:v>0.12809272289977872</c:v>
                </c:pt>
                <c:pt idx="22">
                  <c:v>0.10730656833432521</c:v>
                </c:pt>
                <c:pt idx="23">
                  <c:v>0.10563284962794367</c:v>
                </c:pt>
                <c:pt idx="24">
                  <c:v>0.10630507629781999</c:v>
                </c:pt>
              </c:numCache>
            </c:numRef>
          </c:val>
          <c:smooth val="0"/>
          <c:extLst>
            <c:ext xmlns:c16="http://schemas.microsoft.com/office/drawing/2014/chart" uri="{C3380CC4-5D6E-409C-BE32-E72D297353CC}">
              <c16:uniqueId val="{00000004-6015-4FE5-B229-2774EACACF4A}"/>
            </c:ext>
          </c:extLst>
        </c:ser>
        <c:ser>
          <c:idx val="1"/>
          <c:order val="1"/>
          <c:tx>
            <c:strRef>
              <c:f>Tablas!$C$27</c:f>
              <c:strCache>
                <c:ptCount val="1"/>
                <c:pt idx="0">
                  <c:v>Trabajadores</c:v>
                </c:pt>
              </c:strCache>
            </c:strRef>
          </c:tx>
          <c:spPr>
            <a:ln w="28575" cap="rnd">
              <a:solidFill>
                <a:schemeClr val="tx2">
                  <a:lumMod val="60000"/>
                  <a:lumOff val="40000"/>
                </a:schemeClr>
              </a:solidFill>
              <a:round/>
            </a:ln>
            <a:effectLst/>
          </c:spPr>
          <c:marker>
            <c:symbol val="none"/>
          </c:marker>
          <c:dLbls>
            <c:dLbl>
              <c:idx val="0"/>
              <c:layout>
                <c:manualLayout>
                  <c:x val="-4.8506944444444457E-2"/>
                  <c:y val="7.0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15-4FE5-B229-2774EACACF4A}"/>
                </c:ext>
              </c:extLst>
            </c:dLbl>
            <c:dLbl>
              <c:idx val="7"/>
              <c:layout>
                <c:manualLayout>
                  <c:x val="-9.2604166666666668E-2"/>
                  <c:y val="0.105833333333333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15-4FE5-B229-2774EACACF4A}"/>
                </c:ext>
              </c:extLst>
            </c:dLbl>
            <c:dLbl>
              <c:idx val="19"/>
              <c:layout>
                <c:manualLayout>
                  <c:x val="-6.6145833333333418E-2"/>
                  <c:y val="7.0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15-4FE5-B229-2774EACACF4A}"/>
                </c:ext>
              </c:extLst>
            </c:dLbl>
            <c:dLbl>
              <c:idx val="24"/>
              <c:layout>
                <c:manualLayout>
                  <c:x val="-2.6460165467188709E-2"/>
                  <c:y val="-0.105833440427357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15-4FE5-B229-2774EACACF4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Tablas!$C$28:$C$52</c:f>
              <c:numCache>
                <c:formatCode>0.0%</c:formatCode>
                <c:ptCount val="25"/>
                <c:pt idx="0">
                  <c:v>0.10423029184094823</c:v>
                </c:pt>
                <c:pt idx="1">
                  <c:v>0.11910884341065213</c:v>
                </c:pt>
                <c:pt idx="2">
                  <c:v>0.11614369111269225</c:v>
                </c:pt>
                <c:pt idx="3">
                  <c:v>0.11147305385824989</c:v>
                </c:pt>
                <c:pt idx="4">
                  <c:v>0.11457688977861145</c:v>
                </c:pt>
                <c:pt idx="5">
                  <c:v>0.11519164585790262</c:v>
                </c:pt>
                <c:pt idx="6">
                  <c:v>0.11953889909963018</c:v>
                </c:pt>
                <c:pt idx="7">
                  <c:v>0.11970882900556415</c:v>
                </c:pt>
                <c:pt idx="8">
                  <c:v>0.11727331695089564</c:v>
                </c:pt>
                <c:pt idx="9">
                  <c:v>0.11969956899533436</c:v>
                </c:pt>
                <c:pt idx="10">
                  <c:v>0.11897435319943289</c:v>
                </c:pt>
                <c:pt idx="11">
                  <c:v>0.11628829382297282</c:v>
                </c:pt>
                <c:pt idx="12">
                  <c:v>0.11940009194274145</c:v>
                </c:pt>
                <c:pt idx="13">
                  <c:v>0.11921847582330974</c:v>
                </c:pt>
                <c:pt idx="14">
                  <c:v>0.12070520144594191</c:v>
                </c:pt>
                <c:pt idx="15">
                  <c:v>0.12228273817942237</c:v>
                </c:pt>
                <c:pt idx="16">
                  <c:v>0.12601696092133757</c:v>
                </c:pt>
                <c:pt idx="17">
                  <c:v>0.11500173864042608</c:v>
                </c:pt>
                <c:pt idx="18">
                  <c:v>0.13672928871922282</c:v>
                </c:pt>
                <c:pt idx="19">
                  <c:v>0.12044811057299436</c:v>
                </c:pt>
                <c:pt idx="20">
                  <c:v>0.12206680231371654</c:v>
                </c:pt>
                <c:pt idx="21">
                  <c:v>0.12665226680442976</c:v>
                </c:pt>
                <c:pt idx="22">
                  <c:v>0.12845558940756385</c:v>
                </c:pt>
                <c:pt idx="23">
                  <c:v>0.12949671135528837</c:v>
                </c:pt>
                <c:pt idx="24">
                  <c:v>0.12967341325119647</c:v>
                </c:pt>
              </c:numCache>
            </c:numRef>
          </c:val>
          <c:smooth val="0"/>
          <c:extLst>
            <c:ext xmlns:c16="http://schemas.microsoft.com/office/drawing/2014/chart" uri="{C3380CC4-5D6E-409C-BE32-E72D297353CC}">
              <c16:uniqueId val="{00000009-6015-4FE5-B229-2774EACACF4A}"/>
            </c:ext>
          </c:extLst>
        </c:ser>
        <c:dLbls>
          <c:showLegendKey val="0"/>
          <c:showVal val="0"/>
          <c:showCatName val="0"/>
          <c:showSerName val="0"/>
          <c:showPercent val="0"/>
          <c:showBubbleSize val="0"/>
        </c:dLbls>
        <c:smooth val="0"/>
        <c:axId val="578423808"/>
        <c:axId val="578432960"/>
      </c:lineChart>
      <c:catAx>
        <c:axId val="57842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78432960"/>
        <c:crosses val="autoZero"/>
        <c:auto val="1"/>
        <c:lblAlgn val="ctr"/>
        <c:lblOffset val="100"/>
        <c:noMultiLvlLbl val="0"/>
      </c:catAx>
      <c:valAx>
        <c:axId val="578432960"/>
        <c:scaling>
          <c:orientation val="minMax"/>
        </c:scaling>
        <c:delete val="1"/>
        <c:axPos val="l"/>
        <c:numFmt formatCode="0.0%" sourceLinked="1"/>
        <c:majorTickMark val="none"/>
        <c:minorTickMark val="none"/>
        <c:tickLblPos val="nextTo"/>
        <c:crossAx val="578423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75151548648545"/>
          <c:y val="4.3956944729063696E-2"/>
          <c:w val="0.81456880436949641"/>
          <c:h val="0.79447116970987364"/>
        </c:manualLayout>
      </c:layout>
      <c:barChart>
        <c:barDir val="col"/>
        <c:grouping val="clustered"/>
        <c:varyColors val="0"/>
        <c:ser>
          <c:idx val="1"/>
          <c:order val="1"/>
          <c:spPr>
            <a:solidFill>
              <a:schemeClr val="accent2"/>
            </a:solidFill>
            <a:ln>
              <a:noFill/>
            </a:ln>
            <a:effectLst/>
          </c:spPr>
          <c:invertIfNegative val="0"/>
          <c:dPt>
            <c:idx val="21"/>
            <c:invertIfNegative val="0"/>
            <c:bubble3D val="0"/>
            <c:spPr>
              <a:solidFill>
                <a:srgbClr val="002060"/>
              </a:solidFill>
              <a:ln>
                <a:noFill/>
              </a:ln>
              <a:effectLst/>
            </c:spPr>
            <c:extLst>
              <c:ext xmlns:c16="http://schemas.microsoft.com/office/drawing/2014/chart" uri="{C3380CC4-5D6E-409C-BE32-E72D297353CC}">
                <c16:uniqueId val="{00000001-F51C-4FB5-BF12-D02BC679D6FF}"/>
              </c:ext>
            </c:extLst>
          </c:dPt>
          <c:cat>
            <c:numRef>
              <c:f>Activos!$E$4200:$E$4274</c:f>
              <c:numCache>
                <c:formatCode>General</c:formatCode>
                <c:ptCount val="75"/>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68</c:v>
                </c:pt>
                <c:pt idx="51">
                  <c:v>69</c:v>
                </c:pt>
                <c:pt idx="52">
                  <c:v>70</c:v>
                </c:pt>
                <c:pt idx="53">
                  <c:v>71</c:v>
                </c:pt>
                <c:pt idx="54">
                  <c:v>72</c:v>
                </c:pt>
                <c:pt idx="55">
                  <c:v>73</c:v>
                </c:pt>
                <c:pt idx="56">
                  <c:v>74</c:v>
                </c:pt>
                <c:pt idx="57">
                  <c:v>75</c:v>
                </c:pt>
                <c:pt idx="58">
                  <c:v>76</c:v>
                </c:pt>
                <c:pt idx="59">
                  <c:v>77</c:v>
                </c:pt>
                <c:pt idx="60">
                  <c:v>78</c:v>
                </c:pt>
                <c:pt idx="61">
                  <c:v>79</c:v>
                </c:pt>
                <c:pt idx="62">
                  <c:v>80</c:v>
                </c:pt>
                <c:pt idx="63">
                  <c:v>81</c:v>
                </c:pt>
                <c:pt idx="64">
                  <c:v>82</c:v>
                </c:pt>
                <c:pt idx="65">
                  <c:v>83</c:v>
                </c:pt>
                <c:pt idx="66">
                  <c:v>84</c:v>
                </c:pt>
                <c:pt idx="67">
                  <c:v>85</c:v>
                </c:pt>
                <c:pt idx="68">
                  <c:v>86</c:v>
                </c:pt>
                <c:pt idx="69">
                  <c:v>87</c:v>
                </c:pt>
                <c:pt idx="70">
                  <c:v>88</c:v>
                </c:pt>
                <c:pt idx="71">
                  <c:v>89</c:v>
                </c:pt>
                <c:pt idx="72">
                  <c:v>90</c:v>
                </c:pt>
                <c:pt idx="73">
                  <c:v>91</c:v>
                </c:pt>
                <c:pt idx="74">
                  <c:v>92</c:v>
                </c:pt>
              </c:numCache>
            </c:numRef>
          </c:cat>
          <c:val>
            <c:numRef>
              <c:f>Activos!$H$4201:$H$4272</c:f>
              <c:numCache>
                <c:formatCode>General</c:formatCode>
                <c:ptCount val="72"/>
                <c:pt idx="21" formatCode="_-* #,##0.0_-;\-* #,##0.0_-;_-* &quot;-&quot;??_-;_-@_-">
                  <c:v>40830.152622069028</c:v>
                </c:pt>
              </c:numCache>
            </c:numRef>
          </c:val>
          <c:extLst>
            <c:ext xmlns:c16="http://schemas.microsoft.com/office/drawing/2014/chart" uri="{C3380CC4-5D6E-409C-BE32-E72D297353CC}">
              <c16:uniqueId val="{00000002-F51C-4FB5-BF12-D02BC679D6FF}"/>
            </c:ext>
          </c:extLst>
        </c:ser>
        <c:ser>
          <c:idx val="4"/>
          <c:order val="4"/>
          <c:spPr>
            <a:solidFill>
              <a:schemeClr val="accent5"/>
            </a:solidFill>
            <a:ln>
              <a:noFill/>
            </a:ln>
            <a:effectLst/>
          </c:spPr>
          <c:invertIfNegative val="0"/>
          <c:dPt>
            <c:idx val="28"/>
            <c:invertIfNegative val="0"/>
            <c:bubble3D val="0"/>
            <c:spPr>
              <a:solidFill>
                <a:schemeClr val="accent1"/>
              </a:solidFill>
              <a:ln>
                <a:noFill/>
              </a:ln>
              <a:effectLst/>
            </c:spPr>
            <c:extLst>
              <c:ext xmlns:c16="http://schemas.microsoft.com/office/drawing/2014/chart" uri="{C3380CC4-5D6E-409C-BE32-E72D297353CC}">
                <c16:uniqueId val="{00000004-F51C-4FB5-BF12-D02BC679D6FF}"/>
              </c:ext>
            </c:extLst>
          </c:dPt>
          <c:val>
            <c:numRef>
              <c:f>Activos!$R$4200:$R$4272</c:f>
              <c:numCache>
                <c:formatCode>General</c:formatCode>
                <c:ptCount val="73"/>
                <c:pt idx="28" formatCode="_-* #,##0.0_-;\-* #,##0.0_-;_-* &quot;-&quot;??_-;_-@_-">
                  <c:v>46913.518280134514</c:v>
                </c:pt>
              </c:numCache>
            </c:numRef>
          </c:val>
          <c:extLst>
            <c:ext xmlns:c16="http://schemas.microsoft.com/office/drawing/2014/chart" uri="{C3380CC4-5D6E-409C-BE32-E72D297353CC}">
              <c16:uniqueId val="{00000005-F51C-4FB5-BF12-D02BC679D6FF}"/>
            </c:ext>
          </c:extLst>
        </c:ser>
        <c:ser>
          <c:idx val="5"/>
          <c:order val="5"/>
          <c:tx>
            <c:strRef>
              <c:f>Activos!$Z$4199</c:f>
              <c:strCache>
                <c:ptCount val="1"/>
                <c:pt idx="0">
                  <c:v>2042</c:v>
                </c:pt>
              </c:strCache>
            </c:strRef>
          </c:tx>
          <c:spPr>
            <a:solidFill>
              <a:schemeClr val="accent6"/>
            </a:solidFill>
            <a:ln>
              <a:noFill/>
            </a:ln>
            <a:effectLst/>
          </c:spPr>
          <c:invertIfNegative val="0"/>
          <c:dPt>
            <c:idx val="38"/>
            <c:invertIfNegative val="0"/>
            <c:bubble3D val="0"/>
            <c:spPr>
              <a:solidFill>
                <a:schemeClr val="bg1">
                  <a:lumMod val="65000"/>
                </a:schemeClr>
              </a:solidFill>
              <a:ln>
                <a:noFill/>
              </a:ln>
              <a:effectLst/>
            </c:spPr>
            <c:extLst>
              <c:ext xmlns:c16="http://schemas.microsoft.com/office/drawing/2014/chart" uri="{C3380CC4-5D6E-409C-BE32-E72D297353CC}">
                <c16:uniqueId val="{00000007-F51C-4FB5-BF12-D02BC679D6FF}"/>
              </c:ext>
            </c:extLst>
          </c:dPt>
          <c:val>
            <c:numRef>
              <c:f>Activos!$AB$4200:$AB$4272</c:f>
              <c:numCache>
                <c:formatCode>General</c:formatCode>
                <c:ptCount val="73"/>
                <c:pt idx="38" formatCode="_-* #,##0.0_-;\-* #,##0.0_-;_-* &quot;-&quot;??_-;_-@_-">
                  <c:v>54087.312928098829</c:v>
                </c:pt>
              </c:numCache>
            </c:numRef>
          </c:val>
          <c:extLst>
            <c:ext xmlns:c16="http://schemas.microsoft.com/office/drawing/2014/chart" uri="{C3380CC4-5D6E-409C-BE32-E72D297353CC}">
              <c16:uniqueId val="{00000008-F51C-4FB5-BF12-D02BC679D6FF}"/>
            </c:ext>
          </c:extLst>
        </c:ser>
        <c:dLbls>
          <c:showLegendKey val="0"/>
          <c:showVal val="0"/>
          <c:showCatName val="0"/>
          <c:showSerName val="0"/>
          <c:showPercent val="0"/>
          <c:showBubbleSize val="0"/>
        </c:dLbls>
        <c:gapWidth val="150"/>
        <c:axId val="166102368"/>
        <c:axId val="166108608"/>
      </c:barChart>
      <c:lineChart>
        <c:grouping val="standard"/>
        <c:varyColors val="0"/>
        <c:ser>
          <c:idx val="0"/>
          <c:order val="0"/>
          <c:tx>
            <c:strRef>
              <c:f>Activos!$F$4199</c:f>
              <c:strCache>
                <c:ptCount val="1"/>
                <c:pt idx="0">
                  <c:v>2022</c:v>
                </c:pt>
              </c:strCache>
            </c:strRef>
          </c:tx>
          <c:spPr>
            <a:ln w="28575" cap="rnd">
              <a:solidFill>
                <a:srgbClr val="002060"/>
              </a:solidFill>
              <a:round/>
            </a:ln>
            <a:effectLst/>
          </c:spPr>
          <c:marker>
            <c:symbol val="none"/>
          </c:marker>
          <c:cat>
            <c:numRef>
              <c:f>Activos!$E$4200:$E$4274</c:f>
              <c:numCache>
                <c:formatCode>General</c:formatCode>
                <c:ptCount val="75"/>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68</c:v>
                </c:pt>
                <c:pt idx="51">
                  <c:v>69</c:v>
                </c:pt>
                <c:pt idx="52">
                  <c:v>70</c:v>
                </c:pt>
                <c:pt idx="53">
                  <c:v>71</c:v>
                </c:pt>
                <c:pt idx="54">
                  <c:v>72</c:v>
                </c:pt>
                <c:pt idx="55">
                  <c:v>73</c:v>
                </c:pt>
                <c:pt idx="56">
                  <c:v>74</c:v>
                </c:pt>
                <c:pt idx="57">
                  <c:v>75</c:v>
                </c:pt>
                <c:pt idx="58">
                  <c:v>76</c:v>
                </c:pt>
                <c:pt idx="59">
                  <c:v>77</c:v>
                </c:pt>
                <c:pt idx="60">
                  <c:v>78</c:v>
                </c:pt>
                <c:pt idx="61">
                  <c:v>79</c:v>
                </c:pt>
                <c:pt idx="62">
                  <c:v>80</c:v>
                </c:pt>
                <c:pt idx="63">
                  <c:v>81</c:v>
                </c:pt>
                <c:pt idx="64">
                  <c:v>82</c:v>
                </c:pt>
                <c:pt idx="65">
                  <c:v>83</c:v>
                </c:pt>
                <c:pt idx="66">
                  <c:v>84</c:v>
                </c:pt>
                <c:pt idx="67">
                  <c:v>85</c:v>
                </c:pt>
                <c:pt idx="68">
                  <c:v>86</c:v>
                </c:pt>
                <c:pt idx="69">
                  <c:v>87</c:v>
                </c:pt>
                <c:pt idx="70">
                  <c:v>88</c:v>
                </c:pt>
                <c:pt idx="71">
                  <c:v>89</c:v>
                </c:pt>
                <c:pt idx="72">
                  <c:v>90</c:v>
                </c:pt>
                <c:pt idx="73">
                  <c:v>91</c:v>
                </c:pt>
                <c:pt idx="74">
                  <c:v>92</c:v>
                </c:pt>
              </c:numCache>
            </c:numRef>
          </c:cat>
          <c:val>
            <c:numRef>
              <c:f>Activos!$F$4200:$F$4272</c:f>
              <c:numCache>
                <c:formatCode>_-* #,##0.0_-;\-* #,##0.0_-;_-* "-"??_-;_-@_-</c:formatCode>
                <c:ptCount val="73"/>
                <c:pt idx="0">
                  <c:v>5.061340109558226</c:v>
                </c:pt>
                <c:pt idx="1">
                  <c:v>65.797421424256939</c:v>
                </c:pt>
                <c:pt idx="2">
                  <c:v>248.00566536835308</c:v>
                </c:pt>
                <c:pt idx="3">
                  <c:v>459.31661494240899</c:v>
                </c:pt>
                <c:pt idx="4">
                  <c:v>731.36364583116381</c:v>
                </c:pt>
                <c:pt idx="5">
                  <c:v>1519.6673678948573</c:v>
                </c:pt>
                <c:pt idx="6">
                  <c:v>2006.8213534398362</c:v>
                </c:pt>
                <c:pt idx="7">
                  <c:v>2709.0822936410409</c:v>
                </c:pt>
                <c:pt idx="8">
                  <c:v>3358.1991626918825</c:v>
                </c:pt>
                <c:pt idx="9">
                  <c:v>4489.4086771781467</c:v>
                </c:pt>
                <c:pt idx="10">
                  <c:v>5277.7123992418392</c:v>
                </c:pt>
                <c:pt idx="11">
                  <c:v>5446.0019578846504</c:v>
                </c:pt>
                <c:pt idx="12">
                  <c:v>5891.3998875257739</c:v>
                </c:pt>
                <c:pt idx="13">
                  <c:v>7512.2940576117971</c:v>
                </c:pt>
                <c:pt idx="14">
                  <c:v>9314.1311366145237</c:v>
                </c:pt>
                <c:pt idx="15">
                  <c:v>10847.717189810672</c:v>
                </c:pt>
                <c:pt idx="16">
                  <c:v>11248.828393493162</c:v>
                </c:pt>
                <c:pt idx="17">
                  <c:v>11557.570140176211</c:v>
                </c:pt>
                <c:pt idx="18">
                  <c:v>11720.798358709466</c:v>
                </c:pt>
                <c:pt idx="19">
                  <c:v>11204.541667534526</c:v>
                </c:pt>
                <c:pt idx="20">
                  <c:v>10389.66590989565</c:v>
                </c:pt>
                <c:pt idx="21">
                  <c:v>9694.9969798587845</c:v>
                </c:pt>
                <c:pt idx="22">
                  <c:v>9225.5576846972599</c:v>
                </c:pt>
                <c:pt idx="23">
                  <c:v>8621.992876632441</c:v>
                </c:pt>
                <c:pt idx="24">
                  <c:v>8196.8403074295493</c:v>
                </c:pt>
                <c:pt idx="25">
                  <c:v>7618.5821999125174</c:v>
                </c:pt>
                <c:pt idx="26">
                  <c:v>7174.449605298787</c:v>
                </c:pt>
                <c:pt idx="27">
                  <c:v>6393.7378933994269</c:v>
                </c:pt>
                <c:pt idx="28">
                  <c:v>6066.0161213055326</c:v>
                </c:pt>
                <c:pt idx="29">
                  <c:v>6190.0189539897092</c:v>
                </c:pt>
                <c:pt idx="30">
                  <c:v>5576.3314657057754</c:v>
                </c:pt>
                <c:pt idx="31">
                  <c:v>5287.8350794609551</c:v>
                </c:pt>
                <c:pt idx="32">
                  <c:v>4937.3372768740483</c:v>
                </c:pt>
                <c:pt idx="33">
                  <c:v>4404.6312303430459</c:v>
                </c:pt>
                <c:pt idx="34">
                  <c:v>3882.047864031159</c:v>
                </c:pt>
                <c:pt idx="35">
                  <c:v>3584.6941325946127</c:v>
                </c:pt>
                <c:pt idx="36">
                  <c:v>3145.6228780904376</c:v>
                </c:pt>
                <c:pt idx="37">
                  <c:v>3014.0280352419227</c:v>
                </c:pt>
                <c:pt idx="38">
                  <c:v>2803.9824206952562</c:v>
                </c:pt>
                <c:pt idx="39">
                  <c:v>2634.4275270250573</c:v>
                </c:pt>
                <c:pt idx="40">
                  <c:v>2447.1579429714025</c:v>
                </c:pt>
                <c:pt idx="41">
                  <c:v>2328.2164503967838</c:v>
                </c:pt>
                <c:pt idx="42">
                  <c:v>2177.6415821374262</c:v>
                </c:pt>
                <c:pt idx="43">
                  <c:v>2648.3462123263416</c:v>
                </c:pt>
                <c:pt idx="44">
                  <c:v>1658.8542209077082</c:v>
                </c:pt>
                <c:pt idx="45">
                  <c:v>1329.8671137864239</c:v>
                </c:pt>
                <c:pt idx="46">
                  <c:v>1126.1481743767049</c:v>
                </c:pt>
                <c:pt idx="47">
                  <c:v>973.04263606256904</c:v>
                </c:pt>
                <c:pt idx="48">
                  <c:v>731.36364583116358</c:v>
                </c:pt>
                <c:pt idx="49">
                  <c:v>613.68748828393495</c:v>
                </c:pt>
                <c:pt idx="50">
                  <c:v>521.31803128449735</c:v>
                </c:pt>
                <c:pt idx="51">
                  <c:v>434.00991439461779</c:v>
                </c:pt>
                <c:pt idx="52">
                  <c:v>337.84445231301163</c:v>
                </c:pt>
                <c:pt idx="53">
                  <c:v>258.12834558746954</c:v>
                </c:pt>
                <c:pt idx="54">
                  <c:v>244.20966028618446</c:v>
                </c:pt>
                <c:pt idx="55">
                  <c:v>173.35089875236926</c:v>
                </c:pt>
                <c:pt idx="56">
                  <c:v>130.32950782112431</c:v>
                </c:pt>
                <c:pt idx="57">
                  <c:v>116.41082251983916</c:v>
                </c:pt>
                <c:pt idx="58">
                  <c:v>73.389431588594263</c:v>
                </c:pt>
                <c:pt idx="59">
                  <c:v>58.205411259919586</c:v>
                </c:pt>
                <c:pt idx="60">
                  <c:v>54.409406177750903</c:v>
                </c:pt>
                <c:pt idx="61">
                  <c:v>29.1027056299598</c:v>
                </c:pt>
                <c:pt idx="62">
                  <c:v>25.306700547791134</c:v>
                </c:pt>
                <c:pt idx="63">
                  <c:v>11.388015246506008</c:v>
                </c:pt>
                <c:pt idx="64">
                  <c:v>15.184020328674677</c:v>
                </c:pt>
                <c:pt idx="65">
                  <c:v>3.7960050821686693</c:v>
                </c:pt>
                <c:pt idx="66">
                  <c:v>3.7960050821686693</c:v>
                </c:pt>
                <c:pt idx="67">
                  <c:v>6.3266751369477827</c:v>
                </c:pt>
                <c:pt idx="68">
                  <c:v>1.2653350273895565</c:v>
                </c:pt>
                <c:pt idx="69">
                  <c:v>1.2653350273895565</c:v>
                </c:pt>
                <c:pt idx="70">
                  <c:v>3.7960050821686693</c:v>
                </c:pt>
                <c:pt idx="71">
                  <c:v>3.7960050821686693</c:v>
                </c:pt>
                <c:pt idx="72">
                  <c:v>1.2653350273895565</c:v>
                </c:pt>
              </c:numCache>
            </c:numRef>
          </c:val>
          <c:smooth val="0"/>
          <c:extLst>
            <c:ext xmlns:c16="http://schemas.microsoft.com/office/drawing/2014/chart" uri="{C3380CC4-5D6E-409C-BE32-E72D297353CC}">
              <c16:uniqueId val="{00000009-F51C-4FB5-BF12-D02BC679D6FF}"/>
            </c:ext>
          </c:extLst>
        </c:ser>
        <c:ser>
          <c:idx val="2"/>
          <c:order val="2"/>
          <c:tx>
            <c:strRef>
              <c:f>Activos!$P$4199</c:f>
              <c:strCache>
                <c:ptCount val="1"/>
                <c:pt idx="0">
                  <c:v>2032</c:v>
                </c:pt>
              </c:strCache>
            </c:strRef>
          </c:tx>
          <c:spPr>
            <a:ln w="28575" cap="rnd">
              <a:solidFill>
                <a:schemeClr val="accent1"/>
              </a:solidFill>
              <a:round/>
            </a:ln>
            <a:effectLst/>
          </c:spPr>
          <c:marker>
            <c:symbol val="none"/>
          </c:marker>
          <c:val>
            <c:numRef>
              <c:f>Activos!$P$4200:$P$4272</c:f>
              <c:numCache>
                <c:formatCode>_-* #,##0.0_-;\-* #,##0.0_-;_-* "-"??_-;_-@_-</c:formatCode>
                <c:ptCount val="73"/>
                <c:pt idx="0">
                  <c:v>0</c:v>
                </c:pt>
                <c:pt idx="1">
                  <c:v>0</c:v>
                </c:pt>
                <c:pt idx="2">
                  <c:v>0</c:v>
                </c:pt>
                <c:pt idx="3">
                  <c:v>0</c:v>
                </c:pt>
                <c:pt idx="4">
                  <c:v>0</c:v>
                </c:pt>
                <c:pt idx="5">
                  <c:v>0</c:v>
                </c:pt>
                <c:pt idx="6">
                  <c:v>0</c:v>
                </c:pt>
                <c:pt idx="7">
                  <c:v>0</c:v>
                </c:pt>
                <c:pt idx="8">
                  <c:v>0</c:v>
                </c:pt>
                <c:pt idx="9">
                  <c:v>5.061340109558226</c:v>
                </c:pt>
                <c:pt idx="10">
                  <c:v>65.797421424256939</c:v>
                </c:pt>
                <c:pt idx="11">
                  <c:v>248.00566536835308</c:v>
                </c:pt>
                <c:pt idx="12">
                  <c:v>449.31661494240899</c:v>
                </c:pt>
                <c:pt idx="13">
                  <c:v>721.36364583116381</c:v>
                </c:pt>
                <c:pt idx="14">
                  <c:v>1489.6673678948573</c:v>
                </c:pt>
                <c:pt idx="15">
                  <c:v>1976.8213534398362</c:v>
                </c:pt>
                <c:pt idx="16">
                  <c:v>2658.0822936410409</c:v>
                </c:pt>
                <c:pt idx="17">
                  <c:v>3292.1991626918825</c:v>
                </c:pt>
                <c:pt idx="18">
                  <c:v>4398.4086771781467</c:v>
                </c:pt>
                <c:pt idx="19">
                  <c:v>5159.7123992418392</c:v>
                </c:pt>
                <c:pt idx="20">
                  <c:v>5321.0019578846504</c:v>
                </c:pt>
                <c:pt idx="21">
                  <c:v>5737.3998875257739</c:v>
                </c:pt>
                <c:pt idx="22">
                  <c:v>7282.2940576117971</c:v>
                </c:pt>
                <c:pt idx="23">
                  <c:v>8928.1311366145237</c:v>
                </c:pt>
                <c:pt idx="24">
                  <c:v>10263.717189810672</c:v>
                </c:pt>
                <c:pt idx="25">
                  <c:v>10511.828393493162</c:v>
                </c:pt>
                <c:pt idx="26">
                  <c:v>10645.570140176211</c:v>
                </c:pt>
                <c:pt idx="27">
                  <c:v>10633.798358709466</c:v>
                </c:pt>
                <c:pt idx="28">
                  <c:v>9980.5416675345277</c:v>
                </c:pt>
                <c:pt idx="29">
                  <c:v>9070.6659098956497</c:v>
                </c:pt>
                <c:pt idx="30">
                  <c:v>8282.9969798587845</c:v>
                </c:pt>
                <c:pt idx="31">
                  <c:v>7645.5576846972572</c:v>
                </c:pt>
                <c:pt idx="32">
                  <c:v>6766.9928766324374</c:v>
                </c:pt>
                <c:pt idx="33">
                  <c:v>6050.044302347379</c:v>
                </c:pt>
                <c:pt idx="34">
                  <c:v>5219.3168648851297</c:v>
                </c:pt>
                <c:pt idx="35">
                  <c:v>4620.1842702713957</c:v>
                </c:pt>
                <c:pt idx="36">
                  <c:v>3859.7378933994282</c:v>
                </c:pt>
                <c:pt idx="37">
                  <c:v>3447.8121263877015</c:v>
                </c:pt>
                <c:pt idx="38">
                  <c:v>3328.2229489075416</c:v>
                </c:pt>
                <c:pt idx="39">
                  <c:v>2848.8621357605539</c:v>
                </c:pt>
                <c:pt idx="40">
                  <c:v>2573.1004144883464</c:v>
                </c:pt>
                <c:pt idx="41">
                  <c:v>2286.6026119014391</c:v>
                </c:pt>
                <c:pt idx="42">
                  <c:v>2005.6312303430464</c:v>
                </c:pt>
                <c:pt idx="43">
                  <c:v>1731.047864031159</c:v>
                </c:pt>
                <c:pt idx="44">
                  <c:v>1547.6941325946136</c:v>
                </c:pt>
                <c:pt idx="45">
                  <c:v>1326.6228780904369</c:v>
                </c:pt>
                <c:pt idx="46">
                  <c:v>1228.7627002145343</c:v>
                </c:pt>
                <c:pt idx="47">
                  <c:v>1109.2477557226466</c:v>
                </c:pt>
                <c:pt idx="48">
                  <c:v>1013.1621919976673</c:v>
                </c:pt>
                <c:pt idx="49">
                  <c:v>882.42327799879172</c:v>
                </c:pt>
                <c:pt idx="50">
                  <c:v>814.42044531461545</c:v>
                </c:pt>
                <c:pt idx="51">
                  <c:v>728.04957197308954</c:v>
                </c:pt>
                <c:pt idx="52">
                  <c:v>795.89685697027755</c:v>
                </c:pt>
                <c:pt idx="53">
                  <c:v>514.97690112682506</c:v>
                </c:pt>
                <c:pt idx="54">
                  <c:v>399.60177875903418</c:v>
                </c:pt>
                <c:pt idx="55">
                  <c:v>307.10680885630376</c:v>
                </c:pt>
                <c:pt idx="56">
                  <c:v>252.57330611734801</c:v>
                </c:pt>
                <c:pt idx="57">
                  <c:v>197.83297577638456</c:v>
                </c:pt>
                <c:pt idx="58">
                  <c:v>153.01416342088268</c:v>
                </c:pt>
                <c:pt idx="59">
                  <c:v>134.52202620232859</c:v>
                </c:pt>
                <c:pt idx="60">
                  <c:v>108.7445793672283</c:v>
                </c:pt>
                <c:pt idx="61">
                  <c:v>92.028472641686278</c:v>
                </c:pt>
                <c:pt idx="62">
                  <c:v>77.659015642248633</c:v>
                </c:pt>
                <c:pt idx="63">
                  <c:v>73.271000395742632</c:v>
                </c:pt>
                <c:pt idx="64">
                  <c:v>65.616233779758801</c:v>
                </c:pt>
                <c:pt idx="65">
                  <c:v>55.390847930682533</c:v>
                </c:pt>
                <c:pt idx="66">
                  <c:v>48.206827602007849</c:v>
                </c:pt>
                <c:pt idx="67">
                  <c:v>37.654766615983831</c:v>
                </c:pt>
                <c:pt idx="68">
                  <c:v>34.205411259919607</c:v>
                </c:pt>
                <c:pt idx="69">
                  <c:v>35.470746287309154</c:v>
                </c:pt>
                <c:pt idx="70">
                  <c:v>8.8373706025702425</c:v>
                </c:pt>
                <c:pt idx="71">
                  <c:v>7.8373706025702443</c:v>
                </c:pt>
                <c:pt idx="72">
                  <c:v>1.592010164337339</c:v>
                </c:pt>
              </c:numCache>
            </c:numRef>
          </c:val>
          <c:smooth val="0"/>
          <c:extLst>
            <c:ext xmlns:c16="http://schemas.microsoft.com/office/drawing/2014/chart" uri="{C3380CC4-5D6E-409C-BE32-E72D297353CC}">
              <c16:uniqueId val="{0000000A-F51C-4FB5-BF12-D02BC679D6FF}"/>
            </c:ext>
          </c:extLst>
        </c:ser>
        <c:ser>
          <c:idx val="3"/>
          <c:order val="3"/>
          <c:tx>
            <c:strRef>
              <c:f>Activos!$Z$4199</c:f>
              <c:strCache>
                <c:ptCount val="1"/>
                <c:pt idx="0">
                  <c:v>2042</c:v>
                </c:pt>
              </c:strCache>
            </c:strRef>
          </c:tx>
          <c:spPr>
            <a:ln w="28575" cap="rnd">
              <a:solidFill>
                <a:schemeClr val="bg1">
                  <a:lumMod val="65000"/>
                </a:schemeClr>
              </a:solidFill>
              <a:round/>
            </a:ln>
            <a:effectLst/>
          </c:spPr>
          <c:marker>
            <c:symbol val="none"/>
          </c:marker>
          <c:val>
            <c:numRef>
              <c:f>Activos!$Z$4200:$Z$4272</c:f>
              <c:numCache>
                <c:formatCode>_-* #,##0.0_-;\-* #,##0.0_-;_-* "-"??_-;_-@_-</c:formatCode>
                <c:ptCount val="7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5.061340109558226</c:v>
                </c:pt>
                <c:pt idx="20">
                  <c:v>65.797421424256939</c:v>
                </c:pt>
                <c:pt idx="21">
                  <c:v>241.00566536835308</c:v>
                </c:pt>
                <c:pt idx="22">
                  <c:v>436.31661494240899</c:v>
                </c:pt>
                <c:pt idx="23">
                  <c:v>685.36364583116381</c:v>
                </c:pt>
                <c:pt idx="24">
                  <c:v>1372.6673678948573</c:v>
                </c:pt>
                <c:pt idx="25">
                  <c:v>1777.8213534398362</c:v>
                </c:pt>
                <c:pt idx="26">
                  <c:v>2355.0822936410409</c:v>
                </c:pt>
                <c:pt idx="27">
                  <c:v>2827.1991626918825</c:v>
                </c:pt>
                <c:pt idx="28">
                  <c:v>3621.4086771781463</c:v>
                </c:pt>
                <c:pt idx="29">
                  <c:v>4101.7123992418392</c:v>
                </c:pt>
                <c:pt idx="30">
                  <c:v>4111.0019578846504</c:v>
                </c:pt>
                <c:pt idx="31">
                  <c:v>4286.3998875257739</c:v>
                </c:pt>
                <c:pt idx="32">
                  <c:v>5139.2940576117971</c:v>
                </c:pt>
                <c:pt idx="33">
                  <c:v>5837.0697965049676</c:v>
                </c:pt>
                <c:pt idx="34">
                  <c:v>6214.7785299202251</c:v>
                </c:pt>
                <c:pt idx="35">
                  <c:v>5925.0323884109876</c:v>
                </c:pt>
                <c:pt idx="36">
                  <c:v>5619.5701401762099</c:v>
                </c:pt>
                <c:pt idx="37">
                  <c:v>5279.3290287642403</c:v>
                </c:pt>
                <c:pt idx="38">
                  <c:v>4678.7456624523511</c:v>
                </c:pt>
                <c:pt idx="39">
                  <c:v>4031.1965799504269</c:v>
                </c:pt>
                <c:pt idx="40">
                  <c:v>3517.9969798587813</c:v>
                </c:pt>
                <c:pt idx="41">
                  <c:v>3091.0270146424773</c:v>
                </c:pt>
                <c:pt idx="42">
                  <c:v>2658.7888817146058</c:v>
                </c:pt>
                <c:pt idx="43">
                  <c:v>2299.309637374768</c:v>
                </c:pt>
                <c:pt idx="44">
                  <c:v>1927.3168648851297</c:v>
                </c:pt>
                <c:pt idx="45">
                  <c:v>1658.6536002166172</c:v>
                </c:pt>
                <c:pt idx="46">
                  <c:v>1347.7378933994287</c:v>
                </c:pt>
                <c:pt idx="47">
                  <c:v>1167.2814563329239</c:v>
                </c:pt>
                <c:pt idx="48">
                  <c:v>1089.2229489075416</c:v>
                </c:pt>
                <c:pt idx="49">
                  <c:v>897.39280581533353</c:v>
                </c:pt>
                <c:pt idx="50">
                  <c:v>783.03907437878797</c:v>
                </c:pt>
                <c:pt idx="51">
                  <c:v>672.27593676449123</c:v>
                </c:pt>
                <c:pt idx="52">
                  <c:v>567.65120493220263</c:v>
                </c:pt>
                <c:pt idx="53">
                  <c:v>462.10778779862943</c:v>
                </c:pt>
                <c:pt idx="54">
                  <c:v>405.65276707421197</c:v>
                </c:pt>
                <c:pt idx="55">
                  <c:v>324.29478661140149</c:v>
                </c:pt>
                <c:pt idx="56">
                  <c:v>271.7612838724458</c:v>
                </c:pt>
                <c:pt idx="57">
                  <c:v>243.14505009268692</c:v>
                </c:pt>
                <c:pt idx="58">
                  <c:v>204.87546603903257</c:v>
                </c:pt>
                <c:pt idx="59">
                  <c:v>172.13655204015737</c:v>
                </c:pt>
                <c:pt idx="60">
                  <c:v>153.70575493116141</c:v>
                </c:pt>
                <c:pt idx="61">
                  <c:v>119.21220137051915</c:v>
                </c:pt>
                <c:pt idx="62">
                  <c:v>119.07946095686385</c:v>
                </c:pt>
                <c:pt idx="63">
                  <c:v>88.817104413571784</c:v>
                </c:pt>
                <c:pt idx="64">
                  <c:v>73.256545375018163</c:v>
                </c:pt>
                <c:pt idx="65">
                  <c:v>62.617504321926162</c:v>
                </c:pt>
                <c:pt idx="66">
                  <c:v>53.919955843452492</c:v>
                </c:pt>
                <c:pt idx="67">
                  <c:v>49.590448022328175</c:v>
                </c:pt>
                <c:pt idx="68">
                  <c:v>49.075503530440926</c:v>
                </c:pt>
                <c:pt idx="69">
                  <c:v>45.359396804898871</c:v>
                </c:pt>
                <c:pt idx="70">
                  <c:v>40.805919476786563</c:v>
                </c:pt>
                <c:pt idx="71">
                  <c:v>37.212492970360948</c:v>
                </c:pt>
                <c:pt idx="72">
                  <c:v>20.146903834537916</c:v>
                </c:pt>
              </c:numCache>
            </c:numRef>
          </c:val>
          <c:smooth val="0"/>
          <c:extLst>
            <c:ext xmlns:c16="http://schemas.microsoft.com/office/drawing/2014/chart" uri="{C3380CC4-5D6E-409C-BE32-E72D297353CC}">
              <c16:uniqueId val="{0000000B-F51C-4FB5-BF12-D02BC679D6FF}"/>
            </c:ext>
          </c:extLst>
        </c:ser>
        <c:dLbls>
          <c:showLegendKey val="0"/>
          <c:showVal val="0"/>
          <c:showCatName val="0"/>
          <c:showSerName val="0"/>
          <c:showPercent val="0"/>
          <c:showBubbleSize val="0"/>
        </c:dLbls>
        <c:marker val="1"/>
        <c:smooth val="0"/>
        <c:axId val="166102368"/>
        <c:axId val="166108608"/>
      </c:lineChart>
      <c:catAx>
        <c:axId val="1661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6108608"/>
        <c:crosses val="autoZero"/>
        <c:auto val="1"/>
        <c:lblAlgn val="ctr"/>
        <c:lblOffset val="100"/>
        <c:noMultiLvlLbl val="0"/>
      </c:catAx>
      <c:valAx>
        <c:axId val="166108608"/>
        <c:scaling>
          <c:orientation val="minMax"/>
          <c:max val="15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6102368"/>
        <c:crosses val="autoZero"/>
        <c:crossBetween val="between"/>
        <c:dispUnits>
          <c:builtInUnit val="thousands"/>
          <c:dispUnitsLbl>
            <c:layout>
              <c:manualLayout>
                <c:xMode val="edge"/>
                <c:yMode val="edge"/>
                <c:x val="1.0025094310877385E-2"/>
                <c:y val="0.4169127777777778"/>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Miles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ispUnitsLbl>
        </c:dispUnits>
      </c:valAx>
      <c:spPr>
        <a:noFill/>
        <a:ln>
          <a:noFill/>
        </a:ln>
        <a:effectLst/>
      </c:spPr>
    </c:plotArea>
    <c:legend>
      <c:legendPos val="r"/>
      <c:legendEntry>
        <c:idx val="0"/>
        <c:delete val="1"/>
      </c:legendEntry>
      <c:legendEntry>
        <c:idx val="1"/>
        <c:delete val="1"/>
      </c:legendEntry>
      <c:legendEntry>
        <c:idx val="2"/>
        <c:delete val="1"/>
      </c:legendEntry>
      <c:layout>
        <c:manualLayout>
          <c:xMode val="edge"/>
          <c:yMode val="edge"/>
          <c:x val="0.70806925366725049"/>
          <c:y val="6.740500000000002E-2"/>
          <c:w val="0.22155458427039021"/>
          <c:h val="0.261069444444444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8571741032371"/>
          <c:y val="4.8456283061661845E-2"/>
          <c:w val="0.82697944006999125"/>
          <c:h val="0.8010072627114817"/>
        </c:manualLayout>
      </c:layout>
      <c:barChart>
        <c:barDir val="col"/>
        <c:grouping val="clustered"/>
        <c:varyColors val="0"/>
        <c:ser>
          <c:idx val="0"/>
          <c:order val="0"/>
          <c:tx>
            <c:strRef>
              <c:f>Tablas!$CE$33</c:f>
              <c:strCache>
                <c:ptCount val="1"/>
                <c:pt idx="0">
                  <c:v>Activos que se jubilan</c:v>
                </c:pt>
              </c:strCache>
            </c:strRef>
          </c:tx>
          <c:spPr>
            <a:solidFill>
              <a:srgbClr val="002060"/>
            </a:solidFill>
            <a:ln>
              <a:noFill/>
            </a:ln>
            <a:effectLst/>
          </c:spPr>
          <c:invertIfNegative val="0"/>
          <c:cat>
            <c:numRef>
              <c:f>Tablas!$CD$34:$CD$55</c:f>
              <c:numCache>
                <c:formatCode>General</c:formatCode>
                <c:ptCount val="2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numCache>
            </c:numRef>
          </c:cat>
          <c:val>
            <c:numRef>
              <c:f>Tablas!$CE$34:$CE$55</c:f>
              <c:numCache>
                <c:formatCode>General</c:formatCode>
                <c:ptCount val="22"/>
                <c:pt idx="0">
                  <c:v>5066</c:v>
                </c:pt>
                <c:pt idx="1">
                  <c:v>5184</c:v>
                </c:pt>
                <c:pt idx="2">
                  <c:v>5368</c:v>
                </c:pt>
                <c:pt idx="3">
                  <c:v>5555</c:v>
                </c:pt>
                <c:pt idx="4">
                  <c:v>5727</c:v>
                </c:pt>
                <c:pt idx="5">
                  <c:v>5920</c:v>
                </c:pt>
                <c:pt idx="6">
                  <c:v>6160</c:v>
                </c:pt>
                <c:pt idx="7">
                  <c:v>6423</c:v>
                </c:pt>
                <c:pt idx="8">
                  <c:v>7734</c:v>
                </c:pt>
                <c:pt idx="9">
                  <c:v>8293</c:v>
                </c:pt>
                <c:pt idx="10">
                  <c:v>8499</c:v>
                </c:pt>
                <c:pt idx="11">
                  <c:v>8500</c:v>
                </c:pt>
                <c:pt idx="12">
                  <c:v>8592</c:v>
                </c:pt>
                <c:pt idx="13">
                  <c:v>8865</c:v>
                </c:pt>
                <c:pt idx="14">
                  <c:v>9035</c:v>
                </c:pt>
                <c:pt idx="15">
                  <c:v>9013</c:v>
                </c:pt>
                <c:pt idx="16">
                  <c:v>8990</c:v>
                </c:pt>
                <c:pt idx="17">
                  <c:v>8994</c:v>
                </c:pt>
                <c:pt idx="18">
                  <c:v>8950</c:v>
                </c:pt>
                <c:pt idx="19">
                  <c:v>8700</c:v>
                </c:pt>
                <c:pt idx="20">
                  <c:v>8450</c:v>
                </c:pt>
                <c:pt idx="21">
                  <c:v>8200</c:v>
                </c:pt>
              </c:numCache>
            </c:numRef>
          </c:val>
          <c:extLst>
            <c:ext xmlns:c16="http://schemas.microsoft.com/office/drawing/2014/chart" uri="{C3380CC4-5D6E-409C-BE32-E72D297353CC}">
              <c16:uniqueId val="{00000000-F195-4F14-BF25-A8B9D8F10871}"/>
            </c:ext>
          </c:extLst>
        </c:ser>
        <c:ser>
          <c:idx val="1"/>
          <c:order val="1"/>
          <c:tx>
            <c:strRef>
              <c:f>Tablas!$CF$33</c:f>
              <c:strCache>
                <c:ptCount val="1"/>
                <c:pt idx="0">
                  <c:v>Pensionados que fallecen</c:v>
                </c:pt>
              </c:strCache>
            </c:strRef>
          </c:tx>
          <c:spPr>
            <a:solidFill>
              <a:schemeClr val="accent1"/>
            </a:solidFill>
            <a:ln>
              <a:noFill/>
            </a:ln>
            <a:effectLst/>
          </c:spPr>
          <c:invertIfNegative val="0"/>
          <c:cat>
            <c:numRef>
              <c:f>Tablas!$CD$34:$CD$55</c:f>
              <c:numCache>
                <c:formatCode>General</c:formatCode>
                <c:ptCount val="2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numCache>
            </c:numRef>
          </c:cat>
          <c:val>
            <c:numRef>
              <c:f>Tablas!$CF$34:$CF$55</c:f>
              <c:numCache>
                <c:formatCode>General</c:formatCode>
                <c:ptCount val="22"/>
                <c:pt idx="0">
                  <c:v>4742</c:v>
                </c:pt>
                <c:pt idx="1">
                  <c:v>4609</c:v>
                </c:pt>
                <c:pt idx="2">
                  <c:v>4661</c:v>
                </c:pt>
                <c:pt idx="3">
                  <c:v>4718</c:v>
                </c:pt>
                <c:pt idx="4">
                  <c:v>4785</c:v>
                </c:pt>
                <c:pt idx="5">
                  <c:v>4857</c:v>
                </c:pt>
                <c:pt idx="6">
                  <c:v>4934</c:v>
                </c:pt>
                <c:pt idx="7">
                  <c:v>5016</c:v>
                </c:pt>
                <c:pt idx="8">
                  <c:v>5092</c:v>
                </c:pt>
                <c:pt idx="9">
                  <c:v>5162</c:v>
                </c:pt>
                <c:pt idx="10">
                  <c:v>5229</c:v>
                </c:pt>
                <c:pt idx="11">
                  <c:v>5285</c:v>
                </c:pt>
                <c:pt idx="12">
                  <c:v>5346</c:v>
                </c:pt>
                <c:pt idx="13">
                  <c:v>5374</c:v>
                </c:pt>
                <c:pt idx="14">
                  <c:v>5391</c:v>
                </c:pt>
                <c:pt idx="15">
                  <c:v>5399</c:v>
                </c:pt>
                <c:pt idx="16">
                  <c:v>5376</c:v>
                </c:pt>
                <c:pt idx="17">
                  <c:v>5341</c:v>
                </c:pt>
                <c:pt idx="18">
                  <c:v>5273</c:v>
                </c:pt>
                <c:pt idx="19">
                  <c:v>5197</c:v>
                </c:pt>
                <c:pt idx="20">
                  <c:v>5121</c:v>
                </c:pt>
                <c:pt idx="21">
                  <c:v>5045</c:v>
                </c:pt>
              </c:numCache>
            </c:numRef>
          </c:val>
          <c:extLst>
            <c:ext xmlns:c16="http://schemas.microsoft.com/office/drawing/2014/chart" uri="{C3380CC4-5D6E-409C-BE32-E72D297353CC}">
              <c16:uniqueId val="{00000001-F195-4F14-BF25-A8B9D8F10871}"/>
            </c:ext>
          </c:extLst>
        </c:ser>
        <c:dLbls>
          <c:showLegendKey val="0"/>
          <c:showVal val="0"/>
          <c:showCatName val="0"/>
          <c:showSerName val="0"/>
          <c:showPercent val="0"/>
          <c:showBubbleSize val="0"/>
        </c:dLbls>
        <c:gapWidth val="219"/>
        <c:overlap val="-27"/>
        <c:axId val="342276496"/>
        <c:axId val="342278992"/>
      </c:barChart>
      <c:catAx>
        <c:axId val="34227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42278992"/>
        <c:crosses val="autoZero"/>
        <c:auto val="1"/>
        <c:lblAlgn val="ctr"/>
        <c:lblOffset val="100"/>
        <c:noMultiLvlLbl val="0"/>
      </c:catAx>
      <c:valAx>
        <c:axId val="342278992"/>
        <c:scaling>
          <c:orientation val="minMax"/>
          <c:max val="140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42276496"/>
        <c:crosses val="autoZero"/>
        <c:crossBetween val="between"/>
        <c:dispUnits>
          <c:builtInUnit val="thousands"/>
          <c:dispUnitsLbl>
            <c:layout>
              <c:manualLayout>
                <c:xMode val="edge"/>
                <c:yMode val="edge"/>
                <c:x val="0"/>
                <c:y val="0.36159722222222224"/>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Miles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ispUnitsLbl>
        </c:dispUnits>
      </c:valAx>
      <c:spPr>
        <a:noFill/>
        <a:ln w="25400">
          <a:noFill/>
        </a:ln>
        <a:effectLst/>
      </c:spPr>
    </c:plotArea>
    <c:legend>
      <c:legendPos val="b"/>
      <c:layout>
        <c:manualLayout>
          <c:xMode val="edge"/>
          <c:yMode val="edge"/>
          <c:x val="0.23027658730158734"/>
          <c:y val="3.0962499999999993E-2"/>
          <c:w val="0.76972341269841271"/>
          <c:h val="0.1206277777777777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55902777777776E-2"/>
          <c:y val="3.0435506446580647E-3"/>
          <c:w val="0.90443715277777781"/>
          <c:h val="0.75320849185159611"/>
        </c:manualLayout>
      </c:layout>
      <c:areaChart>
        <c:grouping val="stacked"/>
        <c:varyColors val="0"/>
        <c:ser>
          <c:idx val="0"/>
          <c:order val="0"/>
          <c:tx>
            <c:strRef>
              <c:f>Tablas!$J$27</c:f>
              <c:strCache>
                <c:ptCount val="1"/>
                <c:pt idx="0">
                  <c:v>Trabajadores</c:v>
                </c:pt>
              </c:strCache>
            </c:strRef>
          </c:tx>
          <c:spPr>
            <a:solidFill>
              <a:schemeClr val="bg1">
                <a:lumMod val="75000"/>
              </a:schemeClr>
            </a:solidFill>
            <a:ln>
              <a:noFill/>
            </a:ln>
            <a:effectLst/>
          </c:spPr>
          <c:cat>
            <c:numRef>
              <c:f>Tablas!$I$51:$I$74</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Tablas!$J$51:$J$74</c:f>
              <c:numCache>
                <c:formatCode>_-* #,##0.0_-;\-* #,##0.0_-;_-* "-"??_-;_-@_-</c:formatCode>
                <c:ptCount val="24"/>
                <c:pt idx="0">
                  <c:v>2669.8492563599998</c:v>
                </c:pt>
                <c:pt idx="1">
                  <c:v>2754.3443617600001</c:v>
                </c:pt>
                <c:pt idx="2">
                  <c:v>2885.5395855000002</c:v>
                </c:pt>
                <c:pt idx="3">
                  <c:v>3021.1876915914377</c:v>
                </c:pt>
                <c:pt idx="4">
                  <c:v>3163.200909570467</c:v>
                </c:pt>
                <c:pt idx="5">
                  <c:v>3311.8774120921362</c:v>
                </c:pt>
                <c:pt idx="6">
                  <c:v>3467.5293179988748</c:v>
                </c:pt>
                <c:pt idx="7">
                  <c:v>3630.483343677734</c:v>
                </c:pt>
                <c:pt idx="8">
                  <c:v>3801.0814847987431</c:v>
                </c:pt>
                <c:pt idx="9">
                  <c:v>3979.6817298496949</c:v>
                </c:pt>
                <c:pt idx="10">
                  <c:v>4166.6588069485151</c:v>
                </c:pt>
                <c:pt idx="11">
                  <c:v>4362.4049654832843</c:v>
                </c:pt>
                <c:pt idx="12">
                  <c:v>4567.3307942021111</c:v>
                </c:pt>
                <c:pt idx="13">
                  <c:v>4781.8660774505288</c:v>
                </c:pt>
                <c:pt idx="14">
                  <c:v>5006.4606913330445</c:v>
                </c:pt>
                <c:pt idx="15">
                  <c:v>5241.5855416581508</c:v>
                </c:pt>
                <c:pt idx="16">
                  <c:v>5487.7335456125656</c:v>
                </c:pt>
                <c:pt idx="17">
                  <c:v>5745.4206592010205</c:v>
                </c:pt>
                <c:pt idx="18">
                  <c:v>6015.1869525825705</c:v>
                </c:pt>
                <c:pt idx="19">
                  <c:v>6297.5977355335781</c:v>
                </c:pt>
                <c:pt idx="20">
                  <c:v>6593.2447353711977</c:v>
                </c:pt>
                <c:pt idx="21">
                  <c:v>6902.7473297797469</c:v>
                </c:pt>
                <c:pt idx="22" formatCode="_(* #,##0.00_);_(* \(#,##0.00\);_(* &quot;-&quot;??_);_(@_)">
                  <c:v>7212.2499241882961</c:v>
                </c:pt>
                <c:pt idx="23" formatCode="_(* #,##0.00_);_(* \(#,##0.00\);_(* &quot;-&quot;??_);_(@_)">
                  <c:v>7521.7525185968452</c:v>
                </c:pt>
              </c:numCache>
            </c:numRef>
          </c:val>
          <c:extLst>
            <c:ext xmlns:c16="http://schemas.microsoft.com/office/drawing/2014/chart" uri="{C3380CC4-5D6E-409C-BE32-E72D297353CC}">
              <c16:uniqueId val="{00000000-B47E-454A-A1EA-FE35DB9D3EE9}"/>
            </c:ext>
          </c:extLst>
        </c:ser>
        <c:ser>
          <c:idx val="1"/>
          <c:order val="1"/>
          <c:tx>
            <c:strRef>
              <c:f>Tablas!$K$27</c:f>
              <c:strCache>
                <c:ptCount val="1"/>
                <c:pt idx="0">
                  <c:v>Patrono</c:v>
                </c:pt>
              </c:strCache>
            </c:strRef>
          </c:tx>
          <c:spPr>
            <a:solidFill>
              <a:schemeClr val="tx2">
                <a:lumMod val="40000"/>
                <a:lumOff val="60000"/>
              </a:schemeClr>
            </a:solidFill>
            <a:ln>
              <a:noFill/>
            </a:ln>
            <a:effectLst/>
          </c:spPr>
          <c:cat>
            <c:numRef>
              <c:f>Tablas!$I$51:$I$74</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Tablas!$K$51:$K$74</c:f>
              <c:numCache>
                <c:formatCode>_-* #,##0.0_-;\-* #,##0.0_-;_-* "-"??_-;_-@_-</c:formatCode>
                <c:ptCount val="24"/>
                <c:pt idx="0">
                  <c:v>2177.8451520100002</c:v>
                </c:pt>
                <c:pt idx="1">
                  <c:v>2257.9862763400001</c:v>
                </c:pt>
                <c:pt idx="2">
                  <c:v>2888.6970777152815</c:v>
                </c:pt>
                <c:pt idx="3">
                  <c:v>2991.3842050669195</c:v>
                </c:pt>
                <c:pt idx="4">
                  <c:v>3051.7223792158547</c:v>
                </c:pt>
                <c:pt idx="5">
                  <c:v>3108.8278326607324</c:v>
                </c:pt>
                <c:pt idx="6">
                  <c:v>3157.6527675092466</c:v>
                </c:pt>
                <c:pt idx="7">
                  <c:v>3224.6807242834361</c:v>
                </c:pt>
                <c:pt idx="8">
                  <c:v>3312.5784654981253</c:v>
                </c:pt>
                <c:pt idx="9">
                  <c:v>3422.1207196242244</c:v>
                </c:pt>
                <c:pt idx="10">
                  <c:v>3615.8712669422766</c:v>
                </c:pt>
                <c:pt idx="11">
                  <c:v>3829.3341203442715</c:v>
                </c:pt>
                <c:pt idx="12">
                  <c:v>4031.6867840604627</c:v>
                </c:pt>
                <c:pt idx="13">
                  <c:v>4207.4565545849409</c:v>
                </c:pt>
                <c:pt idx="14">
                  <c:v>4361.9937839772829</c:v>
                </c:pt>
                <c:pt idx="15">
                  <c:v>4507.0377923778797</c:v>
                </c:pt>
                <c:pt idx="16">
                  <c:v>4638.9417328014461</c:v>
                </c:pt>
                <c:pt idx="17">
                  <c:v>4747.5177268543857</c:v>
                </c:pt>
                <c:pt idx="18">
                  <c:v>4828.254346207882</c:v>
                </c:pt>
                <c:pt idx="19">
                  <c:v>4880.3282609309317</c:v>
                </c:pt>
                <c:pt idx="20">
                  <c:v>4899.6734555815274</c:v>
                </c:pt>
                <c:pt idx="21">
                  <c:v>4871.1449332464881</c:v>
                </c:pt>
                <c:pt idx="22" formatCode="_(* #,##0.00_);_(* \(#,##0.00\);_(* &quot;-&quot;??_);_(@_)">
                  <c:v>4842.6164109114488</c:v>
                </c:pt>
                <c:pt idx="23" formatCode="_(* #,##0.00_);_(* \(#,##0.00\);_(* &quot;-&quot;??_);_(@_)">
                  <c:v>4814.0878885764096</c:v>
                </c:pt>
              </c:numCache>
            </c:numRef>
          </c:val>
          <c:extLst>
            <c:ext xmlns:c16="http://schemas.microsoft.com/office/drawing/2014/chart" uri="{C3380CC4-5D6E-409C-BE32-E72D297353CC}">
              <c16:uniqueId val="{00000001-B47E-454A-A1EA-FE35DB9D3EE9}"/>
            </c:ext>
          </c:extLst>
        </c:ser>
        <c:dLbls>
          <c:showLegendKey val="0"/>
          <c:showVal val="0"/>
          <c:showCatName val="0"/>
          <c:showSerName val="0"/>
          <c:showPercent val="0"/>
          <c:showBubbleSize val="0"/>
        </c:dLbls>
        <c:axId val="1818987328"/>
        <c:axId val="1818977344"/>
      </c:areaChart>
      <c:lineChart>
        <c:grouping val="standard"/>
        <c:varyColors val="0"/>
        <c:ser>
          <c:idx val="2"/>
          <c:order val="2"/>
          <c:tx>
            <c:strRef>
              <c:f>Tablas!$L$27</c:f>
              <c:strCache>
                <c:ptCount val="1"/>
                <c:pt idx="0">
                  <c:v>Pago anual de pensiones</c:v>
                </c:pt>
              </c:strCache>
            </c:strRef>
          </c:tx>
          <c:spPr>
            <a:ln w="28575" cap="rnd">
              <a:solidFill>
                <a:schemeClr val="tx1"/>
              </a:solidFill>
              <a:round/>
            </a:ln>
            <a:effectLst/>
          </c:spPr>
          <c:marker>
            <c:symbol val="none"/>
          </c:marker>
          <c:dLbls>
            <c:dLbl>
              <c:idx val="0"/>
              <c:layout>
                <c:manualLayout>
                  <c:x val="-5.3226879574184989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7E-454A-A1EA-FE35DB9D3EE9}"/>
                </c:ext>
              </c:extLst>
            </c:dLbl>
            <c:dLbl>
              <c:idx val="2"/>
              <c:layout>
                <c:manualLayout>
                  <c:x val="-3.7258815701929501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7E-454A-A1EA-FE35DB9D3EE9}"/>
                </c:ext>
              </c:extLst>
            </c:dLbl>
            <c:dLbl>
              <c:idx val="12"/>
              <c:layout>
                <c:manualLayout>
                  <c:x val="-4.2581503659348069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7E-454A-A1EA-FE35DB9D3EE9}"/>
                </c:ext>
              </c:extLst>
            </c:dLbl>
            <c:dLbl>
              <c:idx val="19"/>
              <c:layout>
                <c:manualLayout>
                  <c:x val="-6.8039225851158847E-2"/>
                  <c:y val="-9.4583333333333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7E-454A-A1EA-FE35DB9D3EE9}"/>
                </c:ext>
              </c:extLst>
            </c:dLbl>
            <c:dLbl>
              <c:idx val="23"/>
              <c:layout>
                <c:manualLayout>
                  <c:x val="-2.0834796143823747E-2"/>
                  <c:y val="-9.7013888888888927E-2"/>
                </c:manualLayout>
              </c:layout>
              <c:showLegendKey val="0"/>
              <c:showVal val="1"/>
              <c:showCatName val="0"/>
              <c:showSerName val="0"/>
              <c:showPercent val="0"/>
              <c:showBubbleSize val="0"/>
              <c:extLst>
                <c:ext xmlns:c15="http://schemas.microsoft.com/office/drawing/2012/chart" uri="{CE6537A1-D6FC-4f65-9D91-7224C49458BB}">
                  <c15:layout>
                    <c:manualLayout>
                      <c:w val="0.11146615936945704"/>
                      <c:h val="9.7454861111111096E-2"/>
                    </c:manualLayout>
                  </c15:layout>
                </c:ext>
                <c:ext xmlns:c16="http://schemas.microsoft.com/office/drawing/2014/chart" uri="{C3380CC4-5D6E-409C-BE32-E72D297353CC}">
                  <c16:uniqueId val="{00000006-B47E-454A-A1EA-FE35DB9D3EE9}"/>
                </c:ext>
              </c:extLst>
            </c:dLbl>
            <c:dLbl>
              <c:idx val="24"/>
              <c:layout>
                <c:manualLayout>
                  <c:x val="-3.185868055555555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7E-454A-A1EA-FE35DB9D3EE9}"/>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Tablas!$I$51:$I$72</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numCache>
            </c:numRef>
          </c:cat>
          <c:val>
            <c:numRef>
              <c:f>Tablas!$L$51:$L$74</c:f>
              <c:numCache>
                <c:formatCode>_-* #,##0.0_-;\-* #,##0.0_-;_-* "-"??_-;_-@_-</c:formatCode>
                <c:ptCount val="24"/>
                <c:pt idx="0">
                  <c:v>4847.69440837</c:v>
                </c:pt>
                <c:pt idx="1">
                  <c:v>5012.3306381000002</c:v>
                </c:pt>
                <c:pt idx="2">
                  <c:v>5774.2366632152816</c:v>
                </c:pt>
                <c:pt idx="3">
                  <c:v>6012.5718966583572</c:v>
                </c:pt>
                <c:pt idx="4">
                  <c:v>6214.9232887863218</c:v>
                </c:pt>
                <c:pt idx="5">
                  <c:v>6420.7052447528686</c:v>
                </c:pt>
                <c:pt idx="6">
                  <c:v>6625.1820855081214</c:v>
                </c:pt>
                <c:pt idx="7">
                  <c:v>6855.1640679611701</c:v>
                </c:pt>
                <c:pt idx="8">
                  <c:v>7113.6599502968684</c:v>
                </c:pt>
                <c:pt idx="9">
                  <c:v>7401.8024494739193</c:v>
                </c:pt>
                <c:pt idx="10">
                  <c:v>7782.5300738907918</c:v>
                </c:pt>
                <c:pt idx="11">
                  <c:v>8191.7390858275558</c:v>
                </c:pt>
                <c:pt idx="12">
                  <c:v>8599.0175782625738</c:v>
                </c:pt>
                <c:pt idx="13">
                  <c:v>8989.3226320354697</c:v>
                </c:pt>
                <c:pt idx="14">
                  <c:v>9368.4544753103273</c:v>
                </c:pt>
                <c:pt idx="15">
                  <c:v>9748.6233340360304</c:v>
                </c:pt>
                <c:pt idx="16">
                  <c:v>10126.675278414012</c:v>
                </c:pt>
                <c:pt idx="17">
                  <c:v>10492.938386055406</c:v>
                </c:pt>
                <c:pt idx="18">
                  <c:v>10843.441298790452</c:v>
                </c:pt>
                <c:pt idx="19">
                  <c:v>11177.92599646451</c:v>
                </c:pt>
                <c:pt idx="20">
                  <c:v>11492.918190952725</c:v>
                </c:pt>
                <c:pt idx="21">
                  <c:v>11773.892263026235</c:v>
                </c:pt>
                <c:pt idx="22">
                  <c:v>12054.866335099745</c:v>
                </c:pt>
                <c:pt idx="23">
                  <c:v>12335.840407173255</c:v>
                </c:pt>
              </c:numCache>
            </c:numRef>
          </c:val>
          <c:smooth val="0"/>
          <c:extLst>
            <c:ext xmlns:c16="http://schemas.microsoft.com/office/drawing/2014/chart" uri="{C3380CC4-5D6E-409C-BE32-E72D297353CC}">
              <c16:uniqueId val="{00000008-B47E-454A-A1EA-FE35DB9D3EE9}"/>
            </c:ext>
          </c:extLst>
        </c:ser>
        <c:dLbls>
          <c:showLegendKey val="0"/>
          <c:showVal val="0"/>
          <c:showCatName val="0"/>
          <c:showSerName val="0"/>
          <c:showPercent val="0"/>
          <c:showBubbleSize val="0"/>
        </c:dLbls>
        <c:marker val="1"/>
        <c:smooth val="0"/>
        <c:axId val="1818987328"/>
        <c:axId val="1818977344"/>
      </c:lineChart>
      <c:catAx>
        <c:axId val="18189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18977344"/>
        <c:crosses val="autoZero"/>
        <c:auto val="1"/>
        <c:lblAlgn val="ctr"/>
        <c:lblOffset val="100"/>
        <c:noMultiLvlLbl val="0"/>
      </c:catAx>
      <c:valAx>
        <c:axId val="1818977344"/>
        <c:scaling>
          <c:orientation val="minMax"/>
        </c:scaling>
        <c:delete val="1"/>
        <c:axPos val="l"/>
        <c:numFmt formatCode="_-* #,##0.0_-;\-* #,##0.0_-;_-* &quot;-&quot;??_-;_-@_-" sourceLinked="1"/>
        <c:majorTickMark val="none"/>
        <c:minorTickMark val="none"/>
        <c:tickLblPos val="nextTo"/>
        <c:crossAx val="1818987328"/>
        <c:crosses val="autoZero"/>
        <c:crossBetween val="between"/>
        <c:dispUnits>
          <c:builtInUnit val="thousands"/>
        </c:dispUnits>
      </c:valAx>
      <c:spPr>
        <a:noFill/>
        <a:ln>
          <a:noFill/>
        </a:ln>
        <a:effectLst/>
      </c:spPr>
    </c:plotArea>
    <c:legend>
      <c:legendPos val="b"/>
      <c:layout>
        <c:manualLayout>
          <c:xMode val="edge"/>
          <c:yMode val="edge"/>
          <c:x val="4.9999917961911354E-2"/>
          <c:y val="0.90959125410811514"/>
          <c:w val="0.9"/>
          <c:h val="8.744288718021445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s-GT"/>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79513888888881E-2"/>
          <c:y val="0.10280372014016978"/>
          <c:w val="0.86115985678219298"/>
          <c:h val="0.75669972089223714"/>
        </c:manualLayout>
      </c:layout>
      <c:lineChart>
        <c:grouping val="standard"/>
        <c:varyColors val="0"/>
        <c:ser>
          <c:idx val="0"/>
          <c:order val="0"/>
          <c:tx>
            <c:strRef>
              <c:f>Tablas!$D$27</c:f>
              <c:strCache>
                <c:ptCount val="1"/>
                <c:pt idx="0">
                  <c:v>Patrono</c:v>
                </c:pt>
              </c:strCache>
            </c:strRef>
          </c:tx>
          <c:spPr>
            <a:ln w="28575" cap="rnd">
              <a:solidFill>
                <a:srgbClr val="002060"/>
              </a:solidFill>
              <a:round/>
            </a:ln>
            <a:effectLst/>
          </c:spPr>
          <c:marker>
            <c:symbol val="none"/>
          </c:marker>
          <c:dLbls>
            <c:dLbl>
              <c:idx val="0"/>
              <c:layout>
                <c:manualLayout>
                  <c:x val="-3.5442152117888655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FE-4926-8C8F-32041372D9C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Tablas!$B$51:$B$74</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Tablas!$D$51:$D$52</c:f>
              <c:numCache>
                <c:formatCode>0.0%</c:formatCode>
                <c:ptCount val="2"/>
                <c:pt idx="0">
                  <c:v>0.10563284962794367</c:v>
                </c:pt>
                <c:pt idx="1">
                  <c:v>0.10630507629781999</c:v>
                </c:pt>
              </c:numCache>
            </c:numRef>
          </c:val>
          <c:smooth val="0"/>
          <c:extLst>
            <c:ext xmlns:c16="http://schemas.microsoft.com/office/drawing/2014/chart" uri="{C3380CC4-5D6E-409C-BE32-E72D297353CC}">
              <c16:uniqueId val="{00000001-68FE-4926-8C8F-32041372D9C5}"/>
            </c:ext>
          </c:extLst>
        </c:ser>
        <c:ser>
          <c:idx val="1"/>
          <c:order val="1"/>
          <c:tx>
            <c:strRef>
              <c:f>Tablas!$C$27</c:f>
              <c:strCache>
                <c:ptCount val="1"/>
                <c:pt idx="0">
                  <c:v>Trabajadores</c:v>
                </c:pt>
              </c:strCache>
            </c:strRef>
          </c:tx>
          <c:spPr>
            <a:ln w="28575" cap="rnd">
              <a:solidFill>
                <a:schemeClr val="accent1"/>
              </a:solidFill>
              <a:round/>
            </a:ln>
            <a:effectLst/>
          </c:spPr>
          <c:marker>
            <c:symbol val="none"/>
          </c:marker>
          <c:dPt>
            <c:idx val="0"/>
            <c:marker>
              <c:symbol val="none"/>
            </c:marker>
            <c:bubble3D val="0"/>
            <c:spPr>
              <a:ln w="28575" cap="rnd">
                <a:solidFill>
                  <a:schemeClr val="accent1"/>
                </a:solidFill>
                <a:round/>
              </a:ln>
              <a:effectLst/>
            </c:spPr>
            <c:extLst>
              <c:ext xmlns:c16="http://schemas.microsoft.com/office/drawing/2014/chart" uri="{C3380CC4-5D6E-409C-BE32-E72D297353CC}">
                <c16:uniqueId val="{00000003-68FE-4926-8C8F-32041372D9C5}"/>
              </c:ext>
            </c:extLst>
          </c:dPt>
          <c:dLbls>
            <c:dLbl>
              <c:idx val="0"/>
              <c:layout>
                <c:manualLayout>
                  <c:x val="-3.8168402777777798E-2"/>
                  <c:y val="-5.660000000000003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FE-4926-8C8F-32041372D9C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Tablas!$B$51:$B$74</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Tablas!$C$51:$C$52</c:f>
              <c:numCache>
                <c:formatCode>0.0%</c:formatCode>
                <c:ptCount val="2"/>
                <c:pt idx="0">
                  <c:v>0.12949671135528837</c:v>
                </c:pt>
                <c:pt idx="1">
                  <c:v>0.12967341325119647</c:v>
                </c:pt>
              </c:numCache>
            </c:numRef>
          </c:val>
          <c:smooth val="0"/>
          <c:extLst>
            <c:ext xmlns:c16="http://schemas.microsoft.com/office/drawing/2014/chart" uri="{C3380CC4-5D6E-409C-BE32-E72D297353CC}">
              <c16:uniqueId val="{00000004-68FE-4926-8C8F-32041372D9C5}"/>
            </c:ext>
          </c:extLst>
        </c:ser>
        <c:ser>
          <c:idx val="2"/>
          <c:order val="2"/>
          <c:tx>
            <c:strRef>
              <c:f>Tablas!$E$27</c:f>
              <c:strCache>
                <c:ptCount val="1"/>
                <c:pt idx="0">
                  <c:v>Trabajadores</c:v>
                </c:pt>
              </c:strCache>
            </c:strRef>
          </c:tx>
          <c:spPr>
            <a:ln w="28575" cap="rnd">
              <a:solidFill>
                <a:schemeClr val="accent1"/>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FE-4926-8C8F-32041372D9C5}"/>
                </c:ext>
              </c:extLst>
            </c:dLbl>
            <c:dLbl>
              <c:idx val="10"/>
              <c:layout>
                <c:manualLayout>
                  <c:x val="-6.8560416666666665E-2"/>
                  <c:y val="-5.676111111111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FE-4926-8C8F-32041372D9C5}"/>
                </c:ext>
              </c:extLst>
            </c:dLbl>
            <c:dLbl>
              <c:idx val="21"/>
              <c:layout>
                <c:manualLayout>
                  <c:x val="-1.4272222222222384E-2"/>
                  <c:y val="-7.4399999999999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FE-4926-8C8F-32041372D9C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Tablas!$B$51:$B$74</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Tablas!$E$51:$E$74</c:f>
              <c:numCache>
                <c:formatCode>0.0%</c:formatCode>
                <c:ptCount val="24"/>
                <c:pt idx="1">
                  <c:v>0.12967341325119647</c:v>
                </c:pt>
                <c:pt idx="2">
                  <c:v>0.13</c:v>
                </c:pt>
                <c:pt idx="3">
                  <c:v>0.13025</c:v>
                </c:pt>
                <c:pt idx="4">
                  <c:v>0.1305</c:v>
                </c:pt>
                <c:pt idx="5">
                  <c:v>0.13075000000000001</c:v>
                </c:pt>
                <c:pt idx="6">
                  <c:v>0.13100000000000001</c:v>
                </c:pt>
                <c:pt idx="7">
                  <c:v>0.13125000000000001</c:v>
                </c:pt>
                <c:pt idx="8">
                  <c:v>0.13150000000000001</c:v>
                </c:pt>
                <c:pt idx="9">
                  <c:v>0.13175000000000001</c:v>
                </c:pt>
                <c:pt idx="10">
                  <c:v>0.13200000000000001</c:v>
                </c:pt>
                <c:pt idx="11">
                  <c:v>0.13225000000000001</c:v>
                </c:pt>
                <c:pt idx="12">
                  <c:v>0.13250000000000001</c:v>
                </c:pt>
                <c:pt idx="13">
                  <c:v>0.13275000000000001</c:v>
                </c:pt>
                <c:pt idx="14">
                  <c:v>0.13300000000000001</c:v>
                </c:pt>
                <c:pt idx="15">
                  <c:v>0.13325000000000001</c:v>
                </c:pt>
                <c:pt idx="16">
                  <c:v>0.13350000000000001</c:v>
                </c:pt>
                <c:pt idx="17">
                  <c:v>0.13375000000000001</c:v>
                </c:pt>
                <c:pt idx="18">
                  <c:v>0.13400000000000001</c:v>
                </c:pt>
                <c:pt idx="19">
                  <c:v>0.13425000000000001</c:v>
                </c:pt>
                <c:pt idx="20">
                  <c:v>0.13450000000000001</c:v>
                </c:pt>
                <c:pt idx="21">
                  <c:v>0.13475000000000001</c:v>
                </c:pt>
                <c:pt idx="22">
                  <c:v>0.13500000000000001</c:v>
                </c:pt>
                <c:pt idx="23">
                  <c:v>0.13525000000000001</c:v>
                </c:pt>
              </c:numCache>
            </c:numRef>
          </c:val>
          <c:smooth val="0"/>
          <c:extLst>
            <c:ext xmlns:c16="http://schemas.microsoft.com/office/drawing/2014/chart" uri="{C3380CC4-5D6E-409C-BE32-E72D297353CC}">
              <c16:uniqueId val="{00000008-68FE-4926-8C8F-32041372D9C5}"/>
            </c:ext>
          </c:extLst>
        </c:ser>
        <c:ser>
          <c:idx val="3"/>
          <c:order val="3"/>
          <c:tx>
            <c:strRef>
              <c:f>Tablas!$F$27</c:f>
              <c:strCache>
                <c:ptCount val="1"/>
                <c:pt idx="0">
                  <c:v>Patrono</c:v>
                </c:pt>
              </c:strCache>
            </c:strRef>
          </c:tx>
          <c:spPr>
            <a:ln w="28575" cap="rnd">
              <a:solidFill>
                <a:srgbClr val="002060"/>
              </a:solidFill>
              <a:round/>
            </a:ln>
            <a:effectLst/>
          </c:spPr>
          <c:marker>
            <c:symbol val="none"/>
          </c:marker>
          <c:dLbls>
            <c:dLbl>
              <c:idx val="2"/>
              <c:layout>
                <c:manualLayout>
                  <c:x val="-3.8168471511572391E-2"/>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FE-4926-8C8F-32041372D9C5}"/>
                </c:ext>
              </c:extLst>
            </c:dLbl>
            <c:dLbl>
              <c:idx val="10"/>
              <c:layout>
                <c:manualLayout>
                  <c:x val="-7.0884304235777254E-2"/>
                  <c:y val="4.3290043290043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FE-4926-8C8F-32041372D9C5}"/>
                </c:ext>
              </c:extLst>
            </c:dLbl>
            <c:dLbl>
              <c:idx val="21"/>
              <c:layout>
                <c:manualLayout>
                  <c:x val="-7.4414814814814812E-3"/>
                  <c:y val="0.100858333333333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FE-4926-8C8F-32041372D9C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Tablas!$B$51:$B$74</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Tablas!$F$51:$F$74</c:f>
              <c:numCache>
                <c:formatCode>0.0%</c:formatCode>
                <c:ptCount val="24"/>
                <c:pt idx="1">
                  <c:v>0.10630507629781999</c:v>
                </c:pt>
                <c:pt idx="2">
                  <c:v>0.1301422520730782</c:v>
                </c:pt>
                <c:pt idx="3">
                  <c:v>0.1289651066017439</c:v>
                </c:pt>
                <c:pt idx="4">
                  <c:v>0.12590087758344368</c:v>
                </c:pt>
                <c:pt idx="5">
                  <c:v>0.12273378164187998</c:v>
                </c:pt>
                <c:pt idx="6">
                  <c:v>0.11929315504170901</c:v>
                </c:pt>
                <c:pt idx="7">
                  <c:v>0.11657933806506689</c:v>
                </c:pt>
                <c:pt idx="8">
                  <c:v>0.11460003421528006</c:v>
                </c:pt>
                <c:pt idx="9">
                  <c:v>0.11329157340115233</c:v>
                </c:pt>
                <c:pt idx="10">
                  <c:v>0.1145510178180227</c:v>
                </c:pt>
                <c:pt idx="11">
                  <c:v>0.11608950600014406</c:v>
                </c:pt>
                <c:pt idx="12">
                  <c:v>0.11696076394688489</c:v>
                </c:pt>
                <c:pt idx="13">
                  <c:v>0.11680374326144632</c:v>
                </c:pt>
                <c:pt idx="14">
                  <c:v>0.11587930257263367</c:v>
                </c:pt>
                <c:pt idx="15">
                  <c:v>0.11457654960723342</c:v>
                </c:pt>
                <c:pt idx="16">
                  <c:v>0.11285145610324347</c:v>
                </c:pt>
                <c:pt idx="17">
                  <c:v>0.11051940904446793</c:v>
                </c:pt>
                <c:pt idx="18">
                  <c:v>0.10755876542026314</c:v>
                </c:pt>
                <c:pt idx="19">
                  <c:v>0.1040371418665193</c:v>
                </c:pt>
                <c:pt idx="20">
                  <c:v>9.9951709094052557E-2</c:v>
                </c:pt>
                <c:pt idx="21">
                  <c:v>9.5090657153737698E-2</c:v>
                </c:pt>
                <c:pt idx="22">
                  <c:v>9.0229605213422839E-2</c:v>
                </c:pt>
                <c:pt idx="23">
                  <c:v>8.536855327310798E-2</c:v>
                </c:pt>
              </c:numCache>
            </c:numRef>
          </c:val>
          <c:smooth val="0"/>
          <c:extLst>
            <c:ext xmlns:c16="http://schemas.microsoft.com/office/drawing/2014/chart" uri="{C3380CC4-5D6E-409C-BE32-E72D297353CC}">
              <c16:uniqueId val="{0000000C-68FE-4926-8C8F-32041372D9C5}"/>
            </c:ext>
          </c:extLst>
        </c:ser>
        <c:dLbls>
          <c:showLegendKey val="0"/>
          <c:showVal val="0"/>
          <c:showCatName val="0"/>
          <c:showSerName val="0"/>
          <c:showPercent val="0"/>
          <c:showBubbleSize val="0"/>
        </c:dLbls>
        <c:smooth val="0"/>
        <c:axId val="578423808"/>
        <c:axId val="578432960"/>
      </c:lineChart>
      <c:catAx>
        <c:axId val="57842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78432960"/>
        <c:crosses val="autoZero"/>
        <c:auto val="1"/>
        <c:lblAlgn val="ctr"/>
        <c:lblOffset val="100"/>
        <c:noMultiLvlLbl val="0"/>
      </c:catAx>
      <c:valAx>
        <c:axId val="578432960"/>
        <c:scaling>
          <c:orientation val="minMax"/>
        </c:scaling>
        <c:delete val="1"/>
        <c:axPos val="l"/>
        <c:numFmt formatCode="0.0%" sourceLinked="1"/>
        <c:majorTickMark val="none"/>
        <c:minorTickMark val="none"/>
        <c:tickLblPos val="nextTo"/>
        <c:crossAx val="578423808"/>
        <c:crosses val="autoZero"/>
        <c:crossBetween val="between"/>
      </c:valAx>
      <c:spPr>
        <a:noFill/>
        <a:ln>
          <a:noFill/>
        </a:ln>
        <a:effectLst/>
      </c:spPr>
    </c:plotArea>
    <c:legend>
      <c:legendPos val="r"/>
      <c:legendEntry>
        <c:idx val="0"/>
        <c:delete val="1"/>
      </c:legendEntry>
      <c:legendEntry>
        <c:idx val="1"/>
        <c:delete val="1"/>
      </c:legendEntry>
      <c:layout>
        <c:manualLayout>
          <c:xMode val="edge"/>
          <c:yMode val="edge"/>
          <c:x val="0.17108007935140784"/>
          <c:y val="2.5064590269155813E-3"/>
          <c:w val="0.71607777777777781"/>
          <c:h val="8.318967333694239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53067307264563"/>
          <c:y val="3.8215223097112859E-2"/>
          <c:w val="0.63928288624938834"/>
          <c:h val="0.86578212206232841"/>
        </c:manualLayout>
      </c:layout>
      <c:barChart>
        <c:barDir val="bar"/>
        <c:grouping val="clustered"/>
        <c:varyColors val="0"/>
        <c:ser>
          <c:idx val="0"/>
          <c:order val="0"/>
          <c:tx>
            <c:v>Femenino</c:v>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'D4'!$P$16:$P$34</c:f>
              <c:strCache>
                <c:ptCount val="19"/>
                <c:pt idx="0">
                  <c:v>0 - 04</c:v>
                </c:pt>
                <c:pt idx="1">
                  <c:v>0 - 07</c:v>
                </c:pt>
                <c:pt idx="2">
                  <c:v>05 - 09</c:v>
                </c:pt>
                <c:pt idx="3">
                  <c:v>10 - 14</c:v>
                </c:pt>
                <c:pt idx="4">
                  <c:v>15 - 19</c:v>
                </c:pt>
                <c:pt idx="5">
                  <c:v>20 - 24</c:v>
                </c:pt>
                <c:pt idx="6">
                  <c:v>25 - 29</c:v>
                </c:pt>
                <c:pt idx="7">
                  <c:v>30 - 34</c:v>
                </c:pt>
                <c:pt idx="8">
                  <c:v>35 - 39</c:v>
                </c:pt>
                <c:pt idx="9">
                  <c:v>40 - 44</c:v>
                </c:pt>
                <c:pt idx="10">
                  <c:v>45 - 49</c:v>
                </c:pt>
                <c:pt idx="11">
                  <c:v>50 - 54</c:v>
                </c:pt>
                <c:pt idx="12">
                  <c:v>55 - 59</c:v>
                </c:pt>
                <c:pt idx="13">
                  <c:v>60 - 64</c:v>
                </c:pt>
                <c:pt idx="14">
                  <c:v>65 - 69</c:v>
                </c:pt>
                <c:pt idx="15">
                  <c:v>70 - 74</c:v>
                </c:pt>
                <c:pt idx="16">
                  <c:v>75 - 79</c:v>
                </c:pt>
                <c:pt idx="17">
                  <c:v>80 y más</c:v>
                </c:pt>
                <c:pt idx="18">
                  <c:v>Sin rango</c:v>
                </c:pt>
              </c:strCache>
            </c:strRef>
          </c:cat>
          <c:val>
            <c:numRef>
              <c:f>'D4'!$R$16:$R$34</c:f>
              <c:numCache>
                <c:formatCode>_-* #,##0_-;\-* #,##0_-;_-* "-"??_-;_-@_-</c:formatCode>
                <c:ptCount val="19"/>
                <c:pt idx="0">
                  <c:v>0</c:v>
                </c:pt>
                <c:pt idx="1">
                  <c:v>0</c:v>
                </c:pt>
                <c:pt idx="2">
                  <c:v>0</c:v>
                </c:pt>
                <c:pt idx="3">
                  <c:v>0</c:v>
                </c:pt>
                <c:pt idx="4">
                  <c:v>8458</c:v>
                </c:pt>
                <c:pt idx="5">
                  <c:v>65284</c:v>
                </c:pt>
                <c:pt idx="6">
                  <c:v>89008</c:v>
                </c:pt>
                <c:pt idx="7">
                  <c:v>90046</c:v>
                </c:pt>
                <c:pt idx="8">
                  <c:v>82977</c:v>
                </c:pt>
                <c:pt idx="9">
                  <c:v>66808</c:v>
                </c:pt>
                <c:pt idx="10">
                  <c:v>46672</c:v>
                </c:pt>
                <c:pt idx="11">
                  <c:v>31077</c:v>
                </c:pt>
                <c:pt idx="12">
                  <c:v>20033</c:v>
                </c:pt>
                <c:pt idx="13">
                  <c:v>11602</c:v>
                </c:pt>
                <c:pt idx="14">
                  <c:v>4912</c:v>
                </c:pt>
                <c:pt idx="15">
                  <c:v>1882</c:v>
                </c:pt>
                <c:pt idx="16">
                  <c:v>695</c:v>
                </c:pt>
                <c:pt idx="17">
                  <c:v>210</c:v>
                </c:pt>
                <c:pt idx="18">
                  <c:v>0</c:v>
                </c:pt>
              </c:numCache>
            </c:numRef>
          </c:val>
          <c:extLst>
            <c:ext xmlns:c16="http://schemas.microsoft.com/office/drawing/2014/chart" uri="{C3380CC4-5D6E-409C-BE32-E72D297353CC}">
              <c16:uniqueId val="{00000000-BE5E-4A62-8D14-CD2D8C9C3B6B}"/>
            </c:ext>
          </c:extLst>
        </c:ser>
        <c:ser>
          <c:idx val="1"/>
          <c:order val="1"/>
          <c:tx>
            <c:v>Masculino</c:v>
          </c:tx>
          <c:spPr>
            <a:solidFill>
              <a:srgbClr val="006699"/>
            </a:solidFill>
            <a:ln>
              <a:noFill/>
            </a:ln>
            <a:effectLst/>
          </c:spPr>
          <c:invertIfNegative val="0"/>
          <c:dLbls>
            <c:numFmt formatCode="###,###;##,###,###" sourceLinked="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'D4'!$P$16:$P$34</c:f>
              <c:strCache>
                <c:ptCount val="19"/>
                <c:pt idx="0">
                  <c:v>0 - 04</c:v>
                </c:pt>
                <c:pt idx="1">
                  <c:v>0 - 07</c:v>
                </c:pt>
                <c:pt idx="2">
                  <c:v>05 - 09</c:v>
                </c:pt>
                <c:pt idx="3">
                  <c:v>10 - 14</c:v>
                </c:pt>
                <c:pt idx="4">
                  <c:v>15 - 19</c:v>
                </c:pt>
                <c:pt idx="5">
                  <c:v>20 - 24</c:v>
                </c:pt>
                <c:pt idx="6">
                  <c:v>25 - 29</c:v>
                </c:pt>
                <c:pt idx="7">
                  <c:v>30 - 34</c:v>
                </c:pt>
                <c:pt idx="8">
                  <c:v>35 - 39</c:v>
                </c:pt>
                <c:pt idx="9">
                  <c:v>40 - 44</c:v>
                </c:pt>
                <c:pt idx="10">
                  <c:v>45 - 49</c:v>
                </c:pt>
                <c:pt idx="11">
                  <c:v>50 - 54</c:v>
                </c:pt>
                <c:pt idx="12">
                  <c:v>55 - 59</c:v>
                </c:pt>
                <c:pt idx="13">
                  <c:v>60 - 64</c:v>
                </c:pt>
                <c:pt idx="14">
                  <c:v>65 - 69</c:v>
                </c:pt>
                <c:pt idx="15">
                  <c:v>70 - 74</c:v>
                </c:pt>
                <c:pt idx="16">
                  <c:v>75 - 79</c:v>
                </c:pt>
                <c:pt idx="17">
                  <c:v>80 y más</c:v>
                </c:pt>
                <c:pt idx="18">
                  <c:v>Sin rango</c:v>
                </c:pt>
              </c:strCache>
            </c:strRef>
          </c:cat>
          <c:val>
            <c:numRef>
              <c:f>'D4'!$U$13:$U$31</c:f>
              <c:numCache>
                <c:formatCode>_-* #,##0_-;\-* #,##0_-;_-* "-"??_-;_-@_-</c:formatCode>
                <c:ptCount val="19"/>
                <c:pt idx="0">
                  <c:v>0</c:v>
                </c:pt>
                <c:pt idx="1">
                  <c:v>0</c:v>
                </c:pt>
                <c:pt idx="2">
                  <c:v>0</c:v>
                </c:pt>
                <c:pt idx="3">
                  <c:v>0</c:v>
                </c:pt>
                <c:pt idx="4">
                  <c:v>-22049</c:v>
                </c:pt>
                <c:pt idx="5">
                  <c:v>-142545</c:v>
                </c:pt>
                <c:pt idx="6">
                  <c:v>-179415</c:v>
                </c:pt>
                <c:pt idx="7">
                  <c:v>-164683</c:v>
                </c:pt>
                <c:pt idx="8">
                  <c:v>-131365</c:v>
                </c:pt>
                <c:pt idx="9">
                  <c:v>-106688</c:v>
                </c:pt>
                <c:pt idx="10">
                  <c:v>-77928</c:v>
                </c:pt>
                <c:pt idx="11">
                  <c:v>-54611</c:v>
                </c:pt>
                <c:pt idx="12">
                  <c:v>-38873</c:v>
                </c:pt>
                <c:pt idx="13">
                  <c:v>-23193</c:v>
                </c:pt>
                <c:pt idx="14">
                  <c:v>-11260</c:v>
                </c:pt>
                <c:pt idx="15">
                  <c:v>-4897</c:v>
                </c:pt>
                <c:pt idx="16">
                  <c:v>-1919</c:v>
                </c:pt>
                <c:pt idx="17">
                  <c:v>-513</c:v>
                </c:pt>
                <c:pt idx="18">
                  <c:v>0</c:v>
                </c:pt>
              </c:numCache>
            </c:numRef>
          </c:val>
          <c:extLst>
            <c:ext xmlns:c16="http://schemas.microsoft.com/office/drawing/2014/chart" uri="{C3380CC4-5D6E-409C-BE32-E72D297353CC}">
              <c16:uniqueId val="{00000001-BE5E-4A62-8D14-CD2D8C9C3B6B}"/>
            </c:ext>
          </c:extLst>
        </c:ser>
        <c:dLbls>
          <c:showLegendKey val="0"/>
          <c:showVal val="0"/>
          <c:showCatName val="0"/>
          <c:showSerName val="0"/>
          <c:showPercent val="0"/>
          <c:showBubbleSize val="0"/>
        </c:dLbls>
        <c:gapWidth val="20"/>
        <c:overlap val="100"/>
        <c:axId val="646345888"/>
        <c:axId val="646347520"/>
      </c:barChart>
      <c:catAx>
        <c:axId val="6463458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6347520"/>
        <c:crosses val="autoZero"/>
        <c:auto val="1"/>
        <c:lblAlgn val="ctr"/>
        <c:lblOffset val="800"/>
        <c:noMultiLvlLbl val="0"/>
      </c:catAx>
      <c:valAx>
        <c:axId val="646347520"/>
        <c:scaling>
          <c:orientation val="minMax"/>
        </c:scaling>
        <c:delete val="0"/>
        <c:axPos val="b"/>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6345888"/>
        <c:crosses val="autoZero"/>
        <c:crossBetween val="midCat"/>
      </c:valAx>
      <c:spPr>
        <a:noFill/>
        <a:ln>
          <a:noFill/>
        </a:ln>
        <a:effectLst/>
      </c:spPr>
    </c:plotArea>
    <c:legend>
      <c:legendPos val="b"/>
      <c:layout>
        <c:manualLayout>
          <c:xMode val="edge"/>
          <c:yMode val="edge"/>
          <c:x val="0.28959899880064655"/>
          <c:y val="9.4577685985973062E-2"/>
          <c:w val="0.22465340984919263"/>
          <c:h val="0.1196216852203819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43548387096774E-2"/>
          <c:y val="7.9400088222320253E-2"/>
          <c:w val="0.88911290322580649"/>
          <c:h val="0.6871184992480262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nominal'!$B$42:$B$44</c:f>
              <c:strCache>
                <c:ptCount val="3"/>
                <c:pt idx="0">
                  <c:v>Año presupuestario</c:v>
                </c:pt>
                <c:pt idx="1">
                  <c:v>Año presupuestario+1</c:v>
                </c:pt>
                <c:pt idx="2">
                  <c:v>Año presupuestario+2</c:v>
                </c:pt>
              </c:strCache>
            </c:strRef>
          </c:cat>
          <c:val>
            <c:numRef>
              <c:f>'PIB nominal'!$D$42:$D$44</c:f>
              <c:numCache>
                <c:formatCode>_(* #,##0.00_);_(* \(#,##0.00\);_(* "-"??_);_(@_)</c:formatCode>
                <c:ptCount val="3"/>
                <c:pt idx="0">
                  <c:v>1.9175101169415418</c:v>
                </c:pt>
                <c:pt idx="1">
                  <c:v>1.9547344272269898</c:v>
                </c:pt>
                <c:pt idx="2">
                  <c:v>1.7037550957604961</c:v>
                </c:pt>
              </c:numCache>
            </c:numRef>
          </c:val>
          <c:extLst>
            <c:ext xmlns:c16="http://schemas.microsoft.com/office/drawing/2014/chart" uri="{C3380CC4-5D6E-409C-BE32-E72D297353CC}">
              <c16:uniqueId val="{00000000-0654-4B14-9A62-B8DD50BC40DB}"/>
            </c:ext>
          </c:extLst>
        </c:ser>
        <c:dLbls>
          <c:showLegendKey val="0"/>
          <c:showVal val="0"/>
          <c:showCatName val="0"/>
          <c:showSerName val="0"/>
          <c:showPercent val="0"/>
          <c:showBubbleSize val="0"/>
        </c:dLbls>
        <c:gapWidth val="219"/>
        <c:overlap val="-27"/>
        <c:axId val="1217834752"/>
        <c:axId val="1217835168"/>
      </c:barChart>
      <c:catAx>
        <c:axId val="121783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17835168"/>
        <c:crosses val="autoZero"/>
        <c:auto val="1"/>
        <c:lblAlgn val="ctr"/>
        <c:lblOffset val="100"/>
        <c:noMultiLvlLbl val="0"/>
      </c:catAx>
      <c:valAx>
        <c:axId val="1217835168"/>
        <c:scaling>
          <c:orientation val="minMax"/>
          <c:min val="1.2"/>
        </c:scaling>
        <c:delete val="1"/>
        <c:axPos val="l"/>
        <c:numFmt formatCode="_(* #,##0.00_);_(* \(#,##0.00\);_(* &quot;-&quot;??_);_(@_)" sourceLinked="1"/>
        <c:majorTickMark val="none"/>
        <c:minorTickMark val="none"/>
        <c:tickLblPos val="nextTo"/>
        <c:crossAx val="1217834752"/>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201439105827"/>
          <c:y val="9.0793286070557894E-2"/>
          <c:w val="0.73071080400664201"/>
          <c:h val="0.70064785496119031"/>
        </c:manualLayout>
      </c:layout>
      <c:barChart>
        <c:barDir val="col"/>
        <c:grouping val="stacked"/>
        <c:varyColors val="0"/>
        <c:ser>
          <c:idx val="0"/>
          <c:order val="0"/>
          <c:tx>
            <c:strRef>
              <c:f>'Hist. Pensiones_1'!$C$5</c:f>
              <c:strCache>
                <c:ptCount val="1"/>
                <c:pt idx="0">
                  <c:v>Invalidez</c:v>
                </c:pt>
              </c:strCache>
            </c:strRef>
          </c:tx>
          <c:spPr>
            <a:solidFill>
              <a:srgbClr val="002060"/>
            </a:solidFill>
            <a:ln>
              <a:noFill/>
            </a:ln>
            <a:effectLst>
              <a:outerShdw blurRad="50800" dist="38100" dir="2700000" algn="tl" rotWithShape="0">
                <a:prstClr val="black">
                  <a:alpha val="40000"/>
                </a:prstClr>
              </a:outerShdw>
            </a:effectLst>
          </c:spPr>
          <c:invertIfNegative val="0"/>
          <c:dLbls>
            <c:dLbl>
              <c:idx val="0"/>
              <c:layout>
                <c:manualLayout>
                  <c:x val="-2.5521381390288248E-17"/>
                  <c:y val="-4.6782540019331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79-4C56-A067-1E791AD9BF18}"/>
                </c:ext>
              </c:extLst>
            </c:dLbl>
            <c:numFmt formatCode="#,##0.0" sourceLinked="0"/>
            <c:spPr>
              <a:noFill/>
              <a:ln>
                <a:noFill/>
              </a:ln>
              <a:effectLst/>
            </c:spPr>
            <c:txPr>
              <a:bodyPr/>
              <a:lstStyle/>
              <a:p>
                <a:pPr>
                  <a:defRPr sz="500">
                    <a:solidFill>
                      <a:schemeClr val="bg1"/>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 Pensiones_1'!$B$68:$B$79</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'Hist. Pensiones_1'!$C$68:$C$79</c:f>
              <c:numCache>
                <c:formatCode>_(* #,##0.00_);_(* \(#,##0.00\);_(* "-"??_);_(@_)</c:formatCode>
                <c:ptCount val="12"/>
                <c:pt idx="0">
                  <c:v>11.747999999999999</c:v>
                </c:pt>
                <c:pt idx="1">
                  <c:v>11.907999999999999</c:v>
                </c:pt>
                <c:pt idx="2">
                  <c:v>12.032</c:v>
                </c:pt>
                <c:pt idx="3">
                  <c:v>11.861000000000001</c:v>
                </c:pt>
                <c:pt idx="4">
                  <c:v>9.9269999999999996</c:v>
                </c:pt>
                <c:pt idx="5">
                  <c:v>11.532999999999999</c:v>
                </c:pt>
                <c:pt idx="6">
                  <c:v>11.535</c:v>
                </c:pt>
                <c:pt idx="7">
                  <c:v>10.968999999999999</c:v>
                </c:pt>
                <c:pt idx="8">
                  <c:v>7.8869999999999996</c:v>
                </c:pt>
                <c:pt idx="9">
                  <c:v>7.8209999999999997</c:v>
                </c:pt>
                <c:pt idx="10">
                  <c:v>7.9550000000000001</c:v>
                </c:pt>
                <c:pt idx="11">
                  <c:v>8.3569999999999993</c:v>
                </c:pt>
              </c:numCache>
            </c:numRef>
          </c:val>
          <c:extLst>
            <c:ext xmlns:c16="http://schemas.microsoft.com/office/drawing/2014/chart" uri="{C3380CC4-5D6E-409C-BE32-E72D297353CC}">
              <c16:uniqueId val="{00000001-AC79-4C56-A067-1E791AD9BF18}"/>
            </c:ext>
          </c:extLst>
        </c:ser>
        <c:ser>
          <c:idx val="1"/>
          <c:order val="1"/>
          <c:tx>
            <c:strRef>
              <c:f>'Hist. Pensiones_1'!$D$5</c:f>
              <c:strCache>
                <c:ptCount val="1"/>
                <c:pt idx="0">
                  <c:v>Vejez</c:v>
                </c:pt>
              </c:strCache>
            </c:strRef>
          </c:tx>
          <c:spPr>
            <a:solidFill>
              <a:srgbClr val="00B0F0"/>
            </a:solidFill>
            <a:ln>
              <a:noFill/>
            </a:ln>
            <a:effectLst>
              <a:outerShdw blurRad="50800" dist="38100" dir="2700000" algn="tl" rotWithShape="0">
                <a:prstClr val="black">
                  <a:alpha val="40000"/>
                </a:prstClr>
              </a:outerShdw>
            </a:effectLst>
          </c:spPr>
          <c:invertIfNegative val="0"/>
          <c:dLbls>
            <c:dLbl>
              <c:idx val="7"/>
              <c:layout>
                <c:manualLayout>
                  <c:x val="0"/>
                  <c:y val="7.7491523523972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79-4C56-A067-1E791AD9BF18}"/>
                </c:ext>
              </c:extLst>
            </c:dLbl>
            <c:dLbl>
              <c:idx val="8"/>
              <c:layout>
                <c:manualLayout>
                  <c:x val="8.3143408378906071E-17"/>
                  <c:y val="6.5695631462437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79-4C56-A067-1E791AD9BF18}"/>
                </c:ext>
              </c:extLst>
            </c:dLbl>
            <c:dLbl>
              <c:idx val="9"/>
              <c:layout>
                <c:manualLayout>
                  <c:x val="0"/>
                  <c:y val="-2.846975088967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79-4C56-A067-1E791AD9BF18}"/>
                </c:ext>
              </c:extLst>
            </c:dLbl>
            <c:dLbl>
              <c:idx val="10"/>
              <c:layout>
                <c:manualLayout>
                  <c:x val="0"/>
                  <c:y val="2.846975088967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79-4C56-A067-1E791AD9BF18}"/>
                </c:ext>
              </c:extLst>
            </c:dLbl>
            <c:numFmt formatCode="#,##0.0" sourceLinked="0"/>
            <c:spPr>
              <a:noFill/>
              <a:ln>
                <a:noFill/>
              </a:ln>
              <a:effectLst/>
            </c:spPr>
            <c:txPr>
              <a:bodyPr rot="-5400000" vert="horz"/>
              <a:lstStyle/>
              <a:p>
                <a:pPr>
                  <a:defRPr sz="6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 Pensiones_1'!$B$68:$B$79</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'Hist. Pensiones_1'!$D$68:$D$79</c:f>
              <c:numCache>
                <c:formatCode>_(* #,##0.00_);_(* \(#,##0.00\);_(* "-"??_);_(@_)</c:formatCode>
                <c:ptCount val="12"/>
                <c:pt idx="0">
                  <c:v>65.894999999999996</c:v>
                </c:pt>
                <c:pt idx="1">
                  <c:v>68.951999999999998</c:v>
                </c:pt>
                <c:pt idx="2">
                  <c:v>74.269000000000005</c:v>
                </c:pt>
                <c:pt idx="3">
                  <c:v>77.307000000000002</c:v>
                </c:pt>
                <c:pt idx="4">
                  <c:v>82.111999999999995</c:v>
                </c:pt>
                <c:pt idx="5">
                  <c:v>83.009</c:v>
                </c:pt>
                <c:pt idx="6">
                  <c:v>85.73</c:v>
                </c:pt>
                <c:pt idx="7">
                  <c:v>86.033000000000001</c:v>
                </c:pt>
                <c:pt idx="8">
                  <c:v>88.183999999999997</c:v>
                </c:pt>
                <c:pt idx="9">
                  <c:v>87.616</c:v>
                </c:pt>
                <c:pt idx="10">
                  <c:v>90.073999999999998</c:v>
                </c:pt>
                <c:pt idx="11">
                  <c:v>94.186999999999998</c:v>
                </c:pt>
              </c:numCache>
            </c:numRef>
          </c:val>
          <c:extLst>
            <c:ext xmlns:c16="http://schemas.microsoft.com/office/drawing/2014/chart" uri="{C3380CC4-5D6E-409C-BE32-E72D297353CC}">
              <c16:uniqueId val="{00000006-AC79-4C56-A067-1E791AD9BF18}"/>
            </c:ext>
          </c:extLst>
        </c:ser>
        <c:ser>
          <c:idx val="2"/>
          <c:order val="2"/>
          <c:tx>
            <c:strRef>
              <c:f>'Hist. Pensiones_1'!$E$5</c:f>
              <c:strCache>
                <c:ptCount val="1"/>
                <c:pt idx="0">
                  <c:v>Sobrevivencia</c:v>
                </c:pt>
              </c:strCache>
            </c:strRef>
          </c:tx>
          <c:spPr>
            <a:solidFill>
              <a:srgbClr val="FFC000"/>
            </a:solidFill>
            <a:ln>
              <a:noFill/>
            </a:ln>
            <a:effectLst>
              <a:outerShdw blurRad="50800" dist="38100" dir="2700000" algn="tl" rotWithShape="0">
                <a:prstClr val="black">
                  <a:alpha val="40000"/>
                </a:prstClr>
              </a:outerShdw>
            </a:effectLst>
          </c:spPr>
          <c:invertIfNegative val="0"/>
          <c:dLbls>
            <c:dLbl>
              <c:idx val="3"/>
              <c:layout>
                <c:manualLayout>
                  <c:x val="-4.1571704189453035E-17"/>
                  <c:y val="5.976940382452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79-4C56-A067-1E791AD9BF18}"/>
                </c:ext>
              </c:extLst>
            </c:dLbl>
            <c:dLbl>
              <c:idx val="4"/>
              <c:layout>
                <c:manualLayout>
                  <c:x val="-5.1042762780576495E-17"/>
                  <c:y val="-4.6782540019331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79-4C56-A067-1E791AD9BF18}"/>
                </c:ext>
              </c:extLst>
            </c:dLbl>
            <c:numFmt formatCode="#,##0.0" sourceLinked="0"/>
            <c:spPr>
              <a:noFill/>
              <a:ln>
                <a:noFill/>
              </a:ln>
              <a:effectLst/>
            </c:spPr>
            <c:txPr>
              <a:bodyPr rot="-5400000" vert="horz"/>
              <a:lstStyle/>
              <a:p>
                <a:pPr>
                  <a:defRPr sz="6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 Pensiones_1'!$B$68:$B$79</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'Hist. Pensiones_1'!$E$68:$E$79</c:f>
              <c:numCache>
                <c:formatCode>_(* #,##0.00_);_(* \(#,##0.00\);_(* "-"??_);_(@_)</c:formatCode>
                <c:ptCount val="12"/>
                <c:pt idx="0">
                  <c:v>75.605000000000004</c:v>
                </c:pt>
                <c:pt idx="1">
                  <c:v>78.05</c:v>
                </c:pt>
                <c:pt idx="2">
                  <c:v>80.191999999999993</c:v>
                </c:pt>
                <c:pt idx="3">
                  <c:v>81.688999999999993</c:v>
                </c:pt>
                <c:pt idx="4">
                  <c:v>82.75</c:v>
                </c:pt>
                <c:pt idx="5">
                  <c:v>83.268000000000001</c:v>
                </c:pt>
                <c:pt idx="6">
                  <c:v>83.463999999999999</c:v>
                </c:pt>
                <c:pt idx="7">
                  <c:v>81.534000000000006</c:v>
                </c:pt>
                <c:pt idx="8">
                  <c:v>80.313999999999993</c:v>
                </c:pt>
                <c:pt idx="9">
                  <c:v>76.548000000000002</c:v>
                </c:pt>
                <c:pt idx="10">
                  <c:v>73.677000000000007</c:v>
                </c:pt>
                <c:pt idx="11">
                  <c:v>78.165000000000006</c:v>
                </c:pt>
              </c:numCache>
            </c:numRef>
          </c:val>
          <c:extLst>
            <c:ext xmlns:c16="http://schemas.microsoft.com/office/drawing/2014/chart" uri="{C3380CC4-5D6E-409C-BE32-E72D297353CC}">
              <c16:uniqueId val="{00000009-AC79-4C56-A067-1E791AD9BF18}"/>
            </c:ext>
          </c:extLst>
        </c:ser>
        <c:dLbls>
          <c:showLegendKey val="0"/>
          <c:showVal val="0"/>
          <c:showCatName val="0"/>
          <c:showSerName val="0"/>
          <c:showPercent val="0"/>
          <c:showBubbleSize val="0"/>
        </c:dLbls>
        <c:gapWidth val="40"/>
        <c:overlap val="100"/>
        <c:axId val="915265263"/>
        <c:axId val="915262351"/>
      </c:barChart>
      <c:lineChart>
        <c:grouping val="standard"/>
        <c:varyColors val="0"/>
        <c:ser>
          <c:idx val="3"/>
          <c:order val="3"/>
          <c:tx>
            <c:strRef>
              <c:f>'Hist. Pensiones_1'!$I$52</c:f>
              <c:strCache>
                <c:ptCount val="1"/>
                <c:pt idx="0">
                  <c:v>Tasa de variacíón total</c:v>
                </c:pt>
              </c:strCache>
            </c:strRef>
          </c:tx>
          <c:spPr>
            <a:ln w="28575" cap="rnd">
              <a:solidFill>
                <a:srgbClr val="FF0000"/>
              </a:solidFill>
              <a:round/>
            </a:ln>
            <a:effectLst>
              <a:outerShdw blurRad="50800" dist="38100" dir="2700000" algn="tl" rotWithShape="0">
                <a:prstClr val="black">
                  <a:alpha val="40000"/>
                </a:prstClr>
              </a:outerShdw>
            </a:effectLst>
          </c:spPr>
          <c:marker>
            <c:symbol val="circle"/>
            <c:size val="10"/>
            <c:spPr>
              <a:solidFill>
                <a:srgbClr val="002060"/>
              </a:solidFill>
            </c:spPr>
          </c:marker>
          <c:dLbls>
            <c:spPr>
              <a:noFill/>
              <a:ln>
                <a:noFill/>
              </a:ln>
              <a:effectLst/>
            </c:spPr>
            <c:txPr>
              <a:bodyPr wrap="square" lIns="38100" tIns="19050" rIns="38100" bIns="19050" anchor="ctr">
                <a:spAutoFit/>
              </a:bodyPr>
              <a:lstStyle/>
              <a:p>
                <a:pPr>
                  <a:defRPr sz="500">
                    <a:solidFill>
                      <a:schemeClr val="bg1"/>
                    </a:solidFill>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'Hist. Pensiones_1'!$B$68:$B$79</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'Hist. Pensiones_1'!$I$68:$I$79</c:f>
              <c:numCache>
                <c:formatCode>_-* #,##0.0_-;\-* #,##0.0_-;_-* "-"??_-;_-@_-</c:formatCode>
                <c:ptCount val="12"/>
                <c:pt idx="0">
                  <c:v>5.7926092629282664</c:v>
                </c:pt>
                <c:pt idx="1">
                  <c:v>3.6946648569638825</c:v>
                </c:pt>
                <c:pt idx="2">
                  <c:v>4.7718834560442929</c:v>
                </c:pt>
                <c:pt idx="3">
                  <c:v>2.6211312187299143</c:v>
                </c:pt>
                <c:pt idx="4">
                  <c:v>2.3013397168392089</c:v>
                </c:pt>
                <c:pt idx="5">
                  <c:v>1.7283696342447143</c:v>
                </c:pt>
                <c:pt idx="6">
                  <c:v>1.6416399527585384</c:v>
                </c:pt>
                <c:pt idx="7">
                  <c:v>-1.2134189864382563</c:v>
                </c:pt>
                <c:pt idx="8">
                  <c:v>-1.2047990321279798</c:v>
                </c:pt>
                <c:pt idx="9">
                  <c:v>-2.4945431867789125</c:v>
                </c:pt>
                <c:pt idx="10">
                  <c:v>-0.16222344971944835</c:v>
                </c:pt>
                <c:pt idx="11">
                  <c:v>5.2432646500413398</c:v>
                </c:pt>
              </c:numCache>
            </c:numRef>
          </c:val>
          <c:smooth val="1"/>
          <c:extLst>
            <c:ext xmlns:c16="http://schemas.microsoft.com/office/drawing/2014/chart" uri="{C3380CC4-5D6E-409C-BE32-E72D297353CC}">
              <c16:uniqueId val="{0000000A-AC79-4C56-A067-1E791AD9BF18}"/>
            </c:ext>
          </c:extLst>
        </c:ser>
        <c:dLbls>
          <c:showLegendKey val="0"/>
          <c:showVal val="0"/>
          <c:showCatName val="0"/>
          <c:showSerName val="0"/>
          <c:showPercent val="0"/>
          <c:showBubbleSize val="0"/>
        </c:dLbls>
        <c:marker val="1"/>
        <c:smooth val="0"/>
        <c:axId val="113699103"/>
        <c:axId val="113714079"/>
      </c:lineChart>
      <c:catAx>
        <c:axId val="915265263"/>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s-GT"/>
          </a:p>
        </c:txPr>
        <c:crossAx val="915262351"/>
        <c:crosses val="autoZero"/>
        <c:auto val="1"/>
        <c:lblAlgn val="ctr"/>
        <c:lblOffset val="100"/>
        <c:noMultiLvlLbl val="0"/>
      </c:catAx>
      <c:valAx>
        <c:axId val="915262351"/>
        <c:scaling>
          <c:orientation val="minMax"/>
        </c:scaling>
        <c:delete val="0"/>
        <c:axPos val="l"/>
        <c:title>
          <c:tx>
            <c:rich>
              <a:bodyPr/>
              <a:lstStyle/>
              <a:p>
                <a:pPr>
                  <a:defRPr sz="700" b="0">
                    <a:solidFill>
                      <a:schemeClr val="tx1">
                        <a:lumMod val="75000"/>
                        <a:lumOff val="25000"/>
                      </a:schemeClr>
                    </a:solidFill>
                  </a:defRPr>
                </a:pPr>
                <a:r>
                  <a:rPr lang="en-US" sz="700" b="0">
                    <a:solidFill>
                      <a:schemeClr val="tx1">
                        <a:lumMod val="75000"/>
                        <a:lumOff val="25000"/>
                      </a:schemeClr>
                    </a:solidFill>
                  </a:rPr>
                  <a:t>Miles de pensionados</a:t>
                </a:r>
              </a:p>
            </c:rich>
          </c:tx>
          <c:overlay val="0"/>
        </c:title>
        <c:numFmt formatCode="_(* #,##0_);_(* \(#,##0\);_(* &quot;-&quot;_);_(@_)" sourceLinked="0"/>
        <c:majorTickMark val="none"/>
        <c:minorTickMark val="none"/>
        <c:tickLblPos val="nextTo"/>
        <c:spPr>
          <a:noFill/>
          <a:ln>
            <a:noFill/>
          </a:ln>
          <a:effectLst/>
        </c:spPr>
        <c:txPr>
          <a:bodyPr rot="-60000000" vert="horz"/>
          <a:lstStyle/>
          <a:p>
            <a:pPr>
              <a:defRPr sz="600"/>
            </a:pPr>
            <a:endParaRPr lang="es-GT"/>
          </a:p>
        </c:txPr>
        <c:crossAx val="915265263"/>
        <c:crosses val="autoZero"/>
        <c:crossBetween val="between"/>
      </c:valAx>
      <c:valAx>
        <c:axId val="113714079"/>
        <c:scaling>
          <c:orientation val="minMax"/>
          <c:max val="6"/>
          <c:min val="-4"/>
        </c:scaling>
        <c:delete val="0"/>
        <c:axPos val="r"/>
        <c:title>
          <c:tx>
            <c:rich>
              <a:bodyPr/>
              <a:lstStyle/>
              <a:p>
                <a:pPr>
                  <a:defRPr sz="700" b="0"/>
                </a:pPr>
                <a:r>
                  <a:rPr lang="es-GT" sz="700" b="0">
                    <a:solidFill>
                      <a:schemeClr val="tx1">
                        <a:lumMod val="75000"/>
                        <a:lumOff val="25000"/>
                      </a:schemeClr>
                    </a:solidFill>
                  </a:rPr>
                  <a:t>Variación</a:t>
                </a:r>
                <a:r>
                  <a:rPr lang="es-GT" sz="700" b="0" baseline="0">
                    <a:solidFill>
                      <a:schemeClr val="tx1">
                        <a:lumMod val="75000"/>
                        <a:lumOff val="25000"/>
                      </a:schemeClr>
                    </a:solidFill>
                  </a:rPr>
                  <a:t> interanual (%)</a:t>
                </a:r>
                <a:endParaRPr lang="es-GT" sz="700" b="0">
                  <a:solidFill>
                    <a:schemeClr val="tx1">
                      <a:lumMod val="75000"/>
                      <a:lumOff val="25000"/>
                    </a:schemeClr>
                  </a:solidFill>
                </a:endParaRPr>
              </a:p>
            </c:rich>
          </c:tx>
          <c:overlay val="0"/>
        </c:title>
        <c:numFmt formatCode="_-* #,##0.0_-;\-* #,##0.0_-;_-* &quot;-&quot;??_-;_-@_-" sourceLinked="1"/>
        <c:majorTickMark val="out"/>
        <c:minorTickMark val="none"/>
        <c:tickLblPos val="nextTo"/>
        <c:spPr>
          <a:noFill/>
          <a:ln>
            <a:noFill/>
          </a:ln>
          <a:effectLst/>
        </c:spPr>
        <c:txPr>
          <a:bodyPr rot="-60000000" vert="horz"/>
          <a:lstStyle/>
          <a:p>
            <a:pPr>
              <a:defRPr sz="600"/>
            </a:pPr>
            <a:endParaRPr lang="es-GT"/>
          </a:p>
        </c:txPr>
        <c:crossAx val="113699103"/>
        <c:crosses val="max"/>
        <c:crossBetween val="between"/>
      </c:valAx>
      <c:catAx>
        <c:axId val="113699103"/>
        <c:scaling>
          <c:orientation val="minMax"/>
        </c:scaling>
        <c:delete val="1"/>
        <c:axPos val="b"/>
        <c:numFmt formatCode="0" sourceLinked="1"/>
        <c:majorTickMark val="out"/>
        <c:minorTickMark val="none"/>
        <c:tickLblPos val="nextTo"/>
        <c:crossAx val="113714079"/>
        <c:crosses val="autoZero"/>
        <c:auto val="1"/>
        <c:lblAlgn val="ctr"/>
        <c:lblOffset val="100"/>
        <c:noMultiLvlLbl val="0"/>
      </c:catAx>
    </c:plotArea>
    <c:legend>
      <c:legendPos val="b"/>
      <c:layout>
        <c:manualLayout>
          <c:xMode val="edge"/>
          <c:yMode val="edge"/>
          <c:x val="4.8841037727426928E-2"/>
          <c:y val="0.89017401294589071"/>
          <c:w val="0.92045851411430712"/>
          <c:h val="0.10379465911956735"/>
        </c:manualLayout>
      </c:layout>
      <c:overlay val="0"/>
      <c:spPr>
        <a:noFill/>
        <a:ln>
          <a:noFill/>
        </a:ln>
        <a:effectLst/>
      </c:spPr>
      <c:txPr>
        <a:bodyPr rot="0" vert="horz"/>
        <a:lstStyle/>
        <a:p>
          <a:pPr>
            <a:defRPr sz="600"/>
          </a:pPr>
          <a:endParaRPr lang="es-GT"/>
        </a:p>
      </c:txPr>
    </c:legend>
    <c:plotVisOnly val="1"/>
    <c:dispBlanksAs val="gap"/>
    <c:showDLblsOverMax val="0"/>
    <c:extLst/>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5391949793601"/>
          <c:y val="3.9688010696776105E-2"/>
          <c:w val="0.87960563452939933"/>
          <c:h val="0.83198114521399114"/>
        </c:manualLayout>
      </c:layout>
      <c:lineChart>
        <c:grouping val="standard"/>
        <c:varyColors val="0"/>
        <c:ser>
          <c:idx val="0"/>
          <c:order val="0"/>
          <c:tx>
            <c:strRef>
              <c:f>IVS!$E$3</c:f>
              <c:strCache>
                <c:ptCount val="1"/>
                <c:pt idx="0">
                  <c:v>Ingresosp</c:v>
                </c:pt>
              </c:strCache>
            </c:strRef>
          </c:tx>
          <c:spPr>
            <a:ln w="28575" cap="rnd">
              <a:solidFill>
                <a:srgbClr val="7030A0"/>
              </a:solidFill>
              <a:round/>
            </a:ln>
            <a:effectLst/>
          </c:spPr>
          <c:marker>
            <c:symbol val="none"/>
          </c:marker>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IVS!$E$20:$E$37</c:f>
              <c:numCache>
                <c:formatCode>General</c:formatCode>
                <c:ptCount val="18"/>
                <c:pt idx="5" formatCode="_(* #,##0.00_);_(* \(#,##0.00\);_(* &quot;-&quot;??_);_(@_)">
                  <c:v>5138.09</c:v>
                </c:pt>
                <c:pt idx="6" formatCode="_(* #,##0.00_);_(* \(#,##0.00\);_(* &quot;-&quot;??_);_(@_)">
                  <c:v>5349.02</c:v>
                </c:pt>
                <c:pt idx="7" formatCode="_(* #,##0.00_);_(* \(#,##0.00\);_(* &quot;-&quot;??_);_(@_)">
                  <c:v>5550.52</c:v>
                </c:pt>
                <c:pt idx="8" formatCode="_(* #,##0.00_);_(* \(#,##0.00\);_(* &quot;-&quot;??_);_(@_)">
                  <c:v>5741.68</c:v>
                </c:pt>
                <c:pt idx="9" formatCode="_(* #,##0.00_);_(* \(#,##0.00\);_(* &quot;-&quot;??_);_(@_)">
                  <c:v>5927.13</c:v>
                </c:pt>
                <c:pt idx="10" formatCode="_(* #,##0.00_);_(* \(#,##0.00\);_(* &quot;-&quot;??_);_(@_)">
                  <c:v>6095.29</c:v>
                </c:pt>
                <c:pt idx="11" formatCode="_(* #,##0.00_);_(* \(#,##0.00\);_(* &quot;-&quot;??_);_(@_)">
                  <c:v>6090</c:v>
                </c:pt>
                <c:pt idx="12" formatCode="_(* #,##0.00_);_(* \(#,##0.00\);_(* &quot;-&quot;??_);_(@_)">
                  <c:v>6100</c:v>
                </c:pt>
                <c:pt idx="13" formatCode="_(* #,##0.00_);_(* \(#,##0.00\);_(* &quot;-&quot;??_);_(@_)">
                  <c:v>6115</c:v>
                </c:pt>
                <c:pt idx="14" formatCode="_(* #,##0.00_);_(* \(#,##0.00\);_(* &quot;-&quot;??_);_(@_)">
                  <c:v>6079</c:v>
                </c:pt>
                <c:pt idx="15" formatCode="_(* #,##0.00_);_(* \(#,##0.00\);_(* &quot;-&quot;??_);_(@_)">
                  <c:v>6050</c:v>
                </c:pt>
                <c:pt idx="16">
                  <c:v>5950</c:v>
                </c:pt>
                <c:pt idx="17">
                  <c:v>5900</c:v>
                </c:pt>
              </c:numCache>
            </c:numRef>
          </c:val>
          <c:smooth val="1"/>
          <c:extLst>
            <c:ext xmlns:c16="http://schemas.microsoft.com/office/drawing/2014/chart" uri="{C3380CC4-5D6E-409C-BE32-E72D297353CC}">
              <c16:uniqueId val="{00000000-002D-49C7-B87F-1871DF87EA32}"/>
            </c:ext>
          </c:extLst>
        </c:ser>
        <c:ser>
          <c:idx val="1"/>
          <c:order val="1"/>
          <c:tx>
            <c:strRef>
              <c:f>IVS!$F$3</c:f>
              <c:strCache>
                <c:ptCount val="1"/>
                <c:pt idx="0">
                  <c:v>Gastosp</c:v>
                </c:pt>
              </c:strCache>
            </c:strRef>
          </c:tx>
          <c:spPr>
            <a:ln w="28575" cap="rnd">
              <a:solidFill>
                <a:srgbClr val="C00000"/>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2D-49C7-B87F-1871DF87EA32}"/>
                </c:ext>
              </c:extLst>
            </c:dLbl>
            <c:dLbl>
              <c:idx val="9"/>
              <c:layout>
                <c:manualLayout>
                  <c:x val="-0.16458329967479035"/>
                  <c:y val="-0.21486997655720885"/>
                </c:manualLayout>
              </c:layout>
              <c:tx>
                <c:rich>
                  <a:bodyPr rot="0" spcFirstLastPara="1" vertOverflow="clip" horzOverflow="clip" vert="horz" wrap="square" lIns="36576" tIns="18288" rIns="36576" bIns="18288" anchor="ctr" anchorCtr="1">
                    <a:spAutoFit/>
                  </a:bodyPr>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El desequilibrio financiero iniciaría alrededor del año 2025</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864302444744489"/>
                      <c:h val="0.17594617574211674"/>
                    </c:manualLayout>
                  </c15:layout>
                  <c15:showDataLabelsRange val="0"/>
                </c:ext>
                <c:ext xmlns:c16="http://schemas.microsoft.com/office/drawing/2014/chart" uri="{C3380CC4-5D6E-409C-BE32-E72D297353CC}">
                  <c16:uniqueId val="{00000002-002D-49C7-B87F-1871DF87EA32}"/>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IVS!$F$20:$F$37</c:f>
              <c:numCache>
                <c:formatCode>General</c:formatCode>
                <c:ptCount val="18"/>
                <c:pt idx="5" formatCode="_(* #,##0.00_);_(* \(#,##0.00\);_(* &quot;-&quot;??_);_(@_)">
                  <c:v>4133.2299999999996</c:v>
                </c:pt>
                <c:pt idx="6" formatCode="_(* #,##0.00_);_(* \(#,##0.00\);_(* &quot;-&quot;??_);_(@_)">
                  <c:v>4615.7</c:v>
                </c:pt>
                <c:pt idx="7" formatCode="_(* #,##0.00_);_(* \(#,##0.00\);_(* &quot;-&quot;??_);_(@_)">
                  <c:v>5134.54</c:v>
                </c:pt>
                <c:pt idx="8" formatCode="_(* #,##0.00_);_(* \(#,##0.00\);_(* &quot;-&quot;??_);_(@_)">
                  <c:v>5697.49</c:v>
                </c:pt>
                <c:pt idx="9" formatCode="_(* #,##0.00_);_(* \(#,##0.00\);_(* &quot;-&quot;??_);_(@_)">
                  <c:v>6312.36</c:v>
                </c:pt>
                <c:pt idx="10" formatCode="_(* #,##0.00_);_(* \(#,##0.00\);_(* &quot;-&quot;??_);_(@_)">
                  <c:v>6984.1</c:v>
                </c:pt>
                <c:pt idx="11" formatCode="_(* #,##0.00_);_(* \(#,##0.00\);_(* &quot;-&quot;??_);_(@_)">
                  <c:v>7790</c:v>
                </c:pt>
                <c:pt idx="12" formatCode="_(* #,##0.00_);_(* \(#,##0.00\);_(* &quot;-&quot;??_);_(@_)">
                  <c:v>8650</c:v>
                </c:pt>
                <c:pt idx="13" formatCode="_(* #,##0.00_);_(* \(#,##0.00\);_(* &quot;-&quot;??_);_(@_)">
                  <c:v>9400</c:v>
                </c:pt>
                <c:pt idx="14" formatCode="_(* #,##0.00_);_(* \(#,##0.00\);_(* &quot;-&quot;??_);_(@_)">
                  <c:v>10500</c:v>
                </c:pt>
                <c:pt idx="15" formatCode="_(* #,##0.00_);_(* \(#,##0.00\);_(* &quot;-&quot;??_);_(@_)">
                  <c:v>11600</c:v>
                </c:pt>
                <c:pt idx="16">
                  <c:v>12700</c:v>
                </c:pt>
                <c:pt idx="17">
                  <c:v>13900</c:v>
                </c:pt>
              </c:numCache>
            </c:numRef>
          </c:val>
          <c:smooth val="1"/>
          <c:extLst>
            <c:ext xmlns:c16="http://schemas.microsoft.com/office/drawing/2014/chart" uri="{C3380CC4-5D6E-409C-BE32-E72D297353CC}">
              <c16:uniqueId val="{00000003-002D-49C7-B87F-1871DF87EA32}"/>
            </c:ext>
          </c:extLst>
        </c:ser>
        <c:ser>
          <c:idx val="2"/>
          <c:order val="2"/>
          <c:tx>
            <c:strRef>
              <c:f>IVS!$G$3</c:f>
              <c:strCache>
                <c:ptCount val="1"/>
                <c:pt idx="0">
                  <c:v>Ingresos</c:v>
                </c:pt>
              </c:strCache>
            </c:strRef>
          </c:tx>
          <c:spPr>
            <a:ln w="28575" cap="rnd">
              <a:solidFill>
                <a:schemeClr val="accent3"/>
              </a:solidFill>
              <a:round/>
            </a:ln>
            <a:effectLst/>
          </c:spPr>
          <c:marker>
            <c:symbol val="none"/>
          </c:marker>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IVS!$G$20:$G$37</c:f>
              <c:numCache>
                <c:formatCode>_(* #,##0.00_);_(* \(#,##0.00\);_(* "-"??_);_(@_)</c:formatCode>
                <c:ptCount val="18"/>
                <c:pt idx="0">
                  <c:v>4496.3999999999996</c:v>
                </c:pt>
                <c:pt idx="1">
                  <c:v>4821.54</c:v>
                </c:pt>
                <c:pt idx="2">
                  <c:v>5038.97</c:v>
                </c:pt>
                <c:pt idx="3">
                  <c:v>5205.67</c:v>
                </c:pt>
                <c:pt idx="4">
                  <c:v>4983.0200000000004</c:v>
                </c:pt>
                <c:pt idx="5">
                  <c:v>5466.2079417799996</c:v>
                </c:pt>
              </c:numCache>
            </c:numRef>
          </c:val>
          <c:smooth val="0"/>
          <c:extLst>
            <c:ext xmlns:c16="http://schemas.microsoft.com/office/drawing/2014/chart" uri="{C3380CC4-5D6E-409C-BE32-E72D297353CC}">
              <c16:uniqueId val="{00000004-002D-49C7-B87F-1871DF87EA32}"/>
            </c:ext>
          </c:extLst>
        </c:ser>
        <c:ser>
          <c:idx val="3"/>
          <c:order val="3"/>
          <c:tx>
            <c:strRef>
              <c:f>IVS!$H$3</c:f>
              <c:strCache>
                <c:ptCount val="1"/>
                <c:pt idx="0">
                  <c:v>Gastos</c:v>
                </c:pt>
              </c:strCache>
            </c:strRef>
          </c:tx>
          <c:spPr>
            <a:ln w="28575" cap="rnd">
              <a:solidFill>
                <a:schemeClr val="accent4"/>
              </a:solidFill>
              <a:round/>
            </a:ln>
            <a:effectLst/>
          </c:spPr>
          <c:marker>
            <c:symbol val="none"/>
          </c:marker>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IVS!$H$20:$H$37</c:f>
              <c:numCache>
                <c:formatCode>_(* #,##0.00_);_(* \(#,##0.00\);_(* "-"??_);_(@_)</c:formatCode>
                <c:ptCount val="18"/>
                <c:pt idx="0">
                  <c:v>2633.05</c:v>
                </c:pt>
                <c:pt idx="1">
                  <c:v>2818.92</c:v>
                </c:pt>
                <c:pt idx="2">
                  <c:v>3061.68</c:v>
                </c:pt>
                <c:pt idx="3">
                  <c:v>3359.22</c:v>
                </c:pt>
                <c:pt idx="4">
                  <c:v>3566.4250000000002</c:v>
                </c:pt>
                <c:pt idx="5">
                  <c:v>3980.5</c:v>
                </c:pt>
              </c:numCache>
            </c:numRef>
          </c:val>
          <c:smooth val="0"/>
          <c:extLst>
            <c:ext xmlns:c16="http://schemas.microsoft.com/office/drawing/2014/chart" uri="{C3380CC4-5D6E-409C-BE32-E72D297353CC}">
              <c16:uniqueId val="{00000005-002D-49C7-B87F-1871DF87EA32}"/>
            </c:ext>
          </c:extLst>
        </c:ser>
        <c:ser>
          <c:idx val="4"/>
          <c:order val="4"/>
          <c:tx>
            <c:strRef>
              <c:f>IVS!$K$3</c:f>
              <c:strCache>
                <c:ptCount val="1"/>
                <c:pt idx="0">
                  <c:v>RESERVA ACUMULADA</c:v>
                </c:pt>
              </c:strCache>
            </c:strRef>
          </c:tx>
          <c:spPr>
            <a:ln w="28575" cap="rnd">
              <a:solidFill>
                <a:srgbClr val="002060"/>
              </a:solidFill>
              <a:round/>
            </a:ln>
            <a:effectLst/>
          </c:spPr>
          <c:marker>
            <c:symbol val="none"/>
          </c:marker>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IVS!$K$20:$K$37</c:f>
              <c:numCache>
                <c:formatCode>_(* #,##0.00_);_(* \(#,##0.00\);_(* "-"??_);_(@_)</c:formatCode>
                <c:ptCount val="18"/>
                <c:pt idx="0">
                  <c:v>19381.86</c:v>
                </c:pt>
                <c:pt idx="1">
                  <c:v>21390.27</c:v>
                </c:pt>
                <c:pt idx="2">
                  <c:v>23370.6</c:v>
                </c:pt>
                <c:pt idx="3">
                  <c:v>25220.89</c:v>
                </c:pt>
                <c:pt idx="4">
                  <c:v>26644.37</c:v>
                </c:pt>
                <c:pt idx="5">
                  <c:v>27649.23</c:v>
                </c:pt>
                <c:pt idx="6">
                  <c:v>28382.560000000001</c:v>
                </c:pt>
                <c:pt idx="7">
                  <c:v>28798.53</c:v>
                </c:pt>
                <c:pt idx="8">
                  <c:v>28842.720000000001</c:v>
                </c:pt>
                <c:pt idx="9">
                  <c:v>28457.49</c:v>
                </c:pt>
                <c:pt idx="10">
                  <c:v>27568.68</c:v>
                </c:pt>
                <c:pt idx="11">
                  <c:v>25500</c:v>
                </c:pt>
                <c:pt idx="12">
                  <c:v>23000</c:v>
                </c:pt>
                <c:pt idx="13">
                  <c:v>20000</c:v>
                </c:pt>
                <c:pt idx="14">
                  <c:v>16200</c:v>
                </c:pt>
                <c:pt idx="15">
                  <c:v>11000</c:v>
                </c:pt>
                <c:pt idx="16">
                  <c:v>5000</c:v>
                </c:pt>
                <c:pt idx="17">
                  <c:v>-1500</c:v>
                </c:pt>
              </c:numCache>
            </c:numRef>
          </c:val>
          <c:smooth val="0"/>
          <c:extLst>
            <c:ext xmlns:c16="http://schemas.microsoft.com/office/drawing/2014/chart" uri="{C3380CC4-5D6E-409C-BE32-E72D297353CC}">
              <c16:uniqueId val="{00000006-002D-49C7-B87F-1871DF87EA32}"/>
            </c:ext>
          </c:extLst>
        </c:ser>
        <c:dLbls>
          <c:showLegendKey val="0"/>
          <c:showVal val="0"/>
          <c:showCatName val="0"/>
          <c:showSerName val="0"/>
          <c:showPercent val="0"/>
          <c:showBubbleSize val="0"/>
        </c:dLbls>
        <c:smooth val="0"/>
        <c:axId val="391613568"/>
        <c:axId val="391599968"/>
      </c:lineChart>
      <c:catAx>
        <c:axId val="39161356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91599968"/>
        <c:crosses val="autoZero"/>
        <c:auto val="1"/>
        <c:lblAlgn val="ctr"/>
        <c:lblOffset val="100"/>
        <c:noMultiLvlLbl val="0"/>
      </c:catAx>
      <c:valAx>
        <c:axId val="391599968"/>
        <c:scaling>
          <c:orientation val="minMax"/>
          <c:min val="-5000"/>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Cifras en miles de  millones de Quetzales</a:t>
                </a:r>
              </a:p>
            </c:rich>
          </c:tx>
          <c:layout>
            <c:manualLayout>
              <c:xMode val="edge"/>
              <c:yMode val="edge"/>
              <c:x val="6.3506015382951767E-3"/>
              <c:y val="0.11284403669724771"/>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91613568"/>
        <c:crosses val="autoZero"/>
        <c:crossBetween val="between"/>
      </c:valAx>
      <c:spPr>
        <a:noFill/>
        <a:ln>
          <a:noFill/>
        </a:ln>
        <a:effectLst/>
      </c:spPr>
    </c:plotArea>
    <c:legend>
      <c:legendPos val="b"/>
      <c:layout>
        <c:manualLayout>
          <c:xMode val="edge"/>
          <c:yMode val="edge"/>
          <c:x val="0.11746380700774504"/>
          <c:y val="0.90810348706411703"/>
          <c:w val="0.85830677563408853"/>
          <c:h val="8.3300444587283737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sz="600">
          <a:latin typeface="+mn-lt"/>
        </a:defRPr>
      </a:pPr>
      <a:endParaRPr lang="es-GT"/>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'Hist. Pensiones_1'!$D$5</c:f>
              <c:strCache>
                <c:ptCount val="1"/>
                <c:pt idx="0">
                  <c:v>Vejez</c:v>
                </c:pt>
              </c:strCache>
            </c:strRef>
          </c:tx>
          <c:spPr>
            <a:solidFill>
              <a:schemeClr val="accent1"/>
            </a:solidFill>
            <a:ln>
              <a:noFill/>
            </a:ln>
            <a:effectLst>
              <a:outerShdw blurRad="50800" dist="38100" dir="2700000" algn="tl"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 Pensiones_1'!$B$68:$B$79</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'Hist. Pensiones_1'!$D$68:$D$79</c:f>
              <c:numCache>
                <c:formatCode>_(* #,##0.00_);_(* \(#,##0.00\);_(* "-"??_);_(@_)</c:formatCode>
                <c:ptCount val="12"/>
                <c:pt idx="0">
                  <c:v>65.894999999999996</c:v>
                </c:pt>
                <c:pt idx="1">
                  <c:v>68.951999999999998</c:v>
                </c:pt>
                <c:pt idx="2">
                  <c:v>74.269000000000005</c:v>
                </c:pt>
                <c:pt idx="3">
                  <c:v>77.307000000000002</c:v>
                </c:pt>
                <c:pt idx="4">
                  <c:v>82.111999999999995</c:v>
                </c:pt>
                <c:pt idx="5">
                  <c:v>83.009</c:v>
                </c:pt>
                <c:pt idx="6">
                  <c:v>85.73</c:v>
                </c:pt>
                <c:pt idx="7">
                  <c:v>86.033000000000001</c:v>
                </c:pt>
                <c:pt idx="8">
                  <c:v>88.183999999999997</c:v>
                </c:pt>
                <c:pt idx="9">
                  <c:v>87.616</c:v>
                </c:pt>
                <c:pt idx="10">
                  <c:v>90.073999999999998</c:v>
                </c:pt>
                <c:pt idx="11">
                  <c:v>94.186999999999998</c:v>
                </c:pt>
              </c:numCache>
            </c:numRef>
          </c:val>
          <c:extLst>
            <c:ext xmlns:c16="http://schemas.microsoft.com/office/drawing/2014/chart" uri="{C3380CC4-5D6E-409C-BE32-E72D297353CC}">
              <c16:uniqueId val="{00000000-1AC6-4ABF-8A0D-210AB70BCD01}"/>
            </c:ext>
          </c:extLst>
        </c:ser>
        <c:dLbls>
          <c:showLegendKey val="0"/>
          <c:showVal val="0"/>
          <c:showCatName val="0"/>
          <c:showSerName val="0"/>
          <c:showPercent val="0"/>
          <c:showBubbleSize val="0"/>
        </c:dLbls>
        <c:gapWidth val="60"/>
        <c:axId val="1924564063"/>
        <c:axId val="1924541599"/>
      </c:barChart>
      <c:lineChart>
        <c:grouping val="standard"/>
        <c:varyColors val="0"/>
        <c:ser>
          <c:idx val="1"/>
          <c:order val="1"/>
          <c:tx>
            <c:strRef>
              <c:f>'Hist. Pensiones_1'!$L$52</c:f>
              <c:strCache>
                <c:ptCount val="1"/>
                <c:pt idx="0">
                  <c:v>Tasa de variación de vejez</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7"/>
            <c:spPr>
              <a:solidFill>
                <a:srgbClr val="002060"/>
              </a:solidFill>
              <a:ln w="9525">
                <a:solidFill>
                  <a:schemeClr val="accent2"/>
                </a:solidFill>
              </a:ln>
              <a:effectLst>
                <a:outerShdw blurRad="50800" dist="38100" dir="2700000" algn="tl" rotWithShape="0">
                  <a:prstClr val="black">
                    <a:alpha val="40000"/>
                  </a:prstClr>
                </a:outerShdw>
              </a:effectLst>
            </c:spPr>
          </c:marker>
          <c:dLbls>
            <c:dLbl>
              <c:idx val="2"/>
              <c:delete val="1"/>
              <c:extLst>
                <c:ext xmlns:c15="http://schemas.microsoft.com/office/drawing/2012/chart" uri="{CE6537A1-D6FC-4f65-9D91-7224C49458BB}"/>
                <c:ext xmlns:c16="http://schemas.microsoft.com/office/drawing/2014/chart" uri="{C3380CC4-5D6E-409C-BE32-E72D297353CC}">
                  <c16:uniqueId val="{00000001-1AC6-4ABF-8A0D-210AB70BCD01}"/>
                </c:ext>
              </c:extLst>
            </c:dLbl>
            <c:dLbl>
              <c:idx val="3"/>
              <c:delete val="1"/>
              <c:extLst>
                <c:ext xmlns:c15="http://schemas.microsoft.com/office/drawing/2012/chart" uri="{CE6537A1-D6FC-4f65-9D91-7224C49458BB}"/>
                <c:ext xmlns:c16="http://schemas.microsoft.com/office/drawing/2014/chart" uri="{C3380CC4-5D6E-409C-BE32-E72D297353CC}">
                  <c16:uniqueId val="{00000002-1AC6-4ABF-8A0D-210AB70BCD01}"/>
                </c:ext>
              </c:extLst>
            </c:dLbl>
            <c:dLbl>
              <c:idx val="5"/>
              <c:delete val="1"/>
              <c:extLst>
                <c:ext xmlns:c15="http://schemas.microsoft.com/office/drawing/2012/chart" uri="{CE6537A1-D6FC-4f65-9D91-7224C49458BB}"/>
                <c:ext xmlns:c16="http://schemas.microsoft.com/office/drawing/2014/chart" uri="{C3380CC4-5D6E-409C-BE32-E72D297353CC}">
                  <c16:uniqueId val="{00000003-1AC6-4ABF-8A0D-210AB70BCD01}"/>
                </c:ext>
              </c:extLst>
            </c:dLbl>
            <c:dLbl>
              <c:idx val="6"/>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4-1AC6-4ABF-8A0D-210AB70BCD01}"/>
                </c:ext>
              </c:extLst>
            </c:dLbl>
            <c:dLbl>
              <c:idx val="7"/>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5-1AC6-4ABF-8A0D-210AB70BCD01}"/>
                </c:ext>
              </c:extLst>
            </c:dLbl>
            <c:dLbl>
              <c:idx val="8"/>
              <c:delete val="1"/>
              <c:extLst>
                <c:ext xmlns:c15="http://schemas.microsoft.com/office/drawing/2012/chart" uri="{CE6537A1-D6FC-4f65-9D91-7224C49458BB}"/>
                <c:ext xmlns:c16="http://schemas.microsoft.com/office/drawing/2014/chart" uri="{C3380CC4-5D6E-409C-BE32-E72D297353CC}">
                  <c16:uniqueId val="{00000006-1AC6-4ABF-8A0D-210AB70BCD01}"/>
                </c:ext>
              </c:extLst>
            </c:dLbl>
            <c:dLbl>
              <c:idx val="9"/>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7-1AC6-4ABF-8A0D-210AB70BCD01}"/>
                </c:ext>
              </c:extLst>
            </c:dLbl>
            <c:dLbl>
              <c:idx val="10"/>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8-1AC6-4ABF-8A0D-210AB70BCD01}"/>
                </c:ext>
              </c:extLst>
            </c:dLbl>
            <c:dLbl>
              <c:idx val="11"/>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9-1AC6-4ABF-8A0D-210AB70BCD01}"/>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 Pensiones_1'!$B$53:$B$64</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'Hist. Pensiones_1'!$L$53:$L$64</c:f>
              <c:numCache>
                <c:formatCode>0.0%</c:formatCode>
                <c:ptCount val="12"/>
                <c:pt idx="0">
                  <c:v>7.749035254104264E-2</c:v>
                </c:pt>
                <c:pt idx="1">
                  <c:v>4.6391987252446976E-2</c:v>
                </c:pt>
                <c:pt idx="2">
                  <c:v>7.7111613876319707E-2</c:v>
                </c:pt>
                <c:pt idx="3">
                  <c:v>4.0905357551602961E-2</c:v>
                </c:pt>
                <c:pt idx="4">
                  <c:v>6.2154785465740492E-2</c:v>
                </c:pt>
                <c:pt idx="5">
                  <c:v>1.092410366328922E-2</c:v>
                </c:pt>
                <c:pt idx="6">
                  <c:v>3.2779578118035335E-2</c:v>
                </c:pt>
                <c:pt idx="7">
                  <c:v>3.5343520354602642E-3</c:v>
                </c:pt>
                <c:pt idx="8">
                  <c:v>2.5002034103192905E-2</c:v>
                </c:pt>
                <c:pt idx="9">
                  <c:v>-6.4410777465300217E-3</c:v>
                </c:pt>
                <c:pt idx="10">
                  <c:v>2.8054236669101451E-2</c:v>
                </c:pt>
                <c:pt idx="11">
                  <c:v>4.5662455314519068E-2</c:v>
                </c:pt>
              </c:numCache>
            </c:numRef>
          </c:val>
          <c:smooth val="1"/>
          <c:extLst>
            <c:ext xmlns:c16="http://schemas.microsoft.com/office/drawing/2014/chart" uri="{C3380CC4-5D6E-409C-BE32-E72D297353CC}">
              <c16:uniqueId val="{0000000A-1AC6-4ABF-8A0D-210AB70BCD01}"/>
            </c:ext>
          </c:extLst>
        </c:ser>
        <c:dLbls>
          <c:showLegendKey val="0"/>
          <c:showVal val="0"/>
          <c:showCatName val="0"/>
          <c:showSerName val="0"/>
          <c:showPercent val="0"/>
          <c:showBubbleSize val="0"/>
        </c:dLbls>
        <c:marker val="1"/>
        <c:smooth val="0"/>
        <c:axId val="1924578623"/>
        <c:axId val="1924585695"/>
      </c:lineChart>
      <c:catAx>
        <c:axId val="1924564063"/>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4541599"/>
        <c:crosses val="autoZero"/>
        <c:auto val="1"/>
        <c:lblAlgn val="ctr"/>
        <c:lblOffset val="100"/>
        <c:noMultiLvlLbl val="0"/>
      </c:catAx>
      <c:valAx>
        <c:axId val="1924541599"/>
        <c:scaling>
          <c:orientation val="minMax"/>
          <c:min val="60"/>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4564063"/>
        <c:crosses val="autoZero"/>
        <c:crossBetween val="between"/>
      </c:valAx>
      <c:valAx>
        <c:axId val="1924585695"/>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4578623"/>
        <c:crosses val="max"/>
        <c:crossBetween val="between"/>
      </c:valAx>
      <c:catAx>
        <c:axId val="1924578623"/>
        <c:scaling>
          <c:orientation val="minMax"/>
        </c:scaling>
        <c:delete val="1"/>
        <c:axPos val="b"/>
        <c:numFmt formatCode="0" sourceLinked="1"/>
        <c:majorTickMark val="out"/>
        <c:minorTickMark val="none"/>
        <c:tickLblPos val="nextTo"/>
        <c:crossAx val="1924585695"/>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6895181487994"/>
          <c:y val="3.2887918713131153E-2"/>
          <c:w val="0.7617421757601035"/>
          <c:h val="0.6446329357345183"/>
        </c:manualLayout>
      </c:layout>
      <c:barChart>
        <c:barDir val="col"/>
        <c:grouping val="stacked"/>
        <c:varyColors val="0"/>
        <c:ser>
          <c:idx val="0"/>
          <c:order val="0"/>
          <c:tx>
            <c:strRef>
              <c:f>EMA!$C$75:$C$76</c:f>
              <c:strCache>
                <c:ptCount val="2"/>
                <c:pt idx="0">
                  <c:v>Gasto en prestaciones</c:v>
                </c:pt>
                <c:pt idx="1">
                  <c:v>CATASTRÓFICAS</c:v>
                </c:pt>
              </c:strCache>
            </c:strRef>
          </c:tx>
          <c:spPr>
            <a:solidFill>
              <a:schemeClr val="accent1"/>
            </a:solidFill>
            <a:ln>
              <a:noFill/>
            </a:ln>
            <a:effectLst/>
          </c:spPr>
          <c:invertIfNegative val="0"/>
          <c:cat>
            <c:strRef>
              <c:f>EMA!$B$77:$B$103</c:f>
              <c:strCache>
                <c:ptCount val="2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strCache>
            </c:strRef>
          </c:cat>
          <c:val>
            <c:numRef>
              <c:f>EMA!$C$77:$C$103</c:f>
              <c:numCache>
                <c:formatCode>_(* #,##0.00_);_(* \(#,##0.00\);_(* "-"??_);_(@_)</c:formatCode>
                <c:ptCount val="27"/>
                <c:pt idx="0">
                  <c:v>29.3</c:v>
                </c:pt>
                <c:pt idx="1">
                  <c:v>31.9</c:v>
                </c:pt>
                <c:pt idx="2">
                  <c:v>33.4</c:v>
                </c:pt>
                <c:pt idx="3">
                  <c:v>37.200000000000003</c:v>
                </c:pt>
                <c:pt idx="4">
                  <c:v>37.4</c:v>
                </c:pt>
                <c:pt idx="5">
                  <c:v>41.1</c:v>
                </c:pt>
                <c:pt idx="6">
                  <c:v>44.4</c:v>
                </c:pt>
                <c:pt idx="7">
                  <c:v>46.5</c:v>
                </c:pt>
                <c:pt idx="8">
                  <c:v>44.2</c:v>
                </c:pt>
                <c:pt idx="9">
                  <c:v>47.5</c:v>
                </c:pt>
                <c:pt idx="10">
                  <c:v>54.1</c:v>
                </c:pt>
                <c:pt idx="11">
                  <c:v>65.3</c:v>
                </c:pt>
                <c:pt idx="12">
                  <c:v>77.2</c:v>
                </c:pt>
                <c:pt idx="13">
                  <c:v>87.9</c:v>
                </c:pt>
                <c:pt idx="14">
                  <c:v>99</c:v>
                </c:pt>
                <c:pt idx="15">
                  <c:v>105.1</c:v>
                </c:pt>
                <c:pt idx="16">
                  <c:v>118</c:v>
                </c:pt>
                <c:pt idx="17">
                  <c:v>126.5</c:v>
                </c:pt>
                <c:pt idx="18">
                  <c:v>131.69999999999999</c:v>
                </c:pt>
                <c:pt idx="19">
                  <c:v>179.1</c:v>
                </c:pt>
                <c:pt idx="20">
                  <c:v>170</c:v>
                </c:pt>
                <c:pt idx="21">
                  <c:v>172.3</c:v>
                </c:pt>
                <c:pt idx="22">
                  <c:v>194.2</c:v>
                </c:pt>
                <c:pt idx="23">
                  <c:v>216.2</c:v>
                </c:pt>
                <c:pt idx="24">
                  <c:v>240.8</c:v>
                </c:pt>
                <c:pt idx="25">
                  <c:v>263</c:v>
                </c:pt>
                <c:pt idx="26">
                  <c:v>285.89999999999998</c:v>
                </c:pt>
              </c:numCache>
            </c:numRef>
          </c:val>
          <c:extLst>
            <c:ext xmlns:c16="http://schemas.microsoft.com/office/drawing/2014/chart" uri="{C3380CC4-5D6E-409C-BE32-E72D297353CC}">
              <c16:uniqueId val="{00000000-5AD7-42B5-95D0-E6A014516F49}"/>
            </c:ext>
          </c:extLst>
        </c:ser>
        <c:ser>
          <c:idx val="1"/>
          <c:order val="1"/>
          <c:tx>
            <c:strRef>
              <c:f>EMA!$D$75:$D$76</c:f>
              <c:strCache>
                <c:ptCount val="2"/>
                <c:pt idx="0">
                  <c:v>Gasto en prestaciones</c:v>
                </c:pt>
                <c:pt idx="1">
                  <c:v>NO CATASTRÓFICAS</c:v>
                </c:pt>
              </c:strCache>
            </c:strRef>
          </c:tx>
          <c:spPr>
            <a:solidFill>
              <a:schemeClr val="accent2"/>
            </a:solidFill>
            <a:ln>
              <a:noFill/>
            </a:ln>
            <a:effectLst/>
          </c:spPr>
          <c:invertIfNegative val="0"/>
          <c:cat>
            <c:strRef>
              <c:f>EMA!$B$77:$B$103</c:f>
              <c:strCache>
                <c:ptCount val="2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strCache>
            </c:strRef>
          </c:cat>
          <c:val>
            <c:numRef>
              <c:f>EMA!$D$77:$D$103</c:f>
              <c:numCache>
                <c:formatCode>_(* #,##0.00_);_(* \(#,##0.00\);_(* "-"??_);_(@_)</c:formatCode>
                <c:ptCount val="27"/>
                <c:pt idx="0">
                  <c:v>143.69999999999999</c:v>
                </c:pt>
                <c:pt idx="1">
                  <c:v>156.5</c:v>
                </c:pt>
                <c:pt idx="2">
                  <c:v>163.80000000000001</c:v>
                </c:pt>
                <c:pt idx="3">
                  <c:v>182.7</c:v>
                </c:pt>
                <c:pt idx="4">
                  <c:v>183.4</c:v>
                </c:pt>
                <c:pt idx="5">
                  <c:v>201.4</c:v>
                </c:pt>
                <c:pt idx="6">
                  <c:v>218</c:v>
                </c:pt>
                <c:pt idx="7">
                  <c:v>228.2</c:v>
                </c:pt>
                <c:pt idx="8">
                  <c:v>216.6</c:v>
                </c:pt>
                <c:pt idx="9">
                  <c:v>233.1</c:v>
                </c:pt>
                <c:pt idx="10">
                  <c:v>253.7</c:v>
                </c:pt>
                <c:pt idx="11">
                  <c:v>280.3</c:v>
                </c:pt>
                <c:pt idx="12">
                  <c:v>289.2</c:v>
                </c:pt>
                <c:pt idx="13">
                  <c:v>310.8</c:v>
                </c:pt>
                <c:pt idx="14">
                  <c:v>333.3</c:v>
                </c:pt>
                <c:pt idx="15">
                  <c:v>355.9</c:v>
                </c:pt>
                <c:pt idx="16">
                  <c:v>383.6</c:v>
                </c:pt>
                <c:pt idx="17">
                  <c:v>395.4</c:v>
                </c:pt>
                <c:pt idx="18">
                  <c:v>401.7</c:v>
                </c:pt>
                <c:pt idx="19">
                  <c:v>299.7</c:v>
                </c:pt>
                <c:pt idx="20">
                  <c:v>357.6</c:v>
                </c:pt>
                <c:pt idx="21">
                  <c:v>414.8</c:v>
                </c:pt>
                <c:pt idx="22">
                  <c:v>457.1</c:v>
                </c:pt>
                <c:pt idx="23">
                  <c:v>504.2</c:v>
                </c:pt>
                <c:pt idx="24">
                  <c:v>556.5</c:v>
                </c:pt>
                <c:pt idx="25">
                  <c:v>602.6</c:v>
                </c:pt>
                <c:pt idx="26">
                  <c:v>649.9</c:v>
                </c:pt>
              </c:numCache>
            </c:numRef>
          </c:val>
          <c:extLst>
            <c:ext xmlns:c16="http://schemas.microsoft.com/office/drawing/2014/chart" uri="{C3380CC4-5D6E-409C-BE32-E72D297353CC}">
              <c16:uniqueId val="{00000001-5AD7-42B5-95D0-E6A014516F49}"/>
            </c:ext>
          </c:extLst>
        </c:ser>
        <c:ser>
          <c:idx val="2"/>
          <c:order val="2"/>
          <c:tx>
            <c:strRef>
              <c:f>EMA!$E$75:$E$76</c:f>
              <c:strCache>
                <c:ptCount val="2"/>
                <c:pt idx="0">
                  <c:v>Gasto en Salud</c:v>
                </c:pt>
                <c:pt idx="1">
                  <c:v>CATASTRÓFICAS</c:v>
                </c:pt>
              </c:strCache>
            </c:strRef>
          </c:tx>
          <c:spPr>
            <a:solidFill>
              <a:schemeClr val="accent3"/>
            </a:solidFill>
            <a:ln>
              <a:noFill/>
            </a:ln>
            <a:effectLst/>
          </c:spPr>
          <c:invertIfNegative val="0"/>
          <c:cat>
            <c:strRef>
              <c:f>EMA!$B$77:$B$103</c:f>
              <c:strCache>
                <c:ptCount val="2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strCache>
            </c:strRef>
          </c:cat>
          <c:val>
            <c:numRef>
              <c:f>EMA!$E$77:$E$103</c:f>
              <c:numCache>
                <c:formatCode>_(* #,##0.00_);_(* \(#,##0.00\);_(* "-"??_);_(@_)</c:formatCode>
                <c:ptCount val="27"/>
                <c:pt idx="0">
                  <c:v>265.89999999999998</c:v>
                </c:pt>
                <c:pt idx="1">
                  <c:v>278</c:v>
                </c:pt>
                <c:pt idx="2">
                  <c:v>322.2</c:v>
                </c:pt>
                <c:pt idx="3">
                  <c:v>368.2</c:v>
                </c:pt>
                <c:pt idx="4">
                  <c:v>332.9</c:v>
                </c:pt>
                <c:pt idx="5">
                  <c:v>366.2</c:v>
                </c:pt>
                <c:pt idx="6">
                  <c:v>370.5</c:v>
                </c:pt>
                <c:pt idx="7">
                  <c:v>427.8</c:v>
                </c:pt>
                <c:pt idx="8">
                  <c:v>543.5</c:v>
                </c:pt>
                <c:pt idx="9">
                  <c:v>562.9</c:v>
                </c:pt>
                <c:pt idx="10">
                  <c:v>613.9</c:v>
                </c:pt>
                <c:pt idx="11">
                  <c:v>725</c:v>
                </c:pt>
                <c:pt idx="12">
                  <c:v>950.3</c:v>
                </c:pt>
                <c:pt idx="13">
                  <c:v>1127</c:v>
                </c:pt>
                <c:pt idx="14">
                  <c:v>1271.0999999999999</c:v>
                </c:pt>
                <c:pt idx="15">
                  <c:v>1217.5</c:v>
                </c:pt>
                <c:pt idx="16">
                  <c:v>1284.0999999999999</c:v>
                </c:pt>
                <c:pt idx="17">
                  <c:v>1389</c:v>
                </c:pt>
                <c:pt idx="18">
                  <c:v>1478.9</c:v>
                </c:pt>
                <c:pt idx="19">
                  <c:v>2301</c:v>
                </c:pt>
                <c:pt idx="20">
                  <c:v>2173.4</c:v>
                </c:pt>
                <c:pt idx="21">
                  <c:v>2148.6999999999998</c:v>
                </c:pt>
                <c:pt idx="22">
                  <c:v>2434.9</c:v>
                </c:pt>
                <c:pt idx="23">
                  <c:v>2661.2</c:v>
                </c:pt>
                <c:pt idx="24">
                  <c:v>2905.5</c:v>
                </c:pt>
                <c:pt idx="25">
                  <c:v>3135.5</c:v>
                </c:pt>
                <c:pt idx="26">
                  <c:v>3370.7</c:v>
                </c:pt>
              </c:numCache>
            </c:numRef>
          </c:val>
          <c:extLst>
            <c:ext xmlns:c16="http://schemas.microsoft.com/office/drawing/2014/chart" uri="{C3380CC4-5D6E-409C-BE32-E72D297353CC}">
              <c16:uniqueId val="{00000002-5AD7-42B5-95D0-E6A014516F49}"/>
            </c:ext>
          </c:extLst>
        </c:ser>
        <c:ser>
          <c:idx val="3"/>
          <c:order val="3"/>
          <c:tx>
            <c:strRef>
              <c:f>EMA!$F$75:$F$76</c:f>
              <c:strCache>
                <c:ptCount val="2"/>
                <c:pt idx="0">
                  <c:v>Gasto en Salud</c:v>
                </c:pt>
                <c:pt idx="1">
                  <c:v>NO CATASTRÓFICAS</c:v>
                </c:pt>
              </c:strCache>
            </c:strRef>
          </c:tx>
          <c:spPr>
            <a:solidFill>
              <a:schemeClr val="accent4"/>
            </a:solidFill>
            <a:ln>
              <a:noFill/>
            </a:ln>
            <a:effectLst/>
          </c:spPr>
          <c:invertIfNegative val="0"/>
          <c:cat>
            <c:strRef>
              <c:f>EMA!$B$77:$B$103</c:f>
              <c:strCache>
                <c:ptCount val="2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strCache>
            </c:strRef>
          </c:cat>
          <c:val>
            <c:numRef>
              <c:f>EMA!$F$77:$F$103</c:f>
              <c:numCache>
                <c:formatCode>_(* #,##0.00_);_(* \(#,##0.00\);_(* "-"??_);_(@_)</c:formatCode>
                <c:ptCount val="27"/>
                <c:pt idx="0">
                  <c:v>1303.0999999999999</c:v>
                </c:pt>
                <c:pt idx="1">
                  <c:v>1362.6</c:v>
                </c:pt>
                <c:pt idx="2">
                  <c:v>1579</c:v>
                </c:pt>
                <c:pt idx="3">
                  <c:v>1804.5</c:v>
                </c:pt>
                <c:pt idx="4">
                  <c:v>1631.6</c:v>
                </c:pt>
                <c:pt idx="5">
                  <c:v>1794.8</c:v>
                </c:pt>
                <c:pt idx="6">
                  <c:v>1815.5</c:v>
                </c:pt>
                <c:pt idx="7">
                  <c:v>2096.3000000000002</c:v>
                </c:pt>
                <c:pt idx="8">
                  <c:v>2663.5</c:v>
                </c:pt>
                <c:pt idx="9">
                  <c:v>2758.5</c:v>
                </c:pt>
                <c:pt idx="10">
                  <c:v>2879.5</c:v>
                </c:pt>
                <c:pt idx="11">
                  <c:v>3111.7</c:v>
                </c:pt>
                <c:pt idx="12">
                  <c:v>3559.5</c:v>
                </c:pt>
                <c:pt idx="13">
                  <c:v>3981.7</c:v>
                </c:pt>
                <c:pt idx="14">
                  <c:v>4279.7</c:v>
                </c:pt>
                <c:pt idx="15">
                  <c:v>4121.2</c:v>
                </c:pt>
                <c:pt idx="16">
                  <c:v>4173.3999999999996</c:v>
                </c:pt>
                <c:pt idx="17">
                  <c:v>4338.3999999999996</c:v>
                </c:pt>
                <c:pt idx="18">
                  <c:v>4509</c:v>
                </c:pt>
                <c:pt idx="19">
                  <c:v>3849.1</c:v>
                </c:pt>
                <c:pt idx="20">
                  <c:v>5172.1000000000004</c:v>
                </c:pt>
                <c:pt idx="21">
                  <c:v>5172.1000000000004</c:v>
                </c:pt>
                <c:pt idx="22">
                  <c:v>5499.8</c:v>
                </c:pt>
                <c:pt idx="23">
                  <c:v>5909.5</c:v>
                </c:pt>
                <c:pt idx="24">
                  <c:v>6351.8</c:v>
                </c:pt>
                <c:pt idx="25">
                  <c:v>6756.2</c:v>
                </c:pt>
                <c:pt idx="26">
                  <c:v>7166.9</c:v>
                </c:pt>
              </c:numCache>
            </c:numRef>
          </c:val>
          <c:extLst>
            <c:ext xmlns:c16="http://schemas.microsoft.com/office/drawing/2014/chart" uri="{C3380CC4-5D6E-409C-BE32-E72D297353CC}">
              <c16:uniqueId val="{00000003-5AD7-42B5-95D0-E6A014516F49}"/>
            </c:ext>
          </c:extLst>
        </c:ser>
        <c:dLbls>
          <c:showLegendKey val="0"/>
          <c:showVal val="0"/>
          <c:showCatName val="0"/>
          <c:showSerName val="0"/>
          <c:showPercent val="0"/>
          <c:showBubbleSize val="0"/>
        </c:dLbls>
        <c:gapWidth val="39"/>
        <c:overlap val="100"/>
        <c:axId val="1919860623"/>
        <c:axId val="1919856879"/>
      </c:barChart>
      <c:lineChart>
        <c:grouping val="standard"/>
        <c:varyColors val="0"/>
        <c:ser>
          <c:idx val="4"/>
          <c:order val="4"/>
          <c:tx>
            <c:strRef>
              <c:f>EMA!$M$76</c:f>
              <c:strCache>
                <c:ptCount val="1"/>
                <c:pt idx="0">
                  <c:v>Tasa de variación de gastos totales</c:v>
                </c:pt>
              </c:strCache>
            </c:strRef>
          </c:tx>
          <c:spPr>
            <a:ln w="28575" cap="rnd">
              <a:solidFill>
                <a:srgbClr val="002060"/>
              </a:solidFill>
              <a:round/>
            </a:ln>
            <a:effectLst>
              <a:outerShdw blurRad="50800" dist="38100" dir="2700000" algn="tl" rotWithShape="0">
                <a:prstClr val="black">
                  <a:alpha val="40000"/>
                </a:prstClr>
              </a:outerShdw>
            </a:effectLst>
          </c:spPr>
          <c:marker>
            <c:symbol val="none"/>
          </c:marker>
          <c:cat>
            <c:strRef>
              <c:f>EMA!$B$77:$B$103</c:f>
              <c:strCache>
                <c:ptCount val="2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strCache>
            </c:strRef>
          </c:cat>
          <c:val>
            <c:numRef>
              <c:f>EMA!$M$77:$M$103</c:f>
              <c:numCache>
                <c:formatCode>0.0%</c:formatCode>
                <c:ptCount val="27"/>
                <c:pt idx="1">
                  <c:v>4.9942594718714206E-2</c:v>
                </c:pt>
                <c:pt idx="2">
                  <c:v>0.14729360306178241</c:v>
                </c:pt>
                <c:pt idx="3">
                  <c:v>0.14020205871139901</c:v>
                </c:pt>
                <c:pt idx="4">
                  <c:v>-8.6642146618741034E-2</c:v>
                </c:pt>
                <c:pt idx="5">
                  <c:v>9.9848990985219377E-2</c:v>
                </c:pt>
                <c:pt idx="6">
                  <c:v>1.8681090076971163E-2</c:v>
                </c:pt>
                <c:pt idx="7">
                  <c:v>0.14311387028263356</c:v>
                </c:pt>
                <c:pt idx="8">
                  <c:v>0.23903101329141063</c:v>
                </c:pt>
                <c:pt idx="9">
                  <c:v>3.8698886902358787E-2</c:v>
                </c:pt>
                <c:pt idx="10">
                  <c:v>5.5302609661299185E-2</c:v>
                </c:pt>
                <c:pt idx="11">
                  <c:v>0.10025781332210859</c:v>
                </c:pt>
                <c:pt idx="12">
                  <c:v>0.16591349257585564</c:v>
                </c:pt>
                <c:pt idx="13">
                  <c:v>0.12944505967761777</c:v>
                </c:pt>
                <c:pt idx="14">
                  <c:v>8.637469586374702E-2</c:v>
                </c:pt>
                <c:pt idx="15">
                  <c:v>-3.0653005966806424E-2</c:v>
                </c:pt>
                <c:pt idx="16">
                  <c:v>2.7484180216218013E-2</c:v>
                </c:pt>
                <c:pt idx="17">
                  <c:v>4.8698628987598802E-2</c:v>
                </c:pt>
                <c:pt idx="18">
                  <c:v>4.352487478597622E-2</c:v>
                </c:pt>
                <c:pt idx="19">
                  <c:v>1.649977765169508E-2</c:v>
                </c:pt>
                <c:pt idx="20">
                  <c:v>0.18769328244505123</c:v>
                </c:pt>
                <c:pt idx="21">
                  <c:v>4.4201140592650123E-3</c:v>
                </c:pt>
                <c:pt idx="22">
                  <c:v>8.5749693344630007E-2</c:v>
                </c:pt>
                <c:pt idx="23">
                  <c:v>8.2122059166084282E-2</c:v>
                </c:pt>
                <c:pt idx="24">
                  <c:v>8.2175415182271117E-2</c:v>
                </c:pt>
                <c:pt idx="25">
                  <c:v>6.9888409285302044E-2</c:v>
                </c:pt>
                <c:pt idx="26">
                  <c:v>6.6568748663698107E-2</c:v>
                </c:pt>
              </c:numCache>
            </c:numRef>
          </c:val>
          <c:smooth val="1"/>
          <c:extLst>
            <c:ext xmlns:c16="http://schemas.microsoft.com/office/drawing/2014/chart" uri="{C3380CC4-5D6E-409C-BE32-E72D297353CC}">
              <c16:uniqueId val="{00000004-5AD7-42B5-95D0-E6A014516F49}"/>
            </c:ext>
          </c:extLst>
        </c:ser>
        <c:dLbls>
          <c:showLegendKey val="0"/>
          <c:showVal val="0"/>
          <c:showCatName val="0"/>
          <c:showSerName val="0"/>
          <c:showPercent val="0"/>
          <c:showBubbleSize val="0"/>
        </c:dLbls>
        <c:marker val="1"/>
        <c:smooth val="0"/>
        <c:axId val="1919893071"/>
        <c:axId val="1919902639"/>
      </c:lineChart>
      <c:catAx>
        <c:axId val="1919860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19856879"/>
        <c:crosses val="autoZero"/>
        <c:auto val="1"/>
        <c:lblAlgn val="ctr"/>
        <c:lblOffset val="100"/>
        <c:noMultiLvlLbl val="0"/>
      </c:catAx>
      <c:valAx>
        <c:axId val="191985687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Millones de Quetzales</a:t>
                </a:r>
              </a:p>
            </c:rich>
          </c:tx>
          <c:layout>
            <c:manualLayout>
              <c:xMode val="edge"/>
              <c:yMode val="edge"/>
              <c:x val="5.8157056958244883E-3"/>
              <c:y val="0.166586597170053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19860623"/>
        <c:crosses val="autoZero"/>
        <c:crossBetween val="between"/>
      </c:valAx>
      <c:valAx>
        <c:axId val="1919902639"/>
        <c:scaling>
          <c:orientation val="minMax"/>
          <c:min val="-0.1"/>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19893071"/>
        <c:crosses val="max"/>
        <c:crossBetween val="between"/>
      </c:valAx>
      <c:catAx>
        <c:axId val="1919893071"/>
        <c:scaling>
          <c:orientation val="minMax"/>
        </c:scaling>
        <c:delete val="1"/>
        <c:axPos val="b"/>
        <c:numFmt formatCode="General" sourceLinked="1"/>
        <c:majorTickMark val="out"/>
        <c:minorTickMark val="none"/>
        <c:tickLblPos val="nextTo"/>
        <c:crossAx val="1919902639"/>
        <c:crosses val="autoZero"/>
        <c:auto val="1"/>
        <c:lblAlgn val="ctr"/>
        <c:lblOffset val="100"/>
        <c:noMultiLvlLbl val="0"/>
      </c:catAx>
      <c:spPr>
        <a:noFill/>
        <a:ln>
          <a:noFill/>
        </a:ln>
        <a:effectLst/>
      </c:spPr>
    </c:plotArea>
    <c:legend>
      <c:legendPos val="b"/>
      <c:layout>
        <c:manualLayout>
          <c:xMode val="edge"/>
          <c:yMode val="edge"/>
          <c:x val="5.2309492563429552E-2"/>
          <c:y val="0.84720043428133462"/>
          <c:w val="0.91482545931758552"/>
          <c:h val="0.125021730355240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74807413163915E-2"/>
          <c:y val="2.3756707830875981E-2"/>
          <c:w val="0.90062519258683604"/>
          <c:h val="0.81952699460954481"/>
        </c:manualLayout>
      </c:layout>
      <c:lineChart>
        <c:grouping val="standard"/>
        <c:varyColors val="0"/>
        <c:ser>
          <c:idx val="0"/>
          <c:order val="0"/>
          <c:tx>
            <c:strRef>
              <c:f>Hoja1!$B$5</c:f>
              <c:strCache>
                <c:ptCount val="1"/>
                <c:pt idx="0">
                  <c:v>Gastos</c:v>
                </c:pt>
              </c:strCache>
            </c:strRef>
          </c:tx>
          <c:spPr>
            <a:ln w="25400" cap="rnd">
              <a:solidFill>
                <a:srgbClr val="FF0000"/>
              </a:solidFill>
              <a:round/>
            </a:ln>
            <a:effectLst/>
          </c:spPr>
          <c:marker>
            <c:symbol val="circle"/>
            <c:size val="5"/>
            <c:spPr>
              <a:solidFill>
                <a:srgbClr val="FF0000"/>
              </a:solidFill>
              <a:ln w="9525">
                <a:solidFill>
                  <a:srgbClr val="FF0000"/>
                </a:solidFill>
              </a:ln>
              <a:effectLst/>
            </c:spPr>
          </c:marker>
          <c:cat>
            <c:numRef>
              <c:f>Hoja1!$A$6:$A$13</c:f>
              <c:numCache>
                <c:formatCode>General</c:formatCode>
                <c:ptCount val="8"/>
                <c:pt idx="0">
                  <c:v>2021</c:v>
                </c:pt>
                <c:pt idx="1">
                  <c:v>2022</c:v>
                </c:pt>
                <c:pt idx="2">
                  <c:v>2023</c:v>
                </c:pt>
                <c:pt idx="3">
                  <c:v>2024</c:v>
                </c:pt>
                <c:pt idx="4">
                  <c:v>2025</c:v>
                </c:pt>
                <c:pt idx="5">
                  <c:v>2026</c:v>
                </c:pt>
                <c:pt idx="6">
                  <c:v>2027</c:v>
                </c:pt>
                <c:pt idx="7">
                  <c:v>2028</c:v>
                </c:pt>
              </c:numCache>
            </c:numRef>
          </c:cat>
          <c:val>
            <c:numRef>
              <c:f>Hoja1!$B$6:$B$13</c:f>
              <c:numCache>
                <c:formatCode>General</c:formatCode>
                <c:ptCount val="8"/>
                <c:pt idx="0">
                  <c:v>7325.2</c:v>
                </c:pt>
                <c:pt idx="1">
                  <c:v>8007.3</c:v>
                </c:pt>
                <c:pt idx="2">
                  <c:v>8752.4</c:v>
                </c:pt>
                <c:pt idx="3">
                  <c:v>9566</c:v>
                </c:pt>
                <c:pt idx="4">
                  <c:v>10454.4</c:v>
                </c:pt>
                <c:pt idx="5">
                  <c:v>11424</c:v>
                </c:pt>
                <c:pt idx="6">
                  <c:v>12482.3</c:v>
                </c:pt>
                <c:pt idx="7">
                  <c:v>13636.9</c:v>
                </c:pt>
              </c:numCache>
            </c:numRef>
          </c:val>
          <c:smooth val="0"/>
          <c:extLst>
            <c:ext xmlns:c16="http://schemas.microsoft.com/office/drawing/2014/chart" uri="{C3380CC4-5D6E-409C-BE32-E72D297353CC}">
              <c16:uniqueId val="{00000000-A3DB-40DE-8785-923EB6E46C3E}"/>
            </c:ext>
          </c:extLst>
        </c:ser>
        <c:ser>
          <c:idx val="1"/>
          <c:order val="1"/>
          <c:tx>
            <c:strRef>
              <c:f>Hoja1!$F$5</c:f>
              <c:strCache>
                <c:ptCount val="1"/>
                <c:pt idx="0">
                  <c:v>Ingresos</c:v>
                </c:pt>
              </c:strCache>
            </c:strRef>
          </c:tx>
          <c:spPr>
            <a:ln w="25400" cap="rnd">
              <a:solidFill>
                <a:srgbClr val="0070C0"/>
              </a:solidFill>
              <a:round/>
            </a:ln>
            <a:effectLst/>
          </c:spPr>
          <c:marker>
            <c:symbol val="circle"/>
            <c:size val="5"/>
            <c:spPr>
              <a:solidFill>
                <a:srgbClr val="0070C0"/>
              </a:solidFill>
              <a:ln w="9525">
                <a:solidFill>
                  <a:srgbClr val="0070C0"/>
                </a:solidFill>
              </a:ln>
              <a:effectLst/>
            </c:spPr>
          </c:marker>
          <c:dLbls>
            <c:dLbl>
              <c:idx val="2"/>
              <c:layout>
                <c:manualLayout>
                  <c:x val="-0.17986940988049774"/>
                  <c:y val="-0.22417934347477986"/>
                </c:manualLayout>
              </c:layout>
              <c:tx>
                <c:rich>
                  <a:bodyPr/>
                  <a:lstStyle/>
                  <a:p>
                    <a:r>
                      <a:rPr lang="en-US"/>
                      <a:t>Sostenibilidad financiera</a:t>
                    </a:r>
                    <a:r>
                      <a:rPr lang="en-US" baseline="0"/>
                      <a:t>, aportes año 2023</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3DB-40DE-8785-923EB6E46C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Hoja1!$A$6:$A$13</c:f>
              <c:numCache>
                <c:formatCode>General</c:formatCode>
                <c:ptCount val="8"/>
                <c:pt idx="0">
                  <c:v>2021</c:v>
                </c:pt>
                <c:pt idx="1">
                  <c:v>2022</c:v>
                </c:pt>
                <c:pt idx="2">
                  <c:v>2023</c:v>
                </c:pt>
                <c:pt idx="3">
                  <c:v>2024</c:v>
                </c:pt>
                <c:pt idx="4">
                  <c:v>2025</c:v>
                </c:pt>
                <c:pt idx="5">
                  <c:v>2026</c:v>
                </c:pt>
                <c:pt idx="6">
                  <c:v>2027</c:v>
                </c:pt>
                <c:pt idx="7">
                  <c:v>2028</c:v>
                </c:pt>
              </c:numCache>
            </c:numRef>
          </c:cat>
          <c:val>
            <c:numRef>
              <c:f>Hoja1!$F$6:$F$13</c:f>
              <c:numCache>
                <c:formatCode>General</c:formatCode>
                <c:ptCount val="8"/>
                <c:pt idx="0">
                  <c:v>8040.9</c:v>
                </c:pt>
                <c:pt idx="1">
                  <c:v>8496.4</c:v>
                </c:pt>
                <c:pt idx="2">
                  <c:v>8979.5</c:v>
                </c:pt>
                <c:pt idx="3">
                  <c:v>9491.9</c:v>
                </c:pt>
                <c:pt idx="4">
                  <c:v>10035.4</c:v>
                </c:pt>
                <c:pt idx="5">
                  <c:v>10611.8</c:v>
                </c:pt>
                <c:pt idx="6">
                  <c:v>11223.199999999999</c:v>
                </c:pt>
                <c:pt idx="7">
                  <c:v>11871.599999999999</c:v>
                </c:pt>
              </c:numCache>
            </c:numRef>
          </c:val>
          <c:smooth val="0"/>
          <c:extLst>
            <c:ext xmlns:c16="http://schemas.microsoft.com/office/drawing/2014/chart" uri="{C3380CC4-5D6E-409C-BE32-E72D297353CC}">
              <c16:uniqueId val="{00000002-A3DB-40DE-8785-923EB6E46C3E}"/>
            </c:ext>
          </c:extLst>
        </c:ser>
        <c:ser>
          <c:idx val="3"/>
          <c:order val="2"/>
          <c:tx>
            <c:strRef>
              <c:f>Hoja1!$J$5</c:f>
              <c:strCache>
                <c:ptCount val="1"/>
                <c:pt idx="0">
                  <c:v>Ingreso total</c:v>
                </c:pt>
              </c:strCache>
            </c:strRef>
          </c:tx>
          <c:spPr>
            <a:ln w="25400" cap="rnd">
              <a:solidFill>
                <a:schemeClr val="accent4"/>
              </a:solidFill>
              <a:round/>
            </a:ln>
            <a:effectLst/>
          </c:spPr>
          <c:marker>
            <c:symbol val="circle"/>
            <c:size val="5"/>
            <c:spPr>
              <a:solidFill>
                <a:schemeClr val="accent4"/>
              </a:solidFill>
              <a:ln w="9525">
                <a:solidFill>
                  <a:schemeClr val="accent4"/>
                </a:solidFill>
              </a:ln>
              <a:effectLst/>
            </c:spPr>
          </c:marker>
          <c:dLbls>
            <c:dLbl>
              <c:idx val="5"/>
              <c:layout>
                <c:manualLayout>
                  <c:x val="-0.2759640261180239"/>
                  <c:y val="-9.6076861489191395E-2"/>
                </c:manualLayout>
              </c:layout>
              <c:tx>
                <c:rich>
                  <a:bodyPr/>
                  <a:lstStyle/>
                  <a:p>
                    <a:r>
                      <a:rPr lang="en-US"/>
                      <a:t>Sostenibilidad financiera</a:t>
                    </a:r>
                    <a:r>
                      <a:rPr lang="en-US" baseline="0"/>
                      <a:t> con aportes e intereses, año 2026</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3DB-40DE-8785-923EB6E46C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Hoja1!$A$6:$A$13</c:f>
              <c:numCache>
                <c:formatCode>General</c:formatCode>
                <c:ptCount val="8"/>
                <c:pt idx="0">
                  <c:v>2021</c:v>
                </c:pt>
                <c:pt idx="1">
                  <c:v>2022</c:v>
                </c:pt>
                <c:pt idx="2">
                  <c:v>2023</c:v>
                </c:pt>
                <c:pt idx="3">
                  <c:v>2024</c:v>
                </c:pt>
                <c:pt idx="4">
                  <c:v>2025</c:v>
                </c:pt>
                <c:pt idx="5">
                  <c:v>2026</c:v>
                </c:pt>
                <c:pt idx="6">
                  <c:v>2027</c:v>
                </c:pt>
                <c:pt idx="7">
                  <c:v>2028</c:v>
                </c:pt>
              </c:numCache>
            </c:numRef>
          </c:cat>
          <c:val>
            <c:numRef>
              <c:f>Hoja1!$J$6:$J$13</c:f>
              <c:numCache>
                <c:formatCode>General</c:formatCode>
                <c:ptCount val="8"/>
                <c:pt idx="0">
                  <c:v>8667.6</c:v>
                </c:pt>
                <c:pt idx="1">
                  <c:v>9219.7999999999993</c:v>
                </c:pt>
                <c:pt idx="2">
                  <c:v>9792.5</c:v>
                </c:pt>
                <c:pt idx="3">
                  <c:v>10385.1</c:v>
                </c:pt>
                <c:pt idx="4">
                  <c:v>10996.7</c:v>
                </c:pt>
                <c:pt idx="5">
                  <c:v>11626</c:v>
                </c:pt>
                <c:pt idx="6">
                  <c:v>12270.9</c:v>
                </c:pt>
                <c:pt idx="7">
                  <c:v>12930</c:v>
                </c:pt>
              </c:numCache>
            </c:numRef>
          </c:val>
          <c:smooth val="0"/>
          <c:extLst>
            <c:ext xmlns:c16="http://schemas.microsoft.com/office/drawing/2014/chart" uri="{C3380CC4-5D6E-409C-BE32-E72D297353CC}">
              <c16:uniqueId val="{00000004-A3DB-40DE-8785-923EB6E46C3E}"/>
            </c:ext>
          </c:extLst>
        </c:ser>
        <c:dLbls>
          <c:showLegendKey val="0"/>
          <c:showVal val="0"/>
          <c:showCatName val="0"/>
          <c:showSerName val="0"/>
          <c:showPercent val="0"/>
          <c:showBubbleSize val="0"/>
        </c:dLbls>
        <c:marker val="1"/>
        <c:smooth val="0"/>
        <c:axId val="76509007"/>
        <c:axId val="76513583"/>
      </c:lineChart>
      <c:catAx>
        <c:axId val="7650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6513583"/>
        <c:crosses val="autoZero"/>
        <c:auto val="1"/>
        <c:lblAlgn val="ctr"/>
        <c:lblOffset val="100"/>
        <c:noMultiLvlLbl val="0"/>
      </c:catAx>
      <c:valAx>
        <c:axId val="76513583"/>
        <c:scaling>
          <c:orientation val="minMax"/>
          <c:max val="14000"/>
          <c:min val="70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latin typeface="Times New Roman" panose="02020603050405020304" pitchFamily="18" charset="0"/>
                    <a:cs typeface="Times New Roman" panose="02020603050405020304" pitchFamily="18" charset="0"/>
                  </a:rPr>
                  <a:t>Millones de Q.</a:t>
                </a:r>
              </a:p>
            </c:rich>
          </c:tx>
          <c:layout>
            <c:manualLayout>
              <c:xMode val="edge"/>
              <c:yMode val="edge"/>
              <c:x val="5.0397189152734207E-3"/>
              <c:y val="0.2546492172349423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6509007"/>
        <c:crosses val="autoZero"/>
        <c:crossBetween val="between"/>
      </c:valAx>
      <c:spPr>
        <a:noFill/>
        <a:ln>
          <a:noFill/>
        </a:ln>
        <a:effectLst/>
      </c:spPr>
    </c:plotArea>
    <c:legend>
      <c:legendPos val="b"/>
      <c:layout>
        <c:manualLayout>
          <c:xMode val="edge"/>
          <c:yMode val="edge"/>
          <c:x val="0.2373282116351306"/>
          <c:y val="0.93877820318331773"/>
          <c:w val="0.52534337831684352"/>
          <c:h val="6.122179681668232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43548387096774E-2"/>
          <c:y val="5.29333921482135E-2"/>
          <c:w val="0.88407258064516125"/>
          <c:h val="0.72951036612262898"/>
        </c:manualLayout>
      </c:layout>
      <c:lineChart>
        <c:grouping val="standard"/>
        <c:varyColors val="0"/>
        <c:ser>
          <c:idx val="1"/>
          <c:order val="0"/>
          <c:spPr>
            <a:ln w="22225" cap="rnd">
              <a:solidFill>
                <a:schemeClr val="accent5"/>
              </a:solidFill>
              <a:round/>
            </a:ln>
            <a:effectLst/>
          </c:spPr>
          <c:marker>
            <c:symbol val="none"/>
          </c:marker>
          <c:dLbls>
            <c:dLbl>
              <c:idx val="0"/>
              <c:layout>
                <c:manualLayout>
                  <c:x val="-1.8890376320095197E-2"/>
                  <c:y val="-7.3356437723167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3E-4FF8-8C74-37A5E05B03B3}"/>
                </c:ext>
              </c:extLst>
            </c:dLbl>
            <c:dLbl>
              <c:idx val="2"/>
              <c:layout>
                <c:manualLayout>
                  <c:x val="-0.11334225792057118"/>
                  <c:y val="4.6681369460197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3E-4FF8-8C74-37A5E05B03B3}"/>
                </c:ext>
              </c:extLst>
            </c:dLbl>
            <c:dLbl>
              <c:idx val="7"/>
              <c:layout>
                <c:manualLayout>
                  <c:x val="-5.1948534880261833E-2"/>
                  <c:y val="6.0018903591682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3E-4FF8-8C74-37A5E05B03B3}"/>
                </c:ext>
              </c:extLst>
            </c:dLbl>
            <c:dLbl>
              <c:idx val="8"/>
              <c:layout>
                <c:manualLayout>
                  <c:x val="-5.1948534880261785E-2"/>
                  <c:y val="-8.6693971854652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3E-4FF8-8C74-37A5E05B03B3}"/>
                </c:ext>
              </c:extLst>
            </c:dLbl>
            <c:dLbl>
              <c:idx val="29"/>
              <c:layout>
                <c:manualLayout>
                  <c:x val="0"/>
                  <c:y val="-7.3356437723167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3E-4FF8-8C74-37A5E05B03B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Blanchard!$Q$246:$Q$275</c:f>
              <c:numCache>
                <c:formatCode>0</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Blanchard!$S$246:$S$275</c:f>
              <c:numCache>
                <c:formatCode>_-* #,##0.0_-;\-* #,##0.0_-;_-* "-"??_-;_-@_-</c:formatCode>
                <c:ptCount val="30"/>
                <c:pt idx="0">
                  <c:v>8.002408017798615</c:v>
                </c:pt>
                <c:pt idx="1">
                  <c:v>4.117998817395744</c:v>
                </c:pt>
                <c:pt idx="2">
                  <c:v>3.4998684828046294</c:v>
                </c:pt>
                <c:pt idx="3">
                  <c:v>2.4827611027869096</c:v>
                </c:pt>
                <c:pt idx="4">
                  <c:v>2.6208831839361153</c:v>
                </c:pt>
                <c:pt idx="5">
                  <c:v>2.7207891054062117</c:v>
                </c:pt>
                <c:pt idx="6">
                  <c:v>2.7197874486439133</c:v>
                </c:pt>
                <c:pt idx="7">
                  <c:v>2.7198116377261243</c:v>
                </c:pt>
                <c:pt idx="8">
                  <c:v>3.7198116377261243</c:v>
                </c:pt>
                <c:pt idx="9">
                  <c:v>3.7198116377261243</c:v>
                </c:pt>
                <c:pt idx="10">
                  <c:v>3.7198116377261243</c:v>
                </c:pt>
                <c:pt idx="11">
                  <c:v>3.7198116377261243</c:v>
                </c:pt>
                <c:pt idx="12">
                  <c:v>3.7198116377261243</c:v>
                </c:pt>
                <c:pt idx="13">
                  <c:v>3.7198116377261243</c:v>
                </c:pt>
                <c:pt idx="14">
                  <c:v>3.7198116377261243</c:v>
                </c:pt>
                <c:pt idx="15">
                  <c:v>3.7198116377261243</c:v>
                </c:pt>
                <c:pt idx="16">
                  <c:v>3.7198116377261243</c:v>
                </c:pt>
                <c:pt idx="17">
                  <c:v>3.7198116377261243</c:v>
                </c:pt>
                <c:pt idx="18">
                  <c:v>3.7198116377261243</c:v>
                </c:pt>
                <c:pt idx="19">
                  <c:v>3.7198116377261243</c:v>
                </c:pt>
                <c:pt idx="20">
                  <c:v>3.7198116377261243</c:v>
                </c:pt>
                <c:pt idx="21">
                  <c:v>3.7198116377261243</c:v>
                </c:pt>
                <c:pt idx="22">
                  <c:v>3.7198116377261243</c:v>
                </c:pt>
                <c:pt idx="23">
                  <c:v>3.7198116377261243</c:v>
                </c:pt>
                <c:pt idx="24">
                  <c:v>3.7198116377261243</c:v>
                </c:pt>
                <c:pt idx="25">
                  <c:v>3.7198116377261243</c:v>
                </c:pt>
                <c:pt idx="26">
                  <c:v>3.7198116377261243</c:v>
                </c:pt>
                <c:pt idx="27">
                  <c:v>3.7198116377261243</c:v>
                </c:pt>
                <c:pt idx="28">
                  <c:v>3.7198116377261243</c:v>
                </c:pt>
                <c:pt idx="29">
                  <c:v>3.7198116377261243</c:v>
                </c:pt>
              </c:numCache>
            </c:numRef>
          </c:val>
          <c:smooth val="0"/>
          <c:extLst>
            <c:ext xmlns:c16="http://schemas.microsoft.com/office/drawing/2014/chart" uri="{C3380CC4-5D6E-409C-BE32-E72D297353CC}">
              <c16:uniqueId val="{00000005-CA3E-4FF8-8C74-37A5E05B03B3}"/>
            </c:ext>
          </c:extLst>
        </c:ser>
        <c:dLbls>
          <c:showLegendKey val="0"/>
          <c:showVal val="0"/>
          <c:showCatName val="0"/>
          <c:showSerName val="0"/>
          <c:showPercent val="0"/>
          <c:showBubbleSize val="0"/>
        </c:dLbls>
        <c:smooth val="0"/>
        <c:axId val="302011488"/>
        <c:axId val="301984032"/>
      </c:lineChart>
      <c:catAx>
        <c:axId val="3020114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1984032"/>
        <c:crosses val="autoZero"/>
        <c:auto val="1"/>
        <c:lblAlgn val="ctr"/>
        <c:lblOffset val="100"/>
        <c:noMultiLvlLbl val="0"/>
      </c:catAx>
      <c:valAx>
        <c:axId val="301984032"/>
        <c:scaling>
          <c:orientation val="minMax"/>
        </c:scaling>
        <c:delete val="1"/>
        <c:axPos val="l"/>
        <c:numFmt formatCode="_-* #,##0.0_-;\-* #,##0.0_-;_-* &quot;-&quot;??_-;_-@_-" sourceLinked="1"/>
        <c:majorTickMark val="none"/>
        <c:minorTickMark val="none"/>
        <c:tickLblPos val="nextTo"/>
        <c:crossAx val="30201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85839026823889E-2"/>
          <c:y val="9.5565091759687651E-2"/>
          <c:w val="0.88645138840870008"/>
          <c:h val="0.70917199531796504"/>
        </c:manualLayout>
      </c:layout>
      <c:lineChart>
        <c:grouping val="standard"/>
        <c:varyColors val="0"/>
        <c:ser>
          <c:idx val="0"/>
          <c:order val="0"/>
          <c:tx>
            <c:strRef>
              <c:f>Blanchard!$T$245</c:f>
              <c:strCache>
                <c:ptCount val="1"/>
                <c:pt idx="0">
                  <c:v> Choque combinado </c:v>
                </c:pt>
              </c:strCache>
            </c:strRef>
          </c:tx>
          <c:spPr>
            <a:ln w="22225" cap="rnd">
              <a:solidFill>
                <a:schemeClr val="accent5"/>
              </a:solidFill>
              <a:prstDash val="sysDash"/>
              <a:round/>
            </a:ln>
            <a:effectLst/>
          </c:spPr>
          <c:marker>
            <c:symbol val="none"/>
          </c:marker>
          <c:dLbls>
            <c:dLbl>
              <c:idx val="29"/>
              <c:layout>
                <c:manualLayout>
                  <c:x val="0"/>
                  <c:y val="-7.940008822232025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29-47DE-A939-EE6B2492C7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Blanchard!$T$246:$T$275</c:f>
              <c:numCache>
                <c:formatCode>General</c:formatCode>
                <c:ptCount val="30"/>
                <c:pt idx="7" formatCode="_-* #,##0.0_-;\-* #,##0.0_-;_-* &quot;-&quot;??_-;_-@_-">
                  <c:v>24.03715398934828</c:v>
                </c:pt>
                <c:pt idx="8" formatCode="_-* #,##0.0_-;\-* #,##0.0_-;_-* &quot;-&quot;??_-;_-@_-">
                  <c:v>24.997482952465621</c:v>
                </c:pt>
                <c:pt idx="9" formatCode="_-* #,##0.0_-;\-* #,##0.0_-;_-* &quot;-&quot;??_-;_-@_-">
                  <c:v>25.964217355552123</c:v>
                </c:pt>
                <c:pt idx="10" formatCode="_-* #,##0.0_-;\-* #,##0.0_-;_-* &quot;-&quot;??_-;_-@_-">
                  <c:v>26.737399923197756</c:v>
                </c:pt>
                <c:pt idx="11" formatCode="_-* #,##0.0_-;\-* #,##0.0_-;_-* &quot;-&quot;??_-;_-@_-">
                  <c:v>27.515739655432263</c:v>
                </c:pt>
                <c:pt idx="12" formatCode="_-* #,##0.0_-;\-* #,##0.0_-;_-* &quot;-&quot;??_-;_-@_-">
                  <c:v>28.099270950789325</c:v>
                </c:pt>
                <c:pt idx="13" formatCode="_-* #,##0.0_-;\-* #,##0.0_-;_-* &quot;-&quot;??_-;_-@_-">
                  <c:v>28.182351872133005</c:v>
                </c:pt>
                <c:pt idx="14" formatCode="_-* #,##0.0_-;\-* #,##0.0_-;_-* &quot;-&quot;??_-;_-@_-">
                  <c:v>28.265087099640201</c:v>
                </c:pt>
                <c:pt idx="15" formatCode="_-* #,##0.0_-;\-* #,##0.0_-;_-* &quot;-&quot;??_-;_-@_-">
                  <c:v>28.347478071718506</c:v>
                </c:pt>
                <c:pt idx="16" formatCode="_-* #,##0.0_-;\-* #,##0.0_-;_-* &quot;-&quot;??_-;_-@_-">
                  <c:v>28.429526220790414</c:v>
                </c:pt>
                <c:pt idx="17" formatCode="_-* #,##0.0_-;\-* #,##0.0_-;_-* &quot;-&quot;??_-;_-@_-">
                  <c:v>28.511232973318201</c:v>
                </c:pt>
                <c:pt idx="18" formatCode="_-* #,##0.0_-;\-* #,##0.0_-;_-* &quot;-&quot;??_-;_-@_-">
                  <c:v>28.592599749828736</c:v>
                </c:pt>
                <c:pt idx="19" formatCode="_-* #,##0.0_-;\-* #,##0.0_-;_-* &quot;-&quot;??_-;_-@_-">
                  <c:v>28.673627964938177</c:v>
                </c:pt>
                <c:pt idx="20" formatCode="_-* #,##0.0_-;\-* #,##0.0_-;_-* &quot;-&quot;??_-;_-@_-">
                  <c:v>28.754319027376557</c:v>
                </c:pt>
                <c:pt idx="21" formatCode="_-* #,##0.0_-;\-* #,##0.0_-;_-* &quot;-&quot;??_-;_-@_-">
                  <c:v>28.834674340012299</c:v>
                </c:pt>
                <c:pt idx="22" formatCode="_-* #,##0.0_-;\-* #,##0.0_-;_-* &quot;-&quot;??_-;_-@_-">
                  <c:v>28.91469529987658</c:v>
                </c:pt>
                <c:pt idx="23" formatCode="_-* #,##0.0_-;\-* #,##0.0_-;_-* &quot;-&quot;??_-;_-@_-">
                  <c:v>28.994383298187625</c:v>
                </c:pt>
                <c:pt idx="24" formatCode="_-* #,##0.0_-;\-* #,##0.0_-;_-* &quot;-&quot;??_-;_-@_-">
                  <c:v>29.073739720374903</c:v>
                </c:pt>
                <c:pt idx="25" formatCode="_-* #,##0.0_-;\-* #,##0.0_-;_-* &quot;-&quot;??_-;_-@_-">
                  <c:v>29.152765946103209</c:v>
                </c:pt>
                <c:pt idx="26" formatCode="_-* #,##0.0_-;\-* #,##0.0_-;_-* &quot;-&quot;??_-;_-@_-">
                  <c:v>29.231463349296654</c:v>
                </c:pt>
                <c:pt idx="27" formatCode="_-* #,##0.0_-;\-* #,##0.0_-;_-* &quot;-&quot;??_-;_-@_-">
                  <c:v>29.309833298162541</c:v>
                </c:pt>
                <c:pt idx="28" formatCode="_-* #,##0.0_-;\-* #,##0.0_-;_-* &quot;-&quot;??_-;_-@_-">
                  <c:v>29.387877155215165</c:v>
                </c:pt>
                <c:pt idx="29" formatCode="_-* #,##0.0_-;\-* #,##0.0_-;_-* &quot;-&quot;??_-;_-@_-">
                  <c:v>29.465596277299493</c:v>
                </c:pt>
              </c:numCache>
            </c:numRef>
          </c:val>
          <c:smooth val="0"/>
          <c:extLst>
            <c:ext xmlns:c16="http://schemas.microsoft.com/office/drawing/2014/chart" uri="{C3380CC4-5D6E-409C-BE32-E72D297353CC}">
              <c16:uniqueId val="{00000001-7529-47DE-A939-EE6B2492C7AC}"/>
            </c:ext>
          </c:extLst>
        </c:ser>
        <c:ser>
          <c:idx val="1"/>
          <c:order val="1"/>
          <c:tx>
            <c:strRef>
              <c:f>Blanchard!$R$245</c:f>
              <c:strCache>
                <c:ptCount val="1"/>
                <c:pt idx="0">
                  <c:v>Deuda PIB</c:v>
                </c:pt>
              </c:strCache>
            </c:strRef>
          </c:tx>
          <c:spPr>
            <a:ln w="22225" cap="rnd">
              <a:solidFill>
                <a:srgbClr val="002060"/>
              </a:solidFill>
              <a:round/>
            </a:ln>
            <a:effectLst/>
          </c:spPr>
          <c:marker>
            <c:symbol val="none"/>
          </c:marker>
          <c:dLbls>
            <c:dLbl>
              <c:idx val="0"/>
              <c:layout>
                <c:manualLayout>
                  <c:x val="-5.1918764415168753E-2"/>
                  <c:y val="-7.3324172623052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29-47DE-A939-EE6B2492C7AC}"/>
                </c:ext>
              </c:extLst>
            </c:dLbl>
            <c:dLbl>
              <c:idx val="2"/>
              <c:layout>
                <c:manualLayout>
                  <c:x val="-2.3599438370531252E-2"/>
                  <c:y val="-2.6663335499291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29-47DE-A939-EE6B2492C7AC}"/>
                </c:ext>
              </c:extLst>
            </c:dLbl>
            <c:dLbl>
              <c:idx val="7"/>
              <c:layout>
                <c:manualLayout>
                  <c:x val="-8.96778658080188E-2"/>
                  <c:y val="5.3326670998583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29-47DE-A939-EE6B2492C7AC}"/>
                </c:ext>
              </c:extLst>
            </c:dLbl>
            <c:dLbl>
              <c:idx val="29"/>
              <c:layout>
                <c:manualLayout>
                  <c:x val="-4.7198876741062499E-3"/>
                  <c:y val="5.9992504873406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29-47DE-A939-EE6B2492C7A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Blanchard!$Q$246:$Q$275</c:f>
              <c:numCache>
                <c:formatCode>0</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Blanchard!$R$246:$R$275</c:f>
              <c:numCache>
                <c:formatCode>_-* #,##0.0_-;\-* #,##0.0_-;_-* "-"??_-;_-@_-</c:formatCode>
                <c:ptCount val="30"/>
                <c:pt idx="0">
                  <c:v>30.750579824097606</c:v>
                </c:pt>
                <c:pt idx="1">
                  <c:v>29.174396726571743</c:v>
                </c:pt>
                <c:pt idx="2">
                  <c:v>28.463464662482028</c:v>
                </c:pt>
                <c:pt idx="3">
                  <c:v>28.036723363165528</c:v>
                </c:pt>
                <c:pt idx="4">
                  <c:v>27.696627468746328</c:v>
                </c:pt>
                <c:pt idx="5">
                  <c:v>26.847546008309749</c:v>
                </c:pt>
                <c:pt idx="6">
                  <c:v>25.567486176537134</c:v>
                </c:pt>
                <c:pt idx="7">
                  <c:v>24.03715398934828</c:v>
                </c:pt>
                <c:pt idx="8">
                  <c:v>24.025718416533952</c:v>
                </c:pt>
                <c:pt idx="9">
                  <c:v>24.014383433285658</c:v>
                </c:pt>
                <c:pt idx="10">
                  <c:v>24.003148154797628</c:v>
                </c:pt>
                <c:pt idx="11">
                  <c:v>23.992011704047023</c:v>
                </c:pt>
                <c:pt idx="12">
                  <c:v>23.980973211725463</c:v>
                </c:pt>
                <c:pt idx="13">
                  <c:v>23.970031816171183</c:v>
                </c:pt>
                <c:pt idx="14">
                  <c:v>23.959186663301768</c:v>
                </c:pt>
                <c:pt idx="15">
                  <c:v>23.948436906547478</c:v>
                </c:pt>
                <c:pt idx="16">
                  <c:v>23.937781706785163</c:v>
                </c:pt>
                <c:pt idx="17">
                  <c:v>23.927220232272777</c:v>
                </c:pt>
                <c:pt idx="18">
                  <c:v>23.916751658584438</c:v>
                </c:pt>
                <c:pt idx="19">
                  <c:v>23.90637516854607</c:v>
                </c:pt>
                <c:pt idx="20">
                  <c:v>23.896089952171636</c:v>
                </c:pt>
                <c:pt idx="21">
                  <c:v>23.885895206599887</c:v>
                </c:pt>
                <c:pt idx="22">
                  <c:v>23.875790136031696</c:v>
                </c:pt>
                <c:pt idx="23">
                  <c:v>23.865773951667961</c:v>
                </c:pt>
                <c:pt idx="24">
                  <c:v>23.855845871647997</c:v>
                </c:pt>
                <c:pt idx="25">
                  <c:v>23.846005120988522</c:v>
                </c:pt>
                <c:pt idx="26">
                  <c:v>23.836250931523175</c:v>
                </c:pt>
                <c:pt idx="27">
                  <c:v>23.826582541842519</c:v>
                </c:pt>
                <c:pt idx="28">
                  <c:v>23.816999197234637</c:v>
                </c:pt>
                <c:pt idx="29">
                  <c:v>23.807500149626208</c:v>
                </c:pt>
              </c:numCache>
            </c:numRef>
          </c:val>
          <c:smooth val="0"/>
          <c:extLst>
            <c:ext xmlns:c16="http://schemas.microsoft.com/office/drawing/2014/chart" uri="{C3380CC4-5D6E-409C-BE32-E72D297353CC}">
              <c16:uniqueId val="{00000006-7529-47DE-A939-EE6B2492C7AC}"/>
            </c:ext>
          </c:extLst>
        </c:ser>
        <c:dLbls>
          <c:showLegendKey val="0"/>
          <c:showVal val="0"/>
          <c:showCatName val="0"/>
          <c:showSerName val="0"/>
          <c:showPercent val="0"/>
          <c:showBubbleSize val="0"/>
        </c:dLbls>
        <c:smooth val="0"/>
        <c:axId val="302011488"/>
        <c:axId val="301984032"/>
      </c:lineChart>
      <c:catAx>
        <c:axId val="3020114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1984032"/>
        <c:crosses val="autoZero"/>
        <c:auto val="1"/>
        <c:lblAlgn val="ctr"/>
        <c:lblOffset val="100"/>
        <c:noMultiLvlLbl val="0"/>
      </c:catAx>
      <c:valAx>
        <c:axId val="301984032"/>
        <c:scaling>
          <c:orientation val="minMax"/>
          <c:min val="20"/>
        </c:scaling>
        <c:delete val="1"/>
        <c:axPos val="l"/>
        <c:numFmt formatCode="General" sourceLinked="1"/>
        <c:majorTickMark val="none"/>
        <c:minorTickMark val="none"/>
        <c:tickLblPos val="nextTo"/>
        <c:crossAx val="302011488"/>
        <c:crosses val="autoZero"/>
        <c:crossBetween val="between"/>
      </c:valAx>
      <c:spPr>
        <a:noFill/>
        <a:ln>
          <a:noFill/>
        </a:ln>
        <a:effectLst/>
      </c:spPr>
    </c:plotArea>
    <c:legend>
      <c:legendPos val="r"/>
      <c:layout>
        <c:manualLayout>
          <c:xMode val="edge"/>
          <c:yMode val="edge"/>
          <c:x val="0.30100516224682278"/>
          <c:y val="3.2123415489929641E-2"/>
          <c:w val="0.60928936761547015"/>
          <c:h val="0.164406356959804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54735034987054"/>
          <c:y val="6.6818510975550263E-2"/>
          <c:w val="0.83965996674775834"/>
          <c:h val="0.79226569756707921"/>
        </c:manualLayout>
      </c:layout>
      <c:barChart>
        <c:barDir val="col"/>
        <c:grouping val="clustered"/>
        <c:varyColors val="0"/>
        <c:ser>
          <c:idx val="0"/>
          <c:order val="0"/>
          <c:tx>
            <c:strRef>
              <c:f>Hoja1!$C$19</c:f>
              <c:strCache>
                <c:ptCount val="1"/>
                <c:pt idx="0">
                  <c:v>2023</c:v>
                </c:pt>
              </c:strCache>
            </c:strRef>
          </c:tx>
          <c:spPr>
            <a:solidFill>
              <a:srgbClr val="002060"/>
            </a:solidFill>
            <a:ln>
              <a:noFill/>
            </a:ln>
            <a:effectLst/>
          </c:spPr>
          <c:invertIfNegative val="0"/>
          <c:cat>
            <c:strRef>
              <c:f>Hoja1!$B$20:$B$25</c:f>
              <c:strCache>
                <c:ptCount val="6"/>
                <c:pt idx="0">
                  <c:v>&lt;15</c:v>
                </c:pt>
                <c:pt idx="1">
                  <c:v>15-29</c:v>
                </c:pt>
                <c:pt idx="2">
                  <c:v>30-44</c:v>
                </c:pt>
                <c:pt idx="3">
                  <c:v>45-59</c:v>
                </c:pt>
                <c:pt idx="4">
                  <c:v>60-74</c:v>
                </c:pt>
                <c:pt idx="5">
                  <c:v>&gt;75</c:v>
                </c:pt>
              </c:strCache>
            </c:strRef>
          </c:cat>
          <c:val>
            <c:numRef>
              <c:f>Hoja1!$H$20:$H$25</c:f>
              <c:numCache>
                <c:formatCode>0.0%</c:formatCode>
                <c:ptCount val="6"/>
                <c:pt idx="0">
                  <c:v>0.31418256944168677</c:v>
                </c:pt>
                <c:pt idx="1">
                  <c:v>0.28936684938574675</c:v>
                </c:pt>
                <c:pt idx="2">
                  <c:v>0.20353523896784484</c:v>
                </c:pt>
                <c:pt idx="3">
                  <c:v>0.11259024392710303</c:v>
                </c:pt>
                <c:pt idx="4">
                  <c:v>2.7800364620091396E-2</c:v>
                </c:pt>
                <c:pt idx="5">
                  <c:v>5.2524733657527189E-2</c:v>
                </c:pt>
              </c:numCache>
            </c:numRef>
          </c:val>
          <c:extLst>
            <c:ext xmlns:c16="http://schemas.microsoft.com/office/drawing/2014/chart" uri="{C3380CC4-5D6E-409C-BE32-E72D297353CC}">
              <c16:uniqueId val="{00000000-0E16-46FD-ADA3-81D0CB4914E1}"/>
            </c:ext>
          </c:extLst>
        </c:ser>
        <c:ser>
          <c:idx val="2"/>
          <c:order val="1"/>
          <c:tx>
            <c:strRef>
              <c:f>Hoja1!$D$19</c:f>
              <c:strCache>
                <c:ptCount val="1"/>
                <c:pt idx="0">
                  <c:v>2033</c:v>
                </c:pt>
              </c:strCache>
            </c:strRef>
          </c:tx>
          <c:spPr>
            <a:solidFill>
              <a:schemeClr val="accent5"/>
            </a:solidFill>
            <a:ln>
              <a:noFill/>
            </a:ln>
            <a:effectLst/>
          </c:spPr>
          <c:invertIfNegative val="0"/>
          <c:val>
            <c:numRef>
              <c:f>Hoja1!$I$20:$I$25</c:f>
              <c:numCache>
                <c:formatCode>0.0%</c:formatCode>
                <c:ptCount val="6"/>
                <c:pt idx="0">
                  <c:v>0.26452549958197408</c:v>
                </c:pt>
                <c:pt idx="1">
                  <c:v>0.2641097686923165</c:v>
                </c:pt>
                <c:pt idx="2">
                  <c:v>0.22824861635307367</c:v>
                </c:pt>
                <c:pt idx="3">
                  <c:v>0.14128630930388278</c:v>
                </c:pt>
                <c:pt idx="4">
                  <c:v>3.5303532224566309E-2</c:v>
                </c:pt>
                <c:pt idx="5">
                  <c:v>6.6526273844186662E-2</c:v>
                </c:pt>
              </c:numCache>
            </c:numRef>
          </c:val>
          <c:extLst>
            <c:ext xmlns:c16="http://schemas.microsoft.com/office/drawing/2014/chart" uri="{C3380CC4-5D6E-409C-BE32-E72D297353CC}">
              <c16:uniqueId val="{00000001-0E16-46FD-ADA3-81D0CB4914E1}"/>
            </c:ext>
          </c:extLst>
        </c:ser>
        <c:ser>
          <c:idx val="1"/>
          <c:order val="2"/>
          <c:tx>
            <c:strRef>
              <c:f>Hoja1!$F$19</c:f>
              <c:strCache>
                <c:ptCount val="1"/>
                <c:pt idx="0">
                  <c:v>2050</c:v>
                </c:pt>
              </c:strCache>
            </c:strRef>
          </c:tx>
          <c:spPr>
            <a:solidFill>
              <a:schemeClr val="bg1">
                <a:lumMod val="65000"/>
              </a:schemeClr>
            </a:solidFill>
            <a:ln>
              <a:noFill/>
            </a:ln>
            <a:effectLst/>
          </c:spPr>
          <c:invertIfNegative val="0"/>
          <c:val>
            <c:numRef>
              <c:f>Hoja1!$K$20:$K$25</c:f>
              <c:numCache>
                <c:formatCode>0.0%</c:formatCode>
                <c:ptCount val="6"/>
                <c:pt idx="0">
                  <c:v>0.19945820206385875</c:v>
                </c:pt>
                <c:pt idx="1">
                  <c:v>0.22036142061827316</c:v>
                </c:pt>
                <c:pt idx="2">
                  <c:v>0.2215391790214796</c:v>
                </c:pt>
                <c:pt idx="3">
                  <c:v>0.19134938016494343</c:v>
                </c:pt>
                <c:pt idx="4">
                  <c:v>5.6328600364581392E-2</c:v>
                </c:pt>
                <c:pt idx="5">
                  <c:v>0.11096321776686364</c:v>
                </c:pt>
              </c:numCache>
            </c:numRef>
          </c:val>
          <c:extLst>
            <c:ext xmlns:c16="http://schemas.microsoft.com/office/drawing/2014/chart" uri="{C3380CC4-5D6E-409C-BE32-E72D297353CC}">
              <c16:uniqueId val="{00000002-0E16-46FD-ADA3-81D0CB4914E1}"/>
            </c:ext>
          </c:extLst>
        </c:ser>
        <c:dLbls>
          <c:showLegendKey val="0"/>
          <c:showVal val="0"/>
          <c:showCatName val="0"/>
          <c:showSerName val="0"/>
          <c:showPercent val="0"/>
          <c:showBubbleSize val="0"/>
        </c:dLbls>
        <c:gapWidth val="219"/>
        <c:overlap val="-27"/>
        <c:axId val="1629360543"/>
        <c:axId val="1629360959"/>
      </c:barChart>
      <c:catAx>
        <c:axId val="1629360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29360959"/>
        <c:crosses val="autoZero"/>
        <c:auto val="1"/>
        <c:lblAlgn val="ctr"/>
        <c:lblOffset val="100"/>
        <c:noMultiLvlLbl val="0"/>
      </c:catAx>
      <c:valAx>
        <c:axId val="162936095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29360543"/>
        <c:crosses val="autoZero"/>
        <c:crossBetween val="between"/>
      </c:valAx>
      <c:spPr>
        <a:noFill/>
        <a:ln>
          <a:noFill/>
        </a:ln>
        <a:effectLst/>
      </c:spPr>
    </c:plotArea>
    <c:legend>
      <c:legendPos val="r"/>
      <c:layout>
        <c:manualLayout>
          <c:xMode val="edge"/>
          <c:yMode val="edge"/>
          <c:x val="0.23735690671026549"/>
          <c:y val="2.7222222222222226E-4"/>
          <c:w val="0.70084569976337641"/>
          <c:h val="8.684387446394556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94989968580833E-2"/>
          <c:y val="0.16516180949567588"/>
          <c:w val="0.86789046825907556"/>
          <c:h val="0.68232828432021675"/>
        </c:manualLayout>
      </c:layout>
      <c:lineChart>
        <c:grouping val="standard"/>
        <c:varyColors val="0"/>
        <c:ser>
          <c:idx val="0"/>
          <c:order val="0"/>
          <c:tx>
            <c:strRef>
              <c:f>Hoja1!$B$5</c:f>
              <c:strCache>
                <c:ptCount val="1"/>
                <c:pt idx="0">
                  <c:v>0-14</c:v>
                </c:pt>
              </c:strCache>
            </c:strRef>
          </c:tx>
          <c:spPr>
            <a:ln w="19050" cap="rnd">
              <a:solidFill>
                <a:schemeClr val="accent1"/>
              </a:solidFill>
              <a:round/>
            </a:ln>
            <a:effectLst/>
          </c:spPr>
          <c:marker>
            <c:symbol val="none"/>
          </c:marker>
          <c:cat>
            <c:numRef>
              <c:f>Hoja1!$C$4:$AG$4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Hoja1!$C$5:$AG$5</c:f>
              <c:numCache>
                <c:formatCode>#,##0</c:formatCode>
                <c:ptCount val="31"/>
                <c:pt idx="0">
                  <c:v>5519915</c:v>
                </c:pt>
                <c:pt idx="1">
                  <c:v>5526951</c:v>
                </c:pt>
                <c:pt idx="2">
                  <c:v>5530551</c:v>
                </c:pt>
                <c:pt idx="3">
                  <c:v>5530377</c:v>
                </c:pt>
                <c:pt idx="4">
                  <c:v>5526200</c:v>
                </c:pt>
                <c:pt idx="5">
                  <c:v>5517870</c:v>
                </c:pt>
                <c:pt idx="6">
                  <c:v>5501666</c:v>
                </c:pt>
                <c:pt idx="7">
                  <c:v>5481238</c:v>
                </c:pt>
                <c:pt idx="8">
                  <c:v>5453534</c:v>
                </c:pt>
                <c:pt idx="9">
                  <c:v>5419917</c:v>
                </c:pt>
                <c:pt idx="10">
                  <c:v>5382131</c:v>
                </c:pt>
                <c:pt idx="11">
                  <c:v>5340172</c:v>
                </c:pt>
                <c:pt idx="12">
                  <c:v>5294085</c:v>
                </c:pt>
                <c:pt idx="13">
                  <c:v>5244304</c:v>
                </c:pt>
                <c:pt idx="14">
                  <c:v>5193572</c:v>
                </c:pt>
                <c:pt idx="15">
                  <c:v>5143058</c:v>
                </c:pt>
                <c:pt idx="16">
                  <c:v>5093200</c:v>
                </c:pt>
                <c:pt idx="17">
                  <c:v>5044383</c:v>
                </c:pt>
                <c:pt idx="18">
                  <c:v>4996909</c:v>
                </c:pt>
                <c:pt idx="19">
                  <c:v>4950957</c:v>
                </c:pt>
                <c:pt idx="20">
                  <c:v>4906616</c:v>
                </c:pt>
                <c:pt idx="21">
                  <c:v>4863886</c:v>
                </c:pt>
                <c:pt idx="22">
                  <c:v>4822699</c:v>
                </c:pt>
                <c:pt idx="23">
                  <c:v>4782930</c:v>
                </c:pt>
                <c:pt idx="24">
                  <c:v>4744416</c:v>
                </c:pt>
                <c:pt idx="25">
                  <c:v>4706963</c:v>
                </c:pt>
                <c:pt idx="26">
                  <c:v>4670366</c:v>
                </c:pt>
                <c:pt idx="27">
                  <c:v>4634417</c:v>
                </c:pt>
                <c:pt idx="28">
                  <c:v>4598905</c:v>
                </c:pt>
                <c:pt idx="29">
                  <c:v>4563617</c:v>
                </c:pt>
                <c:pt idx="30">
                  <c:v>4528359</c:v>
                </c:pt>
              </c:numCache>
            </c:numRef>
          </c:val>
          <c:smooth val="1"/>
          <c:extLst>
            <c:ext xmlns:c16="http://schemas.microsoft.com/office/drawing/2014/chart" uri="{C3380CC4-5D6E-409C-BE32-E72D297353CC}">
              <c16:uniqueId val="{00000000-CFA0-43DB-8E07-FB623305FC91}"/>
            </c:ext>
          </c:extLst>
        </c:ser>
        <c:ser>
          <c:idx val="1"/>
          <c:order val="1"/>
          <c:tx>
            <c:strRef>
              <c:f>Hoja1!$B$6</c:f>
              <c:strCache>
                <c:ptCount val="1"/>
                <c:pt idx="0">
                  <c:v>15-64</c:v>
                </c:pt>
              </c:strCache>
            </c:strRef>
          </c:tx>
          <c:spPr>
            <a:ln w="19050" cap="rnd">
              <a:solidFill>
                <a:srgbClr val="002060"/>
              </a:solidFill>
              <a:round/>
            </a:ln>
            <a:effectLst/>
          </c:spPr>
          <c:marker>
            <c:symbol val="none"/>
          </c:marker>
          <c:cat>
            <c:numRef>
              <c:f>Hoja1!$C$4:$AG$4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Hoja1!$C$6:$AG$6</c:f>
              <c:numCache>
                <c:formatCode>#,##0</c:formatCode>
                <c:ptCount val="31"/>
                <c:pt idx="0">
                  <c:v>10444191</c:v>
                </c:pt>
                <c:pt idx="1">
                  <c:v>10655230</c:v>
                </c:pt>
                <c:pt idx="2">
                  <c:v>10865450</c:v>
                </c:pt>
                <c:pt idx="3">
                  <c:v>11074801</c:v>
                </c:pt>
                <c:pt idx="4">
                  <c:v>11283214</c:v>
                </c:pt>
                <c:pt idx="5">
                  <c:v>11490625</c:v>
                </c:pt>
                <c:pt idx="6">
                  <c:v>11700622</c:v>
                </c:pt>
                <c:pt idx="7">
                  <c:v>11909498</c:v>
                </c:pt>
                <c:pt idx="8">
                  <c:v>12120225</c:v>
                </c:pt>
                <c:pt idx="9">
                  <c:v>12331395</c:v>
                </c:pt>
                <c:pt idx="10">
                  <c:v>12541403</c:v>
                </c:pt>
                <c:pt idx="11">
                  <c:v>12749702</c:v>
                </c:pt>
                <c:pt idx="12">
                  <c:v>12956098</c:v>
                </c:pt>
                <c:pt idx="13">
                  <c:v>13160031</c:v>
                </c:pt>
                <c:pt idx="14">
                  <c:v>13358602</c:v>
                </c:pt>
                <c:pt idx="15">
                  <c:v>13550494</c:v>
                </c:pt>
                <c:pt idx="16">
                  <c:v>13735176</c:v>
                </c:pt>
                <c:pt idx="17">
                  <c:v>13912206</c:v>
                </c:pt>
                <c:pt idx="18">
                  <c:v>14081317</c:v>
                </c:pt>
                <c:pt idx="19">
                  <c:v>14242142</c:v>
                </c:pt>
                <c:pt idx="20">
                  <c:v>14394759</c:v>
                </c:pt>
                <c:pt idx="21">
                  <c:v>14539120</c:v>
                </c:pt>
                <c:pt idx="22">
                  <c:v>14675260</c:v>
                </c:pt>
                <c:pt idx="23">
                  <c:v>14803237</c:v>
                </c:pt>
                <c:pt idx="24">
                  <c:v>14923110</c:v>
                </c:pt>
                <c:pt idx="25">
                  <c:v>15034889</c:v>
                </c:pt>
                <c:pt idx="26">
                  <c:v>15138534</c:v>
                </c:pt>
                <c:pt idx="27">
                  <c:v>15233727</c:v>
                </c:pt>
                <c:pt idx="28">
                  <c:v>15320340</c:v>
                </c:pt>
                <c:pt idx="29">
                  <c:v>15398075</c:v>
                </c:pt>
                <c:pt idx="30">
                  <c:v>15466667</c:v>
                </c:pt>
              </c:numCache>
            </c:numRef>
          </c:val>
          <c:smooth val="1"/>
          <c:extLst>
            <c:ext xmlns:c16="http://schemas.microsoft.com/office/drawing/2014/chart" uri="{C3380CC4-5D6E-409C-BE32-E72D297353CC}">
              <c16:uniqueId val="{00000001-CFA0-43DB-8E07-FB623305FC91}"/>
            </c:ext>
          </c:extLst>
        </c:ser>
        <c:ser>
          <c:idx val="2"/>
          <c:order val="2"/>
          <c:tx>
            <c:strRef>
              <c:f>Hoja1!$B$7</c:f>
              <c:strCache>
                <c:ptCount val="1"/>
                <c:pt idx="0">
                  <c:v>65 o más</c:v>
                </c:pt>
              </c:strCache>
            </c:strRef>
          </c:tx>
          <c:spPr>
            <a:ln w="19050" cap="rnd">
              <a:solidFill>
                <a:schemeClr val="accent3"/>
              </a:solidFill>
              <a:round/>
            </a:ln>
            <a:effectLst/>
          </c:spPr>
          <c:marker>
            <c:symbol val="none"/>
          </c:marker>
          <c:cat>
            <c:numRef>
              <c:f>Hoja1!$C$4:$AG$4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Hoja1!$C$7:$AG$7</c:f>
              <c:numCache>
                <c:formatCode>#,##0</c:formatCode>
                <c:ptCount val="31"/>
                <c:pt idx="0">
                  <c:v>894227</c:v>
                </c:pt>
                <c:pt idx="1">
                  <c:v>927565</c:v>
                </c:pt>
                <c:pt idx="2">
                  <c:v>961885</c:v>
                </c:pt>
                <c:pt idx="3">
                  <c:v>997253</c:v>
                </c:pt>
                <c:pt idx="4">
                  <c:v>1033718</c:v>
                </c:pt>
                <c:pt idx="5">
                  <c:v>1071315</c:v>
                </c:pt>
                <c:pt idx="6">
                  <c:v>1110085</c:v>
                </c:pt>
                <c:pt idx="7">
                  <c:v>1150034</c:v>
                </c:pt>
                <c:pt idx="8">
                  <c:v>1191225</c:v>
                </c:pt>
                <c:pt idx="9">
                  <c:v>1233754</c:v>
                </c:pt>
                <c:pt idx="10">
                  <c:v>1277528</c:v>
                </c:pt>
                <c:pt idx="11">
                  <c:v>1323175</c:v>
                </c:pt>
                <c:pt idx="12">
                  <c:v>1370925</c:v>
                </c:pt>
                <c:pt idx="13">
                  <c:v>1420990</c:v>
                </c:pt>
                <c:pt idx="14">
                  <c:v>1473571</c:v>
                </c:pt>
                <c:pt idx="15">
                  <c:v>1528886</c:v>
                </c:pt>
                <c:pt idx="16">
                  <c:v>1587069</c:v>
                </c:pt>
                <c:pt idx="17">
                  <c:v>1648199</c:v>
                </c:pt>
                <c:pt idx="18">
                  <c:v>1712244</c:v>
                </c:pt>
                <c:pt idx="19">
                  <c:v>1779351</c:v>
                </c:pt>
                <c:pt idx="20">
                  <c:v>1849287</c:v>
                </c:pt>
                <c:pt idx="21">
                  <c:v>1922018</c:v>
                </c:pt>
                <c:pt idx="22">
                  <c:v>1997490</c:v>
                </c:pt>
                <c:pt idx="23">
                  <c:v>2075659</c:v>
                </c:pt>
                <c:pt idx="24">
                  <c:v>2156517</c:v>
                </c:pt>
                <c:pt idx="25">
                  <c:v>2240127</c:v>
                </c:pt>
                <c:pt idx="26">
                  <c:v>2326623</c:v>
                </c:pt>
                <c:pt idx="27">
                  <c:v>2416405</c:v>
                </c:pt>
                <c:pt idx="28">
                  <c:v>2509694</c:v>
                </c:pt>
                <c:pt idx="29">
                  <c:v>2606872</c:v>
                </c:pt>
                <c:pt idx="30">
                  <c:v>2708272</c:v>
                </c:pt>
              </c:numCache>
            </c:numRef>
          </c:val>
          <c:smooth val="1"/>
          <c:extLst>
            <c:ext xmlns:c16="http://schemas.microsoft.com/office/drawing/2014/chart" uri="{C3380CC4-5D6E-409C-BE32-E72D297353CC}">
              <c16:uniqueId val="{00000002-CFA0-43DB-8E07-FB623305FC91}"/>
            </c:ext>
          </c:extLst>
        </c:ser>
        <c:ser>
          <c:idx val="3"/>
          <c:order val="3"/>
          <c:tx>
            <c:strRef>
              <c:f>Hoja1!$B$8</c:f>
              <c:strCache>
                <c:ptCount val="1"/>
                <c:pt idx="0">
                  <c:v>Total</c:v>
                </c:pt>
              </c:strCache>
            </c:strRef>
          </c:tx>
          <c:spPr>
            <a:ln w="22225" cap="rnd">
              <a:solidFill>
                <a:srgbClr val="C00000"/>
              </a:solidFill>
              <a:prstDash val="sysDash"/>
              <a:round/>
            </a:ln>
            <a:effectLst/>
          </c:spPr>
          <c:marker>
            <c:symbol val="none"/>
          </c:marker>
          <c:val>
            <c:numRef>
              <c:f>Hoja1!$C$8:$AG$8</c:f>
              <c:numCache>
                <c:formatCode>#,##0</c:formatCode>
                <c:ptCount val="31"/>
                <c:pt idx="0">
                  <c:v>16858333</c:v>
                </c:pt>
                <c:pt idx="1">
                  <c:v>17109746</c:v>
                </c:pt>
                <c:pt idx="2">
                  <c:v>17357886</c:v>
                </c:pt>
                <c:pt idx="3">
                  <c:v>17602431</c:v>
                </c:pt>
                <c:pt idx="4">
                  <c:v>17843132</c:v>
                </c:pt>
                <c:pt idx="5">
                  <c:v>18079810</c:v>
                </c:pt>
                <c:pt idx="6">
                  <c:v>18312373</c:v>
                </c:pt>
                <c:pt idx="7">
                  <c:v>18540770</c:v>
                </c:pt>
                <c:pt idx="8">
                  <c:v>18764984</c:v>
                </c:pt>
                <c:pt idx="9">
                  <c:v>18985066</c:v>
                </c:pt>
                <c:pt idx="10">
                  <c:v>19201062</c:v>
                </c:pt>
                <c:pt idx="11">
                  <c:v>19413049</c:v>
                </c:pt>
                <c:pt idx="12">
                  <c:v>19621108</c:v>
                </c:pt>
                <c:pt idx="13">
                  <c:v>19825325</c:v>
                </c:pt>
                <c:pt idx="14">
                  <c:v>20025745</c:v>
                </c:pt>
                <c:pt idx="15">
                  <c:v>20222438</c:v>
                </c:pt>
                <c:pt idx="16">
                  <c:v>20415445</c:v>
                </c:pt>
                <c:pt idx="17">
                  <c:v>20604788</c:v>
                </c:pt>
                <c:pt idx="18">
                  <c:v>20790470</c:v>
                </c:pt>
                <c:pt idx="19">
                  <c:v>20972450</c:v>
                </c:pt>
                <c:pt idx="20">
                  <c:v>21150662</c:v>
                </c:pt>
                <c:pt idx="21">
                  <c:v>21325024</c:v>
                </c:pt>
                <c:pt idx="22">
                  <c:v>21495449</c:v>
                </c:pt>
                <c:pt idx="23">
                  <c:v>21661826</c:v>
                </c:pt>
                <c:pt idx="24">
                  <c:v>21824043</c:v>
                </c:pt>
                <c:pt idx="25">
                  <c:v>21981979</c:v>
                </c:pt>
                <c:pt idx="26">
                  <c:v>22135523</c:v>
                </c:pt>
                <c:pt idx="27">
                  <c:v>22284549</c:v>
                </c:pt>
                <c:pt idx="28">
                  <c:v>22428939</c:v>
                </c:pt>
                <c:pt idx="29">
                  <c:v>22568564</c:v>
                </c:pt>
                <c:pt idx="30">
                  <c:v>22703298</c:v>
                </c:pt>
              </c:numCache>
            </c:numRef>
          </c:val>
          <c:smooth val="0"/>
          <c:extLst>
            <c:ext xmlns:c16="http://schemas.microsoft.com/office/drawing/2014/chart" uri="{C3380CC4-5D6E-409C-BE32-E72D297353CC}">
              <c16:uniqueId val="{00000003-CFA0-43DB-8E07-FB623305FC91}"/>
            </c:ext>
          </c:extLst>
        </c:ser>
        <c:dLbls>
          <c:showLegendKey val="0"/>
          <c:showVal val="0"/>
          <c:showCatName val="0"/>
          <c:showSerName val="0"/>
          <c:showPercent val="0"/>
          <c:showBubbleSize val="0"/>
        </c:dLbls>
        <c:smooth val="0"/>
        <c:axId val="654909967"/>
        <c:axId val="654910383"/>
      </c:lineChart>
      <c:catAx>
        <c:axId val="65490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54910383"/>
        <c:crosses val="autoZero"/>
        <c:auto val="1"/>
        <c:lblAlgn val="ctr"/>
        <c:lblOffset val="100"/>
        <c:noMultiLvlLbl val="0"/>
      </c:catAx>
      <c:valAx>
        <c:axId val="654910383"/>
        <c:scaling>
          <c:orientation val="minMax"/>
          <c:max val="25000000"/>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54909967"/>
        <c:crosses val="autoZero"/>
        <c:crossBetween val="between"/>
        <c:majorUnit val="10000000"/>
        <c:dispUnits>
          <c:builtInUnit val="millions"/>
        </c:dispUnits>
      </c:valAx>
      <c:spPr>
        <a:noFill/>
        <a:ln>
          <a:noFill/>
        </a:ln>
        <a:effectLst/>
      </c:spPr>
    </c:plotArea>
    <c:legend>
      <c:legendPos val="b"/>
      <c:layout>
        <c:manualLayout>
          <c:xMode val="edge"/>
          <c:yMode val="edge"/>
          <c:x val="0"/>
          <c:y val="1.9532244756598196E-3"/>
          <c:w val="1"/>
          <c:h val="0.1247277709303154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8128172203659"/>
          <c:y val="6.7124316444304361E-2"/>
          <c:w val="0.83151483266952231"/>
          <c:h val="0.79981294216395538"/>
        </c:manualLayout>
      </c:layout>
      <c:lineChart>
        <c:grouping val="standard"/>
        <c:varyColors val="0"/>
        <c:ser>
          <c:idx val="0"/>
          <c:order val="0"/>
          <c:tx>
            <c:strRef>
              <c:f>Hoja1!$B$12</c:f>
              <c:strCache>
                <c:ptCount val="1"/>
                <c:pt idx="0">
                  <c:v>0-14</c:v>
                </c:pt>
              </c:strCache>
            </c:strRef>
          </c:tx>
          <c:spPr>
            <a:ln w="19050" cap="rnd">
              <a:solidFill>
                <a:schemeClr val="accent1"/>
              </a:solidFill>
              <a:round/>
            </a:ln>
            <a:effectLst/>
          </c:spPr>
          <c:marker>
            <c:symbol val="none"/>
          </c:marker>
          <c:cat>
            <c:numRef>
              <c:f>Hoja1!$C$4:$AG$4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Hoja1!$C$12:$AG$12</c:f>
              <c:numCache>
                <c:formatCode>_-* #,##0.0_-;\-* #,##0.0_-;_-* "-"??_-;_-@_-</c:formatCode>
                <c:ptCount val="31"/>
                <c:pt idx="1">
                  <c:v>0.12746573090348079</c:v>
                </c:pt>
                <c:pt idx="2">
                  <c:v>6.5135370297284112E-2</c:v>
                </c:pt>
                <c:pt idx="3">
                  <c:v>-3.1461603011990746E-3</c:v>
                </c:pt>
                <c:pt idx="4">
                  <c:v>-7.5528304851545158E-2</c:v>
                </c:pt>
                <c:pt idx="5">
                  <c:v>-0.15073649162172842</c:v>
                </c:pt>
                <c:pt idx="6">
                  <c:v>-0.29366404065336837</c:v>
                </c:pt>
                <c:pt idx="7">
                  <c:v>-0.37130570994314382</c:v>
                </c:pt>
                <c:pt idx="8">
                  <c:v>-0.50543326160988045</c:v>
                </c:pt>
                <c:pt idx="9">
                  <c:v>-0.61642597258952492</c:v>
                </c:pt>
                <c:pt idx="10">
                  <c:v>-0.69716934779629014</c:v>
                </c:pt>
                <c:pt idx="11">
                  <c:v>-0.77959826693181355</c:v>
                </c:pt>
                <c:pt idx="12">
                  <c:v>-0.86302463665964524</c:v>
                </c:pt>
                <c:pt idx="13">
                  <c:v>-0.94031357637815915</c:v>
                </c:pt>
                <c:pt idx="14">
                  <c:v>-0.96737336355786852</c:v>
                </c:pt>
                <c:pt idx="15">
                  <c:v>-0.97262539154169758</c:v>
                </c:pt>
                <c:pt idx="16">
                  <c:v>-0.96942324974752125</c:v>
                </c:pt>
                <c:pt idx="17">
                  <c:v>-0.95847404382313073</c:v>
                </c:pt>
                <c:pt idx="18">
                  <c:v>-0.94112600094004506</c:v>
                </c:pt>
                <c:pt idx="19">
                  <c:v>-0.91960850197591526</c:v>
                </c:pt>
                <c:pt idx="20">
                  <c:v>-0.89560462754978687</c:v>
                </c:pt>
                <c:pt idx="21">
                  <c:v>-0.87086497088829162</c:v>
                </c:pt>
                <c:pt idx="22">
                  <c:v>-0.84679205063605423</c:v>
                </c:pt>
                <c:pt idx="23">
                  <c:v>-0.8246212338775365</c:v>
                </c:pt>
                <c:pt idx="24">
                  <c:v>-0.80523862987750761</c:v>
                </c:pt>
                <c:pt idx="25">
                  <c:v>-0.78941222692108681</c:v>
                </c:pt>
                <c:pt idx="26">
                  <c:v>-0.77750770507437039</c:v>
                </c:pt>
                <c:pt idx="27">
                  <c:v>-0.76972554185260833</c:v>
                </c:pt>
                <c:pt idx="28">
                  <c:v>-0.76626682493180454</c:v>
                </c:pt>
                <c:pt idx="29">
                  <c:v>-0.76731308865915082</c:v>
                </c:pt>
                <c:pt idx="30">
                  <c:v>-0.77258893548692242</c:v>
                </c:pt>
              </c:numCache>
            </c:numRef>
          </c:val>
          <c:smooth val="0"/>
          <c:extLst>
            <c:ext xmlns:c16="http://schemas.microsoft.com/office/drawing/2014/chart" uri="{C3380CC4-5D6E-409C-BE32-E72D297353CC}">
              <c16:uniqueId val="{00000000-07C1-405D-85D1-B77497CAD8AE}"/>
            </c:ext>
          </c:extLst>
        </c:ser>
        <c:ser>
          <c:idx val="1"/>
          <c:order val="1"/>
          <c:tx>
            <c:strRef>
              <c:f>Hoja1!$B$13</c:f>
              <c:strCache>
                <c:ptCount val="1"/>
                <c:pt idx="0">
                  <c:v>15-64</c:v>
                </c:pt>
              </c:strCache>
            </c:strRef>
          </c:tx>
          <c:spPr>
            <a:ln w="19050" cap="rnd">
              <a:solidFill>
                <a:srgbClr val="002060"/>
              </a:solidFill>
              <a:round/>
            </a:ln>
            <a:effectLst/>
          </c:spPr>
          <c:marker>
            <c:symbol val="none"/>
          </c:marker>
          <c:cat>
            <c:numRef>
              <c:f>Hoja1!$C$4:$AG$4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Hoja1!$C$13:$AG$13</c:f>
              <c:numCache>
                <c:formatCode>_-* #,##0.0_-;\-* #,##0.0_-;_-* "-"??_-;_-@_-</c:formatCode>
                <c:ptCount val="31"/>
                <c:pt idx="1">
                  <c:v>2.0206352028606176</c:v>
                </c:pt>
                <c:pt idx="2">
                  <c:v>1.9729278485776547</c:v>
                </c:pt>
                <c:pt idx="3">
                  <c:v>1.9267586708327826</c:v>
                </c:pt>
                <c:pt idx="4">
                  <c:v>1.8818667712403965</c:v>
                </c:pt>
                <c:pt idx="5">
                  <c:v>1.8382262358934298</c:v>
                </c:pt>
                <c:pt idx="6">
                  <c:v>1.8275507206962232</c:v>
                </c:pt>
                <c:pt idx="7">
                  <c:v>1.7851700533527293</c:v>
                </c:pt>
                <c:pt idx="8">
                  <c:v>1.7694028749154711</c:v>
                </c:pt>
                <c:pt idx="9">
                  <c:v>1.742294388099225</c:v>
                </c:pt>
                <c:pt idx="10">
                  <c:v>1.7030352202650221</c:v>
                </c:pt>
                <c:pt idx="11">
                  <c:v>1.6608907312842121</c:v>
                </c:pt>
                <c:pt idx="12">
                  <c:v>1.6188299930461199</c:v>
                </c:pt>
                <c:pt idx="13">
                  <c:v>1.5740310084100884</c:v>
                </c:pt>
                <c:pt idx="14">
                  <c:v>1.5088946219047585</c:v>
                </c:pt>
                <c:pt idx="15">
                  <c:v>1.4364676782795129</c:v>
                </c:pt>
                <c:pt idx="16">
                  <c:v>1.3629171010296659</c:v>
                </c:pt>
                <c:pt idx="17">
                  <c:v>1.2888804628349959</c:v>
                </c:pt>
                <c:pt idx="18">
                  <c:v>1.2155584815233453</c:v>
                </c:pt>
                <c:pt idx="19">
                  <c:v>1.1421161813202474</c:v>
                </c:pt>
                <c:pt idx="20">
                  <c:v>1.0715874058831787</c:v>
                </c:pt>
                <c:pt idx="21">
                  <c:v>1.0028719480472006</c:v>
                </c:pt>
                <c:pt idx="22">
                  <c:v>0.93637028926096377</c:v>
                </c:pt>
                <c:pt idx="23">
                  <c:v>0.87205950695252454</c:v>
                </c:pt>
                <c:pt idx="24">
                  <c:v>0.809775591649327</c:v>
                </c:pt>
                <c:pt idx="25">
                  <c:v>0.74903287585496514</c:v>
                </c:pt>
                <c:pt idx="26">
                  <c:v>0.68936325369612916</c:v>
                </c:pt>
                <c:pt idx="27">
                  <c:v>0.62881253891559652</c:v>
                </c:pt>
                <c:pt idx="28">
                  <c:v>0.5685607993368933</c:v>
                </c:pt>
                <c:pt idx="29">
                  <c:v>0.5073973554111717</c:v>
                </c:pt>
                <c:pt idx="30">
                  <c:v>0.44545827968755702</c:v>
                </c:pt>
              </c:numCache>
            </c:numRef>
          </c:val>
          <c:smooth val="0"/>
          <c:extLst>
            <c:ext xmlns:c16="http://schemas.microsoft.com/office/drawing/2014/chart" uri="{C3380CC4-5D6E-409C-BE32-E72D297353CC}">
              <c16:uniqueId val="{00000001-07C1-405D-85D1-B77497CAD8AE}"/>
            </c:ext>
          </c:extLst>
        </c:ser>
        <c:ser>
          <c:idx val="2"/>
          <c:order val="2"/>
          <c:tx>
            <c:strRef>
              <c:f>Hoja1!$B$14</c:f>
              <c:strCache>
                <c:ptCount val="1"/>
                <c:pt idx="0">
                  <c:v>65 o más</c:v>
                </c:pt>
              </c:strCache>
            </c:strRef>
          </c:tx>
          <c:spPr>
            <a:ln w="19050" cap="rnd">
              <a:solidFill>
                <a:schemeClr val="accent3"/>
              </a:solidFill>
              <a:round/>
            </a:ln>
            <a:effectLst/>
          </c:spPr>
          <c:marker>
            <c:symbol val="none"/>
          </c:marker>
          <c:cat>
            <c:numRef>
              <c:f>Hoja1!$C$4:$AG$4</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Hoja1!$C$14:$AG$14</c:f>
              <c:numCache>
                <c:formatCode>_-* #,##0.0_-;\-* #,##0.0_-;_-* "-"??_-;_-@_-</c:formatCode>
                <c:ptCount val="31"/>
                <c:pt idx="1">
                  <c:v>3.728136144401816</c:v>
                </c:pt>
                <c:pt idx="2">
                  <c:v>3.7000102418698333</c:v>
                </c:pt>
                <c:pt idx="3">
                  <c:v>3.6769468283630573</c:v>
                </c:pt>
                <c:pt idx="4">
                  <c:v>3.6565445278179141</c:v>
                </c:pt>
                <c:pt idx="5">
                  <c:v>3.6370654279020016</c:v>
                </c:pt>
                <c:pt idx="6">
                  <c:v>3.6189169385288267</c:v>
                </c:pt>
                <c:pt idx="7">
                  <c:v>3.598733430322909</c:v>
                </c:pt>
                <c:pt idx="8">
                  <c:v>3.581720192620395</c:v>
                </c:pt>
                <c:pt idx="9">
                  <c:v>3.5701903502696837</c:v>
                </c:pt>
                <c:pt idx="10">
                  <c:v>3.5480330762858614</c:v>
                </c:pt>
                <c:pt idx="11">
                  <c:v>3.5730723710165222</c:v>
                </c:pt>
                <c:pt idx="12">
                  <c:v>3.6087441192586027</c:v>
                </c:pt>
                <c:pt idx="13">
                  <c:v>3.6519138537848477</c:v>
                </c:pt>
                <c:pt idx="14">
                  <c:v>3.7003075320727135</c:v>
                </c:pt>
                <c:pt idx="15">
                  <c:v>3.7538062299000217</c:v>
                </c:pt>
                <c:pt idx="16">
                  <c:v>3.8055813186856255</c:v>
                </c:pt>
                <c:pt idx="17">
                  <c:v>3.8517543975718809</c:v>
                </c:pt>
                <c:pt idx="18">
                  <c:v>3.8857565136248837</c:v>
                </c:pt>
                <c:pt idx="19">
                  <c:v>3.9192428181964658</c:v>
                </c:pt>
                <c:pt idx="20">
                  <c:v>3.9304218223386016</c:v>
                </c:pt>
                <c:pt idx="21">
                  <c:v>3.932921174485088</c:v>
                </c:pt>
                <c:pt idx="22">
                  <c:v>3.926706201502796</c:v>
                </c:pt>
                <c:pt idx="23">
                  <c:v>3.9133612683918386</c:v>
                </c:pt>
                <c:pt idx="24">
                  <c:v>3.8955339003179148</c:v>
                </c:pt>
                <c:pt idx="25">
                  <c:v>3.8770851331104694</c:v>
                </c:pt>
                <c:pt idx="26">
                  <c:v>3.861209654631196</c:v>
                </c:pt>
                <c:pt idx="27">
                  <c:v>3.8588976383367566</c:v>
                </c:pt>
                <c:pt idx="28">
                  <c:v>3.8606524982360213</c:v>
                </c:pt>
                <c:pt idx="29">
                  <c:v>3.8721055236215989</c:v>
                </c:pt>
                <c:pt idx="30">
                  <c:v>3.8897191730165446</c:v>
                </c:pt>
              </c:numCache>
            </c:numRef>
          </c:val>
          <c:smooth val="0"/>
          <c:extLst>
            <c:ext xmlns:c16="http://schemas.microsoft.com/office/drawing/2014/chart" uri="{C3380CC4-5D6E-409C-BE32-E72D297353CC}">
              <c16:uniqueId val="{00000002-07C1-405D-85D1-B77497CAD8AE}"/>
            </c:ext>
          </c:extLst>
        </c:ser>
        <c:ser>
          <c:idx val="3"/>
          <c:order val="3"/>
          <c:tx>
            <c:strRef>
              <c:f>Hoja1!$B$15</c:f>
              <c:strCache>
                <c:ptCount val="1"/>
                <c:pt idx="0">
                  <c:v>Total</c:v>
                </c:pt>
              </c:strCache>
            </c:strRef>
          </c:tx>
          <c:spPr>
            <a:ln w="19050" cap="rnd">
              <a:solidFill>
                <a:srgbClr val="C00000"/>
              </a:solidFill>
              <a:prstDash val="sysDash"/>
              <a:round/>
            </a:ln>
            <a:effectLst/>
          </c:spPr>
          <c:marker>
            <c:symbol val="none"/>
          </c:marker>
          <c:val>
            <c:numRef>
              <c:f>Hoja1!$D$15:$AG$15</c:f>
              <c:numCache>
                <c:formatCode>_-* #,##0.0_-;\-* #,##0.0_-;_-* "-"??_-;_-@_-</c:formatCode>
                <c:ptCount val="30"/>
                <c:pt idx="0">
                  <c:v>1.4913277605798925</c:v>
                </c:pt>
                <c:pt idx="1">
                  <c:v>1.4502845337388379</c:v>
                </c:pt>
                <c:pt idx="2">
                  <c:v>1.4088409153049923</c:v>
                </c:pt>
                <c:pt idx="3">
                  <c:v>1.3674304418520364</c:v>
                </c:pt>
                <c:pt idx="4">
                  <c:v>1.3264375335002825</c:v>
                </c:pt>
                <c:pt idx="5">
                  <c:v>1.2863132964339883</c:v>
                </c:pt>
                <c:pt idx="6">
                  <c:v>1.2472277623440675</c:v>
                </c:pt>
                <c:pt idx="7">
                  <c:v>1.2093025262704913</c:v>
                </c:pt>
                <c:pt idx="8">
                  <c:v>1.1728334007638779</c:v>
                </c:pt>
                <c:pt idx="9">
                  <c:v>1.1377152968549069</c:v>
                </c:pt>
                <c:pt idx="10">
                  <c:v>1.104037891237482</c:v>
                </c:pt>
                <c:pt idx="11">
                  <c:v>1.0717481833997198</c:v>
                </c:pt>
                <c:pt idx="12">
                  <c:v>1.0408025887223005</c:v>
                </c:pt>
                <c:pt idx="13">
                  <c:v>1.0109292029260502</c:v>
                </c:pt>
                <c:pt idx="14">
                  <c:v>0.98220066219758451</c:v>
                </c:pt>
                <c:pt idx="15">
                  <c:v>0.95442003580379264</c:v>
                </c:pt>
                <c:pt idx="16">
                  <c:v>0.92744978128078515</c:v>
                </c:pt>
                <c:pt idx="17">
                  <c:v>0.90115947807858277</c:v>
                </c:pt>
                <c:pt idx="18">
                  <c:v>0.8753048872873137</c:v>
                </c:pt>
                <c:pt idx="19">
                  <c:v>0.84974335378078081</c:v>
                </c:pt>
                <c:pt idx="20">
                  <c:v>0.82438081607089941</c:v>
                </c:pt>
                <c:pt idx="21">
                  <c:v>0.79917846751310151</c:v>
                </c:pt>
                <c:pt idx="22">
                  <c:v>0.77401034981869543</c:v>
                </c:pt>
                <c:pt idx="23">
                  <c:v>0.74886115325642777</c:v>
                </c:pt>
                <c:pt idx="24">
                  <c:v>0.72367892603584494</c:v>
                </c:pt>
                <c:pt idx="25">
                  <c:v>0.6984994390177377</c:v>
                </c:pt>
                <c:pt idx="26">
                  <c:v>0.67324363648421581</c:v>
                </c:pt>
                <c:pt idx="27">
                  <c:v>0.64793772582069664</c:v>
                </c:pt>
                <c:pt idx="28">
                  <c:v>0.62252164491596318</c:v>
                </c:pt>
                <c:pt idx="29">
                  <c:v>0.59699855072746288</c:v>
                </c:pt>
              </c:numCache>
            </c:numRef>
          </c:val>
          <c:smooth val="0"/>
          <c:extLst>
            <c:ext xmlns:c16="http://schemas.microsoft.com/office/drawing/2014/chart" uri="{C3380CC4-5D6E-409C-BE32-E72D297353CC}">
              <c16:uniqueId val="{00000003-07C1-405D-85D1-B77497CAD8AE}"/>
            </c:ext>
          </c:extLst>
        </c:ser>
        <c:dLbls>
          <c:showLegendKey val="0"/>
          <c:showVal val="0"/>
          <c:showCatName val="0"/>
          <c:showSerName val="0"/>
          <c:showPercent val="0"/>
          <c:showBubbleSize val="0"/>
        </c:dLbls>
        <c:smooth val="0"/>
        <c:axId val="690716335"/>
        <c:axId val="690752943"/>
      </c:lineChart>
      <c:catAx>
        <c:axId val="69071633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90752943"/>
        <c:crosses val="autoZero"/>
        <c:auto val="1"/>
        <c:lblAlgn val="ctr"/>
        <c:lblOffset val="100"/>
        <c:noMultiLvlLbl val="0"/>
      </c:catAx>
      <c:valAx>
        <c:axId val="690752943"/>
        <c:scaling>
          <c:orientation val="minMax"/>
          <c:min val="-2"/>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90716335"/>
        <c:crosses val="autoZero"/>
        <c:crossBetween val="between"/>
        <c:majorUnit val="2"/>
      </c:valAx>
      <c:spPr>
        <a:noFill/>
        <a:ln>
          <a:noFill/>
        </a:ln>
        <a:effectLst/>
      </c:spPr>
    </c:plotArea>
    <c:legend>
      <c:legendPos val="b"/>
      <c:layout>
        <c:manualLayout>
          <c:xMode val="edge"/>
          <c:yMode val="edge"/>
          <c:x val="5.8788436117018221E-2"/>
          <c:y val="1.4016014495649961E-3"/>
          <c:w val="0.94121179214829731"/>
          <c:h val="0.1085068681135670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896190476190475"/>
          <c:y val="3.0579497752055439E-2"/>
          <c:w val="0.84079999999999999"/>
          <c:h val="0.78863670235226901"/>
        </c:manualLayout>
      </c:layout>
      <c:barChart>
        <c:barDir val="col"/>
        <c:grouping val="clustered"/>
        <c:varyColors val="0"/>
        <c:ser>
          <c:idx val="0"/>
          <c:order val="0"/>
          <c:tx>
            <c:strRef>
              <c:f>Imp!$B$30</c:f>
              <c:strCache>
                <c:ptCount val="1"/>
                <c:pt idx="0">
                  <c:v>Año presupuestario</c:v>
                </c:pt>
              </c:strCache>
            </c:strRef>
          </c:tx>
          <c:spPr>
            <a:solidFill>
              <a:schemeClr val="accent1">
                <a:shade val="65000"/>
              </a:schemeClr>
            </a:solidFill>
            <a:ln>
              <a:noFill/>
            </a:ln>
            <a:effectLst/>
          </c:spPr>
          <c:invertIfNegative val="0"/>
          <c:cat>
            <c:numRef>
              <c:f>Imp!$E$29:$N$29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Imp!$E$30:$N$30</c:f>
              <c:numCache>
                <c:formatCode>_(* #,##0.00_);_(* \(#,##0.00\);_(* "-"??_);_(@_)</c:formatCode>
                <c:ptCount val="10"/>
                <c:pt idx="0">
                  <c:v>-4.6061113947846932</c:v>
                </c:pt>
                <c:pt idx="1">
                  <c:v>-0.56443095529865595</c:v>
                </c:pt>
                <c:pt idx="2">
                  <c:v>-9.3199556870762681</c:v>
                </c:pt>
                <c:pt idx="3">
                  <c:v>-6.0561022894384706</c:v>
                </c:pt>
                <c:pt idx="4">
                  <c:v>3.25205143793697</c:v>
                </c:pt>
                <c:pt idx="5">
                  <c:v>1.218382798525667</c:v>
                </c:pt>
                <c:pt idx="6">
                  <c:v>-7.0445469717856781</c:v>
                </c:pt>
                <c:pt idx="7">
                  <c:v>-14.077053312929792</c:v>
                </c:pt>
                <c:pt idx="8">
                  <c:v>33.653902259036983</c:v>
                </c:pt>
                <c:pt idx="9">
                  <c:v>16.236388772299676</c:v>
                </c:pt>
              </c:numCache>
            </c:numRef>
          </c:val>
          <c:extLst>
            <c:ext xmlns:c16="http://schemas.microsoft.com/office/drawing/2014/chart" uri="{C3380CC4-5D6E-409C-BE32-E72D297353CC}">
              <c16:uniqueId val="{00000000-AAD6-4514-93EB-33B77FB8A553}"/>
            </c:ext>
          </c:extLst>
        </c:ser>
        <c:ser>
          <c:idx val="1"/>
          <c:order val="1"/>
          <c:tx>
            <c:strRef>
              <c:f>Imp!$B$31</c:f>
              <c:strCache>
                <c:ptCount val="1"/>
                <c:pt idx="0">
                  <c:v>Año presupuestario+1</c:v>
                </c:pt>
              </c:strCache>
            </c:strRef>
          </c:tx>
          <c:spPr>
            <a:solidFill>
              <a:schemeClr val="accent1"/>
            </a:solidFill>
            <a:ln>
              <a:noFill/>
            </a:ln>
            <a:effectLst/>
          </c:spPr>
          <c:invertIfNegative val="0"/>
          <c:cat>
            <c:numRef>
              <c:f>Imp!$E$29:$N$29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Imp!$E$31:$N$31</c:f>
              <c:numCache>
                <c:formatCode>_(* #,##0.00_);_(* \(#,##0.00\);_(* "-"??_);_(@_)</c:formatCode>
                <c:ptCount val="10"/>
                <c:pt idx="0">
                  <c:v>-4.8061113947846934</c:v>
                </c:pt>
                <c:pt idx="1">
                  <c:v>-1.4644309552986554</c:v>
                </c:pt>
                <c:pt idx="2">
                  <c:v>-9.119955687076267</c:v>
                </c:pt>
                <c:pt idx="3">
                  <c:v>-8.6561022894384703</c:v>
                </c:pt>
                <c:pt idx="4">
                  <c:v>4.75205143793697</c:v>
                </c:pt>
                <c:pt idx="5">
                  <c:v>0.718382798525667</c:v>
                </c:pt>
                <c:pt idx="6">
                  <c:v>-5.0445469717856781</c:v>
                </c:pt>
                <c:pt idx="7">
                  <c:v>-16.577053312929792</c:v>
                </c:pt>
                <c:pt idx="8">
                  <c:v>34.653902259036983</c:v>
                </c:pt>
                <c:pt idx="9">
                  <c:v>19.736388772299676</c:v>
                </c:pt>
              </c:numCache>
            </c:numRef>
          </c:val>
          <c:extLst>
            <c:ext xmlns:c16="http://schemas.microsoft.com/office/drawing/2014/chart" uri="{C3380CC4-5D6E-409C-BE32-E72D297353CC}">
              <c16:uniqueId val="{00000001-AAD6-4514-93EB-33B77FB8A553}"/>
            </c:ext>
          </c:extLst>
        </c:ser>
        <c:ser>
          <c:idx val="2"/>
          <c:order val="2"/>
          <c:tx>
            <c:strRef>
              <c:f>Imp!$B$32</c:f>
              <c:strCache>
                <c:ptCount val="1"/>
                <c:pt idx="0">
                  <c:v>Año presupuestario+2</c:v>
                </c:pt>
              </c:strCache>
            </c:strRef>
          </c:tx>
          <c:spPr>
            <a:solidFill>
              <a:schemeClr val="accent1">
                <a:tint val="65000"/>
              </a:schemeClr>
            </a:solidFill>
            <a:ln>
              <a:noFill/>
            </a:ln>
            <a:effectLst/>
          </c:spPr>
          <c:invertIfNegative val="0"/>
          <c:trendline>
            <c:spPr>
              <a:ln w="19050" cap="rnd">
                <a:noFill/>
                <a:prstDash val="sysDot"/>
              </a:ln>
              <a:effectLst/>
            </c:spPr>
            <c:trendlineType val="linear"/>
            <c:dispRSqr val="0"/>
            <c:dispEq val="0"/>
          </c:trendline>
          <c:cat>
            <c:numRef>
              <c:f>Imp!$E$29:$N$29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Imp!$E$32:$N$32</c:f>
              <c:numCache>
                <c:formatCode>_(* #,##0.00_);_(* \(#,##0.00\);_(* "-"??_);_(@_)</c:formatCode>
                <c:ptCount val="10"/>
                <c:pt idx="0">
                  <c:v>-9.1061113947846941</c:v>
                </c:pt>
                <c:pt idx="1">
                  <c:v>-1.4644309552986554</c:v>
                </c:pt>
                <c:pt idx="2">
                  <c:v>-9.7199556870762684</c:v>
                </c:pt>
                <c:pt idx="3">
                  <c:v>-8.0561022894384706</c:v>
                </c:pt>
                <c:pt idx="4">
                  <c:v>3.5520514379369699</c:v>
                </c:pt>
                <c:pt idx="5">
                  <c:v>1.718382798525667</c:v>
                </c:pt>
                <c:pt idx="6">
                  <c:v>-5.0445469717856781</c:v>
                </c:pt>
                <c:pt idx="7">
                  <c:v>-14.577053312929792</c:v>
                </c:pt>
                <c:pt idx="8">
                  <c:v>33.153902259036983</c:v>
                </c:pt>
                <c:pt idx="9">
                  <c:v>15.236388772299676</c:v>
                </c:pt>
              </c:numCache>
            </c:numRef>
          </c:val>
          <c:extLst>
            <c:ext xmlns:c16="http://schemas.microsoft.com/office/drawing/2014/chart" uri="{C3380CC4-5D6E-409C-BE32-E72D297353CC}">
              <c16:uniqueId val="{00000003-AAD6-4514-93EB-33B77FB8A553}"/>
            </c:ext>
          </c:extLst>
        </c:ser>
        <c:dLbls>
          <c:showLegendKey val="0"/>
          <c:showVal val="0"/>
          <c:showCatName val="0"/>
          <c:showSerName val="0"/>
          <c:showPercent val="0"/>
          <c:showBubbleSize val="0"/>
        </c:dLbls>
        <c:gapWidth val="80"/>
        <c:overlap val="-30"/>
        <c:axId val="1149594064"/>
        <c:axId val="1149579504"/>
      </c:barChart>
      <c:catAx>
        <c:axId val="1149594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79504"/>
        <c:crosses val="autoZero"/>
        <c:auto val="1"/>
        <c:lblAlgn val="ctr"/>
        <c:lblOffset val="100"/>
        <c:noMultiLvlLbl val="0"/>
      </c:catAx>
      <c:valAx>
        <c:axId val="1149579504"/>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49594064"/>
        <c:crosses val="autoZero"/>
        <c:crossBetween val="between"/>
      </c:valAx>
    </c:plotArea>
    <c:legend>
      <c:legendPos val="b"/>
      <c:legendEntry>
        <c:idx val="3"/>
        <c:delete val="1"/>
      </c:legendEntry>
      <c:layout>
        <c:manualLayout>
          <c:xMode val="edge"/>
          <c:yMode val="edge"/>
          <c:x val="5.6712757175514349E-2"/>
          <c:y val="0.91500397312721227"/>
          <c:w val="0.88657448564897134"/>
          <c:h val="8.4996026872787692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55902777777776E-2"/>
          <c:y val="3.697625976865463E-2"/>
          <c:w val="0.93637134318064252"/>
          <c:h val="0.71666661742329119"/>
        </c:manualLayout>
      </c:layout>
      <c:areaChart>
        <c:grouping val="stacked"/>
        <c:varyColors val="0"/>
        <c:ser>
          <c:idx val="0"/>
          <c:order val="0"/>
          <c:tx>
            <c:strRef>
              <c:f>Tablas!$J$27</c:f>
              <c:strCache>
                <c:ptCount val="1"/>
                <c:pt idx="0">
                  <c:v>Trabajadores</c:v>
                </c:pt>
              </c:strCache>
            </c:strRef>
          </c:tx>
          <c:spPr>
            <a:solidFill>
              <a:schemeClr val="bg1">
                <a:lumMod val="75000"/>
              </a:schemeClr>
            </a:solidFill>
            <a:ln>
              <a:noFill/>
            </a:ln>
            <a:effectLst/>
          </c:spPr>
          <c:cat>
            <c:numRef>
              <c:f>Tablas!$I$51:$I$74</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Tablas!$N$51:$N$74</c:f>
              <c:numCache>
                <c:formatCode>_(* #,##0.00_);_(* \(#,##0.00\);_(* "-"??_);_(@_)</c:formatCode>
                <c:ptCount val="24"/>
                <c:pt idx="0">
                  <c:v>0.40113850310765337</c:v>
                </c:pt>
                <c:pt idx="1">
                  <c:v>0.3741761562159952</c:v>
                </c:pt>
                <c:pt idx="2">
                  <c:v>0.36230952618022388</c:v>
                </c:pt>
                <c:pt idx="3">
                  <c:v>0.35834363857286772</c:v>
                </c:pt>
                <c:pt idx="4">
                  <c:v>0.35319617316996904</c:v>
                </c:pt>
                <c:pt idx="5">
                  <c:v>0.34750111138285972</c:v>
                </c:pt>
                <c:pt idx="6">
                  <c:v>0.34188271003068732</c:v>
                </c:pt>
                <c:pt idx="7">
                  <c:v>0.33641799083987511</c:v>
                </c:pt>
                <c:pt idx="8">
                  <c:v>0.33110266401218919</c:v>
                </c:pt>
                <c:pt idx="9">
                  <c:v>0.32587014031663808</c:v>
                </c:pt>
                <c:pt idx="10">
                  <c:v>0.32071915310859694</c:v>
                </c:pt>
                <c:pt idx="11">
                  <c:v>0.31564845465278779</c:v>
                </c:pt>
                <c:pt idx="12">
                  <c:v>0.31065681585051247</c:v>
                </c:pt>
                <c:pt idx="13">
                  <c:v>0.3057430259706212</c:v>
                </c:pt>
                <c:pt idx="14">
                  <c:v>0.30090589238416887</c:v>
                </c:pt>
                <c:pt idx="15">
                  <c:v>0.29614424030271469</c:v>
                </c:pt>
                <c:pt idx="16">
                  <c:v>0.29145691252021688</c:v>
                </c:pt>
                <c:pt idx="17">
                  <c:v>0.28684276915847995</c:v>
                </c:pt>
                <c:pt idx="18">
                  <c:v>0.28230068741610692</c:v>
                </c:pt>
                <c:pt idx="19">
                  <c:v>0.27782956132091335</c:v>
                </c:pt>
                <c:pt idx="20">
                  <c:v>0.27342830148575942</c:v>
                </c:pt>
                <c:pt idx="21">
                  <c:v>0.26909583486775601</c:v>
                </c:pt>
                <c:pt idx="22">
                  <c:v>0.26424947850784986</c:v>
                </c:pt>
                <c:pt idx="23">
                  <c:v>0.2590125355066607</c:v>
                </c:pt>
              </c:numCache>
            </c:numRef>
          </c:val>
          <c:extLst>
            <c:ext xmlns:c16="http://schemas.microsoft.com/office/drawing/2014/chart" uri="{C3380CC4-5D6E-409C-BE32-E72D297353CC}">
              <c16:uniqueId val="{00000000-58C1-40F4-9E28-92B97BBA8D43}"/>
            </c:ext>
          </c:extLst>
        </c:ser>
        <c:ser>
          <c:idx val="1"/>
          <c:order val="1"/>
          <c:tx>
            <c:strRef>
              <c:f>Tablas!$K$27</c:f>
              <c:strCache>
                <c:ptCount val="1"/>
                <c:pt idx="0">
                  <c:v>Patrono</c:v>
                </c:pt>
              </c:strCache>
            </c:strRef>
          </c:tx>
          <c:spPr>
            <a:solidFill>
              <a:schemeClr val="tx2">
                <a:lumMod val="40000"/>
                <a:lumOff val="60000"/>
              </a:schemeClr>
            </a:solidFill>
            <a:ln>
              <a:noFill/>
            </a:ln>
            <a:effectLst/>
          </c:spPr>
          <c:cat>
            <c:numRef>
              <c:f>Tablas!$I$51:$I$74</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Tablas!$O$51:$O$74</c:f>
              <c:numCache>
                <c:formatCode>_(* #,##0.00_);_(* \(#,##0.00\);_(* "-"??_);_(@_)</c:formatCode>
                <c:ptCount val="24"/>
                <c:pt idx="0">
                  <c:v>0.3272160561861151</c:v>
                </c:pt>
                <c:pt idx="1">
                  <c:v>0.30674618518996505</c:v>
                </c:pt>
                <c:pt idx="2">
                  <c:v>0.36270598218941708</c:v>
                </c:pt>
                <c:pt idx="3">
                  <c:v>0.35480864144803581</c:v>
                </c:pt>
                <c:pt idx="4">
                  <c:v>0.34074872154186242</c:v>
                </c:pt>
                <c:pt idx="5">
                  <c:v>0.32619598871720468</c:v>
                </c:pt>
                <c:pt idx="6">
                  <c:v>0.31133028346389641</c:v>
                </c:pt>
                <c:pt idx="7">
                  <c:v>0.29881437474508482</c:v>
                </c:pt>
                <c:pt idx="8">
                  <c:v>0.28855039258226051</c:v>
                </c:pt>
                <c:pt idx="9">
                  <c:v>0.28021511135427862</c:v>
                </c:pt>
                <c:pt idx="10">
                  <c:v>0.27832352592669724</c:v>
                </c:pt>
                <c:pt idx="11">
                  <c:v>0.27707730185520602</c:v>
                </c:pt>
                <c:pt idx="12">
                  <c:v>0.27422383779005788</c:v>
                </c:pt>
                <c:pt idx="13">
                  <c:v>0.2690164211634663</c:v>
                </c:pt>
                <c:pt idx="14">
                  <c:v>0.26217116503363502</c:v>
                </c:pt>
                <c:pt idx="15">
                  <c:v>0.25464304120030345</c:v>
                </c:pt>
                <c:pt idx="16">
                  <c:v>0.24637705594952899</c:v>
                </c:pt>
                <c:pt idx="17">
                  <c:v>0.23702200625102007</c:v>
                </c:pt>
                <c:pt idx="18">
                  <c:v>0.22659636877438863</c:v>
                </c:pt>
                <c:pt idx="19">
                  <c:v>0.21530423453152092</c:v>
                </c:pt>
                <c:pt idx="20">
                  <c:v>0.20319424571141653</c:v>
                </c:pt>
                <c:pt idx="21">
                  <c:v>0.1898961022256668</c:v>
                </c:pt>
                <c:pt idx="22">
                  <c:v>0.17742852433679709</c:v>
                </c:pt>
                <c:pt idx="23">
                  <c:v>0.1657737484833772</c:v>
                </c:pt>
              </c:numCache>
            </c:numRef>
          </c:val>
          <c:extLst>
            <c:ext xmlns:c16="http://schemas.microsoft.com/office/drawing/2014/chart" uri="{C3380CC4-5D6E-409C-BE32-E72D297353CC}">
              <c16:uniqueId val="{00000001-58C1-40F4-9E28-92B97BBA8D43}"/>
            </c:ext>
          </c:extLst>
        </c:ser>
        <c:dLbls>
          <c:showLegendKey val="0"/>
          <c:showVal val="0"/>
          <c:showCatName val="0"/>
          <c:showSerName val="0"/>
          <c:showPercent val="0"/>
          <c:showBubbleSize val="0"/>
        </c:dLbls>
        <c:axId val="1818987328"/>
        <c:axId val="1818977344"/>
      </c:areaChart>
      <c:lineChart>
        <c:grouping val="standard"/>
        <c:varyColors val="0"/>
        <c:ser>
          <c:idx val="2"/>
          <c:order val="2"/>
          <c:tx>
            <c:strRef>
              <c:f>Tablas!$L$27</c:f>
              <c:strCache>
                <c:ptCount val="1"/>
                <c:pt idx="0">
                  <c:v>Pago anual de pensiones</c:v>
                </c:pt>
              </c:strCache>
            </c:strRef>
          </c:tx>
          <c:spPr>
            <a:ln w="28575" cap="rnd">
              <a:solidFill>
                <a:schemeClr val="tx1"/>
              </a:solidFill>
              <a:round/>
            </a:ln>
            <a:effectLst/>
          </c:spPr>
          <c:marker>
            <c:symbol val="none"/>
          </c:marker>
          <c:dLbls>
            <c:dLbl>
              <c:idx val="0"/>
              <c:layout>
                <c:manualLayout>
                  <c:x val="-5.3226879574184989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C1-40F4-9E28-92B97BBA8D43}"/>
                </c:ext>
              </c:extLst>
            </c:dLbl>
            <c:dLbl>
              <c:idx val="2"/>
              <c:layout>
                <c:manualLayout>
                  <c:x val="-3.7258815701929501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C1-40F4-9E28-92B97BBA8D43}"/>
                </c:ext>
              </c:extLst>
            </c:dLbl>
            <c:dLbl>
              <c:idx val="12"/>
              <c:layout>
                <c:manualLayout>
                  <c:x val="-4.2581503659348069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C1-40F4-9E28-92B97BBA8D43}"/>
                </c:ext>
              </c:extLst>
            </c:dLbl>
            <c:dLbl>
              <c:idx val="19"/>
              <c:layout>
                <c:manualLayout>
                  <c:x val="-6.8039225851158847E-2"/>
                  <c:y val="-9.4583333333333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C1-40F4-9E28-92B97BBA8D43}"/>
                </c:ext>
              </c:extLst>
            </c:dLbl>
            <c:dLbl>
              <c:idx val="23"/>
              <c:layout>
                <c:manualLayout>
                  <c:x val="-2.0834796143823747E-2"/>
                  <c:y val="-9.7013888888888927E-2"/>
                </c:manualLayout>
              </c:layout>
              <c:showLegendKey val="0"/>
              <c:showVal val="1"/>
              <c:showCatName val="0"/>
              <c:showSerName val="0"/>
              <c:showPercent val="0"/>
              <c:showBubbleSize val="0"/>
              <c:extLst>
                <c:ext xmlns:c15="http://schemas.microsoft.com/office/drawing/2012/chart" uri="{CE6537A1-D6FC-4f65-9D91-7224C49458BB}">
                  <c15:layout>
                    <c:manualLayout>
                      <c:w val="0.11146615936945704"/>
                      <c:h val="9.7454861111111096E-2"/>
                    </c:manualLayout>
                  </c15:layout>
                </c:ext>
                <c:ext xmlns:c16="http://schemas.microsoft.com/office/drawing/2014/chart" uri="{C3380CC4-5D6E-409C-BE32-E72D297353CC}">
                  <c16:uniqueId val="{00000006-58C1-40F4-9E28-92B97BBA8D43}"/>
                </c:ext>
              </c:extLst>
            </c:dLbl>
            <c:dLbl>
              <c:idx val="24"/>
              <c:layout>
                <c:manualLayout>
                  <c:x val="-3.185868055555555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C1-40F4-9E28-92B97BBA8D43}"/>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Tablas!$I$51:$I$74</c:f>
              <c:numCache>
                <c:formatCode>General</c:formatCode>
                <c:ptCount val="2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numCache>
            </c:numRef>
          </c:cat>
          <c:val>
            <c:numRef>
              <c:f>Tablas!$P$51:$P$74</c:f>
              <c:numCache>
                <c:formatCode>_(* #,##0.00_);_(* \(#,##0.00\);_(* "-"??_);_(@_)</c:formatCode>
                <c:ptCount val="24"/>
                <c:pt idx="0">
                  <c:v>0.72835455929376847</c:v>
                </c:pt>
                <c:pt idx="1">
                  <c:v>0.68092234140596031</c:v>
                </c:pt>
                <c:pt idx="2">
                  <c:v>0.7250155083696409</c:v>
                </c:pt>
                <c:pt idx="3">
                  <c:v>0.71315228002090347</c:v>
                </c:pt>
                <c:pt idx="4">
                  <c:v>0.69394489471183141</c:v>
                </c:pt>
                <c:pt idx="5">
                  <c:v>0.67369710010006434</c:v>
                </c:pt>
                <c:pt idx="6">
                  <c:v>0.65321299349458373</c:v>
                </c:pt>
                <c:pt idx="7">
                  <c:v>0.63523236558495999</c:v>
                </c:pt>
                <c:pt idx="8">
                  <c:v>0.61965305659444969</c:v>
                </c:pt>
                <c:pt idx="9">
                  <c:v>0.60608525167091676</c:v>
                </c:pt>
                <c:pt idx="10">
                  <c:v>0.59904267903529407</c:v>
                </c:pt>
                <c:pt idx="11">
                  <c:v>0.59272575650799386</c:v>
                </c:pt>
                <c:pt idx="12">
                  <c:v>0.5848806536405704</c:v>
                </c:pt>
                <c:pt idx="13">
                  <c:v>0.57475944713408755</c:v>
                </c:pt>
                <c:pt idx="14">
                  <c:v>0.56307705741780389</c:v>
                </c:pt>
                <c:pt idx="15">
                  <c:v>0.55078728150301814</c:v>
                </c:pt>
                <c:pt idx="16">
                  <c:v>0.53783396846974585</c:v>
                </c:pt>
                <c:pt idx="17">
                  <c:v>0.52386477540950005</c:v>
                </c:pt>
                <c:pt idx="18">
                  <c:v>0.50889705619049552</c:v>
                </c:pt>
                <c:pt idx="19">
                  <c:v>0.49313379585243422</c:v>
                </c:pt>
                <c:pt idx="20">
                  <c:v>0.47662254719717589</c:v>
                </c:pt>
                <c:pt idx="21">
                  <c:v>0.45899193709342284</c:v>
                </c:pt>
                <c:pt idx="22">
                  <c:v>0.44167800284464698</c:v>
                </c:pt>
                <c:pt idx="23">
                  <c:v>0.42478628399003793</c:v>
                </c:pt>
              </c:numCache>
            </c:numRef>
          </c:val>
          <c:smooth val="0"/>
          <c:extLst>
            <c:ext xmlns:c16="http://schemas.microsoft.com/office/drawing/2014/chart" uri="{C3380CC4-5D6E-409C-BE32-E72D297353CC}">
              <c16:uniqueId val="{00000008-58C1-40F4-9E28-92B97BBA8D43}"/>
            </c:ext>
          </c:extLst>
        </c:ser>
        <c:dLbls>
          <c:showLegendKey val="0"/>
          <c:showVal val="0"/>
          <c:showCatName val="0"/>
          <c:showSerName val="0"/>
          <c:showPercent val="0"/>
          <c:showBubbleSize val="0"/>
        </c:dLbls>
        <c:marker val="1"/>
        <c:smooth val="0"/>
        <c:axId val="1818987328"/>
        <c:axId val="1818977344"/>
      </c:lineChart>
      <c:catAx>
        <c:axId val="18189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18977344"/>
        <c:crosses val="autoZero"/>
        <c:auto val="1"/>
        <c:lblAlgn val="ctr"/>
        <c:lblOffset val="100"/>
        <c:noMultiLvlLbl val="0"/>
      </c:catAx>
      <c:valAx>
        <c:axId val="1818977344"/>
        <c:scaling>
          <c:orientation val="minMax"/>
        </c:scaling>
        <c:delete val="1"/>
        <c:axPos val="l"/>
        <c:numFmt formatCode="_(* #,##0.00_);_(* \(#,##0.00\);_(* &quot;-&quot;??_);_(@_)" sourceLinked="1"/>
        <c:majorTickMark val="out"/>
        <c:minorTickMark val="none"/>
        <c:tickLblPos val="nextTo"/>
        <c:crossAx val="1818987328"/>
        <c:crosses val="autoZero"/>
        <c:crossBetween val="between"/>
      </c:valAx>
      <c:spPr>
        <a:noFill/>
        <a:ln>
          <a:noFill/>
        </a:ln>
        <a:effectLst/>
      </c:spPr>
    </c:plotArea>
    <c:legend>
      <c:legendPos val="b"/>
      <c:layout>
        <c:manualLayout>
          <c:xMode val="edge"/>
          <c:yMode val="edge"/>
          <c:x val="0.05"/>
          <c:y val="0.88512032618811953"/>
          <c:w val="0.9"/>
          <c:h val="0.1109354166666666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s-GT"/>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31461788925869E-2"/>
          <c:y val="3.7346176005672825E-3"/>
          <c:w val="0.91155090149813744"/>
          <c:h val="0.72674181205773292"/>
        </c:manualLayout>
      </c:layout>
      <c:lineChart>
        <c:grouping val="standard"/>
        <c:varyColors val="0"/>
        <c:ser>
          <c:idx val="1"/>
          <c:order val="0"/>
          <c:tx>
            <c:strRef>
              <c:f>'IVS PROY'!$F$3</c:f>
              <c:strCache>
                <c:ptCount val="1"/>
                <c:pt idx="0">
                  <c:v>Gastos</c:v>
                </c:pt>
              </c:strCache>
            </c:strRef>
          </c:tx>
          <c:spPr>
            <a:ln w="28575" cap="rnd">
              <a:solidFill>
                <a:schemeClr val="accent5"/>
              </a:solidFill>
              <a:round/>
            </a:ln>
            <a:effectLst/>
          </c:spPr>
          <c:marker>
            <c:symbol val="none"/>
          </c:marker>
          <c:dLbls>
            <c:dLbl>
              <c:idx val="0"/>
              <c:layout>
                <c:manualLayout>
                  <c:x val="-4.7333694083694096E-2"/>
                  <c:y val="5.5115972222222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29-49A0-B664-E888C0B8B6C5}"/>
                </c:ext>
              </c:extLst>
            </c:dLbl>
            <c:dLbl>
              <c:idx val="3"/>
              <c:layout>
                <c:manualLayout>
                  <c:x val="-9.2165850402720281E-2"/>
                  <c:y val="6.4814924160064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29-49A0-B664-E888C0B8B6C5}"/>
                </c:ext>
              </c:extLst>
            </c:dLbl>
            <c:dLbl>
              <c:idx val="12"/>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29-49A0-B664-E888C0B8B6C5}"/>
                </c:ext>
              </c:extLst>
            </c:dLbl>
            <c:spPr>
              <a:noFill/>
              <a:ln>
                <a:noFill/>
              </a:ln>
              <a:effectLst/>
            </c:spPr>
            <c:txPr>
              <a:bodyPr rot="0" spcFirstLastPara="1" vertOverflow="ellipsis" vert="horz" wrap="square" anchor="ctr" anchorCtr="1"/>
              <a:lstStyle/>
              <a:p>
                <a:pPr>
                  <a:defRPr sz="7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'IVS PROY'!$B$25:$B$37</c:f>
              <c:numCache>
                <c:formatCode>0</c:formatCode>
                <c:ptCount val="1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numCache>
            </c:numRef>
          </c:cat>
          <c:val>
            <c:numRef>
              <c:f>'IVS PROY'!$R$25:$R$37</c:f>
              <c:numCache>
                <c:formatCode>_(* #,##0.00_);_(* \(#,##0.00\);_(* "-"??_);_(@_)</c:formatCode>
                <c:ptCount val="13"/>
                <c:pt idx="0">
                  <c:v>0.62100798060041607</c:v>
                </c:pt>
                <c:pt idx="1">
                  <c:v>0.62704028887026242</c:v>
                </c:pt>
                <c:pt idx="2">
                  <c:v>0.64469493466715311</c:v>
                </c:pt>
                <c:pt idx="3">
                  <c:v>0.67578035718034635</c:v>
                </c:pt>
                <c:pt idx="4">
                  <c:v>0.70482446717996516</c:v>
                </c:pt>
                <c:pt idx="5">
                  <c:v>0.73281169862983808</c:v>
                </c:pt>
                <c:pt idx="6">
                  <c:v>0.76805877236995823</c:v>
                </c:pt>
                <c:pt idx="7">
                  <c:v>0.80155046733172197</c:v>
                </c:pt>
                <c:pt idx="8">
                  <c:v>0.81881039755699148</c:v>
                </c:pt>
                <c:pt idx="9">
                  <c:v>0.85977641067642074</c:v>
                </c:pt>
                <c:pt idx="10">
                  <c:v>0.89288380652994859</c:v>
                </c:pt>
                <c:pt idx="11">
                  <c:v>0.91892784044782083</c:v>
                </c:pt>
                <c:pt idx="12">
                  <c:v>0.94543836102339474</c:v>
                </c:pt>
              </c:numCache>
            </c:numRef>
          </c:val>
          <c:smooth val="0"/>
          <c:extLst>
            <c:ext xmlns:c16="http://schemas.microsoft.com/office/drawing/2014/chart" uri="{C3380CC4-5D6E-409C-BE32-E72D297353CC}">
              <c16:uniqueId val="{00000003-7F29-49A0-B664-E888C0B8B6C5}"/>
            </c:ext>
          </c:extLst>
        </c:ser>
        <c:ser>
          <c:idx val="2"/>
          <c:order val="1"/>
          <c:tx>
            <c:strRef>
              <c:f>'IVS PROY'!$K$3</c:f>
              <c:strCache>
                <c:ptCount val="1"/>
                <c:pt idx="0">
                  <c:v>Reserva acumulada</c:v>
                </c:pt>
              </c:strCache>
            </c:strRef>
          </c:tx>
          <c:spPr>
            <a:ln w="28575" cap="rnd">
              <a:solidFill>
                <a:srgbClr val="002060"/>
              </a:solidFill>
              <a:prstDash val="solid"/>
              <a:round/>
            </a:ln>
            <a:effectLst/>
          </c:spPr>
          <c:marker>
            <c:symbol val="none"/>
          </c:marker>
          <c:dLbls>
            <c:dLbl>
              <c:idx val="0"/>
              <c:layout>
                <c:manualLayout>
                  <c:x val="-3.6796536796536806E-2"/>
                  <c:y val="-5.0486111111111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29-49A0-B664-E888C0B8B6C5}"/>
                </c:ext>
              </c:extLst>
            </c:dLbl>
            <c:dLbl>
              <c:idx val="12"/>
              <c:layout>
                <c:manualLayout>
                  <c:x val="-2.0370135052831988E-16"/>
                  <c:y val="3.2407407407407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29-49A0-B664-E888C0B8B6C5}"/>
                </c:ext>
              </c:extLst>
            </c:dLbl>
            <c:spPr>
              <a:noFill/>
              <a:ln>
                <a:noFill/>
              </a:ln>
              <a:effectLst/>
            </c:spPr>
            <c:txPr>
              <a:bodyPr rot="0" spcFirstLastPara="1" vertOverflow="ellipsis" vert="horz" wrap="square" anchor="ctr" anchorCtr="1"/>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'IVS PROY'!$B$25:$B$37</c:f>
              <c:numCache>
                <c:formatCode>0</c:formatCode>
                <c:ptCount val="1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numCache>
            </c:numRef>
          </c:cat>
          <c:val>
            <c:numRef>
              <c:f>'IVS PROY'!$S$25:$S$37</c:f>
              <c:numCache>
                <c:formatCode>_(* #,##0.00_);_(* \(#,##0.00\);_(* "-"??_);_(@_)</c:formatCode>
                <c:ptCount val="13"/>
                <c:pt idx="0">
                  <c:v>4.1542310704839664</c:v>
                </c:pt>
                <c:pt idx="1">
                  <c:v>3.8557550580145059</c:v>
                </c:pt>
                <c:pt idx="2">
                  <c:v>3.6159551618762444</c:v>
                </c:pt>
                <c:pt idx="3">
                  <c:v>3.4210404272149177</c:v>
                </c:pt>
                <c:pt idx="4">
                  <c:v>3.177501794341449</c:v>
                </c:pt>
                <c:pt idx="5">
                  <c:v>2.8926635099415021</c:v>
                </c:pt>
                <c:pt idx="6">
                  <c:v>2.5141846849080789</c:v>
                </c:pt>
                <c:pt idx="7">
                  <c:v>2.1312902599571797</c:v>
                </c:pt>
                <c:pt idx="8">
                  <c:v>1.742149782036152</c:v>
                </c:pt>
                <c:pt idx="9">
                  <c:v>1.3265121764721921</c:v>
                </c:pt>
                <c:pt idx="10">
                  <c:v>0.84670016136460646</c:v>
                </c:pt>
                <c:pt idx="11">
                  <c:v>0.36178261434953574</c:v>
                </c:pt>
                <c:pt idx="12">
                  <c:v>-0.10202572241259655</c:v>
                </c:pt>
              </c:numCache>
            </c:numRef>
          </c:val>
          <c:smooth val="0"/>
          <c:extLst>
            <c:ext xmlns:c16="http://schemas.microsoft.com/office/drawing/2014/chart" uri="{C3380CC4-5D6E-409C-BE32-E72D297353CC}">
              <c16:uniqueId val="{00000006-7F29-49A0-B664-E888C0B8B6C5}"/>
            </c:ext>
          </c:extLst>
        </c:ser>
        <c:ser>
          <c:idx val="0"/>
          <c:order val="2"/>
          <c:tx>
            <c:strRef>
              <c:f>'IVS PROY'!$E$3</c:f>
              <c:strCache>
                <c:ptCount val="1"/>
                <c:pt idx="0">
                  <c:v>Ingresos</c:v>
                </c:pt>
              </c:strCache>
            </c:strRef>
          </c:tx>
          <c:spPr>
            <a:ln w="28575" cap="rnd">
              <a:solidFill>
                <a:schemeClr val="accent1"/>
              </a:solidFill>
              <a:round/>
            </a:ln>
            <a:effectLst/>
          </c:spPr>
          <c:marker>
            <c:symbol val="none"/>
          </c:marker>
          <c:dLbls>
            <c:dLbl>
              <c:idx val="0"/>
              <c:layout>
                <c:manualLayout>
                  <c:x val="-4.4549435732725323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29-49A0-B664-E888C0B8B6C5}"/>
                </c:ext>
              </c:extLst>
            </c:dLbl>
            <c:dLbl>
              <c:idx val="3"/>
              <c:layout>
                <c:manualLayout>
                  <c:x val="-8.0041850438798245E-2"/>
                  <c:y val="-8.1585500974266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29-49A0-B664-E888C0B8B6C5}"/>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29-49A0-B664-E888C0B8B6C5}"/>
                </c:ext>
              </c:extLst>
            </c:dLbl>
            <c:spPr>
              <a:noFill/>
              <a:ln>
                <a:noFill/>
              </a:ln>
              <a:effectLst/>
            </c:spPr>
            <c:txPr>
              <a:bodyPr rot="0" spcFirstLastPara="1" vertOverflow="ellipsis" vert="horz" wrap="square" anchor="ctr" anchorCtr="1"/>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'IVS PROY'!$B$25:$B$37</c:f>
              <c:numCache>
                <c:formatCode>0</c:formatCode>
                <c:ptCount val="1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numCache>
            </c:numRef>
          </c:cat>
          <c:val>
            <c:numRef>
              <c:f>'IVS PROY'!$Q$25:$Q$37</c:f>
              <c:numCache>
                <c:formatCode>_(* #,##0.00_);_(* \(#,##0.00\);_(* "-"??_);_(@_)</c:formatCode>
                <c:ptCount val="13"/>
                <c:pt idx="0">
                  <c:v>0.77198580651045112</c:v>
                </c:pt>
                <c:pt idx="1">
                  <c:v>0.72666140476478358</c:v>
                </c:pt>
                <c:pt idx="2">
                  <c:v>0.69692555297431269</c:v>
                </c:pt>
                <c:pt idx="3">
                  <c:v>0.68102174136597904</c:v>
                </c:pt>
                <c:pt idx="4">
                  <c:v>0.66181051843627225</c:v>
                </c:pt>
                <c:pt idx="5">
                  <c:v>0.63955267229012547</c:v>
                </c:pt>
                <c:pt idx="6">
                  <c:v>0.60044646004275293</c:v>
                </c:pt>
                <c:pt idx="7">
                  <c:v>0.5652552428582085</c:v>
                </c:pt>
                <c:pt idx="8">
                  <c:v>0.53266229585755343</c:v>
                </c:pt>
                <c:pt idx="9">
                  <c:v>0.4977696000478059</c:v>
                </c:pt>
                <c:pt idx="10">
                  <c:v>0.46568508875053355</c:v>
                </c:pt>
                <c:pt idx="11">
                  <c:v>0.43052131107594749</c:v>
                </c:pt>
                <c:pt idx="12">
                  <c:v>0.4013011748228798</c:v>
                </c:pt>
              </c:numCache>
            </c:numRef>
          </c:val>
          <c:smooth val="0"/>
          <c:extLst>
            <c:ext xmlns:c16="http://schemas.microsoft.com/office/drawing/2014/chart" uri="{C3380CC4-5D6E-409C-BE32-E72D297353CC}">
              <c16:uniqueId val="{0000000A-7F29-49A0-B664-E888C0B8B6C5}"/>
            </c:ext>
          </c:extLst>
        </c:ser>
        <c:dLbls>
          <c:showLegendKey val="0"/>
          <c:showVal val="0"/>
          <c:showCatName val="0"/>
          <c:showSerName val="0"/>
          <c:showPercent val="0"/>
          <c:showBubbleSize val="0"/>
        </c:dLbls>
        <c:smooth val="0"/>
        <c:axId val="1591864976"/>
        <c:axId val="1077541568"/>
      </c:lineChart>
      <c:catAx>
        <c:axId val="1591864976"/>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77541568"/>
        <c:crosses val="autoZero"/>
        <c:auto val="1"/>
        <c:lblAlgn val="ctr"/>
        <c:lblOffset val="100"/>
        <c:noMultiLvlLbl val="0"/>
      </c:catAx>
      <c:valAx>
        <c:axId val="1077541568"/>
        <c:scaling>
          <c:orientation val="minMax"/>
        </c:scaling>
        <c:delete val="1"/>
        <c:axPos val="l"/>
        <c:numFmt formatCode="_(* #,##0.00_);_(* \(#,##0.00\);_(* &quot;-&quot;??_);_(@_)" sourceLinked="1"/>
        <c:majorTickMark val="none"/>
        <c:minorTickMark val="none"/>
        <c:tickLblPos val="nextTo"/>
        <c:crossAx val="1591864976"/>
        <c:crosses val="autoZero"/>
        <c:crossBetween val="between"/>
      </c:valAx>
      <c:spPr>
        <a:noFill/>
        <a:ln>
          <a:noFill/>
        </a:ln>
        <a:effectLst/>
      </c:spPr>
    </c:plotArea>
    <c:legend>
      <c:legendPos val="b"/>
      <c:layout>
        <c:manualLayout>
          <c:xMode val="edge"/>
          <c:yMode val="edge"/>
          <c:x val="4.3582181093342715E-4"/>
          <c:y val="0.91820064705795457"/>
          <c:w val="0.94916558441558441"/>
          <c:h val="7.812554680664916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85739282589676E-2"/>
          <c:y val="2.6538054247879469E-2"/>
          <c:w val="0.92041426071741017"/>
          <c:h val="0.7873197940803337"/>
        </c:manualLayout>
      </c:layout>
      <c:barChart>
        <c:barDir val="col"/>
        <c:grouping val="clustered"/>
        <c:varyColors val="0"/>
        <c:ser>
          <c:idx val="0"/>
          <c:order val="0"/>
          <c:tx>
            <c:strRef>
              <c:f>'[Evaluación a Municipalidades.xlsx]Sector - Autonomía'!$D$3</c:f>
              <c:strCache>
                <c:ptCount val="1"/>
                <c:pt idx="0">
                  <c:v>Autonomía Financiera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731334408019993E-17"/>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15-4166-939B-5A6CE1B21513}"/>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15-4166-939B-5A6CE1B21513}"/>
                </c:ext>
              </c:extLst>
            </c:dLbl>
            <c:dLbl>
              <c:idx val="4"/>
              <c:layout>
                <c:manualLayout>
                  <c:x val="5.5555555555554534E-3"/>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15-4166-939B-5A6CE1B21513}"/>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'[Evaluación a Municipalidades.xlsx]Sector - Autonomía'!$A$4:$A$9</c:f>
              <c:numCache>
                <c:formatCode>General</c:formatCode>
                <c:ptCount val="6"/>
                <c:pt idx="0">
                  <c:v>2017</c:v>
                </c:pt>
                <c:pt idx="1">
                  <c:v>2018</c:v>
                </c:pt>
                <c:pt idx="2">
                  <c:v>2019</c:v>
                </c:pt>
                <c:pt idx="3">
                  <c:v>2020</c:v>
                </c:pt>
                <c:pt idx="4">
                  <c:v>2021</c:v>
                </c:pt>
                <c:pt idx="5">
                  <c:v>2022</c:v>
                </c:pt>
              </c:numCache>
            </c:numRef>
          </c:cat>
          <c:val>
            <c:numRef>
              <c:f>'[Evaluación a Municipalidades.xlsx]Sector - Autonomía'!$D$4:$D$9</c:f>
              <c:numCache>
                <c:formatCode>0.0%</c:formatCode>
                <c:ptCount val="6"/>
                <c:pt idx="0">
                  <c:v>0.30881031469278125</c:v>
                </c:pt>
                <c:pt idx="1">
                  <c:v>0.31677357192715577</c:v>
                </c:pt>
                <c:pt idx="2">
                  <c:v>0.28490835468578768</c:v>
                </c:pt>
                <c:pt idx="3">
                  <c:v>0.29644208747286049</c:v>
                </c:pt>
                <c:pt idx="4">
                  <c:v>0.30338058524405342</c:v>
                </c:pt>
                <c:pt idx="5">
                  <c:v>0.30662942425610606</c:v>
                </c:pt>
              </c:numCache>
            </c:numRef>
          </c:val>
          <c:extLst>
            <c:ext xmlns:c16="http://schemas.microsoft.com/office/drawing/2014/chart" uri="{C3380CC4-5D6E-409C-BE32-E72D297353CC}">
              <c16:uniqueId val="{00000003-2F15-4166-939B-5A6CE1B21513}"/>
            </c:ext>
          </c:extLst>
        </c:ser>
        <c:dLbls>
          <c:showLegendKey val="0"/>
          <c:showVal val="0"/>
          <c:showCatName val="0"/>
          <c:showSerName val="0"/>
          <c:showPercent val="0"/>
          <c:showBubbleSize val="0"/>
        </c:dLbls>
        <c:gapWidth val="87"/>
        <c:overlap val="-27"/>
        <c:axId val="2051721359"/>
        <c:axId val="2051720527"/>
      </c:barChart>
      <c:lineChart>
        <c:grouping val="standard"/>
        <c:varyColors val="0"/>
        <c:ser>
          <c:idx val="1"/>
          <c:order val="1"/>
          <c:tx>
            <c:strRef>
              <c:f>'[Evaluación a Municipalidades.xlsx]Sector - Autonomía'!$E$3</c:f>
              <c:strCache>
                <c:ptCount val="1"/>
                <c:pt idx="0">
                  <c:v>Promedio (2017 - 2022)</c:v>
                </c:pt>
              </c:strCache>
            </c:strRef>
          </c:tx>
          <c:spPr>
            <a:ln w="34925" cap="rnd">
              <a:solidFill>
                <a:srgbClr val="FF0000"/>
              </a:solidFill>
              <a:prstDash val="sysDot"/>
              <a:round/>
            </a:ln>
            <a:effectLst>
              <a:outerShdw blurRad="57150" dist="19050" dir="5400000" algn="ctr" rotWithShape="0">
                <a:srgbClr val="000000">
                  <a:alpha val="63000"/>
                </a:srgbClr>
              </a:outerShdw>
            </a:effectLst>
          </c:spPr>
          <c:marker>
            <c:symbol val="none"/>
          </c:marker>
          <c:dLbls>
            <c:dLbl>
              <c:idx val="3"/>
              <c:layout>
                <c:manualLayout>
                  <c:x val="-8.5055446194225726E-2"/>
                  <c:y val="-0.11813634853799822"/>
                </c:manualLayout>
              </c:layout>
              <c:tx>
                <c:rich>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a:t>Promedio (2017 - 2022)</a:t>
                    </a:r>
                    <a:r>
                      <a:rPr lang="en-US" baseline="0"/>
                      <a:t>
30.3%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1"/>
              <c:showPercent val="0"/>
              <c:showBubbleSize val="0"/>
              <c:separator>
</c:separator>
              <c:extLst>
                <c:ext xmlns:c15="http://schemas.microsoft.com/office/drawing/2012/chart" uri="{CE6537A1-D6FC-4f65-9D91-7224C49458BB}">
                  <c15:layout>
                    <c:manualLayout>
                      <c:w val="0.13399999999999998"/>
                      <c:h val="0.15756978804862271"/>
                    </c:manualLayout>
                  </c15:layout>
                  <c15:showDataLabelsRange val="0"/>
                </c:ext>
                <c:ext xmlns:c16="http://schemas.microsoft.com/office/drawing/2014/chart" uri="{C3380CC4-5D6E-409C-BE32-E72D297353CC}">
                  <c16:uniqueId val="{00000004-2F15-4166-939B-5A6CE1B21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7"/>
              <c:pt idx="0">
                <c:v>1</c:v>
              </c:pt>
              <c:pt idx="1">
                <c:v>2</c:v>
              </c:pt>
              <c:pt idx="2">
                <c:v>3</c:v>
              </c:pt>
              <c:pt idx="3">
                <c:v>4</c:v>
              </c:pt>
              <c:pt idx="4">
                <c:v>5</c:v>
              </c:pt>
              <c:pt idx="5">
                <c:v>6</c:v>
              </c:pt>
              <c:pt idx="6">
                <c:v>7</c:v>
              </c:pt>
            </c:numLit>
          </c:cat>
          <c:val>
            <c:numRef>
              <c:f>'[Evaluación a Municipalidades.xlsx]Sector - Autonomía'!$E$4:$E$9</c:f>
              <c:numCache>
                <c:formatCode>0.0%</c:formatCode>
                <c:ptCount val="6"/>
                <c:pt idx="0">
                  <c:v>0.30282405637979076</c:v>
                </c:pt>
                <c:pt idx="1">
                  <c:v>0.30282405637979076</c:v>
                </c:pt>
                <c:pt idx="2">
                  <c:v>0.30282405637979076</c:v>
                </c:pt>
                <c:pt idx="3">
                  <c:v>0.30282405637979076</c:v>
                </c:pt>
                <c:pt idx="4">
                  <c:v>0.30282405637979076</c:v>
                </c:pt>
                <c:pt idx="5">
                  <c:v>0.30282405637979076</c:v>
                </c:pt>
              </c:numCache>
            </c:numRef>
          </c:val>
          <c:smooth val="0"/>
          <c:extLst>
            <c:ext xmlns:c16="http://schemas.microsoft.com/office/drawing/2014/chart" uri="{C3380CC4-5D6E-409C-BE32-E72D297353CC}">
              <c16:uniqueId val="{00000005-2F15-4166-939B-5A6CE1B21513}"/>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1359"/>
        <c:crosses val="autoZero"/>
        <c:crossBetween val="between"/>
      </c:valAx>
      <c:spPr>
        <a:noFill/>
        <a:ln>
          <a:noFill/>
        </a:ln>
        <a:effectLst/>
      </c:spPr>
    </c:plotArea>
    <c:legend>
      <c:legendPos val="b"/>
      <c:layout>
        <c:manualLayout>
          <c:xMode val="edge"/>
          <c:yMode val="edge"/>
          <c:x val="0.13339085739282588"/>
          <c:y val="0.92654928550597826"/>
          <c:w val="0.73321806649168864"/>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840">
                <a:solidFill>
                  <a:sysClr val="windowText" lastClr="000000"/>
                </a:solidFill>
              </a:rPr>
              <a:t>Con mayor autonomía</a:t>
            </a:r>
          </a:p>
        </c:rich>
      </c:tx>
      <c:layout>
        <c:manualLayout>
          <c:xMode val="edge"/>
          <c:yMode val="edge"/>
          <c:x val="0.34968245166537282"/>
          <c:y val="0"/>
        </c:manualLayout>
      </c:layout>
      <c:overlay val="0"/>
      <c:spPr>
        <a:noFill/>
        <a:ln>
          <a:noFill/>
        </a:ln>
        <a:effectLst/>
      </c:spPr>
      <c:txPr>
        <a:bodyPr rot="0" spcFirstLastPara="1" vertOverflow="ellipsis" vert="horz" wrap="square" anchor="ctr" anchorCtr="1"/>
        <a:lstStyle/>
        <a:p>
          <a:pPr>
            <a:defRPr sz="8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4.5580114250424575E-2"/>
          <c:w val="1"/>
          <c:h val="0.59324675003859817"/>
        </c:manualLayout>
      </c:layout>
      <c:barChart>
        <c:barDir val="col"/>
        <c:grouping val="clustered"/>
        <c:varyColors val="0"/>
        <c:ser>
          <c:idx val="0"/>
          <c:order val="0"/>
          <c:tx>
            <c:strRef>
              <c:f>'[Evaluación a Municipalidades.xlsx]Individual - Autonomía'!$E$3</c:f>
              <c:strCache>
                <c:ptCount val="1"/>
                <c:pt idx="0">
                  <c:v>Autonomía Financiera</c:v>
                </c:pt>
              </c:strCache>
            </c:strRef>
          </c:tx>
          <c:spPr>
            <a:solidFill>
              <a:schemeClr val="accent6"/>
            </a:solidFill>
            <a:ln w="15875">
              <a:solidFill>
                <a:schemeClr val="tx1"/>
              </a:solid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Municipalidades.xlsx]Individual - Autonomía'!$C$5:$C$14</c:f>
              <c:strCache>
                <c:ptCount val="10"/>
                <c:pt idx="0">
                  <c:v>GUATEMALA</c:v>
                </c:pt>
                <c:pt idx="1">
                  <c:v>QUETZALTENANGO</c:v>
                </c:pt>
                <c:pt idx="2">
                  <c:v>MIXCO</c:v>
                </c:pt>
                <c:pt idx="3">
                  <c:v>VILLA NUEVA</c:v>
                </c:pt>
                <c:pt idx="4">
                  <c:v>SANTA CATARINA PINULA</c:v>
                </c:pt>
                <c:pt idx="5">
                  <c:v>SAN MIGUEL PETAPA</c:v>
                </c:pt>
                <c:pt idx="6">
                  <c:v>ANTIGUA GUATEMALA</c:v>
                </c:pt>
                <c:pt idx="7">
                  <c:v>RETALHULEU</c:v>
                </c:pt>
                <c:pt idx="8">
                  <c:v>SAN JOSÉ PINULA</c:v>
                </c:pt>
                <c:pt idx="9">
                  <c:v>FRAIJANES</c:v>
                </c:pt>
              </c:strCache>
            </c:strRef>
          </c:cat>
          <c:val>
            <c:numRef>
              <c:f>'[Evaluación a Municipalidades.xlsx]Individual - Autonomía'!$D$5:$D$14</c:f>
              <c:numCache>
                <c:formatCode>0.0%</c:formatCode>
                <c:ptCount val="10"/>
                <c:pt idx="0">
                  <c:v>0.7836962027187544</c:v>
                </c:pt>
                <c:pt idx="1">
                  <c:v>0.777626022135816</c:v>
                </c:pt>
                <c:pt idx="2">
                  <c:v>0.75392427906373105</c:v>
                </c:pt>
                <c:pt idx="3">
                  <c:v>0.68426021092694678</c:v>
                </c:pt>
                <c:pt idx="4">
                  <c:v>0.6547143389731821</c:v>
                </c:pt>
                <c:pt idx="5">
                  <c:v>0.64437141057638714</c:v>
                </c:pt>
                <c:pt idx="6">
                  <c:v>0.62286384165661679</c:v>
                </c:pt>
                <c:pt idx="7">
                  <c:v>0.58252533408424245</c:v>
                </c:pt>
                <c:pt idx="8">
                  <c:v>0.55528588183545791</c:v>
                </c:pt>
                <c:pt idx="9">
                  <c:v>0.55487124464592918</c:v>
                </c:pt>
              </c:numCache>
            </c:numRef>
          </c:val>
          <c:extLst>
            <c:ext xmlns:c16="http://schemas.microsoft.com/office/drawing/2014/chart" uri="{C3380CC4-5D6E-409C-BE32-E72D297353CC}">
              <c16:uniqueId val="{00000000-1BFE-4EFD-BCF4-4866362FFD2C}"/>
            </c:ext>
          </c:extLst>
        </c:ser>
        <c:dLbls>
          <c:showLegendKey val="0"/>
          <c:showVal val="0"/>
          <c:showCatName val="0"/>
          <c:showSerName val="0"/>
          <c:showPercent val="0"/>
          <c:showBubbleSize val="0"/>
        </c:dLbls>
        <c:gapWidth val="87"/>
        <c:overlap val="-27"/>
        <c:axId val="2051721359"/>
        <c:axId val="2051720527"/>
      </c:bar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Con menor autonomía</a:t>
            </a:r>
          </a:p>
        </c:rich>
      </c:tx>
      <c:layout>
        <c:manualLayout>
          <c:xMode val="edge"/>
          <c:yMode val="edge"/>
          <c:x val="0.34968245166537282"/>
          <c:y val="0"/>
        </c:manualLayout>
      </c:layout>
      <c:overlay val="0"/>
      <c:spPr>
        <a:noFill/>
        <a:ln>
          <a:noFill/>
        </a:ln>
        <a:effectLst/>
      </c:spPr>
      <c:txPr>
        <a:bodyPr rot="0" spcFirstLastPara="1" vertOverflow="ellipsis" vert="horz" wrap="square" anchor="ctr" anchorCtr="1"/>
        <a:lstStyle/>
        <a:p>
          <a:pPr>
            <a:defRPr sz="72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4.8717369152385372E-2"/>
          <c:w val="1"/>
          <c:h val="0.58168608923884513"/>
        </c:manualLayout>
      </c:layout>
      <c:barChart>
        <c:barDir val="col"/>
        <c:grouping val="clustered"/>
        <c:varyColors val="0"/>
        <c:ser>
          <c:idx val="0"/>
          <c:order val="0"/>
          <c:tx>
            <c:strRef>
              <c:f>'[Evaluación a Municipalidades.xlsx]Individual - Autonomía'!$E$3</c:f>
              <c:strCache>
                <c:ptCount val="1"/>
                <c:pt idx="0">
                  <c:v>Autonomía Financiera</c:v>
                </c:pt>
              </c:strCache>
            </c:strRef>
          </c:tx>
          <c:spPr>
            <a:solidFill>
              <a:srgbClr val="FF0000"/>
            </a:solidFill>
            <a:ln w="15875">
              <a:solidFill>
                <a:schemeClr val="tx1"/>
              </a:solid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Municipalidades.xlsx]Individual - Autonomía'!$C$335:$C$344</c:f>
              <c:strCache>
                <c:ptCount val="10"/>
                <c:pt idx="0">
                  <c:v>COMITANCILLO</c:v>
                </c:pt>
                <c:pt idx="1">
                  <c:v>SAN PABLO LA LAGUNA</c:v>
                </c:pt>
                <c:pt idx="2">
                  <c:v>LA LIBERTAD (HUEHUETENANGO)</c:v>
                </c:pt>
                <c:pt idx="3">
                  <c:v>EL QUETZAL</c:v>
                </c:pt>
                <c:pt idx="4">
                  <c:v>TECTITAN</c:v>
                </c:pt>
                <c:pt idx="5">
                  <c:v>SANTA MARÍA VISITACIÓN</c:v>
                </c:pt>
                <c:pt idx="6">
                  <c:v>SAN MATEO IXTATAN</c:v>
                </c:pt>
                <c:pt idx="7">
                  <c:v>TAJUMULCO</c:v>
                </c:pt>
                <c:pt idx="8">
                  <c:v>SAN GASPAR IXCHIL</c:v>
                </c:pt>
                <c:pt idx="9">
                  <c:v>SAN BARTOLOME JOCOTENANGO</c:v>
                </c:pt>
              </c:strCache>
            </c:strRef>
          </c:cat>
          <c:val>
            <c:numRef>
              <c:f>'[Evaluación a Municipalidades.xlsx]Individual - Autonomía'!$D$335:$D$344</c:f>
              <c:numCache>
                <c:formatCode>0.0%</c:formatCode>
                <c:ptCount val="10"/>
                <c:pt idx="0">
                  <c:v>3.3392828605292461E-2</c:v>
                </c:pt>
                <c:pt idx="1">
                  <c:v>3.3200056401950069E-2</c:v>
                </c:pt>
                <c:pt idx="2">
                  <c:v>2.9566302841435226E-2</c:v>
                </c:pt>
                <c:pt idx="3">
                  <c:v>2.6233036895613158E-2</c:v>
                </c:pt>
                <c:pt idx="4">
                  <c:v>2.5428557341255834E-2</c:v>
                </c:pt>
                <c:pt idx="5">
                  <c:v>2.400925956611134E-2</c:v>
                </c:pt>
                <c:pt idx="6">
                  <c:v>2.2641759059475838E-2</c:v>
                </c:pt>
                <c:pt idx="7">
                  <c:v>1.9116038153441151E-2</c:v>
                </c:pt>
                <c:pt idx="8">
                  <c:v>1.9009009523047554E-2</c:v>
                </c:pt>
                <c:pt idx="9">
                  <c:v>1.0348803221080434E-2</c:v>
                </c:pt>
              </c:numCache>
            </c:numRef>
          </c:val>
          <c:extLst>
            <c:ext xmlns:c16="http://schemas.microsoft.com/office/drawing/2014/chart" uri="{C3380CC4-5D6E-409C-BE32-E72D297353CC}">
              <c16:uniqueId val="{00000000-851B-4029-AADF-A7564E16DAD5}"/>
            </c:ext>
          </c:extLst>
        </c:ser>
        <c:dLbls>
          <c:showLegendKey val="0"/>
          <c:showVal val="0"/>
          <c:showCatName val="0"/>
          <c:showSerName val="0"/>
          <c:showPercent val="0"/>
          <c:showBubbleSize val="0"/>
        </c:dLbls>
        <c:gapWidth val="87"/>
        <c:overlap val="-27"/>
        <c:axId val="2051721359"/>
        <c:axId val="2051720527"/>
      </c:bar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462962962962962E-2"/>
          <c:y val="1.0854816824966078E-2"/>
          <c:w val="0.94907407407407407"/>
          <c:h val="0.89790147330633874"/>
        </c:manualLayout>
      </c:layout>
      <c:barChart>
        <c:barDir val="col"/>
        <c:grouping val="clustered"/>
        <c:varyColors val="0"/>
        <c:ser>
          <c:idx val="0"/>
          <c:order val="0"/>
          <c:tx>
            <c:strRef>
              <c:f>Hoja1!$B$1</c:f>
              <c:strCache>
                <c:ptCount val="1"/>
                <c:pt idx="0">
                  <c:v>Serie 1</c:v>
                </c:pt>
              </c:strCache>
            </c:strRef>
          </c:tx>
          <c:spPr>
            <a:solidFill>
              <a:srgbClr val="FFC000"/>
            </a:solidFill>
            <a:ln w="19050">
              <a:solidFill>
                <a:schemeClr val="tx1">
                  <a:alpha val="75000"/>
                </a:schemeClr>
              </a:solidFill>
            </a:ln>
            <a:effectLst>
              <a:outerShdw blurRad="50800" dist="38100" dir="18900000" algn="bl" rotWithShape="0">
                <a:prstClr val="black">
                  <a:alpha val="40000"/>
                </a:prstClr>
              </a:outerShdw>
            </a:effectLst>
          </c:spPr>
          <c:invertIfNegative val="0"/>
          <c:dLbls>
            <c:dLbl>
              <c:idx val="1"/>
              <c:layout>
                <c:manualLayout>
                  <c:x val="0"/>
                  <c:y val="2.92772698788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42-44FE-BA5F-1BA9D915EEF1}"/>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"Q"#,##0.0</c:formatCode>
                <c:ptCount val="6"/>
                <c:pt idx="0">
                  <c:v>433.44397404791732</c:v>
                </c:pt>
                <c:pt idx="1">
                  <c:v>477.91887358436901</c:v>
                </c:pt>
                <c:pt idx="2">
                  <c:v>586.94565138539235</c:v>
                </c:pt>
                <c:pt idx="3">
                  <c:v>472.96118268989051</c:v>
                </c:pt>
                <c:pt idx="4">
                  <c:v>631.92407374019444</c:v>
                </c:pt>
                <c:pt idx="5">
                  <c:v>653.24555991438069</c:v>
                </c:pt>
              </c:numCache>
            </c:numRef>
          </c:val>
          <c:extLst>
            <c:ext xmlns:c16="http://schemas.microsoft.com/office/drawing/2014/chart" uri="{C3380CC4-5D6E-409C-BE32-E72D297353CC}">
              <c16:uniqueId val="{00000001-8042-44FE-BA5F-1BA9D915EEF1}"/>
            </c:ext>
          </c:extLst>
        </c:ser>
        <c:dLbls>
          <c:showLegendKey val="0"/>
          <c:showVal val="0"/>
          <c:showCatName val="0"/>
          <c:showSerName val="0"/>
          <c:showPercent val="0"/>
          <c:showBubbleSize val="0"/>
        </c:dLbls>
        <c:gapWidth val="100"/>
        <c:overlap val="-27"/>
        <c:axId val="1925779839"/>
        <c:axId val="1925784831"/>
      </c:barChart>
      <c:lineChart>
        <c:grouping val="standard"/>
        <c:varyColors val="0"/>
        <c:ser>
          <c:idx val="1"/>
          <c:order val="1"/>
          <c:tx>
            <c:strRef>
              <c:f>Hoja1!$C$1</c:f>
              <c:strCache>
                <c:ptCount val="1"/>
                <c:pt idx="0">
                  <c:v>Promedio</c:v>
                </c:pt>
              </c:strCache>
            </c:strRef>
          </c:tx>
          <c:spPr>
            <a:ln w="28575" cap="rnd">
              <a:solidFill>
                <a:srgbClr val="FF0000"/>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8042-44FE-BA5F-1BA9D915EEF1}"/>
                </c:ext>
              </c:extLst>
            </c:dLbl>
            <c:dLbl>
              <c:idx val="1"/>
              <c:layout>
                <c:manualLayout>
                  <c:x val="-0.14120370370370369"/>
                  <c:y val="-0.13452900803253637"/>
                </c:manualLayout>
              </c:layout>
              <c:tx>
                <c:rich>
                  <a:bodyPr/>
                  <a:lstStyle/>
                  <a:p>
                    <a:fld id="{A704856B-1840-459F-A836-F69B104A8099}" type="SERIESNAME">
                      <a:rPr lang="en-US"/>
                      <a:pPr/>
                      <a:t>[NOMBRE DE LA SERIE]</a:t>
                    </a:fld>
                    <a:endParaRPr lang="en-US"/>
                  </a:p>
                  <a:p>
                    <a:r>
                      <a:rPr lang="en-US" baseline="0"/>
                      <a:t>(2017 - 2022)</a:t>
                    </a:r>
                  </a:p>
                  <a:p>
                    <a:fld id="{B3CA5855-4F45-4D75-B243-25F5BC52903D}" type="VALUE">
                      <a:rPr lang="en-US"/>
                      <a:pPr/>
                      <a:t>[VALOR]</a:t>
                    </a:fld>
                    <a:endParaRPr lang="es-GT"/>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8042-44FE-BA5F-1BA9D915EEF1}"/>
                </c:ext>
              </c:extLst>
            </c:dLbl>
            <c:dLbl>
              <c:idx val="2"/>
              <c:delete val="1"/>
              <c:extLst>
                <c:ext xmlns:c15="http://schemas.microsoft.com/office/drawing/2012/chart" uri="{CE6537A1-D6FC-4f65-9D91-7224C49458BB}"/>
                <c:ext xmlns:c16="http://schemas.microsoft.com/office/drawing/2014/chart" uri="{C3380CC4-5D6E-409C-BE32-E72D297353CC}">
                  <c16:uniqueId val="{00000004-8042-44FE-BA5F-1BA9D915EEF1}"/>
                </c:ext>
              </c:extLst>
            </c:dLbl>
            <c:dLbl>
              <c:idx val="3"/>
              <c:delete val="1"/>
              <c:extLst>
                <c:ext xmlns:c15="http://schemas.microsoft.com/office/drawing/2012/chart" uri="{CE6537A1-D6FC-4f65-9D91-7224C49458BB}"/>
                <c:ext xmlns:c16="http://schemas.microsoft.com/office/drawing/2014/chart" uri="{C3380CC4-5D6E-409C-BE32-E72D297353CC}">
                  <c16:uniqueId val="{00000005-8042-44FE-BA5F-1BA9D915EEF1}"/>
                </c:ext>
              </c:extLst>
            </c:dLbl>
            <c:dLbl>
              <c:idx val="4"/>
              <c:delete val="1"/>
              <c:extLst>
                <c:ext xmlns:c15="http://schemas.microsoft.com/office/drawing/2012/chart" uri="{CE6537A1-D6FC-4f65-9D91-7224C49458BB}"/>
                <c:ext xmlns:c16="http://schemas.microsoft.com/office/drawing/2014/chart" uri="{C3380CC4-5D6E-409C-BE32-E72D297353CC}">
                  <c16:uniqueId val="{00000006-8042-44FE-BA5F-1BA9D915EEF1}"/>
                </c:ext>
              </c:extLst>
            </c:dLbl>
            <c:dLbl>
              <c:idx val="5"/>
              <c:delete val="1"/>
              <c:extLst>
                <c:ext xmlns:c15="http://schemas.microsoft.com/office/drawing/2012/chart" uri="{CE6537A1-D6FC-4f65-9D91-7224C49458BB}"/>
                <c:ext xmlns:c16="http://schemas.microsoft.com/office/drawing/2014/chart" uri="{C3380CC4-5D6E-409C-BE32-E72D297353CC}">
                  <c16:uniqueId val="{00000007-8042-44FE-BA5F-1BA9D915EEF1}"/>
                </c:ext>
              </c:extLst>
            </c:dLbl>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"Q"#,##0.0</c:formatCode>
                <c:ptCount val="6"/>
                <c:pt idx="0">
                  <c:v>542.73988589369071</c:v>
                </c:pt>
                <c:pt idx="1">
                  <c:v>542.73988589369071</c:v>
                </c:pt>
                <c:pt idx="2">
                  <c:v>542.73988589369071</c:v>
                </c:pt>
                <c:pt idx="3">
                  <c:v>542.73988589369071</c:v>
                </c:pt>
                <c:pt idx="4">
                  <c:v>542.73988589369071</c:v>
                </c:pt>
                <c:pt idx="5">
                  <c:v>542.73988589369071</c:v>
                </c:pt>
              </c:numCache>
            </c:numRef>
          </c:val>
          <c:smooth val="0"/>
          <c:extLst>
            <c:ext xmlns:c16="http://schemas.microsoft.com/office/drawing/2014/chart" uri="{C3380CC4-5D6E-409C-BE32-E72D297353CC}">
              <c16:uniqueId val="{00000008-8042-44FE-BA5F-1BA9D915EEF1}"/>
            </c:ext>
          </c:extLst>
        </c:ser>
        <c:dLbls>
          <c:showLegendKey val="0"/>
          <c:showVal val="0"/>
          <c:showCatName val="0"/>
          <c:showSerName val="0"/>
          <c:showPercent val="0"/>
          <c:showBubbleSize val="0"/>
        </c:dLbls>
        <c:marker val="1"/>
        <c:smooth val="0"/>
        <c:axId val="1925779839"/>
        <c:axId val="1925784831"/>
      </c:lineChart>
      <c:catAx>
        <c:axId val="192577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25784831"/>
        <c:crosses val="autoZero"/>
        <c:auto val="1"/>
        <c:lblAlgn val="ctr"/>
        <c:lblOffset val="100"/>
        <c:noMultiLvlLbl val="0"/>
      </c:catAx>
      <c:valAx>
        <c:axId val="1925784831"/>
        <c:scaling>
          <c:orientation val="minMax"/>
        </c:scaling>
        <c:delete val="1"/>
        <c:axPos val="l"/>
        <c:numFmt formatCode="&quot;Q&quot;#,##0.0" sourceLinked="1"/>
        <c:majorTickMark val="none"/>
        <c:minorTickMark val="none"/>
        <c:tickLblPos val="nextTo"/>
        <c:crossAx val="1925779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1691488790286143E-2"/>
          <c:w val="1"/>
          <c:h val="0.52420933786489354"/>
        </c:manualLayout>
      </c:layout>
      <c:barChart>
        <c:barDir val="col"/>
        <c:grouping val="clustered"/>
        <c:varyColors val="0"/>
        <c:ser>
          <c:idx val="0"/>
          <c:order val="0"/>
          <c:tx>
            <c:strRef>
              <c:f>'[Evaluación a Municipalidades.xlsx]Indiviudual - Inversión per cap'!$U$4</c:f>
              <c:strCache>
                <c:ptCount val="1"/>
              </c:strCache>
            </c:strRef>
          </c:tx>
          <c:spPr>
            <a:solidFill>
              <a:srgbClr val="70AD47"/>
            </a:solidFill>
            <a:ln w="15875">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Municipalidades.xlsx]Indiviudual - Inversión per cap'!$C$5:$C$14</c:f>
              <c:strCache>
                <c:ptCount val="10"/>
                <c:pt idx="0">
                  <c:v>SAN JOSÉ ACATEMPA</c:v>
                </c:pt>
                <c:pt idx="1">
                  <c:v>SAN MARCOS LA LAGUNA</c:v>
                </c:pt>
                <c:pt idx="2">
                  <c:v>SANTA MARÍA VISITACIÓN</c:v>
                </c:pt>
                <c:pt idx="3">
                  <c:v>SAN JOSÉ DEL GOLFO</c:v>
                </c:pt>
                <c:pt idx="4">
                  <c:v>SANTA CATARINA BARAHONA</c:v>
                </c:pt>
                <c:pt idx="5">
                  <c:v>SANTA CATARINA PALOPÓ</c:v>
                </c:pt>
                <c:pt idx="6">
                  <c:v>SAN JOSÉ CHACAYA</c:v>
                </c:pt>
                <c:pt idx="7">
                  <c:v>RIO BLANCO</c:v>
                </c:pt>
                <c:pt idx="8">
                  <c:v>SAN JOSÉ (PETÉN)</c:v>
                </c:pt>
                <c:pt idx="9">
                  <c:v>CHUARRANCHO</c:v>
                </c:pt>
              </c:strCache>
            </c:strRef>
          </c:cat>
          <c:val>
            <c:numRef>
              <c:f>'[Evaluación a Municipalidades.xlsx]Indiviudual - Inversión per cap'!$F$5:$F$14</c:f>
              <c:numCache>
                <c:formatCode>#,##0.0</c:formatCode>
                <c:ptCount val="10"/>
                <c:pt idx="0">
                  <c:v>6631.6212354713707</c:v>
                </c:pt>
                <c:pt idx="1">
                  <c:v>6102.7232068502371</c:v>
                </c:pt>
                <c:pt idx="2">
                  <c:v>5526.7476410450599</c:v>
                </c:pt>
                <c:pt idx="3">
                  <c:v>4276.5293803216655</c:v>
                </c:pt>
                <c:pt idx="4">
                  <c:v>4140.5429997852698</c:v>
                </c:pt>
                <c:pt idx="5">
                  <c:v>3996.1794762484778</c:v>
                </c:pt>
                <c:pt idx="6">
                  <c:v>3825.7185840707966</c:v>
                </c:pt>
                <c:pt idx="7">
                  <c:v>3750.106249594287</c:v>
                </c:pt>
                <c:pt idx="8">
                  <c:v>3219.3338686131374</c:v>
                </c:pt>
                <c:pt idx="9">
                  <c:v>2962.922317523597</c:v>
                </c:pt>
              </c:numCache>
            </c:numRef>
          </c:val>
          <c:extLst>
            <c:ext xmlns:c16="http://schemas.microsoft.com/office/drawing/2014/chart" uri="{C3380CC4-5D6E-409C-BE32-E72D297353CC}">
              <c16:uniqueId val="{00000000-1D7D-41AB-8116-01F37221576F}"/>
            </c:ext>
          </c:extLst>
        </c:ser>
        <c:dLbls>
          <c:showLegendKey val="0"/>
          <c:showVal val="0"/>
          <c:showCatName val="0"/>
          <c:showSerName val="0"/>
          <c:showPercent val="0"/>
          <c:showBubbleSize val="0"/>
        </c:dLbls>
        <c:gapWidth val="87"/>
        <c:overlap val="-27"/>
        <c:axId val="2051721359"/>
        <c:axId val="2051720527"/>
      </c:bar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8.3893715086765394E-2"/>
          <c:w val="1"/>
          <c:h val="0.45307296015205739"/>
        </c:manualLayout>
      </c:layout>
      <c:barChart>
        <c:barDir val="col"/>
        <c:grouping val="clustered"/>
        <c:varyColors val="0"/>
        <c:ser>
          <c:idx val="0"/>
          <c:order val="0"/>
          <c:tx>
            <c:strRef>
              <c:f>'[Evaluación a Municipalidades.xlsx]Indiviudual - Inversión per cap'!$U$4</c:f>
              <c:strCache>
                <c:ptCount val="1"/>
              </c:strCache>
            </c:strRef>
          </c:tx>
          <c:spPr>
            <a:solidFill>
              <a:srgbClr val="FF0000"/>
            </a:solidFill>
            <a:ln w="15875">
              <a:solidFill>
                <a:sysClr val="windowText" lastClr="000000"/>
              </a:solid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Municipalidades.xlsx]Indiviudual - Inversión per cap'!$C$335:$C$344</c:f>
              <c:strCache>
                <c:ptCount val="10"/>
                <c:pt idx="0">
                  <c:v>COMITANCILLO</c:v>
                </c:pt>
                <c:pt idx="1">
                  <c:v>TECPÁN GUATEMALA</c:v>
                </c:pt>
                <c:pt idx="2">
                  <c:v>SANTA CRUZ BARILLAS</c:v>
                </c:pt>
                <c:pt idx="3">
                  <c:v>SENAHU</c:v>
                </c:pt>
                <c:pt idx="4">
                  <c:v>CHIQUIMULA</c:v>
                </c:pt>
                <c:pt idx="5">
                  <c:v>COBAN</c:v>
                </c:pt>
                <c:pt idx="6">
                  <c:v>JUTIAPA</c:v>
                </c:pt>
                <c:pt idx="7">
                  <c:v>MALACATAN</c:v>
                </c:pt>
                <c:pt idx="8">
                  <c:v>SANTO TOMAS CHICHICASTENANGO</c:v>
                </c:pt>
                <c:pt idx="9">
                  <c:v>GUATEMALA</c:v>
                </c:pt>
              </c:strCache>
            </c:strRef>
          </c:cat>
          <c:val>
            <c:numRef>
              <c:f>'[Evaluación a Municipalidades.xlsx]Indiviudual - Inversión per cap'!$F$335:$F$344</c:f>
              <c:numCache>
                <c:formatCode>#,##0.0</c:formatCode>
                <c:ptCount val="10"/>
                <c:pt idx="0">
                  <c:v>344.19900212548987</c:v>
                </c:pt>
                <c:pt idx="1">
                  <c:v>343.07815096044777</c:v>
                </c:pt>
                <c:pt idx="2">
                  <c:v>334.08687017055894</c:v>
                </c:pt>
                <c:pt idx="3">
                  <c:v>332.06259943238598</c:v>
                </c:pt>
                <c:pt idx="4">
                  <c:v>328.26172074362034</c:v>
                </c:pt>
                <c:pt idx="5">
                  <c:v>325.90750011794938</c:v>
                </c:pt>
                <c:pt idx="6">
                  <c:v>322.36913648091269</c:v>
                </c:pt>
                <c:pt idx="7">
                  <c:v>299.59527288843861</c:v>
                </c:pt>
                <c:pt idx="8">
                  <c:v>287.44995840418568</c:v>
                </c:pt>
                <c:pt idx="9">
                  <c:v>276.0495289172917</c:v>
                </c:pt>
              </c:numCache>
            </c:numRef>
          </c:val>
          <c:extLst>
            <c:ext xmlns:c16="http://schemas.microsoft.com/office/drawing/2014/chart" uri="{C3380CC4-5D6E-409C-BE32-E72D297353CC}">
              <c16:uniqueId val="{00000000-6E9E-43D2-8387-87D8BF089C42}"/>
            </c:ext>
          </c:extLst>
        </c:ser>
        <c:dLbls>
          <c:showLegendKey val="0"/>
          <c:showVal val="0"/>
          <c:showCatName val="0"/>
          <c:showSerName val="0"/>
          <c:showPercent val="0"/>
          <c:showBubbleSize val="0"/>
        </c:dLbls>
        <c:gapWidth val="87"/>
        <c:overlap val="-27"/>
        <c:axId val="2051721359"/>
        <c:axId val="2051720527"/>
      </c:bar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min val="200"/>
        </c:scaling>
        <c:delete val="1"/>
        <c:axPos val="l"/>
        <c:numFmt formatCode="#,##0.0" sourceLinked="0"/>
        <c:majorTickMark val="out"/>
        <c:minorTickMark val="none"/>
        <c:tickLblPos val="nextTo"/>
        <c:crossAx val="205172135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462962962962962E-2"/>
          <c:y val="0"/>
          <c:w val="0.94907407407407407"/>
          <c:h val="0.91956146629996605"/>
        </c:manualLayout>
      </c:layout>
      <c:barChart>
        <c:barDir val="col"/>
        <c:grouping val="clustered"/>
        <c:varyColors val="0"/>
        <c:ser>
          <c:idx val="0"/>
          <c:order val="0"/>
          <c:tx>
            <c:strRef>
              <c:f>'[Evaluación a Municipalidades.xlsx]Sector - Liquidez'!$D$3</c:f>
              <c:strCache>
                <c:ptCount val="1"/>
                <c:pt idx="0">
                  <c:v>Liquidez</c:v>
                </c:pt>
              </c:strCache>
            </c:strRef>
          </c:tx>
          <c:spPr>
            <a:solidFill>
              <a:schemeClr val="accent1"/>
            </a:solidFill>
            <a:ln w="19050">
              <a:solidFill>
                <a:schemeClr val="tx1"/>
              </a:solidFill>
            </a:ln>
            <a:effectLst>
              <a:outerShdw blurRad="50800" dist="38100" algn="l" rotWithShape="0">
                <a:prstClr val="black">
                  <a:alpha val="40000"/>
                </a:prstClr>
              </a:outerShdw>
            </a:effectLst>
          </c:spPr>
          <c:invertIfNegative val="0"/>
          <c:dLbls>
            <c:dLbl>
              <c:idx val="4"/>
              <c:layout>
                <c:manualLayout>
                  <c:x val="0"/>
                  <c:y val="-1.9138755980861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3F-48FE-B51D-D43B0C411A9D}"/>
                </c:ext>
              </c:extLst>
            </c:dLbl>
            <c:dLbl>
              <c:idx val="5"/>
              <c:layout>
                <c:manualLayout>
                  <c:x val="-2.3148148148148147E-3"/>
                  <c:y val="-3.7140204271123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3F-48FE-B51D-D43B0C411A9D}"/>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'[Evaluación a Municipalidades.xlsx]Sector - Liquidez'!$A$4:$A$9</c:f>
              <c:numCache>
                <c:formatCode>General</c:formatCode>
                <c:ptCount val="6"/>
                <c:pt idx="0">
                  <c:v>2017</c:v>
                </c:pt>
                <c:pt idx="1">
                  <c:v>2018</c:v>
                </c:pt>
                <c:pt idx="2">
                  <c:v>2019</c:v>
                </c:pt>
                <c:pt idx="3">
                  <c:v>2020</c:v>
                </c:pt>
                <c:pt idx="4">
                  <c:v>2021</c:v>
                </c:pt>
                <c:pt idx="5">
                  <c:v>2022</c:v>
                </c:pt>
              </c:numCache>
            </c:numRef>
          </c:cat>
          <c:val>
            <c:numRef>
              <c:f>'[Evaluación a Municipalidades.xlsx]Sector - Liquidez'!$D$4:$D$9</c:f>
              <c:numCache>
                <c:formatCode>_-* #,##0.0_-;\-* #,##0.0_-;_-* "-"??_-;_-@_-</c:formatCode>
                <c:ptCount val="6"/>
                <c:pt idx="0">
                  <c:v>18.852346517845429</c:v>
                </c:pt>
                <c:pt idx="1">
                  <c:v>16.634211744980693</c:v>
                </c:pt>
                <c:pt idx="2">
                  <c:v>11.999540074771994</c:v>
                </c:pt>
                <c:pt idx="3">
                  <c:v>14.83298071637099</c:v>
                </c:pt>
                <c:pt idx="4">
                  <c:v>13.747722824725043</c:v>
                </c:pt>
                <c:pt idx="5">
                  <c:v>11.937146572418271</c:v>
                </c:pt>
              </c:numCache>
            </c:numRef>
          </c:val>
          <c:extLst>
            <c:ext xmlns:c16="http://schemas.microsoft.com/office/drawing/2014/chart" uri="{C3380CC4-5D6E-409C-BE32-E72D297353CC}">
              <c16:uniqueId val="{00000002-753F-48FE-B51D-D43B0C411A9D}"/>
            </c:ext>
          </c:extLst>
        </c:ser>
        <c:dLbls>
          <c:showLegendKey val="0"/>
          <c:showVal val="0"/>
          <c:showCatName val="0"/>
          <c:showSerName val="0"/>
          <c:showPercent val="0"/>
          <c:showBubbleSize val="0"/>
        </c:dLbls>
        <c:gapWidth val="141"/>
        <c:overlap val="-27"/>
        <c:axId val="1939932463"/>
        <c:axId val="1939926223"/>
      </c:barChart>
      <c:lineChart>
        <c:grouping val="standard"/>
        <c:varyColors val="0"/>
        <c:ser>
          <c:idx val="1"/>
          <c:order val="1"/>
          <c:tx>
            <c:strRef>
              <c:f>'[Evaluación a Municipalidades.xlsx]Sector - Liquidez'!$E$3</c:f>
              <c:strCache>
                <c:ptCount val="1"/>
                <c:pt idx="0">
                  <c:v>Promedio (2017 - 2022)</c:v>
                </c:pt>
              </c:strCache>
            </c:strRef>
          </c:tx>
          <c:spPr>
            <a:ln w="28575" cap="rnd">
              <a:solidFill>
                <a:srgbClr val="FF0000"/>
              </a:solidFill>
              <a:prstDash val="sysDot"/>
              <a:round/>
            </a:ln>
            <a:effectLst/>
          </c:spPr>
          <c:marker>
            <c:symbol val="none"/>
          </c:marker>
          <c:dLbls>
            <c:dLbl>
              <c:idx val="3"/>
              <c:layout>
                <c:manualLayout>
                  <c:x val="0.19369021580635754"/>
                  <c:y val="-0.127823233714043"/>
                </c:manualLayout>
              </c:layout>
              <c:showLegendKey val="0"/>
              <c:showVal val="1"/>
              <c:showCatName val="0"/>
              <c:showSerName val="1"/>
              <c:showPercent val="0"/>
              <c:showBubbleSize val="0"/>
              <c:separator>
</c:separator>
              <c:extLst>
                <c:ext xmlns:c15="http://schemas.microsoft.com/office/drawing/2012/chart" uri="{CE6537A1-D6FC-4f65-9D91-7224C49458BB}">
                  <c15:layout>
                    <c:manualLayout>
                      <c:w val="0.22259058763487896"/>
                      <c:h val="0.19331992214666113"/>
                    </c:manualLayout>
                  </c15:layout>
                </c:ext>
                <c:ext xmlns:c16="http://schemas.microsoft.com/office/drawing/2014/chart" uri="{C3380CC4-5D6E-409C-BE32-E72D297353CC}">
                  <c16:uniqueId val="{00000003-753F-48FE-B51D-D43B0C411A9D}"/>
                </c:ext>
              </c:extLst>
            </c:dLbl>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separator>
</c:separator>
            <c:extLst>
              <c:ext xmlns:c15="http://schemas.microsoft.com/office/drawing/2012/chart" uri="{CE6537A1-D6FC-4f65-9D91-7224C49458BB}">
                <c15:showLeaderLines val="0"/>
              </c:ext>
            </c:extLst>
          </c:dLbls>
          <c:cat>
            <c:numRef>
              <c:f>'[Evaluación a Municipalidades.xlsx]Sector - Liquidez'!$A$4:$A$9</c:f>
              <c:numCache>
                <c:formatCode>General</c:formatCode>
                <c:ptCount val="6"/>
                <c:pt idx="0">
                  <c:v>2017</c:v>
                </c:pt>
                <c:pt idx="1">
                  <c:v>2018</c:v>
                </c:pt>
                <c:pt idx="2">
                  <c:v>2019</c:v>
                </c:pt>
                <c:pt idx="3">
                  <c:v>2020</c:v>
                </c:pt>
                <c:pt idx="4">
                  <c:v>2021</c:v>
                </c:pt>
                <c:pt idx="5">
                  <c:v>2022</c:v>
                </c:pt>
              </c:numCache>
            </c:numRef>
          </c:cat>
          <c:val>
            <c:numRef>
              <c:f>'[Evaluación a Municipalidades.xlsx]Sector - Liquidez'!$E$4:$E$9</c:f>
              <c:numCache>
                <c:formatCode>_-* #,##0.0_-;\-* #,##0.0_-;_-* "-"??_-;_-@_-</c:formatCode>
                <c:ptCount val="6"/>
                <c:pt idx="0">
                  <c:v>14.66732474185207</c:v>
                </c:pt>
                <c:pt idx="1">
                  <c:v>14.66732474185207</c:v>
                </c:pt>
                <c:pt idx="2">
                  <c:v>14.66732474185207</c:v>
                </c:pt>
                <c:pt idx="3">
                  <c:v>14.66732474185207</c:v>
                </c:pt>
                <c:pt idx="4">
                  <c:v>14.66732474185207</c:v>
                </c:pt>
                <c:pt idx="5">
                  <c:v>14.66732474185207</c:v>
                </c:pt>
              </c:numCache>
            </c:numRef>
          </c:val>
          <c:smooth val="0"/>
          <c:extLst>
            <c:ext xmlns:c16="http://schemas.microsoft.com/office/drawing/2014/chart" uri="{C3380CC4-5D6E-409C-BE32-E72D297353CC}">
              <c16:uniqueId val="{00000004-753F-48FE-B51D-D43B0C411A9D}"/>
            </c:ext>
          </c:extLst>
        </c:ser>
        <c:dLbls>
          <c:showLegendKey val="0"/>
          <c:showVal val="0"/>
          <c:showCatName val="0"/>
          <c:showSerName val="0"/>
          <c:showPercent val="0"/>
          <c:showBubbleSize val="0"/>
        </c:dLbls>
        <c:marker val="1"/>
        <c:smooth val="0"/>
        <c:axId val="1939932463"/>
        <c:axId val="1939926223"/>
      </c:lineChart>
      <c:catAx>
        <c:axId val="1939932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39926223"/>
        <c:crosses val="autoZero"/>
        <c:auto val="1"/>
        <c:lblAlgn val="ctr"/>
        <c:lblOffset val="100"/>
        <c:noMultiLvlLbl val="0"/>
      </c:catAx>
      <c:valAx>
        <c:axId val="1939926223"/>
        <c:scaling>
          <c:orientation val="minMax"/>
        </c:scaling>
        <c:delete val="1"/>
        <c:axPos val="l"/>
        <c:numFmt formatCode="_-* #,##0.0_-;\-* #,##0.0_-;_-* &quot;-&quot;??_-;_-@_-" sourceLinked="1"/>
        <c:majorTickMark val="none"/>
        <c:minorTickMark val="none"/>
        <c:tickLblPos val="nextTo"/>
        <c:crossAx val="1939932463"/>
        <c:crosses val="autoZero"/>
        <c:crossBetween val="between"/>
      </c:valAx>
      <c:spPr>
        <a:pattFill prst="lgGrid">
          <a:fgClr>
            <a:srgbClr val="000000">
              <a:alpha val="0"/>
            </a:srgbClr>
          </a:fgClr>
          <a:bgClr>
            <a:srgbClr val="FFFFFF"/>
          </a:bgClr>
        </a:pattFill>
        <a:ln w="25400">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43292505103528"/>
          <c:y val="0"/>
          <c:w val="0.7866874453193351"/>
          <c:h val="0.89838831342818326"/>
        </c:manualLayout>
      </c:layout>
      <c:barChart>
        <c:barDir val="bar"/>
        <c:grouping val="clustered"/>
        <c:varyColors val="0"/>
        <c:ser>
          <c:idx val="0"/>
          <c:order val="0"/>
          <c:tx>
            <c:strRef>
              <c:f>'[Evaluación a Municipalidades.xlsx]Indiviudual - Liquidez'!$R$4</c:f>
              <c:strCache>
                <c:ptCount val="1"/>
                <c:pt idx="0">
                  <c:v>Nivel de Inversión per capita</c:v>
                </c:pt>
              </c:strCache>
            </c:strRef>
          </c:tx>
          <c:spPr>
            <a:solidFill>
              <a:schemeClr val="accent1"/>
            </a:solidFill>
            <a:ln w="12700">
              <a:solidFill>
                <a:schemeClr val="tx1"/>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Municipalidades.xlsx]Indiviudual - Liquidez'!$R$5:$R$13</c:f>
              <c:strCache>
                <c:ptCount val="9"/>
                <c:pt idx="0">
                  <c:v>Mayor a 128</c:v>
                </c:pt>
                <c:pt idx="1">
                  <c:v>Entre 64.1 y 128</c:v>
                </c:pt>
                <c:pt idx="2">
                  <c:v>Entre 32.1 y 64</c:v>
                </c:pt>
                <c:pt idx="3">
                  <c:v>Entre 16.1 y 32</c:v>
                </c:pt>
                <c:pt idx="4">
                  <c:v>Entre 8.1 y 16</c:v>
                </c:pt>
                <c:pt idx="5">
                  <c:v>Entre 4.1 y 8</c:v>
                </c:pt>
                <c:pt idx="6">
                  <c:v>Entre 2.1 y 4</c:v>
                </c:pt>
                <c:pt idx="7">
                  <c:v>Entre 1.0 y 2</c:v>
                </c:pt>
                <c:pt idx="8">
                  <c:v>Menos de 1.0</c:v>
                </c:pt>
              </c:strCache>
            </c:strRef>
          </c:cat>
          <c:val>
            <c:numRef>
              <c:f>'[Evaluación a Municipalidades.xlsx]Indiviudual - Liquidez'!$S$5:$S$13</c:f>
              <c:numCache>
                <c:formatCode>General</c:formatCode>
                <c:ptCount val="9"/>
                <c:pt idx="0">
                  <c:v>58</c:v>
                </c:pt>
                <c:pt idx="1">
                  <c:v>43</c:v>
                </c:pt>
                <c:pt idx="2">
                  <c:v>50</c:v>
                </c:pt>
                <c:pt idx="3">
                  <c:v>44</c:v>
                </c:pt>
                <c:pt idx="4">
                  <c:v>57</c:v>
                </c:pt>
                <c:pt idx="5">
                  <c:v>31</c:v>
                </c:pt>
                <c:pt idx="6">
                  <c:v>28</c:v>
                </c:pt>
                <c:pt idx="7">
                  <c:v>15</c:v>
                </c:pt>
                <c:pt idx="8">
                  <c:v>3</c:v>
                </c:pt>
              </c:numCache>
            </c:numRef>
          </c:val>
          <c:extLst>
            <c:ext xmlns:c16="http://schemas.microsoft.com/office/drawing/2014/chart" uri="{C3380CC4-5D6E-409C-BE32-E72D297353CC}">
              <c16:uniqueId val="{00000000-6B92-4B94-A98D-F2DB8C323485}"/>
            </c:ext>
          </c:extLst>
        </c:ser>
        <c:dLbls>
          <c:showLegendKey val="0"/>
          <c:showVal val="0"/>
          <c:showCatName val="0"/>
          <c:showSerName val="0"/>
          <c:showPercent val="0"/>
          <c:showBubbleSize val="0"/>
        </c:dLbls>
        <c:gapWidth val="182"/>
        <c:axId val="41767279"/>
        <c:axId val="41772687"/>
      </c:barChart>
      <c:catAx>
        <c:axId val="417672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1772687"/>
        <c:crosses val="autoZero"/>
        <c:auto val="1"/>
        <c:lblAlgn val="ctr"/>
        <c:lblOffset val="100"/>
        <c:noMultiLvlLbl val="0"/>
      </c:catAx>
      <c:valAx>
        <c:axId val="41772687"/>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1767279"/>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Ingreso!$C$30:$N$30</cx:f>
        <cx:lvl ptCount="12" formatCode="_-* #,##0.00_-;\-* #,##0.00_-;_-* &quot;-&quot;??_-;_-@_-">
          <cx:pt idx="1">-0.20258061390876847</cx:pt>
          <cx:pt idx="2">-0.97029663340489769</cx:pt>
          <cx:pt idx="3">-0.6727060655530952</cx:pt>
          <cx:pt idx="4">-1.0441446880886573</cx:pt>
          <cx:pt idx="5">-0.088912767130056025</cx:pt>
          <cx:pt idx="6">-0.24894767127620554</cx:pt>
          <cx:pt idx="7">-0.75753496145674859</cx:pt>
          <cx:pt idx="8">-0.24144945244051996</cx:pt>
          <cx:pt idx="9">-1.1214342822143042</cx:pt>
          <cx:pt idx="10">2.4930513974843542</cx:pt>
          <cx:pt idx="11">1.6660636294832027</cx:pt>
        </cx:lvl>
      </cx:numDim>
    </cx:data>
    <cx:data id="1">
      <cx:numDim type="val">
        <cx:f dir="row">Ingreso!$D$31:$N$31</cx:f>
        <cx:lvl ptCount="11" formatCode="_-* #,##0.00_-;\-* #,##0.00_-;_-* &quot;-&quot;??_-;_-@_-">
          <cx:pt idx="0">0.58958977127921841</cx:pt>
          <cx:pt idx="1">0.10402619746536779</cx:pt>
          <cx:pt idx="2">-1.0049914493849545</cx:pt>
          <cx:pt idx="3">-1.0692485265304708</cx:pt>
          <cx:pt idx="4">0.20026951805607318</cx:pt>
          <cx:pt idx="5">0.0015144379858291757</cx:pt>
          <cx:pt idx="6">-0.74786809824866651</cx:pt>
          <cx:pt idx="7">-1.1555161087812245</cx:pt>
          <cx:pt idx="8">-1.9078837679076024</cx:pt>
          <cx:pt idx="9">0.71463029274057099</cx:pt>
          <cx:pt idx="10">3.0226154444997295</cx:pt>
        </cx:lvl>
      </cx:numDim>
    </cx:data>
    <cx:data id="2">
      <cx:numDim type="val">
        <cx:f dir="row">Ingreso!$E$32:$N$32</cx:f>
        <cx:lvl ptCount="10" formatCode="_-* #,##0.00_-;\-* #,##0.00_-;_-* &quot;-&quot;??_-;_-@_-">
          <cx:pt idx="0">0.75470083267356181</cx:pt>
          <cx:pt idx="1">0.16965437229460889</cx:pt>
          <cx:pt idx="2">-1.428685075266408</cx:pt>
          <cx:pt idx="3">-0.87247584406030221</cx:pt>
          <cx:pt idx="4">0.1193855226359215</cx:pt>
          <cx:pt idx="5">-0.18265620820209882</cx:pt>
          <cx:pt idx="6">-0.90366922037571129</cx:pt>
          <cx:pt idx="7">-2.6798187495953307</cx:pt>
          <cx:pt idx="8">-0.1401134531642434</cx:pt>
          <cx:pt idx="9">1.1444289259270732</cx:pt>
        </cx:lvl>
      </cx:numDim>
    </cx:data>
  </cx:chartData>
  <cx:chart>
    <cx:plotArea>
      <cx:plotAreaRegion>
        <cx:series layoutId="boxWhisker" uniqueId="{F7326F1D-1E12-47CF-9CDB-B581A12CE881}" formatIdx="0">
          <cx:tx>
            <cx:txData>
              <cx:f>Ingreso!$B$30</cx:f>
              <cx:v>Año presupuestario</cx:v>
            </cx:txData>
          </cx:tx>
          <cx:dataId val="0"/>
          <cx:layoutPr>
            <cx:visibility meanLine="0" meanMarker="1" nonoutliers="0" outliers="1"/>
            <cx:statistics quartileMethod="exclusive"/>
          </cx:layoutPr>
        </cx:series>
        <cx:series layoutId="boxWhisker" uniqueId="{2CC80B29-BEDF-4D60-84C8-809717B2BBC0}" formatIdx="1">
          <cx:tx>
            <cx:txData>
              <cx:f>Ingreso!$B$31</cx:f>
              <cx:v>Año presupuestario+1</cx:v>
            </cx:txData>
          </cx:tx>
          <cx:dataId val="1"/>
          <cx:layoutPr>
            <cx:visibility meanLine="0" meanMarker="1" nonoutliers="0" outliers="1"/>
            <cx:statistics quartileMethod="exclusive"/>
          </cx:layoutPr>
        </cx:series>
        <cx:series layoutId="boxWhisker" uniqueId="{B2A2E548-75C3-4175-9333-AE25EDAE0008}" formatIdx="2">
          <cx:tx>
            <cx:txData>
              <cx:f>Ingreso!$B$32</cx:f>
              <cx:v>Año presupuestario+2</cx:v>
            </cx:txData>
          </cx:tx>
          <cx:dataId val="2"/>
          <cx:layoutPr>
            <cx:visibility meanLine="0" meanMarker="1" nonoutliers="0" outliers="1"/>
            <cx:statistics quartileMethod="exclusive"/>
          </cx:layoutPr>
        </cx:series>
      </cx:plotAreaRegion>
      <cx:axis id="0" hidden="1">
        <cx:catScaling gapWidth="1"/>
        <cx:tickLabels/>
        <cx:txPr>
          <a:bodyPr vertOverflow="overflow" horzOverflow="overflow" wrap="square" lIns="0" tIns="0" rIns="0" bIns="0"/>
          <a:lstStyle/>
          <a:p>
            <a:pPr algn="ctr" rtl="0">
              <a:defRPr sz="9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GT">
              <a:latin typeface="Times New Roman" panose="02020603050405020304" pitchFamily="18" charset="0"/>
              <a:cs typeface="Times New Roman" panose="02020603050405020304" pitchFamily="18" charset="0"/>
            </a:endParaRPr>
          </a:p>
        </cx:txPr>
      </cx:axis>
      <cx:axis id="1">
        <cx:valScaling/>
        <cx:tickLabels/>
        <cx:txPr>
          <a:bodyPr vertOverflow="overflow" horzOverflow="overflow" wrap="square" lIns="0" tIns="0" rIns="0" bIns="0"/>
          <a:lstStyle/>
          <a:p>
            <a:pPr algn="ctr" rtl="0">
              <a:defRPr sz="9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GT">
              <a:latin typeface="Times New Roman" panose="02020603050405020304" pitchFamily="18" charset="0"/>
              <a:cs typeface="Times New Roman" panose="02020603050405020304" pitchFamily="18" charset="0"/>
            </a:endParaRPr>
          </a:p>
        </cx:txPr>
      </cx:axis>
    </cx:plotArea>
    <cx:legend pos="t" align="ctr" overlay="0">
      <cx:txPr>
        <a:bodyPr vertOverflow="overflow" horzOverflow="overflow" wrap="square" lIns="0" tIns="0" rIns="0" bIns="0"/>
        <a:lstStyle/>
        <a:p>
          <a:pPr algn="ctr" rtl="0">
            <a:defRPr sz="9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GT">
            <a:latin typeface="Times New Roman" panose="02020603050405020304" pitchFamily="18" charset="0"/>
            <a:cs typeface="Times New Roman" panose="02020603050405020304" pitchFamily="18" charset="0"/>
          </a:endParaRPr>
        </a:p>
      </cx:txPr>
    </cx:legend>
  </cx:chart>
  <cx:spPr>
    <a:ln>
      <a:noFill/>
    </a:ln>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Gasto!$C$30:$N$30</cx:f>
        <cx:lvl ptCount="12" formatCode="_-* #,##0.00_-;\-* #,##0.00_-;_-* &quot;-&quot;??_-;_-@_-">
          <cx:pt idx="1">-0.50636225120144651</cx:pt>
          <cx:pt idx="2">-1.5184924808425517</cx:pt>
          <cx:pt idx="3">-1.3508801301991191</cx:pt>
          <cx:pt idx="4">-1.7663297418835988</cx:pt>
          <cx:pt idx="5">-0.64660526326530388</cx:pt>
          <cx:pt idx="6">-0.97984665600095511</cx:pt>
          <cx:pt idx="7">-1.9414623154013633</cx:pt>
          <cx:pt idx="8">-0.65903091544719139</cx:pt>
          <cx:pt idx="9">0.99292222203941272</cx:pt>
          <cx:pt idx="10">-0.83262877558733805</cx:pt>
          <cx:pt idx="11">0.57625161950299564</cx:pt>
        </cx:lvl>
      </cx:numDim>
    </cx:data>
    <cx:data id="1">
      <cx:numDim type="val">
        <cx:f>Gasto!$D$31:$N$31</cx:f>
        <cx:lvl ptCount="11" formatCode="_-* #,##0.00_-;\-* #,##0.00_-;_-* &quot;-&quot;??_-;_-@_-">
          <cx:pt idx="0">0.74581846842323785</cx:pt>
          <cx:pt idx="1">-0.16959086193348405</cx:pt>
          <cx:pt idx="2">-1.0675970042628098</cx:pt>
          <cx:pt idx="3">-1.4894732675533291</cx:pt>
          <cx:pt idx="4">-1.1341932493850884</cx:pt>
          <cx:pt idx="5">-0.25941958043742019</cx:pt>
          <cx:pt idx="6">-0.92072861680690465</cx:pt>
          <cx:pt idx="7">-1.3656130438976923</cx:pt>
          <cx:pt idx="8">0.1901918288679969</cx:pt>
          <cx:pt idx="9">-0.36408153946011446</cx:pt>
          <cx:pt idx="10">1.628718034123656</cx:pt>
        </cx:lvl>
      </cx:numDim>
    </cx:data>
    <cx:data id="2">
      <cx:numDim type="val">
        <cx:f>Gasto!$E$32:$N$32</cx:f>
        <cx:lvl ptCount="10" formatCode="_-* #,##0.00_-;\-* #,##0.00_-;_-* &quot;-&quot;??_-;_-@_-">
          <cx:pt idx="0">0.65063911689003007</cx:pt>
          <cx:pt idx="1">-0.14583144778144153</cx:pt>
          <cx:pt idx="2">-1.8550439759754678</cx:pt>
          <cx:pt idx="3">-1.2870811765603669</cx:pt>
          <cx:pt idx="4">-0.74273661090646215</cx:pt>
          <cx:pt idx="5">0.2378980219707163</cx:pt>
          <cx:pt idx="6">-0.36304053206211684</cx:pt>
          <cx:pt idx="7">-0.28302099575446604</cx:pt>
          <cx:pt idx="8">-1.2495809753553857</cx:pt>
          <cx:pt idx="9">0.79480620856521256</cx:pt>
        </cx:lvl>
      </cx:numDim>
    </cx:data>
  </cx:chartData>
  <cx:chart>
    <cx:plotArea>
      <cx:plotAreaRegion>
        <cx:series layoutId="boxWhisker" uniqueId="{F7326F1D-1E12-47CF-9CDB-B581A12CE881}" formatIdx="0">
          <cx:tx>
            <cx:txData>
              <cx:f>Gasto!$B$30</cx:f>
              <cx:v>Año presupuestario</cx:v>
            </cx:txData>
          </cx:tx>
          <cx:dataId val="0"/>
          <cx:layoutPr>
            <cx:visibility meanLine="0" meanMarker="1" nonoutliers="0" outliers="1"/>
            <cx:statistics quartileMethod="exclusive"/>
          </cx:layoutPr>
        </cx:series>
        <cx:series layoutId="boxWhisker" uniqueId="{2CC80B29-BEDF-4D60-84C8-809717B2BBC0}" formatIdx="1">
          <cx:tx>
            <cx:txData>
              <cx:f>Gasto!$B$31</cx:f>
              <cx:v>Año presupuestario+1</cx:v>
            </cx:txData>
          </cx:tx>
          <cx:dataId val="1"/>
          <cx:layoutPr>
            <cx:visibility meanLine="0" meanMarker="1" nonoutliers="0" outliers="1"/>
            <cx:statistics quartileMethod="exclusive"/>
          </cx:layoutPr>
        </cx:series>
        <cx:series layoutId="boxWhisker" uniqueId="{B2A2E548-75C3-4175-9333-AE25EDAE0008}" formatIdx="2">
          <cx:tx>
            <cx:txData>
              <cx:f>Gasto!$B$32</cx:f>
              <cx:v>Año presupuestario+2</cx:v>
            </cx:txData>
          </cx:tx>
          <cx:dataId val="2"/>
          <cx:layoutPr>
            <cx:visibility meanLine="0" meanMarker="1" nonoutliers="0" outliers="1"/>
            <cx:statistics quartileMethod="exclusive"/>
          </cx:layoutPr>
        </cx:series>
      </cx:plotAreaRegion>
      <cx:axis id="0" hidden="1">
        <cx:catScaling gapWidth="1"/>
        <cx:tickLabels/>
        <cx:txPr>
          <a:bodyPr vertOverflow="overflow" horzOverflow="overflow" wrap="square" lIns="0" tIns="0" rIns="0" bIns="0"/>
          <a:lstStyle/>
          <a:p>
            <a:pPr algn="ctr" rtl="0">
              <a:defRPr sz="9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GT">
              <a:latin typeface="Times New Roman" panose="02020603050405020304" pitchFamily="18" charset="0"/>
              <a:cs typeface="Times New Roman" panose="02020603050405020304" pitchFamily="18" charset="0"/>
            </a:endParaRPr>
          </a:p>
        </cx:txPr>
      </cx:axis>
      <cx:axis id="1" hidden="1">
        <cx:valScaling/>
        <cx:tickLabels/>
        <cx:txPr>
          <a:bodyPr vertOverflow="overflow" horzOverflow="overflow" wrap="square" lIns="0" tIns="0" rIns="0" bIns="0"/>
          <a:lstStyle/>
          <a:p>
            <a:pPr algn="ctr" rtl="0">
              <a:defRPr sz="9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GT">
              <a:latin typeface="Times New Roman" panose="02020603050405020304" pitchFamily="18" charset="0"/>
              <a:cs typeface="Times New Roman" panose="02020603050405020304" pitchFamily="18" charset="0"/>
            </a:endParaRPr>
          </a:p>
        </cx:txPr>
      </cx:axis>
    </cx:plotArea>
    <cx:legend pos="t" align="ctr" overlay="0">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GT" sz="1000">
            <a:latin typeface="Times New Roman" panose="02020603050405020304" pitchFamily="18" charset="0"/>
            <a:cs typeface="Times New Roman" panose="02020603050405020304" pitchFamily="18" charset="0"/>
          </a:endParaRPr>
        </a:p>
      </cx:txPr>
    </cx:legend>
  </cx:chart>
  <cx:spPr>
    <a:ln>
      <a:noFill/>
    </a:ln>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Déficit!$C$30:$N$30</cx:f>
        <cx:lvl ptCount="12" formatCode="_-* #,##0.00_-;\-* #,##0.00_-;_-* &quot;-&quot;??_-;_-@_-">
          <cx:pt idx="1">-0.21753499734837956</cx:pt>
          <cx:pt idx="2">-0.3738654979085938</cx:pt>
          <cx:pt idx="3">-0.47352452947059764</cx:pt>
          <cx:pt idx="4">-0.62555966245280903</cx:pt>
          <cx:pt idx="5">-0.55914840614134964</cx:pt>
          <cx:pt idx="6">-0.52528850141860972</cx:pt>
          <cx:pt idx="7">-0.96833348513051876</cx:pt>
          <cx:pt idx="8">-0.32355653540234064</cx:pt>
          <cx:pt idx="9">2.2015195831709553</cx:pt>
          <cx:pt idx="10">-3.3580471518694424</cx:pt>
          <cx:pt idx="11">-0.99748934229669661</cx:pt>
        </cx:lvl>
      </cx:numDim>
    </cx:data>
    <cx:data id="1">
      <cx:numDim type="val">
        <cx:f>Déficit!$D$31:$N$31</cx:f>
        <cx:lvl ptCount="11" formatCode="_-* #,##0.00_-;\-* #,##0.00_-;_-* &quot;-&quot;??_-;_-@_-">
          <cx:pt idx="0">0.24764255543654645</cx:pt>
          <cx:pt idx="1">-0.29293044012054503</cx:pt>
          <cx:pt idx="2">-0.083630195548944686</cx:pt>
          <cx:pt idx="3">-0.43676619293265362</cx:pt>
          <cx:pt idx="4">-1.4384482098474125</cx:pt>
          <cx:pt idx="5">-0.28743804783296345</cx:pt>
          <cx:pt idx="6">-0.024408727786014994</cx:pt>
          <cx:pt idx="7">-0.080901999498291577</cx:pt>
          <cx:pt idx="8">2.1072003034103064</cx:pt>
          <cx:pt idx="9">-1.0856719366584922</cx:pt>
          <cx:pt idx="10">-1.4599344421392466</cx:pt>
        </cx:lvl>
      </cx:numDim>
    </cx:data>
    <cx:data id="2">
      <cx:numDim type="val">
        <cx:f>Déficit!$E$32:$N$32</cx:f>
        <cx:lvl ptCount="10" formatCode="_-* #,##0.00_-;\-* #,##0.00_-;_-* &quot;-&quot;??_-;_-@_-">
          <cx:pt idx="0">-0.043929051649775896</cx:pt>
          <cx:pt idx="1">-0.37909682082516105</cx:pt>
          <cx:pt idx="2">-0.45516867199125577</cx:pt>
          <cx:pt idx="3">-0.49022433734311277</cx:pt>
          <cx:pt idx="4">-0.92921438530099221</cx:pt>
          <cx:pt idx="5">0.33912331629827697</cx:pt>
          <cx:pt idx="6">0.58476910957755712</cx:pt>
          <cx:pt idx="7">2.5648821088213003</cx:pt>
          <cx:pt idx="8">-1.1534786923629063</cx:pt>
          <cx:pt idx="9">-0.38422418727210106</cx:pt>
        </cx:lvl>
      </cx:numDim>
    </cx:data>
  </cx:chartData>
  <cx:chart>
    <cx:plotArea>
      <cx:plotAreaRegion>
        <cx:series layoutId="boxWhisker" uniqueId="{F7326F1D-1E12-47CF-9CDB-B581A12CE881}" formatIdx="0">
          <cx:tx>
            <cx:txData>
              <cx:f>Déficit!$B$30</cx:f>
              <cx:v>Año presupuestario</cx:v>
            </cx:txData>
          </cx:tx>
          <cx:dataId val="0"/>
          <cx:layoutPr>
            <cx:visibility meanLine="0" meanMarker="1" nonoutliers="0" outliers="1"/>
            <cx:statistics quartileMethod="exclusive"/>
          </cx:layoutPr>
        </cx:series>
        <cx:series layoutId="boxWhisker" uniqueId="{2CC80B29-BEDF-4D60-84C8-809717B2BBC0}" formatIdx="1">
          <cx:tx>
            <cx:txData>
              <cx:f>Déficit!$B$31</cx:f>
              <cx:v>Año presupuestario+1</cx:v>
            </cx:txData>
          </cx:tx>
          <cx:dataId val="1"/>
          <cx:layoutPr>
            <cx:visibility meanLine="0" meanMarker="1" nonoutliers="0" outliers="1"/>
            <cx:statistics quartileMethod="exclusive"/>
          </cx:layoutPr>
        </cx:series>
        <cx:series layoutId="boxWhisker" uniqueId="{B2A2E548-75C3-4175-9333-AE25EDAE0008}" formatIdx="2">
          <cx:tx>
            <cx:txData>
              <cx:f>Déficit!$B$32</cx:f>
              <cx:v>Año presupuestario+2</cx:v>
            </cx:txData>
          </cx:tx>
          <cx:dataId val="2"/>
          <cx:layoutPr>
            <cx:visibility meanLine="0" meanMarker="1" nonoutliers="0" outliers="1"/>
            <cx:statistics quartileMethod="exclusive"/>
          </cx:layoutPr>
        </cx:series>
      </cx:plotAreaRegion>
      <cx:axis id="0" hidden="1">
        <cx:catScaling gapWidth="1"/>
        <cx:tickLabels/>
      </cx:axis>
      <cx:axis id="1" hidden="1">
        <cx:valScaling/>
        <cx:tickLabels/>
      </cx:axis>
    </cx:plotArea>
    <cx:legend pos="t" align="ctr" overlay="0">
      <cx:txPr>
        <a:bodyPr spcFirstLastPara="1" vertOverflow="ellipsis" horzOverflow="overflow" wrap="square" lIns="0" tIns="0" rIns="0" bIns="0" anchor="ctr" anchorCtr="1"/>
        <a:lstStyle/>
        <a:p>
          <a:pPr algn="ctr" rtl="0">
            <a:defRPr>
              <a:latin typeface="Times New Roman" panose="02020603050405020304" pitchFamily="18" charset="0"/>
              <a:ea typeface="Times New Roman" panose="02020603050405020304" pitchFamily="18" charset="0"/>
              <a:cs typeface="Times New Roman" panose="02020603050405020304" pitchFamily="18" charset="0"/>
            </a:defRPr>
          </a:pPr>
          <a:endParaRPr lang="es-ES" sz="9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txPr>
    </cx:legend>
  </cx:chart>
  <cx:spPr>
    <a:ln>
      <a:noFill/>
    </a:ln>
  </cx:spPr>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Techos!$C$30:$N$30</cx:f>
        <cx:lvl ptCount="12" formatCode="_-* #,##0.00_-;\-* #,##0.00_-;_-* &quot;-&quot;??_-;_-@_-">
          <cx:pt idx="1">-3.9884786389166038e-06</cx:pt>
          <cx:pt idx="2">8.9309554702765581e-06</cx:pt>
          <cx:pt idx="3">-0.79998931504583126</cx:pt>
          <cx:pt idx="4">0</cx:pt>
          <cx:pt idx="5">1.0366498663927359e-06</cx:pt>
          <cx:pt idx="6">-0.5395082939424416</cx:pt>
          <cx:pt idx="7">-1.9829668243418279</cx:pt>
          <cx:pt idx="8">-0.34345726734593818</cx:pt>
          <cx:pt idx="9">-0.69738542290531846</cx:pt>
          <cx:pt idx="10">1.1751564340768237</cx:pt>
          <cx:pt idx="11">0.30389072813944829</cx:pt>
        </cx:lvl>
      </cx:numDim>
    </cx:data>
    <cx:data id="1">
      <cx:numDim type="val">
        <cx:f>Techos!$D$31:$N$31</cx:f>
        <cx:lvl ptCount="11" formatCode="_-* #,##0.00_-;\-* #,##0.00_-;_-* &quot;-&quot;??_-;_-@_-">
          <cx:pt idx="0">1.0613733565943413</cx:pt>
          <cx:pt idx="1">1.310772605719901</cx:pt>
          <cx:pt idx="2">-0.28276064673866586</cx:pt>
          <cx:pt idx="3">0.17686126848672146</cx:pt>
          <cx:pt idx="4">-0.097189868456084128</cx:pt>
          <cx:pt idx="5">0.97462084305316665</cx:pt>
          <cx:pt idx="6">-0.8779155890599899</cx:pt>
          <cx:pt idx="7">-0.65887617598136039</cx:pt>
          <cx:pt idx="8">-1.3272415743387551</cx:pt>
          <cx:pt idx="9">1.7631505365568252</cx:pt>
          <cx:pt idx="10">1.2767901221150684</cx:pt>
        </cx:lvl>
      </cx:numDim>
    </cx:data>
    <cx:data id="2">
      <cx:numDim type="val">
        <cx:f>Techos!$E$32:$N$32</cx:f>
        <cx:lvl ptCount="10" formatCode="_-* #,##0.00_-;\-* #,##0.00_-;_-* &quot;-&quot;??_-;_-@_-">
          <cx:pt idx="0">2.1301139800513784</cx:pt>
          <cx:pt idx="1">0.55579943351677485</cx:pt>
          <cx:pt idx="2">-0.26355879254477443</cx:pt>
          <cx:pt idx="3">-0.37826461144542733</cx:pt>
          <cx:pt idx="4">0.59441727029687641</cx:pt>
          <cx:pt idx="5">0.36901864035836596</cx:pt>
          <cx:pt idx="6">0.27022485908426752</cx:pt>
          <cx:pt idx="7">-2.071630660364935</cx:pt>
          <cx:pt idx="8">0.8954554448914962</cx:pt>
          <cx:pt idx="9">0.41695822221980983</cx:pt>
        </cx:lvl>
      </cx:numDim>
    </cx:data>
  </cx:chartData>
  <cx:chart>
    <cx:plotArea>
      <cx:plotAreaRegion>
        <cx:series layoutId="boxWhisker" uniqueId="{F7326F1D-1E12-47CF-9CDB-B581A12CE881}" formatIdx="0">
          <cx:tx>
            <cx:txData>
              <cx:f>Techos!$B$30</cx:f>
              <cx:v>Año presupuestario</cx:v>
            </cx:txData>
          </cx:tx>
          <cx:dataId val="0"/>
          <cx:layoutPr>
            <cx:visibility meanLine="0" meanMarker="1" nonoutliers="0" outliers="1"/>
            <cx:statistics quartileMethod="exclusive"/>
          </cx:layoutPr>
        </cx:series>
        <cx:series layoutId="boxWhisker" uniqueId="{2CC80B29-BEDF-4D60-84C8-809717B2BBC0}" formatIdx="1">
          <cx:tx>
            <cx:txData>
              <cx:f>Techos!$B$31</cx:f>
              <cx:v>Año presupuestario+1</cx:v>
            </cx:txData>
          </cx:tx>
          <cx:dataId val="1"/>
          <cx:layoutPr>
            <cx:visibility meanLine="0" meanMarker="1" nonoutliers="0" outliers="1"/>
            <cx:statistics quartileMethod="exclusive"/>
          </cx:layoutPr>
        </cx:series>
        <cx:series layoutId="boxWhisker" uniqueId="{B2A2E548-75C3-4175-9333-AE25EDAE0008}" formatIdx="2">
          <cx:tx>
            <cx:txData>
              <cx:f>Techos!$B$32</cx:f>
              <cx:v>Año presupuestario+2</cx:v>
            </cx:txData>
          </cx:tx>
          <cx:dataId val="2"/>
          <cx:layoutPr>
            <cx:visibility meanLine="0" meanMarker="1" nonoutliers="0" outliers="1"/>
            <cx:statistics quartileMethod="exclusive"/>
          </cx:layoutPr>
        </cx:series>
      </cx:plotAreaRegion>
      <cx:axis id="0" hidden="1">
        <cx:catScaling gapWidth="1"/>
        <cx:tickLabels/>
      </cx:axis>
      <cx:axis id="1" hidden="1">
        <cx:valScaling/>
        <cx:tickLabels/>
      </cx:axis>
    </cx:plotArea>
    <cx:legend pos="t" align="ctr" overlay="0">
      <cx:txPr>
        <a:bodyPr spcFirstLastPara="1" vertOverflow="ellipsis" horzOverflow="overflow" wrap="square" lIns="0" tIns="0" rIns="0" bIns="0" anchor="ctr" anchorCtr="1"/>
        <a:lstStyle/>
        <a:p>
          <a:pPr algn="ctr" rtl="0">
            <a:defRPr>
              <a:latin typeface="Times New Roman" panose="02020603050405020304" pitchFamily="18" charset="0"/>
              <a:ea typeface="Times New Roman" panose="02020603050405020304" pitchFamily="18" charset="0"/>
              <a:cs typeface="Times New Roman" panose="02020603050405020304" pitchFamily="18" charset="0"/>
            </a:defRPr>
          </a:pPr>
          <a:endParaRPr lang="es-ES" sz="9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txPr>
    </cx:legend>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7.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44.jpeg"/><Relationship Id="rId3" Type="http://schemas.openxmlformats.org/officeDocument/2006/relationships/image" Target="../media/image39.jpeg"/><Relationship Id="rId7" Type="http://schemas.openxmlformats.org/officeDocument/2006/relationships/image" Target="../media/image43.jpeg"/><Relationship Id="rId2" Type="http://schemas.openxmlformats.org/officeDocument/2006/relationships/image" Target="../media/image38.jpeg"/><Relationship Id="rId1" Type="http://schemas.openxmlformats.org/officeDocument/2006/relationships/image" Target="../media/image37.png"/><Relationship Id="rId6" Type="http://schemas.openxmlformats.org/officeDocument/2006/relationships/image" Target="../media/image42.jpeg"/><Relationship Id="rId5" Type="http://schemas.openxmlformats.org/officeDocument/2006/relationships/image" Target="../media/image41.jpeg"/><Relationship Id="rId4" Type="http://schemas.openxmlformats.org/officeDocument/2006/relationships/image" Target="../media/image40.jpeg"/><Relationship Id="rId9" Type="http://schemas.openxmlformats.org/officeDocument/2006/relationships/image" Target="../media/image45.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44.jpeg"/><Relationship Id="rId3" Type="http://schemas.openxmlformats.org/officeDocument/2006/relationships/image" Target="../media/image39.jpeg"/><Relationship Id="rId7" Type="http://schemas.openxmlformats.org/officeDocument/2006/relationships/image" Target="../media/image43.jpeg"/><Relationship Id="rId2" Type="http://schemas.openxmlformats.org/officeDocument/2006/relationships/image" Target="../media/image38.jpeg"/><Relationship Id="rId1" Type="http://schemas.openxmlformats.org/officeDocument/2006/relationships/image" Target="../media/image37.png"/><Relationship Id="rId6" Type="http://schemas.openxmlformats.org/officeDocument/2006/relationships/image" Target="../media/image42.jpeg"/><Relationship Id="rId5" Type="http://schemas.openxmlformats.org/officeDocument/2006/relationships/image" Target="../media/image41.jpeg"/><Relationship Id="rId4" Type="http://schemas.openxmlformats.org/officeDocument/2006/relationships/image" Target="../media/image40.jpeg"/><Relationship Id="rId9" Type="http://schemas.openxmlformats.org/officeDocument/2006/relationships/image" Target="../media/image45.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AEE5F9-10FE-4007-8782-2061C85E108C}" type="doc">
      <dgm:prSet loTypeId="urn:microsoft.com/office/officeart/2005/8/layout/vList4" loCatId="list" qsTypeId="urn:microsoft.com/office/officeart/2005/8/quickstyle/3d3" qsCatId="3D" csTypeId="urn:microsoft.com/office/officeart/2005/8/colors/accent1_1" csCatId="accent1" phldr="1"/>
      <dgm:spPr/>
      <dgm:t>
        <a:bodyPr/>
        <a:lstStyle/>
        <a:p>
          <a:endParaRPr lang="es-GT"/>
        </a:p>
      </dgm:t>
    </dgm:pt>
    <dgm:pt modelId="{9FDAF401-E1E9-4F54-B75B-D54123DCC252}">
      <dgm:prSet phldrT="[Texto]" custT="1"/>
      <dgm:spPr/>
      <dgm:t>
        <a:bodyPr/>
        <a:lstStyle/>
        <a:p>
          <a:pPr algn="just"/>
          <a:r>
            <a:rPr lang="es-GT" sz="900" b="1" i="0">
              <a:latin typeface="Times New Roman" panose="02020603050405020304" pitchFamily="18" charset="0"/>
              <a:cs typeface="Times New Roman" panose="02020603050405020304" pitchFamily="18" charset="0"/>
            </a:rPr>
            <a:t>Extremos de lluvia: </a:t>
          </a:r>
          <a:r>
            <a:rPr lang="es-GT" sz="900" b="0" i="0">
              <a:latin typeface="Times New Roman" panose="02020603050405020304" pitchFamily="18" charset="0"/>
              <a:cs typeface="Times New Roman" panose="02020603050405020304" pitchFamily="18" charset="0"/>
            </a:rPr>
            <a:t>P</a:t>
          </a:r>
          <a:r>
            <a:rPr lang="es-GT" sz="900" b="0">
              <a:latin typeface="Times New Roman" panose="02020603050405020304" pitchFamily="18" charset="0"/>
              <a:cs typeface="Times New Roman" panose="02020603050405020304" pitchFamily="18" charset="0"/>
            </a:rPr>
            <a:t>r</a:t>
          </a:r>
          <a:r>
            <a:rPr lang="es-GT" sz="900">
              <a:latin typeface="Times New Roman" panose="02020603050405020304" pitchFamily="18" charset="0"/>
              <a:cs typeface="Times New Roman" panose="02020603050405020304" pitchFamily="18" charset="0"/>
            </a:rPr>
            <a:t>obabilidad que un día registre el máximo de precipitación diario registrado para una zona específica. Las principales amenazas para este fenómeno se identifican en la costa sur y bocacosta, así como en la franja transversal del norte y zonas del departamento de Izabal.</a:t>
          </a:r>
        </a:p>
      </dgm:t>
    </dgm:pt>
    <dgm:pt modelId="{1FCB87AA-5D79-412F-90B7-C0D2ABB6933C}" type="parTrans" cxnId="{F72D3948-FA7E-43ED-AF58-8BBC36821560}">
      <dgm:prSet/>
      <dgm:spPr/>
      <dgm:t>
        <a:bodyPr/>
        <a:lstStyle/>
        <a:p>
          <a:endParaRPr lang="es-GT" sz="900"/>
        </a:p>
      </dgm:t>
    </dgm:pt>
    <dgm:pt modelId="{F75D8B34-094C-4E39-AC7B-4BDFF41DF482}" type="sibTrans" cxnId="{F72D3948-FA7E-43ED-AF58-8BBC36821560}">
      <dgm:prSet/>
      <dgm:spPr/>
      <dgm:t>
        <a:bodyPr/>
        <a:lstStyle/>
        <a:p>
          <a:endParaRPr lang="es-GT" sz="900"/>
        </a:p>
      </dgm:t>
    </dgm:pt>
    <dgm:pt modelId="{0FA5FD26-AFC1-4A90-9010-0E28CC4EB237}">
      <dgm:prSet phldrT="[Texto]" custT="1"/>
      <dgm:spPr/>
      <dgm:t>
        <a:bodyPr/>
        <a:lstStyle/>
        <a:p>
          <a:pPr algn="just"/>
          <a:r>
            <a:rPr lang="es-GT" sz="900" b="1" i="0">
              <a:latin typeface="Times New Roman" panose="02020603050405020304" pitchFamily="18" charset="0"/>
              <a:cs typeface="Times New Roman" panose="02020603050405020304" pitchFamily="18" charset="0"/>
            </a:rPr>
            <a:t>Sequias meteorológicas: </a:t>
          </a:r>
          <a:r>
            <a:rPr lang="es-GT" sz="900" b="0" i="0">
              <a:latin typeface="Times New Roman" panose="02020603050405020304" pitchFamily="18" charset="0"/>
              <a:cs typeface="Times New Roman" panose="02020603050405020304" pitchFamily="18" charset="0"/>
            </a:rPr>
            <a:t>S</a:t>
          </a:r>
          <a:r>
            <a:rPr lang="es-GT" sz="900">
              <a:latin typeface="Times New Roman" panose="02020603050405020304" pitchFamily="18" charset="0"/>
              <a:cs typeface="Times New Roman" panose="02020603050405020304" pitchFamily="18" charset="0"/>
            </a:rPr>
            <a:t>e identifican en El Progreso ,Baja Verapaz en la zona Sur de San Marcos, Retalhuleu y Suchitepéquez, la zona central de Petén. Para los próximos 30 años las zonas con niveles de amenaza alta y muy alta se extienden a Guatemala, Chimaltenango, Totonicapán, el Centro de Quiché y el Sur de Huehuetenango y la zona norte de Petén.</a:t>
          </a:r>
        </a:p>
      </dgm:t>
    </dgm:pt>
    <dgm:pt modelId="{B3C487F8-1FBA-4939-A41B-FBA14CC66032}" type="parTrans" cxnId="{28334769-E344-4B3C-BFEF-7A46BFD2C063}">
      <dgm:prSet/>
      <dgm:spPr/>
      <dgm:t>
        <a:bodyPr/>
        <a:lstStyle/>
        <a:p>
          <a:endParaRPr lang="es-GT" sz="900"/>
        </a:p>
      </dgm:t>
    </dgm:pt>
    <dgm:pt modelId="{EB26B6D4-C953-44AE-90CB-E5DE4E340AD7}" type="sibTrans" cxnId="{28334769-E344-4B3C-BFEF-7A46BFD2C063}">
      <dgm:prSet/>
      <dgm:spPr/>
      <dgm:t>
        <a:bodyPr/>
        <a:lstStyle/>
        <a:p>
          <a:endParaRPr lang="es-GT" sz="900"/>
        </a:p>
      </dgm:t>
    </dgm:pt>
    <dgm:pt modelId="{780B20D7-F70E-416A-B38F-ABD5E0DE17ED}">
      <dgm:prSet phldrT="[Texto]" custT="1"/>
      <dgm:spPr/>
      <dgm:t>
        <a:bodyPr/>
        <a:lstStyle/>
        <a:p>
          <a:pPr algn="just"/>
          <a:r>
            <a:rPr lang="es-GT" sz="900" b="1">
              <a:latin typeface="Times New Roman" panose="02020603050405020304" pitchFamily="18" charset="0"/>
              <a:cs typeface="Times New Roman" panose="02020603050405020304" pitchFamily="18" charset="0"/>
            </a:rPr>
            <a:t>Ciclones tropicales: </a:t>
          </a:r>
          <a:r>
            <a:rPr lang="es-GT" sz="900">
              <a:latin typeface="Times New Roman" panose="02020603050405020304" pitchFamily="18" charset="0"/>
              <a:cs typeface="Times New Roman" panose="02020603050405020304" pitchFamily="18" charset="0"/>
            </a:rPr>
            <a:t>Los departamentos más expuestos son Petén e Izabal, mientras que, de acuerdo con la tendencia incremental, se observa que en los próximos 30 años se podrían tener altos niveles de amenaza también en Alta Verapaz, Quiché, San Marcos, Quetzaltenango, Retalhuleu, Suchitepéquez y Escuintla.</a:t>
          </a:r>
        </a:p>
      </dgm:t>
    </dgm:pt>
    <dgm:pt modelId="{D457C336-12E3-4D64-A4FC-E54B1EA78F2E}" type="parTrans" cxnId="{D43BC4C8-23E9-4A38-A7B1-ADC46FB5DD7B}">
      <dgm:prSet/>
      <dgm:spPr/>
      <dgm:t>
        <a:bodyPr/>
        <a:lstStyle/>
        <a:p>
          <a:endParaRPr lang="es-GT" sz="900"/>
        </a:p>
      </dgm:t>
    </dgm:pt>
    <dgm:pt modelId="{3DE9C126-7E6A-43C8-A40E-6C19BA8F532A}" type="sibTrans" cxnId="{D43BC4C8-23E9-4A38-A7B1-ADC46FB5DD7B}">
      <dgm:prSet/>
      <dgm:spPr/>
      <dgm:t>
        <a:bodyPr/>
        <a:lstStyle/>
        <a:p>
          <a:endParaRPr lang="es-GT" sz="900"/>
        </a:p>
      </dgm:t>
    </dgm:pt>
    <dgm:pt modelId="{A1E19922-45CC-4BC4-ACC7-9EDBAE15E3DF}">
      <dgm:prSet custT="1"/>
      <dgm:spPr/>
      <dgm:t>
        <a:bodyPr/>
        <a:lstStyle/>
        <a:p>
          <a:pPr algn="just"/>
          <a:r>
            <a:rPr lang="es-GT" sz="900" b="1">
              <a:latin typeface="Times New Roman" panose="02020603050405020304" pitchFamily="18" charset="0"/>
              <a:cs typeface="Times New Roman" panose="02020603050405020304" pitchFamily="18" charset="0"/>
            </a:rPr>
            <a:t>Olas de calor: </a:t>
          </a:r>
          <a:r>
            <a:rPr lang="es-GT" sz="900" b="0">
              <a:latin typeface="Times New Roman" panose="02020603050405020304" pitchFamily="18" charset="0"/>
              <a:cs typeface="Times New Roman" panose="02020603050405020304" pitchFamily="18" charset="0"/>
            </a:rPr>
            <a:t>L</a:t>
          </a:r>
          <a:r>
            <a:rPr lang="es-GT" sz="900">
              <a:latin typeface="Times New Roman" panose="02020603050405020304" pitchFamily="18" charset="0"/>
              <a:cs typeface="Times New Roman" panose="02020603050405020304" pitchFamily="18" charset="0"/>
            </a:rPr>
            <a:t>as zonas más amenazadas son Jutiapa, Santa Rosa, Escuintla, Suchitepéquez y Retalhuleu, en la costa Sur, Izabal tiene un alto nivel de amenaza, así como parte de los departamentos de Zacapa, El Progreso, y la zona central de Petén. </a:t>
          </a:r>
        </a:p>
      </dgm:t>
    </dgm:pt>
    <dgm:pt modelId="{5422F09E-F09F-454A-BE47-675B18A27A5C}" type="parTrans" cxnId="{56C8F85E-3B3F-41BB-B1B6-E533597CC007}">
      <dgm:prSet/>
      <dgm:spPr/>
      <dgm:t>
        <a:bodyPr/>
        <a:lstStyle/>
        <a:p>
          <a:endParaRPr lang="es-GT" sz="900"/>
        </a:p>
      </dgm:t>
    </dgm:pt>
    <dgm:pt modelId="{73FF9B43-35A5-49DB-B293-6498E1C29EC0}" type="sibTrans" cxnId="{56C8F85E-3B3F-41BB-B1B6-E533597CC007}">
      <dgm:prSet/>
      <dgm:spPr/>
      <dgm:t>
        <a:bodyPr/>
        <a:lstStyle/>
        <a:p>
          <a:endParaRPr lang="es-GT" sz="900"/>
        </a:p>
      </dgm:t>
    </dgm:pt>
    <dgm:pt modelId="{0FBE6F0A-1692-4B62-B116-ECBDE812247F}">
      <dgm:prSet custT="1"/>
      <dgm:spPr/>
      <dgm:t>
        <a:bodyPr/>
        <a:lstStyle/>
        <a:p>
          <a:pPr algn="just"/>
          <a:r>
            <a:rPr lang="es-GT" sz="900" b="1">
              <a:latin typeface="Times New Roman" panose="02020603050405020304" pitchFamily="18" charset="0"/>
              <a:cs typeface="Times New Roman" panose="02020603050405020304" pitchFamily="18" charset="0"/>
            </a:rPr>
            <a:t>Inundaciones:</a:t>
          </a:r>
          <a:r>
            <a:rPr lang="es-GT" sz="900">
              <a:latin typeface="Times New Roman" panose="02020603050405020304" pitchFamily="18" charset="0"/>
              <a:cs typeface="Times New Roman" panose="02020603050405020304" pitchFamily="18" charset="0"/>
            </a:rPr>
            <a:t> Los departamentos mas expuestos son Escuintla, Suchitepéquez, Quiché, Petén, Izabal, Guatemala y Alta Verapaz. De acuerdo con las tendencias de variación en los patrones para el período 2040-2069, los departamentos más expuestos serían Huehuetenango, Alta Verapaz, San Marcos, Suchitepéquez, Chimaltenango y Escuintla.</a:t>
          </a:r>
        </a:p>
      </dgm:t>
    </dgm:pt>
    <dgm:pt modelId="{0989DF39-9883-48FE-98C7-C271A4374297}" type="parTrans" cxnId="{2E923999-C2A3-49E2-BE0B-E9722B06DA5A}">
      <dgm:prSet/>
      <dgm:spPr/>
      <dgm:t>
        <a:bodyPr/>
        <a:lstStyle/>
        <a:p>
          <a:endParaRPr lang="es-GT" sz="900"/>
        </a:p>
      </dgm:t>
    </dgm:pt>
    <dgm:pt modelId="{DCA556F3-947C-473F-92B8-2C6DBEAB1C30}" type="sibTrans" cxnId="{2E923999-C2A3-49E2-BE0B-E9722B06DA5A}">
      <dgm:prSet/>
      <dgm:spPr/>
      <dgm:t>
        <a:bodyPr/>
        <a:lstStyle/>
        <a:p>
          <a:endParaRPr lang="es-GT" sz="900"/>
        </a:p>
      </dgm:t>
    </dgm:pt>
    <dgm:pt modelId="{F4CC0EF0-6ACD-475B-BD45-BBBC40CB947C}">
      <dgm:prSet custT="1"/>
      <dgm:spPr/>
      <dgm:t>
        <a:bodyPr/>
        <a:lstStyle/>
        <a:p>
          <a:pPr algn="just"/>
          <a:r>
            <a:rPr lang="es-GT" sz="900" b="1">
              <a:latin typeface="Times New Roman" panose="02020603050405020304" pitchFamily="18" charset="0"/>
              <a:cs typeface="Times New Roman" panose="02020603050405020304" pitchFamily="18" charset="0"/>
            </a:rPr>
            <a:t>Deslizamiento de tierra: </a:t>
          </a:r>
          <a:r>
            <a:rPr lang="es-GT" sz="900">
              <a:latin typeface="Times New Roman" panose="02020603050405020304" pitchFamily="18" charset="0"/>
              <a:cs typeface="Times New Roman" panose="02020603050405020304" pitchFamily="18" charset="0"/>
            </a:rPr>
            <a:t>Los departamentos más amenazados son Huehuetenango, Quiché, Alta Verapaz, San Marcos, Quetzaltenango, Sololá, Sacatepéquez, Guatemala y El Progreso. Considerando que este tipo de amenaza está ligado a las precipitaciones cuya tendencia es a disminuir, la cantidad de departamentos altamente amenazados por este tipo de fenómeno disminuye. </a:t>
          </a:r>
        </a:p>
      </dgm:t>
    </dgm:pt>
    <dgm:pt modelId="{382F12BE-5CD1-4E52-8090-8C644520129E}" type="parTrans" cxnId="{F8B86B1F-A606-4559-AA80-7CE5E1410F14}">
      <dgm:prSet/>
      <dgm:spPr/>
      <dgm:t>
        <a:bodyPr/>
        <a:lstStyle/>
        <a:p>
          <a:endParaRPr lang="es-GT" sz="900"/>
        </a:p>
      </dgm:t>
    </dgm:pt>
    <dgm:pt modelId="{48C18C75-77D1-4951-975F-6FCDFC216BE0}" type="sibTrans" cxnId="{F8B86B1F-A606-4559-AA80-7CE5E1410F14}">
      <dgm:prSet/>
      <dgm:spPr/>
      <dgm:t>
        <a:bodyPr/>
        <a:lstStyle/>
        <a:p>
          <a:endParaRPr lang="es-GT" sz="900"/>
        </a:p>
      </dgm:t>
    </dgm:pt>
    <dgm:pt modelId="{49769F24-AF81-4E94-884B-2DB68EF7F35E}">
      <dgm:prSet custT="1"/>
      <dgm:spPr/>
      <dgm:t>
        <a:bodyPr/>
        <a:lstStyle/>
        <a:p>
          <a:pPr algn="just"/>
          <a:r>
            <a:rPr lang="es-GT" sz="900" b="1">
              <a:latin typeface="Times New Roman" panose="02020603050405020304" pitchFamily="18" charset="0"/>
              <a:cs typeface="Times New Roman" panose="02020603050405020304" pitchFamily="18" charset="0"/>
            </a:rPr>
            <a:t>Heladas:</a:t>
          </a:r>
          <a:r>
            <a:rPr lang="es-GT" sz="900">
              <a:latin typeface="Times New Roman" panose="02020603050405020304" pitchFamily="18" charset="0"/>
              <a:cs typeface="Times New Roman" panose="02020603050405020304" pitchFamily="18" charset="0"/>
            </a:rPr>
            <a:t> Totonicapán, es el departamento con temperaturas medias más bajas actualmente y es el más amenazado, aunque también se identifican probabilidades de ocurrencia en Sololá, San Marcos, Sacatepéquez, Quetzaltenango, Huehuetenango y Chimaltenango. </a:t>
          </a:r>
        </a:p>
      </dgm:t>
    </dgm:pt>
    <dgm:pt modelId="{7E8A03B5-2B8F-433D-9204-6BBCA45FCF69}" type="parTrans" cxnId="{B6E03315-BA25-47B5-8A6C-AE03BDCEC683}">
      <dgm:prSet/>
      <dgm:spPr/>
      <dgm:t>
        <a:bodyPr/>
        <a:lstStyle/>
        <a:p>
          <a:endParaRPr lang="es-GT" sz="900"/>
        </a:p>
      </dgm:t>
    </dgm:pt>
    <dgm:pt modelId="{16ED3FA7-078D-42C7-9537-19B4598B9A90}" type="sibTrans" cxnId="{B6E03315-BA25-47B5-8A6C-AE03BDCEC683}">
      <dgm:prSet/>
      <dgm:spPr/>
      <dgm:t>
        <a:bodyPr/>
        <a:lstStyle/>
        <a:p>
          <a:endParaRPr lang="es-GT" sz="900"/>
        </a:p>
      </dgm:t>
    </dgm:pt>
    <dgm:pt modelId="{1130546F-F7AF-4EA4-9A57-553E61DA525B}">
      <dgm:prSet custT="1"/>
      <dgm:spPr/>
      <dgm:t>
        <a:bodyPr/>
        <a:lstStyle/>
        <a:p>
          <a:pPr algn="just"/>
          <a:r>
            <a:rPr lang="es-GT" sz="900" b="1">
              <a:latin typeface="Times New Roman" panose="02020603050405020304" pitchFamily="18" charset="0"/>
              <a:cs typeface="Times New Roman" panose="02020603050405020304" pitchFamily="18" charset="0"/>
            </a:rPr>
            <a:t>Frente frio: </a:t>
          </a:r>
          <a:r>
            <a:rPr lang="es-GT" sz="900">
              <a:latin typeface="Times New Roman" panose="02020603050405020304" pitchFamily="18" charset="0"/>
              <a:cs typeface="Times New Roman" panose="02020603050405020304" pitchFamily="18" charset="0"/>
            </a:rPr>
            <a:t>Actualmente Petén, es el departamento más expuesto, aunque también, se identifican altos niveles de amenaza en Totonicapán, Huehuetenango, Quiché, Alta Verapaz, Baja Verapaz e Izabal. Dadas las condiciones esperadas de incrementos en la temperatura global, se estima que esta será una amenaza que irá en decremento.</a:t>
          </a:r>
          <a:endParaRPr lang="es-GT" sz="900"/>
        </a:p>
      </dgm:t>
    </dgm:pt>
    <dgm:pt modelId="{3099E982-D845-4F32-801C-1D9322B4E77C}" type="parTrans" cxnId="{CD9AD33F-A5BC-4401-8806-66B3764C8B4D}">
      <dgm:prSet/>
      <dgm:spPr/>
      <dgm:t>
        <a:bodyPr/>
        <a:lstStyle/>
        <a:p>
          <a:endParaRPr lang="es-GT" sz="900"/>
        </a:p>
      </dgm:t>
    </dgm:pt>
    <dgm:pt modelId="{FAD1B3F7-F113-4F71-B173-A57A8A6451BE}" type="sibTrans" cxnId="{CD9AD33F-A5BC-4401-8806-66B3764C8B4D}">
      <dgm:prSet/>
      <dgm:spPr/>
      <dgm:t>
        <a:bodyPr/>
        <a:lstStyle/>
        <a:p>
          <a:endParaRPr lang="es-GT" sz="900"/>
        </a:p>
      </dgm:t>
    </dgm:pt>
    <dgm:pt modelId="{F4C16CA9-C5B9-4B7C-9786-163DB3127513}">
      <dgm:prSet custT="1"/>
      <dgm:spPr/>
      <dgm:t>
        <a:bodyPr/>
        <a:lstStyle/>
        <a:p>
          <a:pPr algn="just"/>
          <a:r>
            <a:rPr lang="es-GT" sz="900" b="1">
              <a:latin typeface="Times New Roman" panose="02020603050405020304" pitchFamily="18" charset="0"/>
              <a:cs typeface="Times New Roman" panose="02020603050405020304" pitchFamily="18" charset="0"/>
            </a:rPr>
            <a:t>Incendio Forestal: </a:t>
          </a:r>
          <a:r>
            <a:rPr lang="es-GT" sz="900" b="0">
              <a:latin typeface="Times New Roman" panose="02020603050405020304" pitchFamily="18" charset="0"/>
              <a:cs typeface="Times New Roman" panose="02020603050405020304" pitchFamily="18" charset="0"/>
            </a:rPr>
            <a:t>Actu</a:t>
          </a:r>
          <a:r>
            <a:rPr lang="es-GT" sz="900">
              <a:latin typeface="Times New Roman" panose="02020603050405020304" pitchFamily="18" charset="0"/>
              <a:cs typeface="Times New Roman" panose="02020603050405020304" pitchFamily="18" charset="0"/>
            </a:rPr>
            <a:t>almente los departamentos mayormente expuestos son Petén, Quiché, Baja Verapaz y Jalapa; por otro lado, en el escenario de cambio climático, dada la variación en los patrones de temperaturas, se identifica más departamentos de oriente, en la zona central, y en el altiplano occidental. </a:t>
          </a:r>
        </a:p>
      </dgm:t>
    </dgm:pt>
    <dgm:pt modelId="{3D9DFD33-806A-4053-960A-0BFF49A215E5}" type="sibTrans" cxnId="{A6EEE6F6-B300-4F1D-B115-3C20E33F6C88}">
      <dgm:prSet/>
      <dgm:spPr/>
      <dgm:t>
        <a:bodyPr/>
        <a:lstStyle/>
        <a:p>
          <a:endParaRPr lang="es-GT" sz="900"/>
        </a:p>
      </dgm:t>
    </dgm:pt>
    <dgm:pt modelId="{2FB91215-9364-4BB4-9A8F-4D6AC334AD58}" type="parTrans" cxnId="{A6EEE6F6-B300-4F1D-B115-3C20E33F6C88}">
      <dgm:prSet/>
      <dgm:spPr/>
      <dgm:t>
        <a:bodyPr/>
        <a:lstStyle/>
        <a:p>
          <a:endParaRPr lang="es-GT" sz="900"/>
        </a:p>
      </dgm:t>
    </dgm:pt>
    <dgm:pt modelId="{6DE91D37-646D-4003-A508-995EC8164ABB}" type="pres">
      <dgm:prSet presAssocID="{F9AEE5F9-10FE-4007-8782-2061C85E108C}" presName="linear" presStyleCnt="0">
        <dgm:presLayoutVars>
          <dgm:dir/>
          <dgm:resizeHandles val="exact"/>
        </dgm:presLayoutVars>
      </dgm:prSet>
      <dgm:spPr/>
    </dgm:pt>
    <dgm:pt modelId="{46329CC7-3D40-455E-B78D-A726395D43CF}" type="pres">
      <dgm:prSet presAssocID="{9FDAF401-E1E9-4F54-B75B-D54123DCC252}" presName="comp" presStyleCnt="0"/>
      <dgm:spPr/>
    </dgm:pt>
    <dgm:pt modelId="{CA73750B-8C36-4689-B8DD-B520A963E010}" type="pres">
      <dgm:prSet presAssocID="{9FDAF401-E1E9-4F54-B75B-D54123DCC252}" presName="box" presStyleLbl="node1" presStyleIdx="0" presStyleCnt="9" custScaleY="80876"/>
      <dgm:spPr/>
    </dgm:pt>
    <dgm:pt modelId="{9414F4A1-C1EC-495A-AC7B-B5B16805E1DC}" type="pres">
      <dgm:prSet presAssocID="{9FDAF401-E1E9-4F54-B75B-D54123DCC252}" presName="img" presStyleLbl="fgImgPlace1" presStyleIdx="0" presStyleCnt="9" custLinFactNeighborX="-4585"/>
      <dgm:spPr>
        <a:blipFill rotWithShape="1">
          <a:blip xmlns:r="http://schemas.openxmlformats.org/officeDocument/2006/relationships" r:embed="rId1"/>
          <a:srcRect/>
          <a:stretch>
            <a:fillRect l="-2000" r="-2000"/>
          </a:stretch>
        </a:blipFill>
      </dgm:spPr>
    </dgm:pt>
    <dgm:pt modelId="{427FDD2A-6F14-4122-842E-D8ADC3104790}" type="pres">
      <dgm:prSet presAssocID="{9FDAF401-E1E9-4F54-B75B-D54123DCC252}" presName="text" presStyleLbl="node1" presStyleIdx="0" presStyleCnt="9">
        <dgm:presLayoutVars>
          <dgm:bulletEnabled val="1"/>
        </dgm:presLayoutVars>
      </dgm:prSet>
      <dgm:spPr/>
    </dgm:pt>
    <dgm:pt modelId="{EC8F4C7B-0F0F-41F7-8C58-E94D3AFDF859}" type="pres">
      <dgm:prSet presAssocID="{F75D8B34-094C-4E39-AC7B-4BDFF41DF482}" presName="spacer" presStyleCnt="0"/>
      <dgm:spPr/>
    </dgm:pt>
    <dgm:pt modelId="{97F5BB6A-751F-484B-AB33-D1D156F5EFCA}" type="pres">
      <dgm:prSet presAssocID="{0FA5FD26-AFC1-4A90-9010-0E28CC4EB237}" presName="comp" presStyleCnt="0"/>
      <dgm:spPr/>
    </dgm:pt>
    <dgm:pt modelId="{B3D82D50-85B2-4695-BF64-3B6CAF23F8D6}" type="pres">
      <dgm:prSet presAssocID="{0FA5FD26-AFC1-4A90-9010-0E28CC4EB237}" presName="box" presStyleLbl="node1" presStyleIdx="1" presStyleCnt="9" custScaleY="79195"/>
      <dgm:spPr/>
    </dgm:pt>
    <dgm:pt modelId="{EC82EDC1-95E5-4234-A506-B5081E4BE31A}" type="pres">
      <dgm:prSet presAssocID="{0FA5FD26-AFC1-4A90-9010-0E28CC4EB237}" presName="img" presStyleLbl="fgImgPlace1" presStyleIdx="1" presStyleCnt="9" custLinFactNeighborX="-3930"/>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 b="-3000"/>
          </a:stretch>
        </a:blipFill>
      </dgm:spPr>
    </dgm:pt>
    <dgm:pt modelId="{BADA047B-294D-4FBB-96DF-B972080DE692}" type="pres">
      <dgm:prSet presAssocID="{0FA5FD26-AFC1-4A90-9010-0E28CC4EB237}" presName="text" presStyleLbl="node1" presStyleIdx="1" presStyleCnt="9">
        <dgm:presLayoutVars>
          <dgm:bulletEnabled val="1"/>
        </dgm:presLayoutVars>
      </dgm:prSet>
      <dgm:spPr/>
    </dgm:pt>
    <dgm:pt modelId="{56E32387-ADFC-4F13-AD8D-E83F335FDB74}" type="pres">
      <dgm:prSet presAssocID="{EB26B6D4-C953-44AE-90CB-E5DE4E340AD7}" presName="spacer" presStyleCnt="0"/>
      <dgm:spPr/>
    </dgm:pt>
    <dgm:pt modelId="{EDAD65D7-83C3-4E0E-BA3D-A12ADC6671C5}" type="pres">
      <dgm:prSet presAssocID="{780B20D7-F70E-416A-B38F-ABD5E0DE17ED}" presName="comp" presStyleCnt="0"/>
      <dgm:spPr/>
    </dgm:pt>
    <dgm:pt modelId="{8DA4E5DB-68E8-4C0E-9189-FC61E00A4360}" type="pres">
      <dgm:prSet presAssocID="{780B20D7-F70E-416A-B38F-ABD5E0DE17ED}" presName="box" presStyleLbl="node1" presStyleIdx="2" presStyleCnt="9" custScaleY="74082"/>
      <dgm:spPr/>
    </dgm:pt>
    <dgm:pt modelId="{936A90A4-5E29-4999-9C4F-720127C3F1D9}" type="pres">
      <dgm:prSet presAssocID="{780B20D7-F70E-416A-B38F-ABD5E0DE17ED}" presName="img" presStyleLbl="fgImgPlace1" presStyleIdx="2" presStyleCnt="9" custLinFactNeighborX="-6041" custLinFactNeighborY="-141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dgm:spPr>
    </dgm:pt>
    <dgm:pt modelId="{79737F6F-8004-4D78-9CED-72C7869A0DFA}" type="pres">
      <dgm:prSet presAssocID="{780B20D7-F70E-416A-B38F-ABD5E0DE17ED}" presName="text" presStyleLbl="node1" presStyleIdx="2" presStyleCnt="9">
        <dgm:presLayoutVars>
          <dgm:bulletEnabled val="1"/>
        </dgm:presLayoutVars>
      </dgm:prSet>
      <dgm:spPr/>
    </dgm:pt>
    <dgm:pt modelId="{38BAF4C0-6EC5-4618-AB57-4E4C05C67966}" type="pres">
      <dgm:prSet presAssocID="{3DE9C126-7E6A-43C8-A40E-6C19BA8F532A}" presName="spacer" presStyleCnt="0"/>
      <dgm:spPr/>
    </dgm:pt>
    <dgm:pt modelId="{AFAB6F87-2E52-4847-B0A2-13CF68B7A06B}" type="pres">
      <dgm:prSet presAssocID="{A1E19922-45CC-4BC4-ACC7-9EDBAE15E3DF}" presName="comp" presStyleCnt="0"/>
      <dgm:spPr/>
    </dgm:pt>
    <dgm:pt modelId="{DE55A61C-0F44-4BD5-BAA6-95FFD046C072}" type="pres">
      <dgm:prSet presAssocID="{A1E19922-45CC-4BC4-ACC7-9EDBAE15E3DF}" presName="box" presStyleLbl="node1" presStyleIdx="3" presStyleCnt="9" custScaleY="79732"/>
      <dgm:spPr/>
    </dgm:pt>
    <dgm:pt modelId="{AD69DB62-4D8E-4EAF-AFF6-036BB624ED63}" type="pres">
      <dgm:prSet presAssocID="{A1E19922-45CC-4BC4-ACC7-9EDBAE15E3DF}" presName="img" presStyleLbl="fgImgPlace1" presStyleIdx="3" presStyleCnt="9" custLinFactNeighborX="-5240" custLinFactNeighborY="-2343"/>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6000" b="-6000"/>
          </a:stretch>
        </a:blipFill>
      </dgm:spPr>
    </dgm:pt>
    <dgm:pt modelId="{391459D5-BFCE-4D09-98D2-3F8B46B6F640}" type="pres">
      <dgm:prSet presAssocID="{A1E19922-45CC-4BC4-ACC7-9EDBAE15E3DF}" presName="text" presStyleLbl="node1" presStyleIdx="3" presStyleCnt="9">
        <dgm:presLayoutVars>
          <dgm:bulletEnabled val="1"/>
        </dgm:presLayoutVars>
      </dgm:prSet>
      <dgm:spPr/>
    </dgm:pt>
    <dgm:pt modelId="{7DA27A90-0FC9-49F4-83F5-85050F18BFD1}" type="pres">
      <dgm:prSet presAssocID="{73FF9B43-35A5-49DB-B293-6498E1C29EC0}" presName="spacer" presStyleCnt="0"/>
      <dgm:spPr/>
    </dgm:pt>
    <dgm:pt modelId="{D066B88D-3627-4635-A5AF-2BDA348560F9}" type="pres">
      <dgm:prSet presAssocID="{0FBE6F0A-1692-4B62-B116-ECBDE812247F}" presName="comp" presStyleCnt="0"/>
      <dgm:spPr/>
    </dgm:pt>
    <dgm:pt modelId="{42C22DD4-AB37-47B3-B5DE-793616ABB514}" type="pres">
      <dgm:prSet presAssocID="{0FBE6F0A-1692-4B62-B116-ECBDE812247F}" presName="box" presStyleLbl="node1" presStyleIdx="4" presStyleCnt="9" custScaleY="72466"/>
      <dgm:spPr/>
    </dgm:pt>
    <dgm:pt modelId="{D9252CE2-63B1-46C4-A392-5B6C1BC35424}" type="pres">
      <dgm:prSet presAssocID="{0FBE6F0A-1692-4B62-B116-ECBDE812247F}" presName="img" presStyleLbl="fgImgPlace1" presStyleIdx="4" presStyleCnt="9" custLinFactNeighborX="-5240"/>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0" r="-10000"/>
          </a:stretch>
        </a:blipFill>
      </dgm:spPr>
    </dgm:pt>
    <dgm:pt modelId="{E10DA75D-DD0D-46BB-BEDB-E774423421D1}" type="pres">
      <dgm:prSet presAssocID="{0FBE6F0A-1692-4B62-B116-ECBDE812247F}" presName="text" presStyleLbl="node1" presStyleIdx="4" presStyleCnt="9">
        <dgm:presLayoutVars>
          <dgm:bulletEnabled val="1"/>
        </dgm:presLayoutVars>
      </dgm:prSet>
      <dgm:spPr/>
    </dgm:pt>
    <dgm:pt modelId="{0BFF0C82-3429-4C90-9260-316312873759}" type="pres">
      <dgm:prSet presAssocID="{DCA556F3-947C-473F-92B8-2C6DBEAB1C30}" presName="spacer" presStyleCnt="0"/>
      <dgm:spPr/>
    </dgm:pt>
    <dgm:pt modelId="{8243A92F-4007-436F-B7AB-59BF57D1EDB0}" type="pres">
      <dgm:prSet presAssocID="{49769F24-AF81-4E94-884B-2DB68EF7F35E}" presName="comp" presStyleCnt="0"/>
      <dgm:spPr/>
    </dgm:pt>
    <dgm:pt modelId="{7F75E77F-2060-4FB8-A402-2478FDCA80F8}" type="pres">
      <dgm:prSet presAssocID="{49769F24-AF81-4E94-884B-2DB68EF7F35E}" presName="box" presStyleLbl="node1" presStyleIdx="5" presStyleCnt="9" custScaleY="69506"/>
      <dgm:spPr/>
    </dgm:pt>
    <dgm:pt modelId="{E708E46C-45DC-4725-ADC6-A8377B983231}" type="pres">
      <dgm:prSet presAssocID="{49769F24-AF81-4E94-884B-2DB68EF7F35E}" presName="img" presStyleLbl="fgImgPlace1" presStyleIdx="5" presStyleCnt="9" custLinFactNeighborX="-4585" custLinFactNeighborY="-1171"/>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3000" b="-3000"/>
          </a:stretch>
        </a:blipFill>
      </dgm:spPr>
    </dgm:pt>
    <dgm:pt modelId="{12608A32-C05B-472A-98EB-852521B08820}" type="pres">
      <dgm:prSet presAssocID="{49769F24-AF81-4E94-884B-2DB68EF7F35E}" presName="text" presStyleLbl="node1" presStyleIdx="5" presStyleCnt="9">
        <dgm:presLayoutVars>
          <dgm:bulletEnabled val="1"/>
        </dgm:presLayoutVars>
      </dgm:prSet>
      <dgm:spPr/>
    </dgm:pt>
    <dgm:pt modelId="{B4870596-2346-4BA5-A6C1-28BBB4AE6DA8}" type="pres">
      <dgm:prSet presAssocID="{16ED3FA7-078D-42C7-9537-19B4598B9A90}" presName="spacer" presStyleCnt="0"/>
      <dgm:spPr/>
    </dgm:pt>
    <dgm:pt modelId="{856B9684-2E0F-4650-BEA0-E5E52C80AB3C}" type="pres">
      <dgm:prSet presAssocID="{F4CC0EF0-6ACD-475B-BD45-BBBC40CB947C}" presName="comp" presStyleCnt="0"/>
      <dgm:spPr/>
    </dgm:pt>
    <dgm:pt modelId="{349227C6-D96D-49E5-A20C-DD6EB4C2435D}" type="pres">
      <dgm:prSet presAssocID="{F4CC0EF0-6ACD-475B-BD45-BBBC40CB947C}" presName="box" presStyleLbl="node1" presStyleIdx="6" presStyleCnt="9" custScaleY="81773"/>
      <dgm:spPr/>
    </dgm:pt>
    <dgm:pt modelId="{702C9DDF-3280-40F8-8242-5B20E83D88A9}" type="pres">
      <dgm:prSet presAssocID="{F4CC0EF0-6ACD-475B-BD45-BBBC40CB947C}" presName="img" presStyleLbl="fgImgPlace1" presStyleIdx="6" presStyleCnt="9" custLinFactNeighborX="-5895" custLinFactNeighborY="1171"/>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14000" b="-14000"/>
          </a:stretch>
        </a:blipFill>
      </dgm:spPr>
    </dgm:pt>
    <dgm:pt modelId="{800CADAC-BCC1-49F8-B9A1-E6F2C20AC694}" type="pres">
      <dgm:prSet presAssocID="{F4CC0EF0-6ACD-475B-BD45-BBBC40CB947C}" presName="text" presStyleLbl="node1" presStyleIdx="6" presStyleCnt="9">
        <dgm:presLayoutVars>
          <dgm:bulletEnabled val="1"/>
        </dgm:presLayoutVars>
      </dgm:prSet>
      <dgm:spPr/>
    </dgm:pt>
    <dgm:pt modelId="{F341DA6B-9C7D-4E34-A3F1-812C28AA8287}" type="pres">
      <dgm:prSet presAssocID="{48C18C75-77D1-4951-975F-6FCDFC216BE0}" presName="spacer" presStyleCnt="0"/>
      <dgm:spPr/>
    </dgm:pt>
    <dgm:pt modelId="{7D72C21B-FA29-4D79-ABC9-5D9FAB36FBAB}" type="pres">
      <dgm:prSet presAssocID="{1130546F-F7AF-4EA4-9A57-553E61DA525B}" presName="comp" presStyleCnt="0"/>
      <dgm:spPr/>
    </dgm:pt>
    <dgm:pt modelId="{121BE5DE-C141-4220-8688-960A3D13DC96}" type="pres">
      <dgm:prSet presAssocID="{1130546F-F7AF-4EA4-9A57-553E61DA525B}" presName="box" presStyleLbl="node1" presStyleIdx="7" presStyleCnt="9" custScaleY="84532"/>
      <dgm:spPr/>
    </dgm:pt>
    <dgm:pt modelId="{6F6E5C40-3A75-47BF-89BD-6E2D0F5A1EE4}" type="pres">
      <dgm:prSet presAssocID="{1130546F-F7AF-4EA4-9A57-553E61DA525B}" presName="img" presStyleLbl="fgImgPlace1" presStyleIdx="7" presStyleCnt="9" custLinFactNeighborX="-5240" custLinFactNeighborY="-1171"/>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2000" r="-2000"/>
          </a:stretch>
        </a:blipFill>
      </dgm:spPr>
    </dgm:pt>
    <dgm:pt modelId="{F811D243-3B67-4030-A341-FDBB6E125024}" type="pres">
      <dgm:prSet presAssocID="{1130546F-F7AF-4EA4-9A57-553E61DA525B}" presName="text" presStyleLbl="node1" presStyleIdx="7" presStyleCnt="9">
        <dgm:presLayoutVars>
          <dgm:bulletEnabled val="1"/>
        </dgm:presLayoutVars>
      </dgm:prSet>
      <dgm:spPr/>
    </dgm:pt>
    <dgm:pt modelId="{69FF4EBF-02A2-4C52-BA9D-DF325FC177C8}" type="pres">
      <dgm:prSet presAssocID="{FAD1B3F7-F113-4F71-B173-A57A8A6451BE}" presName="spacer" presStyleCnt="0"/>
      <dgm:spPr/>
    </dgm:pt>
    <dgm:pt modelId="{705C39D7-B1ED-4B9C-B0E0-67C554EB130F}" type="pres">
      <dgm:prSet presAssocID="{F4C16CA9-C5B9-4B7C-9786-163DB3127513}" presName="comp" presStyleCnt="0"/>
      <dgm:spPr/>
    </dgm:pt>
    <dgm:pt modelId="{F918540A-1B7C-4EA1-8F46-6503B96CC21B}" type="pres">
      <dgm:prSet presAssocID="{F4C16CA9-C5B9-4B7C-9786-163DB3127513}" presName="box" presStyleLbl="node1" presStyleIdx="8" presStyleCnt="9" custScaleY="69264"/>
      <dgm:spPr/>
    </dgm:pt>
    <dgm:pt modelId="{371507FE-3304-42B7-8ADF-10CC41FA0DCF}" type="pres">
      <dgm:prSet presAssocID="{F4C16CA9-C5B9-4B7C-9786-163DB3127513}" presName="img" presStyleLbl="fgImgPlace1" presStyleIdx="8" presStyleCnt="9" custLinFactNeighborX="-4585" custLinFactNeighborY="-3476"/>
      <dgm:spPr>
        <a:blipFill>
          <a:blip xmlns:r="http://schemas.openxmlformats.org/officeDocument/2006/relationships" r:embed="rId9">
            <a:extLst>
              <a:ext uri="{28A0092B-C50C-407E-A947-70E740481C1C}">
                <a14:useLocalDpi xmlns:a14="http://schemas.microsoft.com/office/drawing/2010/main" val="0"/>
              </a:ext>
            </a:extLst>
          </a:blip>
          <a:srcRect/>
          <a:stretch>
            <a:fillRect t="-9000" b="-9000"/>
          </a:stretch>
        </a:blipFill>
      </dgm:spPr>
    </dgm:pt>
    <dgm:pt modelId="{0C0505A7-60D5-4F40-93FB-15ABF5A9E09D}" type="pres">
      <dgm:prSet presAssocID="{F4C16CA9-C5B9-4B7C-9786-163DB3127513}" presName="text" presStyleLbl="node1" presStyleIdx="8" presStyleCnt="9">
        <dgm:presLayoutVars>
          <dgm:bulletEnabled val="1"/>
        </dgm:presLayoutVars>
      </dgm:prSet>
      <dgm:spPr/>
    </dgm:pt>
  </dgm:ptLst>
  <dgm:cxnLst>
    <dgm:cxn modelId="{445E8F07-34DD-4208-9013-0BFBFA55E844}" type="presOf" srcId="{A1E19922-45CC-4BC4-ACC7-9EDBAE15E3DF}" destId="{DE55A61C-0F44-4BD5-BAA6-95FFD046C072}" srcOrd="0" destOrd="0" presId="urn:microsoft.com/office/officeart/2005/8/layout/vList4"/>
    <dgm:cxn modelId="{B6E03315-BA25-47B5-8A6C-AE03BDCEC683}" srcId="{F9AEE5F9-10FE-4007-8782-2061C85E108C}" destId="{49769F24-AF81-4E94-884B-2DB68EF7F35E}" srcOrd="5" destOrd="0" parTransId="{7E8A03B5-2B8F-433D-9204-6BBCA45FCF69}" sibTransId="{16ED3FA7-078D-42C7-9537-19B4598B9A90}"/>
    <dgm:cxn modelId="{F8B86B1F-A606-4559-AA80-7CE5E1410F14}" srcId="{F9AEE5F9-10FE-4007-8782-2061C85E108C}" destId="{F4CC0EF0-6ACD-475B-BD45-BBBC40CB947C}" srcOrd="6" destOrd="0" parTransId="{382F12BE-5CD1-4E52-8090-8C644520129E}" sibTransId="{48C18C75-77D1-4951-975F-6FCDFC216BE0}"/>
    <dgm:cxn modelId="{E42FE036-A968-4437-B0EC-E982F2B854D6}" type="presOf" srcId="{0FA5FD26-AFC1-4A90-9010-0E28CC4EB237}" destId="{B3D82D50-85B2-4695-BF64-3B6CAF23F8D6}" srcOrd="0" destOrd="0" presId="urn:microsoft.com/office/officeart/2005/8/layout/vList4"/>
    <dgm:cxn modelId="{CBD69E3D-0D41-4DA1-BF7D-E706F0A3B5DA}" type="presOf" srcId="{780B20D7-F70E-416A-B38F-ABD5E0DE17ED}" destId="{8DA4E5DB-68E8-4C0E-9189-FC61E00A4360}" srcOrd="0" destOrd="0" presId="urn:microsoft.com/office/officeart/2005/8/layout/vList4"/>
    <dgm:cxn modelId="{CD9AD33F-A5BC-4401-8806-66B3764C8B4D}" srcId="{F9AEE5F9-10FE-4007-8782-2061C85E108C}" destId="{1130546F-F7AF-4EA4-9A57-553E61DA525B}" srcOrd="7" destOrd="0" parTransId="{3099E982-D845-4F32-801C-1D9322B4E77C}" sibTransId="{FAD1B3F7-F113-4F71-B173-A57A8A6451BE}"/>
    <dgm:cxn modelId="{56C8F85E-3B3F-41BB-B1B6-E533597CC007}" srcId="{F9AEE5F9-10FE-4007-8782-2061C85E108C}" destId="{A1E19922-45CC-4BC4-ACC7-9EDBAE15E3DF}" srcOrd="3" destOrd="0" parTransId="{5422F09E-F09F-454A-BE47-675B18A27A5C}" sibTransId="{73FF9B43-35A5-49DB-B293-6498E1C29EC0}"/>
    <dgm:cxn modelId="{E9C81F60-1A5D-4C55-9BAA-782937E0EF68}" type="presOf" srcId="{F4CC0EF0-6ACD-475B-BD45-BBBC40CB947C}" destId="{349227C6-D96D-49E5-A20C-DD6EB4C2435D}" srcOrd="0" destOrd="0" presId="urn:microsoft.com/office/officeart/2005/8/layout/vList4"/>
    <dgm:cxn modelId="{F72D3948-FA7E-43ED-AF58-8BBC36821560}" srcId="{F9AEE5F9-10FE-4007-8782-2061C85E108C}" destId="{9FDAF401-E1E9-4F54-B75B-D54123DCC252}" srcOrd="0" destOrd="0" parTransId="{1FCB87AA-5D79-412F-90B7-C0D2ABB6933C}" sibTransId="{F75D8B34-094C-4E39-AC7B-4BDFF41DF482}"/>
    <dgm:cxn modelId="{E0005D68-BEA2-4DB8-8448-B775FA47D1A1}" type="presOf" srcId="{9FDAF401-E1E9-4F54-B75B-D54123DCC252}" destId="{CA73750B-8C36-4689-B8DD-B520A963E010}" srcOrd="0" destOrd="0" presId="urn:microsoft.com/office/officeart/2005/8/layout/vList4"/>
    <dgm:cxn modelId="{28334769-E344-4B3C-BFEF-7A46BFD2C063}" srcId="{F9AEE5F9-10FE-4007-8782-2061C85E108C}" destId="{0FA5FD26-AFC1-4A90-9010-0E28CC4EB237}" srcOrd="1" destOrd="0" parTransId="{B3C487F8-1FBA-4939-A41B-FBA14CC66032}" sibTransId="{EB26B6D4-C953-44AE-90CB-E5DE4E340AD7}"/>
    <dgm:cxn modelId="{503F4B70-7E70-42DE-A9DA-73778E06B681}" type="presOf" srcId="{9FDAF401-E1E9-4F54-B75B-D54123DCC252}" destId="{427FDD2A-6F14-4122-842E-D8ADC3104790}" srcOrd="1" destOrd="0" presId="urn:microsoft.com/office/officeart/2005/8/layout/vList4"/>
    <dgm:cxn modelId="{DC86E470-CBAD-4D67-A3E0-E76FA50DEBD3}" type="presOf" srcId="{0FA5FD26-AFC1-4A90-9010-0E28CC4EB237}" destId="{BADA047B-294D-4FBB-96DF-B972080DE692}" srcOrd="1" destOrd="0" presId="urn:microsoft.com/office/officeart/2005/8/layout/vList4"/>
    <dgm:cxn modelId="{D9558259-15FF-49C2-B16D-5F6C11D61055}" type="presOf" srcId="{49769F24-AF81-4E94-884B-2DB68EF7F35E}" destId="{12608A32-C05B-472A-98EB-852521B08820}" srcOrd="1" destOrd="0" presId="urn:microsoft.com/office/officeart/2005/8/layout/vList4"/>
    <dgm:cxn modelId="{6526597F-4038-4905-982C-7CDCFF3BD5D8}" type="presOf" srcId="{1130546F-F7AF-4EA4-9A57-553E61DA525B}" destId="{121BE5DE-C141-4220-8688-960A3D13DC96}" srcOrd="0" destOrd="0" presId="urn:microsoft.com/office/officeart/2005/8/layout/vList4"/>
    <dgm:cxn modelId="{604AE186-5472-4EC2-A07B-6AB3A4043CC6}" type="presOf" srcId="{A1E19922-45CC-4BC4-ACC7-9EDBAE15E3DF}" destId="{391459D5-BFCE-4D09-98D2-3F8B46B6F640}" srcOrd="1" destOrd="0" presId="urn:microsoft.com/office/officeart/2005/8/layout/vList4"/>
    <dgm:cxn modelId="{15804188-D015-4B3C-A382-FB0BC681341A}" type="presOf" srcId="{F4CC0EF0-6ACD-475B-BD45-BBBC40CB947C}" destId="{800CADAC-BCC1-49F8-B9A1-E6F2C20AC694}" srcOrd="1" destOrd="0" presId="urn:microsoft.com/office/officeart/2005/8/layout/vList4"/>
    <dgm:cxn modelId="{2E923999-C2A3-49E2-BE0B-E9722B06DA5A}" srcId="{F9AEE5F9-10FE-4007-8782-2061C85E108C}" destId="{0FBE6F0A-1692-4B62-B116-ECBDE812247F}" srcOrd="4" destOrd="0" parTransId="{0989DF39-9883-48FE-98C7-C271A4374297}" sibTransId="{DCA556F3-947C-473F-92B8-2C6DBEAB1C30}"/>
    <dgm:cxn modelId="{0BAC53A9-B2EB-4BDA-98BA-5FA1B5F226D8}" type="presOf" srcId="{780B20D7-F70E-416A-B38F-ABD5E0DE17ED}" destId="{79737F6F-8004-4D78-9CED-72C7869A0DFA}" srcOrd="1" destOrd="0" presId="urn:microsoft.com/office/officeart/2005/8/layout/vList4"/>
    <dgm:cxn modelId="{8A58C9AD-D983-42F8-B2BA-7170117D2370}" type="presOf" srcId="{0FBE6F0A-1692-4B62-B116-ECBDE812247F}" destId="{42C22DD4-AB37-47B3-B5DE-793616ABB514}" srcOrd="0" destOrd="0" presId="urn:microsoft.com/office/officeart/2005/8/layout/vList4"/>
    <dgm:cxn modelId="{2BC9EDAD-813A-41C0-81F7-8F79FE45632B}" type="presOf" srcId="{F4C16CA9-C5B9-4B7C-9786-163DB3127513}" destId="{F918540A-1B7C-4EA1-8F46-6503B96CC21B}" srcOrd="0" destOrd="0" presId="urn:microsoft.com/office/officeart/2005/8/layout/vList4"/>
    <dgm:cxn modelId="{18904FB6-EDA6-4130-9C1B-9EEB20B9A2D7}" type="presOf" srcId="{1130546F-F7AF-4EA4-9A57-553E61DA525B}" destId="{F811D243-3B67-4030-A341-FDBB6E125024}" srcOrd="1" destOrd="0" presId="urn:microsoft.com/office/officeart/2005/8/layout/vList4"/>
    <dgm:cxn modelId="{9D8189B7-C406-488B-A273-39E0ADC244D0}" type="presOf" srcId="{49769F24-AF81-4E94-884B-2DB68EF7F35E}" destId="{7F75E77F-2060-4FB8-A402-2478FDCA80F8}" srcOrd="0" destOrd="0" presId="urn:microsoft.com/office/officeart/2005/8/layout/vList4"/>
    <dgm:cxn modelId="{D43BC4C8-23E9-4A38-A7B1-ADC46FB5DD7B}" srcId="{F9AEE5F9-10FE-4007-8782-2061C85E108C}" destId="{780B20D7-F70E-416A-B38F-ABD5E0DE17ED}" srcOrd="2" destOrd="0" parTransId="{D457C336-12E3-4D64-A4FC-E54B1EA78F2E}" sibTransId="{3DE9C126-7E6A-43C8-A40E-6C19BA8F532A}"/>
    <dgm:cxn modelId="{F41CF9D2-08DE-4766-B350-4AFD855852DC}" type="presOf" srcId="{0FBE6F0A-1692-4B62-B116-ECBDE812247F}" destId="{E10DA75D-DD0D-46BB-BEDB-E774423421D1}" srcOrd="1" destOrd="0" presId="urn:microsoft.com/office/officeart/2005/8/layout/vList4"/>
    <dgm:cxn modelId="{F4FB11DB-89B4-434D-A440-83F39BBC11F0}" type="presOf" srcId="{F9AEE5F9-10FE-4007-8782-2061C85E108C}" destId="{6DE91D37-646D-4003-A508-995EC8164ABB}" srcOrd="0" destOrd="0" presId="urn:microsoft.com/office/officeart/2005/8/layout/vList4"/>
    <dgm:cxn modelId="{8335CAEF-F89D-4849-8280-F6D119DA61ED}" type="presOf" srcId="{F4C16CA9-C5B9-4B7C-9786-163DB3127513}" destId="{0C0505A7-60D5-4F40-93FB-15ABF5A9E09D}" srcOrd="1" destOrd="0" presId="urn:microsoft.com/office/officeart/2005/8/layout/vList4"/>
    <dgm:cxn modelId="{A6EEE6F6-B300-4F1D-B115-3C20E33F6C88}" srcId="{F9AEE5F9-10FE-4007-8782-2061C85E108C}" destId="{F4C16CA9-C5B9-4B7C-9786-163DB3127513}" srcOrd="8" destOrd="0" parTransId="{2FB91215-9364-4BB4-9A8F-4D6AC334AD58}" sibTransId="{3D9DFD33-806A-4053-960A-0BFF49A215E5}"/>
    <dgm:cxn modelId="{695232EB-E247-49FA-862F-AB34F325C7EF}" type="presParOf" srcId="{6DE91D37-646D-4003-A508-995EC8164ABB}" destId="{46329CC7-3D40-455E-B78D-A726395D43CF}" srcOrd="0" destOrd="0" presId="urn:microsoft.com/office/officeart/2005/8/layout/vList4"/>
    <dgm:cxn modelId="{70E79C02-67DD-4732-8025-0062010D2700}" type="presParOf" srcId="{46329CC7-3D40-455E-B78D-A726395D43CF}" destId="{CA73750B-8C36-4689-B8DD-B520A963E010}" srcOrd="0" destOrd="0" presId="urn:microsoft.com/office/officeart/2005/8/layout/vList4"/>
    <dgm:cxn modelId="{C6222055-F43A-49AC-BC93-BC31C4581309}" type="presParOf" srcId="{46329CC7-3D40-455E-B78D-A726395D43CF}" destId="{9414F4A1-C1EC-495A-AC7B-B5B16805E1DC}" srcOrd="1" destOrd="0" presId="urn:microsoft.com/office/officeart/2005/8/layout/vList4"/>
    <dgm:cxn modelId="{ED71AE5C-E94C-4CC3-92FE-38C3FF6CD30B}" type="presParOf" srcId="{46329CC7-3D40-455E-B78D-A726395D43CF}" destId="{427FDD2A-6F14-4122-842E-D8ADC3104790}" srcOrd="2" destOrd="0" presId="urn:microsoft.com/office/officeart/2005/8/layout/vList4"/>
    <dgm:cxn modelId="{613C86A5-53BD-4622-9853-00B359247B20}" type="presParOf" srcId="{6DE91D37-646D-4003-A508-995EC8164ABB}" destId="{EC8F4C7B-0F0F-41F7-8C58-E94D3AFDF859}" srcOrd="1" destOrd="0" presId="urn:microsoft.com/office/officeart/2005/8/layout/vList4"/>
    <dgm:cxn modelId="{EFD4AEC2-401A-46DA-B9E7-13E6A4DCB46D}" type="presParOf" srcId="{6DE91D37-646D-4003-A508-995EC8164ABB}" destId="{97F5BB6A-751F-484B-AB33-D1D156F5EFCA}" srcOrd="2" destOrd="0" presId="urn:microsoft.com/office/officeart/2005/8/layout/vList4"/>
    <dgm:cxn modelId="{C7301574-FB95-40B7-90A7-91E11F6A868C}" type="presParOf" srcId="{97F5BB6A-751F-484B-AB33-D1D156F5EFCA}" destId="{B3D82D50-85B2-4695-BF64-3B6CAF23F8D6}" srcOrd="0" destOrd="0" presId="urn:microsoft.com/office/officeart/2005/8/layout/vList4"/>
    <dgm:cxn modelId="{C730FDF8-8BCA-42D6-A3AC-381D4CA60DA6}" type="presParOf" srcId="{97F5BB6A-751F-484B-AB33-D1D156F5EFCA}" destId="{EC82EDC1-95E5-4234-A506-B5081E4BE31A}" srcOrd="1" destOrd="0" presId="urn:microsoft.com/office/officeart/2005/8/layout/vList4"/>
    <dgm:cxn modelId="{80447263-32FE-4370-8EE9-59A9FE2418EF}" type="presParOf" srcId="{97F5BB6A-751F-484B-AB33-D1D156F5EFCA}" destId="{BADA047B-294D-4FBB-96DF-B972080DE692}" srcOrd="2" destOrd="0" presId="urn:microsoft.com/office/officeart/2005/8/layout/vList4"/>
    <dgm:cxn modelId="{056547BC-834E-4187-A8F5-69EBB60902DE}" type="presParOf" srcId="{6DE91D37-646D-4003-A508-995EC8164ABB}" destId="{56E32387-ADFC-4F13-AD8D-E83F335FDB74}" srcOrd="3" destOrd="0" presId="urn:microsoft.com/office/officeart/2005/8/layout/vList4"/>
    <dgm:cxn modelId="{BAC6EEE7-B397-4540-BF50-DB6046CE5A74}" type="presParOf" srcId="{6DE91D37-646D-4003-A508-995EC8164ABB}" destId="{EDAD65D7-83C3-4E0E-BA3D-A12ADC6671C5}" srcOrd="4" destOrd="0" presId="urn:microsoft.com/office/officeart/2005/8/layout/vList4"/>
    <dgm:cxn modelId="{1A78AF73-72C9-4C6E-A05B-2CB0D717B568}" type="presParOf" srcId="{EDAD65D7-83C3-4E0E-BA3D-A12ADC6671C5}" destId="{8DA4E5DB-68E8-4C0E-9189-FC61E00A4360}" srcOrd="0" destOrd="0" presId="urn:microsoft.com/office/officeart/2005/8/layout/vList4"/>
    <dgm:cxn modelId="{6CC48911-AAB7-42A4-8462-287E6D20A07A}" type="presParOf" srcId="{EDAD65D7-83C3-4E0E-BA3D-A12ADC6671C5}" destId="{936A90A4-5E29-4999-9C4F-720127C3F1D9}" srcOrd="1" destOrd="0" presId="urn:microsoft.com/office/officeart/2005/8/layout/vList4"/>
    <dgm:cxn modelId="{50871064-9E7E-4ECB-8CB7-0F3E0DADB12E}" type="presParOf" srcId="{EDAD65D7-83C3-4E0E-BA3D-A12ADC6671C5}" destId="{79737F6F-8004-4D78-9CED-72C7869A0DFA}" srcOrd="2" destOrd="0" presId="urn:microsoft.com/office/officeart/2005/8/layout/vList4"/>
    <dgm:cxn modelId="{9051FDE0-CB86-4F68-8FBB-ED60108D83DA}" type="presParOf" srcId="{6DE91D37-646D-4003-A508-995EC8164ABB}" destId="{38BAF4C0-6EC5-4618-AB57-4E4C05C67966}" srcOrd="5" destOrd="0" presId="urn:microsoft.com/office/officeart/2005/8/layout/vList4"/>
    <dgm:cxn modelId="{0FE96AED-79B1-4627-8312-77B01F0AF6C6}" type="presParOf" srcId="{6DE91D37-646D-4003-A508-995EC8164ABB}" destId="{AFAB6F87-2E52-4847-B0A2-13CF68B7A06B}" srcOrd="6" destOrd="0" presId="urn:microsoft.com/office/officeart/2005/8/layout/vList4"/>
    <dgm:cxn modelId="{88F5DBD2-C759-407A-A9C8-CE76C6FED9B3}" type="presParOf" srcId="{AFAB6F87-2E52-4847-B0A2-13CF68B7A06B}" destId="{DE55A61C-0F44-4BD5-BAA6-95FFD046C072}" srcOrd="0" destOrd="0" presId="urn:microsoft.com/office/officeart/2005/8/layout/vList4"/>
    <dgm:cxn modelId="{CD0A57C4-716F-4A48-908E-FBD8FE222B37}" type="presParOf" srcId="{AFAB6F87-2E52-4847-B0A2-13CF68B7A06B}" destId="{AD69DB62-4D8E-4EAF-AFF6-036BB624ED63}" srcOrd="1" destOrd="0" presId="urn:microsoft.com/office/officeart/2005/8/layout/vList4"/>
    <dgm:cxn modelId="{DE0A129D-CBDE-42B6-997F-3730542DDAB1}" type="presParOf" srcId="{AFAB6F87-2E52-4847-B0A2-13CF68B7A06B}" destId="{391459D5-BFCE-4D09-98D2-3F8B46B6F640}" srcOrd="2" destOrd="0" presId="urn:microsoft.com/office/officeart/2005/8/layout/vList4"/>
    <dgm:cxn modelId="{1DA7B53A-F840-4AF3-96A3-BA658BF40FC1}" type="presParOf" srcId="{6DE91D37-646D-4003-A508-995EC8164ABB}" destId="{7DA27A90-0FC9-49F4-83F5-85050F18BFD1}" srcOrd="7" destOrd="0" presId="urn:microsoft.com/office/officeart/2005/8/layout/vList4"/>
    <dgm:cxn modelId="{2C3AF399-A8C9-47C7-A506-A55E550C013F}" type="presParOf" srcId="{6DE91D37-646D-4003-A508-995EC8164ABB}" destId="{D066B88D-3627-4635-A5AF-2BDA348560F9}" srcOrd="8" destOrd="0" presId="urn:microsoft.com/office/officeart/2005/8/layout/vList4"/>
    <dgm:cxn modelId="{C63230CE-7E38-4568-9E95-C8859783571A}" type="presParOf" srcId="{D066B88D-3627-4635-A5AF-2BDA348560F9}" destId="{42C22DD4-AB37-47B3-B5DE-793616ABB514}" srcOrd="0" destOrd="0" presId="urn:microsoft.com/office/officeart/2005/8/layout/vList4"/>
    <dgm:cxn modelId="{98BF9053-F874-40AC-A0B9-351C8364E629}" type="presParOf" srcId="{D066B88D-3627-4635-A5AF-2BDA348560F9}" destId="{D9252CE2-63B1-46C4-A392-5B6C1BC35424}" srcOrd="1" destOrd="0" presId="urn:microsoft.com/office/officeart/2005/8/layout/vList4"/>
    <dgm:cxn modelId="{D4019AC2-305A-4D59-94B0-8D77D247CDFA}" type="presParOf" srcId="{D066B88D-3627-4635-A5AF-2BDA348560F9}" destId="{E10DA75D-DD0D-46BB-BEDB-E774423421D1}" srcOrd="2" destOrd="0" presId="urn:microsoft.com/office/officeart/2005/8/layout/vList4"/>
    <dgm:cxn modelId="{66C9691C-812A-441B-B74E-A395622444AD}" type="presParOf" srcId="{6DE91D37-646D-4003-A508-995EC8164ABB}" destId="{0BFF0C82-3429-4C90-9260-316312873759}" srcOrd="9" destOrd="0" presId="urn:microsoft.com/office/officeart/2005/8/layout/vList4"/>
    <dgm:cxn modelId="{923B2E06-370A-41ED-B588-DABC6992D540}" type="presParOf" srcId="{6DE91D37-646D-4003-A508-995EC8164ABB}" destId="{8243A92F-4007-436F-B7AB-59BF57D1EDB0}" srcOrd="10" destOrd="0" presId="urn:microsoft.com/office/officeart/2005/8/layout/vList4"/>
    <dgm:cxn modelId="{E491EE15-3C52-467E-BB0F-960B48EE86DC}" type="presParOf" srcId="{8243A92F-4007-436F-B7AB-59BF57D1EDB0}" destId="{7F75E77F-2060-4FB8-A402-2478FDCA80F8}" srcOrd="0" destOrd="0" presId="urn:microsoft.com/office/officeart/2005/8/layout/vList4"/>
    <dgm:cxn modelId="{54700371-AFE6-4A63-A2DB-EEA7E122E34B}" type="presParOf" srcId="{8243A92F-4007-436F-B7AB-59BF57D1EDB0}" destId="{E708E46C-45DC-4725-ADC6-A8377B983231}" srcOrd="1" destOrd="0" presId="urn:microsoft.com/office/officeart/2005/8/layout/vList4"/>
    <dgm:cxn modelId="{423FE88A-1DEB-48C9-8570-79E8C15E5711}" type="presParOf" srcId="{8243A92F-4007-436F-B7AB-59BF57D1EDB0}" destId="{12608A32-C05B-472A-98EB-852521B08820}" srcOrd="2" destOrd="0" presId="urn:microsoft.com/office/officeart/2005/8/layout/vList4"/>
    <dgm:cxn modelId="{A80B6C05-F778-4F3D-AA54-0827C1010F38}" type="presParOf" srcId="{6DE91D37-646D-4003-A508-995EC8164ABB}" destId="{B4870596-2346-4BA5-A6C1-28BBB4AE6DA8}" srcOrd="11" destOrd="0" presId="urn:microsoft.com/office/officeart/2005/8/layout/vList4"/>
    <dgm:cxn modelId="{AC208921-3DF1-44E7-8300-1432967C33F8}" type="presParOf" srcId="{6DE91D37-646D-4003-A508-995EC8164ABB}" destId="{856B9684-2E0F-4650-BEA0-E5E52C80AB3C}" srcOrd="12" destOrd="0" presId="urn:microsoft.com/office/officeart/2005/8/layout/vList4"/>
    <dgm:cxn modelId="{37D58E70-CDA2-4B32-AC30-F5CFF442EA7D}" type="presParOf" srcId="{856B9684-2E0F-4650-BEA0-E5E52C80AB3C}" destId="{349227C6-D96D-49E5-A20C-DD6EB4C2435D}" srcOrd="0" destOrd="0" presId="urn:microsoft.com/office/officeart/2005/8/layout/vList4"/>
    <dgm:cxn modelId="{4A4EBE0D-A87A-4F9F-A132-728B52E4CD36}" type="presParOf" srcId="{856B9684-2E0F-4650-BEA0-E5E52C80AB3C}" destId="{702C9DDF-3280-40F8-8242-5B20E83D88A9}" srcOrd="1" destOrd="0" presId="urn:microsoft.com/office/officeart/2005/8/layout/vList4"/>
    <dgm:cxn modelId="{AAB475F3-0E13-4677-A039-CFE3162ED525}" type="presParOf" srcId="{856B9684-2E0F-4650-BEA0-E5E52C80AB3C}" destId="{800CADAC-BCC1-49F8-B9A1-E6F2C20AC694}" srcOrd="2" destOrd="0" presId="urn:microsoft.com/office/officeart/2005/8/layout/vList4"/>
    <dgm:cxn modelId="{C1E37891-A8D4-4A6F-A989-88066A34FC5B}" type="presParOf" srcId="{6DE91D37-646D-4003-A508-995EC8164ABB}" destId="{F341DA6B-9C7D-4E34-A3F1-812C28AA8287}" srcOrd="13" destOrd="0" presId="urn:microsoft.com/office/officeart/2005/8/layout/vList4"/>
    <dgm:cxn modelId="{A9735043-31A0-4A55-ABA2-AB15B0B748F4}" type="presParOf" srcId="{6DE91D37-646D-4003-A508-995EC8164ABB}" destId="{7D72C21B-FA29-4D79-ABC9-5D9FAB36FBAB}" srcOrd="14" destOrd="0" presId="urn:microsoft.com/office/officeart/2005/8/layout/vList4"/>
    <dgm:cxn modelId="{60E1AE36-F45F-44D2-80C6-3DAC7F177FF0}" type="presParOf" srcId="{7D72C21B-FA29-4D79-ABC9-5D9FAB36FBAB}" destId="{121BE5DE-C141-4220-8688-960A3D13DC96}" srcOrd="0" destOrd="0" presId="urn:microsoft.com/office/officeart/2005/8/layout/vList4"/>
    <dgm:cxn modelId="{5502A46A-800F-47D0-8940-262A20A94BC8}" type="presParOf" srcId="{7D72C21B-FA29-4D79-ABC9-5D9FAB36FBAB}" destId="{6F6E5C40-3A75-47BF-89BD-6E2D0F5A1EE4}" srcOrd="1" destOrd="0" presId="urn:microsoft.com/office/officeart/2005/8/layout/vList4"/>
    <dgm:cxn modelId="{C16E61B5-9DE1-4FBD-B95A-955089C14737}" type="presParOf" srcId="{7D72C21B-FA29-4D79-ABC9-5D9FAB36FBAB}" destId="{F811D243-3B67-4030-A341-FDBB6E125024}" srcOrd="2" destOrd="0" presId="urn:microsoft.com/office/officeart/2005/8/layout/vList4"/>
    <dgm:cxn modelId="{B097F0F5-47FD-4E6D-A01A-57D8A4804CE8}" type="presParOf" srcId="{6DE91D37-646D-4003-A508-995EC8164ABB}" destId="{69FF4EBF-02A2-4C52-BA9D-DF325FC177C8}" srcOrd="15" destOrd="0" presId="urn:microsoft.com/office/officeart/2005/8/layout/vList4"/>
    <dgm:cxn modelId="{B443224F-6CFE-4B1C-B3B7-67B683D00D2F}" type="presParOf" srcId="{6DE91D37-646D-4003-A508-995EC8164ABB}" destId="{705C39D7-B1ED-4B9C-B0E0-67C554EB130F}" srcOrd="16" destOrd="0" presId="urn:microsoft.com/office/officeart/2005/8/layout/vList4"/>
    <dgm:cxn modelId="{DE5D85AE-6A89-4929-A79B-04420466FD1E}" type="presParOf" srcId="{705C39D7-B1ED-4B9C-B0E0-67C554EB130F}" destId="{F918540A-1B7C-4EA1-8F46-6503B96CC21B}" srcOrd="0" destOrd="0" presId="urn:microsoft.com/office/officeart/2005/8/layout/vList4"/>
    <dgm:cxn modelId="{E986EF47-A459-4C0D-8FAE-42A56AD5CD48}" type="presParOf" srcId="{705C39D7-B1ED-4B9C-B0E0-67C554EB130F}" destId="{371507FE-3304-42B7-8ADF-10CC41FA0DCF}" srcOrd="1" destOrd="0" presId="urn:microsoft.com/office/officeart/2005/8/layout/vList4"/>
    <dgm:cxn modelId="{B40DD41D-3418-4750-A609-B12386FBDBDB}" type="presParOf" srcId="{705C39D7-B1ED-4B9C-B0E0-67C554EB130F}" destId="{0C0505A7-60D5-4F40-93FB-15ABF5A9E09D}" srcOrd="2" destOrd="0" presId="urn:microsoft.com/office/officeart/2005/8/layout/vList4"/>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3750B-8C36-4689-B8DD-B520A963E010}">
      <dsp:nvSpPr>
        <dsp:cNvPr id="0" name=""/>
        <dsp:cNvSpPr/>
      </dsp:nvSpPr>
      <dsp:spPr>
        <a:xfrm>
          <a:off x="0" y="0"/>
          <a:ext cx="5476957" cy="59286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s-GT" sz="900" b="1" i="0" kern="1200">
              <a:latin typeface="Times New Roman" panose="02020603050405020304" pitchFamily="18" charset="0"/>
              <a:cs typeface="Times New Roman" panose="02020603050405020304" pitchFamily="18" charset="0"/>
            </a:rPr>
            <a:t>Extremos de lluvia: </a:t>
          </a:r>
          <a:r>
            <a:rPr lang="es-GT" sz="900" b="0" i="0" kern="1200">
              <a:latin typeface="Times New Roman" panose="02020603050405020304" pitchFamily="18" charset="0"/>
              <a:cs typeface="Times New Roman" panose="02020603050405020304" pitchFamily="18" charset="0"/>
            </a:rPr>
            <a:t>P</a:t>
          </a:r>
          <a:r>
            <a:rPr lang="es-GT" sz="900" b="0" kern="1200">
              <a:latin typeface="Times New Roman" panose="02020603050405020304" pitchFamily="18" charset="0"/>
              <a:cs typeface="Times New Roman" panose="02020603050405020304" pitchFamily="18" charset="0"/>
            </a:rPr>
            <a:t>r</a:t>
          </a:r>
          <a:r>
            <a:rPr lang="es-GT" sz="900" kern="1200">
              <a:latin typeface="Times New Roman" panose="02020603050405020304" pitchFamily="18" charset="0"/>
              <a:cs typeface="Times New Roman" panose="02020603050405020304" pitchFamily="18" charset="0"/>
            </a:rPr>
            <a:t>obabilidad que un día registre el máximo de precipitación diario registrado para una zona específica. Las principales amenazas para este fenómeno se identifican en la costa sur y bocacosta, así como en la franja transversal del norte y zonas del departamento de Izabal.</a:t>
          </a:r>
        </a:p>
      </dsp:txBody>
      <dsp:txXfrm>
        <a:off x="1168696" y="0"/>
        <a:ext cx="4308261" cy="592861"/>
      </dsp:txXfrm>
    </dsp:sp>
    <dsp:sp modelId="{9414F4A1-C1EC-495A-AC7B-B5B16805E1DC}">
      <dsp:nvSpPr>
        <dsp:cNvPr id="0" name=""/>
        <dsp:cNvSpPr/>
      </dsp:nvSpPr>
      <dsp:spPr>
        <a:xfrm>
          <a:off x="23081" y="3210"/>
          <a:ext cx="1095391" cy="586439"/>
        </a:xfrm>
        <a:prstGeom prst="roundRect">
          <a:avLst>
            <a:gd name="adj" fmla="val 10000"/>
          </a:avLst>
        </a:prstGeom>
        <a:blipFill rotWithShape="1">
          <a:blip xmlns:r="http://schemas.openxmlformats.org/officeDocument/2006/relationships" r:embed="rId1"/>
          <a:srcRect/>
          <a:stretch>
            <a:fillRect l="-2000" r="-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B3D82D50-85B2-4695-BF64-3B6CAF23F8D6}">
      <dsp:nvSpPr>
        <dsp:cNvPr id="0" name=""/>
        <dsp:cNvSpPr/>
      </dsp:nvSpPr>
      <dsp:spPr>
        <a:xfrm>
          <a:off x="0" y="669116"/>
          <a:ext cx="5476957" cy="58053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s-GT" sz="900" b="1" i="0" kern="1200">
              <a:latin typeface="Times New Roman" panose="02020603050405020304" pitchFamily="18" charset="0"/>
              <a:cs typeface="Times New Roman" panose="02020603050405020304" pitchFamily="18" charset="0"/>
            </a:rPr>
            <a:t>Sequias meteorológicas: </a:t>
          </a:r>
          <a:r>
            <a:rPr lang="es-GT" sz="900" b="0" i="0" kern="1200">
              <a:latin typeface="Times New Roman" panose="02020603050405020304" pitchFamily="18" charset="0"/>
              <a:cs typeface="Times New Roman" panose="02020603050405020304" pitchFamily="18" charset="0"/>
            </a:rPr>
            <a:t>S</a:t>
          </a:r>
          <a:r>
            <a:rPr lang="es-GT" sz="900" kern="1200">
              <a:latin typeface="Times New Roman" panose="02020603050405020304" pitchFamily="18" charset="0"/>
              <a:cs typeface="Times New Roman" panose="02020603050405020304" pitchFamily="18" charset="0"/>
            </a:rPr>
            <a:t>e identifican en El Progreso ,Baja Verapaz en la zona Sur de San Marcos, Retalhuleu y Suchitepéquez, la zona central de Petén. Para los próximos 30 años las zonas con niveles de amenaza alta y muy alta se extienden a Guatemala, Chimaltenango, Totonicapán, el Centro de Quiché y el Sur de Huehuetenango y la zona norte de Petén.</a:t>
          </a:r>
        </a:p>
      </dsp:txBody>
      <dsp:txXfrm>
        <a:off x="1168696" y="669116"/>
        <a:ext cx="4308261" cy="580538"/>
      </dsp:txXfrm>
    </dsp:sp>
    <dsp:sp modelId="{EC82EDC1-95E5-4234-A506-B5081E4BE31A}">
      <dsp:nvSpPr>
        <dsp:cNvPr id="0" name=""/>
        <dsp:cNvSpPr/>
      </dsp:nvSpPr>
      <dsp:spPr>
        <a:xfrm>
          <a:off x="30256" y="666166"/>
          <a:ext cx="1095391" cy="58643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 b="-3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DA4E5DB-68E8-4C0E-9189-FC61E00A4360}">
      <dsp:nvSpPr>
        <dsp:cNvPr id="0" name=""/>
        <dsp:cNvSpPr/>
      </dsp:nvSpPr>
      <dsp:spPr>
        <a:xfrm>
          <a:off x="0" y="1347601"/>
          <a:ext cx="5476957" cy="54305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s-GT" sz="900" b="1" kern="1200">
              <a:latin typeface="Times New Roman" panose="02020603050405020304" pitchFamily="18" charset="0"/>
              <a:cs typeface="Times New Roman" panose="02020603050405020304" pitchFamily="18" charset="0"/>
            </a:rPr>
            <a:t>Ciclones tropicales: </a:t>
          </a:r>
          <a:r>
            <a:rPr lang="es-GT" sz="900" kern="1200">
              <a:latin typeface="Times New Roman" panose="02020603050405020304" pitchFamily="18" charset="0"/>
              <a:cs typeface="Times New Roman" panose="02020603050405020304" pitchFamily="18" charset="0"/>
            </a:rPr>
            <a:t>Los departamentos más expuestos son Petén e Izabal, mientras que, de acuerdo con la tendencia incremental, se observa que en los próximos 30 años se podrían tener altos niveles de amenaza también en Alta Verapaz, Quiché, San Marcos, Quetzaltenango, Retalhuleu, Suchitepéquez y Escuintla.</a:t>
          </a:r>
        </a:p>
      </dsp:txBody>
      <dsp:txXfrm>
        <a:off x="1168696" y="1347601"/>
        <a:ext cx="4308261" cy="543057"/>
      </dsp:txXfrm>
    </dsp:sp>
    <dsp:sp modelId="{936A90A4-5E29-4999-9C4F-720127C3F1D9}">
      <dsp:nvSpPr>
        <dsp:cNvPr id="0" name=""/>
        <dsp:cNvSpPr/>
      </dsp:nvSpPr>
      <dsp:spPr>
        <a:xfrm>
          <a:off x="7132" y="1317630"/>
          <a:ext cx="1095391" cy="58643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E55A61C-0F44-4BD5-BAA6-95FFD046C072}">
      <dsp:nvSpPr>
        <dsp:cNvPr id="0" name=""/>
        <dsp:cNvSpPr/>
      </dsp:nvSpPr>
      <dsp:spPr>
        <a:xfrm>
          <a:off x="0" y="1986637"/>
          <a:ext cx="5476957" cy="584475"/>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s-GT" sz="900" b="1" kern="1200">
              <a:latin typeface="Times New Roman" panose="02020603050405020304" pitchFamily="18" charset="0"/>
              <a:cs typeface="Times New Roman" panose="02020603050405020304" pitchFamily="18" charset="0"/>
            </a:rPr>
            <a:t>Olas de calor: </a:t>
          </a:r>
          <a:r>
            <a:rPr lang="es-GT" sz="900" b="0" kern="1200">
              <a:latin typeface="Times New Roman" panose="02020603050405020304" pitchFamily="18" charset="0"/>
              <a:cs typeface="Times New Roman" panose="02020603050405020304" pitchFamily="18" charset="0"/>
            </a:rPr>
            <a:t>L</a:t>
          </a:r>
          <a:r>
            <a:rPr lang="es-GT" sz="900" kern="1200">
              <a:latin typeface="Times New Roman" panose="02020603050405020304" pitchFamily="18" charset="0"/>
              <a:cs typeface="Times New Roman" panose="02020603050405020304" pitchFamily="18" charset="0"/>
            </a:rPr>
            <a:t>as zonas más amenazadas son Jutiapa, Santa Rosa, Escuintla, Suchitepéquez y Retalhuleu, en la costa Sur, Izabal tiene un alto nivel de amenaza, así como parte de los departamentos de Zacapa, El Progreso, y la zona central de Petén. </a:t>
          </a:r>
        </a:p>
      </dsp:txBody>
      <dsp:txXfrm>
        <a:off x="1168696" y="1986637"/>
        <a:ext cx="4308261" cy="584475"/>
      </dsp:txXfrm>
    </dsp:sp>
    <dsp:sp modelId="{AD69DB62-4D8E-4EAF-AFF6-036BB624ED63}">
      <dsp:nvSpPr>
        <dsp:cNvPr id="0" name=""/>
        <dsp:cNvSpPr/>
      </dsp:nvSpPr>
      <dsp:spPr>
        <a:xfrm>
          <a:off x="15906" y="1971915"/>
          <a:ext cx="1095391" cy="586439"/>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6000" b="-6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42C22DD4-AB37-47B3-B5DE-793616ABB514}">
      <dsp:nvSpPr>
        <dsp:cNvPr id="0" name=""/>
        <dsp:cNvSpPr/>
      </dsp:nvSpPr>
      <dsp:spPr>
        <a:xfrm>
          <a:off x="0" y="2673014"/>
          <a:ext cx="5476957" cy="53121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s-GT" sz="900" b="1" kern="1200">
              <a:latin typeface="Times New Roman" panose="02020603050405020304" pitchFamily="18" charset="0"/>
              <a:cs typeface="Times New Roman" panose="02020603050405020304" pitchFamily="18" charset="0"/>
            </a:rPr>
            <a:t>Inundaciones:</a:t>
          </a:r>
          <a:r>
            <a:rPr lang="es-GT" sz="900" kern="1200">
              <a:latin typeface="Times New Roman" panose="02020603050405020304" pitchFamily="18" charset="0"/>
              <a:cs typeface="Times New Roman" panose="02020603050405020304" pitchFamily="18" charset="0"/>
            </a:rPr>
            <a:t> Los departamentos mas expuestos son Escuintla, Suchitepéquez, Quiché, Petén, Izabal, Guatemala y Alta Verapaz. De acuerdo con las tendencias de variación en los patrones para el período 2040-2069, los departamentos más expuestos serían Huehuetenango, Alta Verapaz, San Marcos, Suchitepéquez, Chimaltenango y Escuintla.</a:t>
          </a:r>
        </a:p>
      </dsp:txBody>
      <dsp:txXfrm>
        <a:off x="1168696" y="2673014"/>
        <a:ext cx="4308261" cy="531211"/>
      </dsp:txXfrm>
    </dsp:sp>
    <dsp:sp modelId="{D9252CE2-63B1-46C4-A392-5B6C1BC35424}">
      <dsp:nvSpPr>
        <dsp:cNvPr id="0" name=""/>
        <dsp:cNvSpPr/>
      </dsp:nvSpPr>
      <dsp:spPr>
        <a:xfrm>
          <a:off x="15906" y="2645400"/>
          <a:ext cx="1095391" cy="586439"/>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7F75E77F-2060-4FB8-A402-2478FDCA80F8}">
      <dsp:nvSpPr>
        <dsp:cNvPr id="0" name=""/>
        <dsp:cNvSpPr/>
      </dsp:nvSpPr>
      <dsp:spPr>
        <a:xfrm>
          <a:off x="0" y="3343607"/>
          <a:ext cx="5476957" cy="5095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s-GT" sz="900" b="1" kern="1200">
              <a:latin typeface="Times New Roman" panose="02020603050405020304" pitchFamily="18" charset="0"/>
              <a:cs typeface="Times New Roman" panose="02020603050405020304" pitchFamily="18" charset="0"/>
            </a:rPr>
            <a:t>Heladas:</a:t>
          </a:r>
          <a:r>
            <a:rPr lang="es-GT" sz="900" kern="1200">
              <a:latin typeface="Times New Roman" panose="02020603050405020304" pitchFamily="18" charset="0"/>
              <a:cs typeface="Times New Roman" panose="02020603050405020304" pitchFamily="18" charset="0"/>
            </a:rPr>
            <a:t> Totonicapán, es el departamento con temperaturas medias más bajas actualmente y es el más amenazado, aunque también se identifican probabilidades de ocurrencia en Sololá, San Marcos, Sacatepéquez, Quetzaltenango, Huehuetenango y Chimaltenango. </a:t>
          </a:r>
        </a:p>
      </dsp:txBody>
      <dsp:txXfrm>
        <a:off x="1168696" y="3343607"/>
        <a:ext cx="4308261" cy="509513"/>
      </dsp:txXfrm>
    </dsp:sp>
    <dsp:sp modelId="{E708E46C-45DC-4725-ADC6-A8377B983231}">
      <dsp:nvSpPr>
        <dsp:cNvPr id="0" name=""/>
        <dsp:cNvSpPr/>
      </dsp:nvSpPr>
      <dsp:spPr>
        <a:xfrm>
          <a:off x="23081" y="3298277"/>
          <a:ext cx="1095391" cy="586439"/>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3000" b="-3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49227C6-D96D-49E5-A20C-DD6EB4C2435D}">
      <dsp:nvSpPr>
        <dsp:cNvPr id="0" name=""/>
        <dsp:cNvSpPr/>
      </dsp:nvSpPr>
      <dsp:spPr>
        <a:xfrm>
          <a:off x="0" y="3964889"/>
          <a:ext cx="5476957" cy="59943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s-GT" sz="900" b="1" kern="1200">
              <a:latin typeface="Times New Roman" panose="02020603050405020304" pitchFamily="18" charset="0"/>
              <a:cs typeface="Times New Roman" panose="02020603050405020304" pitchFamily="18" charset="0"/>
            </a:rPr>
            <a:t>Deslizamiento de tierra: </a:t>
          </a:r>
          <a:r>
            <a:rPr lang="es-GT" sz="900" kern="1200">
              <a:latin typeface="Times New Roman" panose="02020603050405020304" pitchFamily="18" charset="0"/>
              <a:cs typeface="Times New Roman" panose="02020603050405020304" pitchFamily="18" charset="0"/>
            </a:rPr>
            <a:t>Los departamentos más amenazados son Huehuetenango, Quiché, Alta Verapaz, San Marcos, Quetzaltenango, Sololá, Sacatepéquez, Guatemala y El Progreso. Considerando que este tipo de amenaza está ligado a las precipitaciones cuya tendencia es a disminuir, la cantidad de departamentos altamente amenazados por este tipo de fenómeno disminuye. </a:t>
          </a:r>
        </a:p>
      </dsp:txBody>
      <dsp:txXfrm>
        <a:off x="1168696" y="3964889"/>
        <a:ext cx="4308261" cy="599436"/>
      </dsp:txXfrm>
    </dsp:sp>
    <dsp:sp modelId="{702C9DDF-3280-40F8-8242-5B20E83D88A9}">
      <dsp:nvSpPr>
        <dsp:cNvPr id="0" name=""/>
        <dsp:cNvSpPr/>
      </dsp:nvSpPr>
      <dsp:spPr>
        <a:xfrm>
          <a:off x="8731" y="3978254"/>
          <a:ext cx="1095391" cy="586439"/>
        </a:xfrm>
        <a:prstGeom prst="roundRect">
          <a:avLst>
            <a:gd name="adj" fmla="val 1000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14000" b="-14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21BE5DE-C141-4220-8688-960A3D13DC96}">
      <dsp:nvSpPr>
        <dsp:cNvPr id="0" name=""/>
        <dsp:cNvSpPr/>
      </dsp:nvSpPr>
      <dsp:spPr>
        <a:xfrm>
          <a:off x="0" y="4637630"/>
          <a:ext cx="5476957" cy="61966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s-GT" sz="900" b="1" kern="1200">
              <a:latin typeface="Times New Roman" panose="02020603050405020304" pitchFamily="18" charset="0"/>
              <a:cs typeface="Times New Roman" panose="02020603050405020304" pitchFamily="18" charset="0"/>
            </a:rPr>
            <a:t>Frente frio: </a:t>
          </a:r>
          <a:r>
            <a:rPr lang="es-GT" sz="900" kern="1200">
              <a:latin typeface="Times New Roman" panose="02020603050405020304" pitchFamily="18" charset="0"/>
              <a:cs typeface="Times New Roman" panose="02020603050405020304" pitchFamily="18" charset="0"/>
            </a:rPr>
            <a:t>Actualmente Petén, es el departamento más expuesto, aunque también, se identifican altos niveles de amenaza en Totonicapán, Huehuetenango, Quiché, Alta Verapaz, Baja Verapaz e Izabal. Dadas las condiciones esperadas de incrementos en la temperatura global, se estima que esta será una amenaza que irá en decremento.</a:t>
          </a:r>
          <a:endParaRPr lang="es-GT" sz="900" kern="1200"/>
        </a:p>
      </dsp:txBody>
      <dsp:txXfrm>
        <a:off x="1168696" y="4637630"/>
        <a:ext cx="4308261" cy="619661"/>
      </dsp:txXfrm>
    </dsp:sp>
    <dsp:sp modelId="{6F6E5C40-3A75-47BF-89BD-6E2D0F5A1EE4}">
      <dsp:nvSpPr>
        <dsp:cNvPr id="0" name=""/>
        <dsp:cNvSpPr/>
      </dsp:nvSpPr>
      <dsp:spPr>
        <a:xfrm>
          <a:off x="15906" y="4647374"/>
          <a:ext cx="1095391" cy="586439"/>
        </a:xfrm>
        <a:prstGeom prst="roundRect">
          <a:avLst>
            <a:gd name="adj" fmla="val 1000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2000" r="-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F918540A-1B7C-4EA1-8F46-6503B96CC21B}">
      <dsp:nvSpPr>
        <dsp:cNvPr id="0" name=""/>
        <dsp:cNvSpPr/>
      </dsp:nvSpPr>
      <dsp:spPr>
        <a:xfrm>
          <a:off x="0" y="5369947"/>
          <a:ext cx="5476957" cy="507739"/>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s-GT" sz="900" b="1" kern="1200">
              <a:latin typeface="Times New Roman" panose="02020603050405020304" pitchFamily="18" charset="0"/>
              <a:cs typeface="Times New Roman" panose="02020603050405020304" pitchFamily="18" charset="0"/>
            </a:rPr>
            <a:t>Incendio Forestal: </a:t>
          </a:r>
          <a:r>
            <a:rPr lang="es-GT" sz="900" b="0" kern="1200">
              <a:latin typeface="Times New Roman" panose="02020603050405020304" pitchFamily="18" charset="0"/>
              <a:cs typeface="Times New Roman" panose="02020603050405020304" pitchFamily="18" charset="0"/>
            </a:rPr>
            <a:t>Actu</a:t>
          </a:r>
          <a:r>
            <a:rPr lang="es-GT" sz="900" kern="1200">
              <a:latin typeface="Times New Roman" panose="02020603050405020304" pitchFamily="18" charset="0"/>
              <a:cs typeface="Times New Roman" panose="02020603050405020304" pitchFamily="18" charset="0"/>
            </a:rPr>
            <a:t>almente los departamentos mayormente expuestos son Petén, Quiché, Baja Verapaz y Jalapa; por otro lado, en el escenario de cambio climático, dada la variación en los patrones de temperaturas, se identifica más departamentos de oriente, en la zona central, y en el altiplano occidental. </a:t>
          </a:r>
        </a:p>
      </dsp:txBody>
      <dsp:txXfrm>
        <a:off x="1168696" y="5369947"/>
        <a:ext cx="4308261" cy="507739"/>
      </dsp:txXfrm>
    </dsp:sp>
    <dsp:sp modelId="{371507FE-3304-42B7-8ADF-10CC41FA0DCF}">
      <dsp:nvSpPr>
        <dsp:cNvPr id="0" name=""/>
        <dsp:cNvSpPr/>
      </dsp:nvSpPr>
      <dsp:spPr>
        <a:xfrm>
          <a:off x="23081" y="5310212"/>
          <a:ext cx="1095391" cy="586439"/>
        </a:xfrm>
        <a:prstGeom prst="roundRect">
          <a:avLst>
            <a:gd name="adj" fmla="val 10000"/>
          </a:avLst>
        </a:prstGeom>
        <a:blipFill>
          <a:blip xmlns:r="http://schemas.openxmlformats.org/officeDocument/2006/relationships" r:embed="rId9">
            <a:extLst>
              <a:ext uri="{28A0092B-C50C-407E-A947-70E740481C1C}">
                <a14:useLocalDpi xmlns:a14="http://schemas.microsoft.com/office/drawing/2010/main" val="0"/>
              </a:ext>
            </a:extLst>
          </a:blip>
          <a:srcRect/>
          <a:stretch>
            <a:fillRect t="-9000" b="-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0.45712</cdr:x>
      <cdr:y>0.16952</cdr:y>
    </cdr:from>
    <cdr:to>
      <cdr:x>0.98507</cdr:x>
      <cdr:y>0.96626</cdr:y>
    </cdr:to>
    <cdr:sp macro="" textlink="">
      <cdr:nvSpPr>
        <cdr:cNvPr id="2" name="Rectángulo: esquinas redondeadas 1"/>
        <cdr:cNvSpPr/>
      </cdr:nvSpPr>
      <cdr:spPr>
        <a:xfrm xmlns:a="http://schemas.openxmlformats.org/drawingml/2006/main">
          <a:off x="2529444" y="296883"/>
          <a:ext cx="2921330" cy="1395351"/>
        </a:xfrm>
        <a:prstGeom xmlns:a="http://schemas.openxmlformats.org/drawingml/2006/main" prst="roundRect">
          <a:avLst/>
        </a:prstGeom>
        <a:solidFill xmlns:a="http://schemas.openxmlformats.org/drawingml/2006/main">
          <a:schemeClr val="accent2">
            <a:lumMod val="20000"/>
            <a:lumOff val="80000"/>
            <a:alpha val="17000"/>
          </a:schemeClr>
        </a:solidFill>
        <a:ln xmlns:a="http://schemas.openxmlformats.org/drawingml/2006/main">
          <a:solidFill>
            <a:schemeClr val="accent1">
              <a:shade val="50000"/>
              <a:alpha val="40000"/>
            </a:schemeClr>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drawings/drawing2.xml><?xml version="1.0" encoding="utf-8"?>
<c:userShapes xmlns:c="http://schemas.openxmlformats.org/drawingml/2006/chart">
  <cdr:relSizeAnchor xmlns:cdr="http://schemas.openxmlformats.org/drawingml/2006/chartDrawing">
    <cdr:from>
      <cdr:x>0.73584</cdr:x>
      <cdr:y>0.71878</cdr:y>
    </cdr:from>
    <cdr:to>
      <cdr:x>0.92926</cdr:x>
      <cdr:y>0.84067</cdr:y>
    </cdr:to>
    <cdr:sp macro="" textlink="">
      <cdr:nvSpPr>
        <cdr:cNvPr id="8" name="CuadroTexto 1">
          <a:extLst xmlns:a="http://schemas.openxmlformats.org/drawingml/2006/main">
            <a:ext uri="{FF2B5EF4-FFF2-40B4-BE49-F238E27FC236}">
              <a16:creationId xmlns:a16="http://schemas.microsoft.com/office/drawing/2014/main" id="{3DA448A5-2119-461F-AB6C-BCF04A13ED7F}"/>
            </a:ext>
          </a:extLst>
        </cdr:cNvPr>
        <cdr:cNvSpPr txBox="1"/>
      </cdr:nvSpPr>
      <cdr:spPr>
        <a:xfrm xmlns:a="http://schemas.openxmlformats.org/drawingml/2006/main">
          <a:off x="3576172" y="1293806"/>
          <a:ext cx="940032" cy="2194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1000" b="1">
              <a:solidFill>
                <a:schemeClr val="tx1"/>
              </a:solidFill>
              <a:latin typeface="Times New Roman" panose="02020603050405020304" pitchFamily="18" charset="0"/>
              <a:cs typeface="Times New Roman" panose="02020603050405020304" pitchFamily="18" charset="0"/>
            </a:rPr>
            <a:t>Ingreso alto</a:t>
          </a:r>
        </a:p>
      </cdr:txBody>
    </cdr:sp>
  </cdr:relSizeAnchor>
  <cdr:relSizeAnchor xmlns:cdr="http://schemas.openxmlformats.org/drawingml/2006/chartDrawing">
    <cdr:from>
      <cdr:x>0.06992</cdr:x>
      <cdr:y>0.63985</cdr:y>
    </cdr:from>
    <cdr:to>
      <cdr:x>0.26335</cdr:x>
      <cdr:y>0.76175</cdr:y>
    </cdr:to>
    <cdr:sp macro="" textlink="">
      <cdr:nvSpPr>
        <cdr:cNvPr id="9" name="CuadroTexto 1">
          <a:extLst xmlns:a="http://schemas.openxmlformats.org/drawingml/2006/main">
            <a:ext uri="{FF2B5EF4-FFF2-40B4-BE49-F238E27FC236}">
              <a16:creationId xmlns:a16="http://schemas.microsoft.com/office/drawing/2014/main" id="{B609FD8B-C992-4570-9336-A7CA8C2296A3}"/>
            </a:ext>
          </a:extLst>
        </cdr:cNvPr>
        <cdr:cNvSpPr txBox="1"/>
      </cdr:nvSpPr>
      <cdr:spPr>
        <a:xfrm xmlns:a="http://schemas.openxmlformats.org/drawingml/2006/main">
          <a:off x="339801" y="1151737"/>
          <a:ext cx="940080" cy="2194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1000" b="1">
              <a:solidFill>
                <a:schemeClr val="tx1"/>
              </a:solidFill>
              <a:latin typeface="Times New Roman" panose="02020603050405020304" pitchFamily="18" charset="0"/>
              <a:cs typeface="Times New Roman" panose="02020603050405020304" pitchFamily="18" charset="0"/>
            </a:rPr>
            <a:t>Ingreso bajo y mediano bajo</a:t>
          </a:r>
        </a:p>
      </cdr:txBody>
    </cdr:sp>
  </cdr:relSizeAnchor>
  <cdr:relSizeAnchor xmlns:cdr="http://schemas.openxmlformats.org/drawingml/2006/chartDrawing">
    <cdr:from>
      <cdr:x>0.64146</cdr:x>
      <cdr:y>0.0434</cdr:y>
    </cdr:from>
    <cdr:to>
      <cdr:x>0.64342</cdr:x>
      <cdr:y>0.8585</cdr:y>
    </cdr:to>
    <cdr:cxnSp macro="">
      <cdr:nvCxnSpPr>
        <cdr:cNvPr id="4" name="Conector recto 3">
          <a:extLst xmlns:a="http://schemas.openxmlformats.org/drawingml/2006/main">
            <a:ext uri="{FF2B5EF4-FFF2-40B4-BE49-F238E27FC236}">
              <a16:creationId xmlns:a16="http://schemas.microsoft.com/office/drawing/2014/main" id="{E400B4ED-A48C-4DDC-A051-7BCEC87CDB8C}"/>
            </a:ext>
          </a:extLst>
        </cdr:cNvPr>
        <cdr:cNvCxnSpPr/>
      </cdr:nvCxnSpPr>
      <cdr:spPr>
        <a:xfrm xmlns:a="http://schemas.openxmlformats.org/drawingml/2006/main">
          <a:off x="3117281" y="78096"/>
          <a:ext cx="9525" cy="1466850"/>
        </a:xfrm>
        <a:prstGeom xmlns:a="http://schemas.openxmlformats.org/drawingml/2006/main" prst="line">
          <a:avLst/>
        </a:prstGeom>
        <a:ln xmlns:a="http://schemas.openxmlformats.org/drawingml/2006/main">
          <a:solidFill>
            <a:schemeClr val="accent6"/>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0.24096</cdr:x>
      <cdr:y>0.06236</cdr:y>
    </cdr:from>
    <cdr:to>
      <cdr:x>0.24292</cdr:x>
      <cdr:y>0.87746</cdr:y>
    </cdr:to>
    <cdr:cxnSp macro="">
      <cdr:nvCxnSpPr>
        <cdr:cNvPr id="5" name="Conector recto 4">
          <a:extLst xmlns:a="http://schemas.openxmlformats.org/drawingml/2006/main">
            <a:ext uri="{FF2B5EF4-FFF2-40B4-BE49-F238E27FC236}">
              <a16:creationId xmlns:a16="http://schemas.microsoft.com/office/drawing/2014/main" id="{E400B4ED-A48C-4DDC-A051-7BCEC87CDB8C}"/>
            </a:ext>
          </a:extLst>
        </cdr:cNvPr>
        <cdr:cNvCxnSpPr/>
      </cdr:nvCxnSpPr>
      <cdr:spPr>
        <a:xfrm xmlns:a="http://schemas.openxmlformats.org/drawingml/2006/main">
          <a:off x="1171006" y="112215"/>
          <a:ext cx="9525" cy="1466850"/>
        </a:xfrm>
        <a:prstGeom xmlns:a="http://schemas.openxmlformats.org/drawingml/2006/main" prst="line">
          <a:avLst/>
        </a:prstGeom>
        <a:ln xmlns:a="http://schemas.openxmlformats.org/drawingml/2006/main">
          <a:solidFill>
            <a:schemeClr val="accent6"/>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0.06301</cdr:x>
      <cdr:y>0.09801</cdr:y>
    </cdr:from>
    <cdr:to>
      <cdr:x>0.25659</cdr:x>
      <cdr:y>0.19375</cdr:y>
    </cdr:to>
    <cdr:sp macro="" textlink="">
      <cdr:nvSpPr>
        <cdr:cNvPr id="2" name="CuadroTexto 1">
          <a:extLst xmlns:a="http://schemas.openxmlformats.org/drawingml/2006/main">
            <a:ext uri="{FF2B5EF4-FFF2-40B4-BE49-F238E27FC236}">
              <a16:creationId xmlns:a16="http://schemas.microsoft.com/office/drawing/2014/main" id="{8ECFEC50-D79E-4CE3-9F3F-44BA5CC7CC66}"/>
            </a:ext>
          </a:extLst>
        </cdr:cNvPr>
        <cdr:cNvSpPr txBox="1"/>
      </cdr:nvSpPr>
      <cdr:spPr>
        <a:xfrm xmlns:a="http://schemas.openxmlformats.org/drawingml/2006/main">
          <a:off x="362930" y="405757"/>
          <a:ext cx="1115021" cy="3963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GT" sz="900">
              <a:latin typeface="Times New Roman" panose="02020603050405020304" pitchFamily="18" charset="0"/>
              <a:cs typeface="Times New Roman" panose="02020603050405020304" pitchFamily="18" charset="0"/>
            </a:rPr>
            <a:t>(Como</a:t>
          </a:r>
          <a:r>
            <a:rPr lang="es-GT" sz="900" baseline="0">
              <a:latin typeface="Times New Roman" panose="02020603050405020304" pitchFamily="18" charset="0"/>
              <a:cs typeface="Times New Roman" panose="02020603050405020304" pitchFamily="18" charset="0"/>
            </a:rPr>
            <a:t> porcentaje del PIB)</a:t>
          </a:r>
          <a:endParaRPr lang="es-GT"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0.4642</cdr:x>
      <cdr:y>0.03258</cdr:y>
    </cdr:from>
    <cdr:to>
      <cdr:x>0.5504</cdr:x>
      <cdr:y>0.12832</cdr:y>
    </cdr:to>
    <cdr:sp macro="" textlink="">
      <cdr:nvSpPr>
        <cdr:cNvPr id="3" name="CuadroTexto 1">
          <a:extLst xmlns:a="http://schemas.openxmlformats.org/drawingml/2006/main">
            <a:ext uri="{FF2B5EF4-FFF2-40B4-BE49-F238E27FC236}">
              <a16:creationId xmlns:a16="http://schemas.microsoft.com/office/drawing/2014/main" id="{508CF774-3693-4F56-A95F-FC8CC2C58EE5}"/>
            </a:ext>
          </a:extLst>
        </cdr:cNvPr>
        <cdr:cNvSpPr txBox="1"/>
      </cdr:nvSpPr>
      <cdr:spPr>
        <a:xfrm xmlns:a="http://schemas.openxmlformats.org/drawingml/2006/main">
          <a:off x="2339590" y="82109"/>
          <a:ext cx="434448" cy="241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1000">
              <a:latin typeface="Times New Roman" panose="02020603050405020304" pitchFamily="18" charset="0"/>
              <a:cs typeface="Times New Roman" panose="02020603050405020304" pitchFamily="18" charset="0"/>
            </a:rPr>
            <a:t>Proyección</a:t>
          </a:r>
        </a:p>
      </cdr:txBody>
    </cdr:sp>
  </cdr:relSizeAnchor>
  <cdr:relSizeAnchor xmlns:cdr="http://schemas.openxmlformats.org/drawingml/2006/chartDrawing">
    <cdr:from>
      <cdr:x>0.59698</cdr:x>
      <cdr:y>0.10677</cdr:y>
    </cdr:from>
    <cdr:to>
      <cdr:x>0.65079</cdr:x>
      <cdr:y>0.10677</cdr:y>
    </cdr:to>
    <cdr:cxnSp macro="">
      <cdr:nvCxnSpPr>
        <cdr:cNvPr id="5" name="Conector recto de flecha 4">
          <a:extLst xmlns:a="http://schemas.openxmlformats.org/drawingml/2006/main">
            <a:ext uri="{FF2B5EF4-FFF2-40B4-BE49-F238E27FC236}">
              <a16:creationId xmlns:a16="http://schemas.microsoft.com/office/drawing/2014/main" id="{4FA123A3-9CE3-4E54-8CAA-EF536972550C}"/>
            </a:ext>
          </a:extLst>
        </cdr:cNvPr>
        <cdr:cNvCxnSpPr/>
      </cdr:nvCxnSpPr>
      <cdr:spPr>
        <a:xfrm xmlns:a="http://schemas.openxmlformats.org/drawingml/2006/main">
          <a:off x="3003087" y="192177"/>
          <a:ext cx="270690"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0.67262</cdr:x>
      <cdr:y>0.04071</cdr:y>
    </cdr:from>
    <cdr:to>
      <cdr:x>0.99111</cdr:x>
      <cdr:y>0.78154</cdr:y>
    </cdr:to>
    <cdr:sp macro="" textlink="">
      <cdr:nvSpPr>
        <cdr:cNvPr id="6" name="Rectángulo 5">
          <a:extLst xmlns:a="http://schemas.openxmlformats.org/drawingml/2006/main">
            <a:ext uri="{FF2B5EF4-FFF2-40B4-BE49-F238E27FC236}">
              <a16:creationId xmlns:a16="http://schemas.microsoft.com/office/drawing/2014/main" id="{00000000-0008-0000-0000-000003000000}"/>
            </a:ext>
          </a:extLst>
        </cdr:cNvPr>
        <cdr:cNvSpPr/>
      </cdr:nvSpPr>
      <cdr:spPr>
        <a:xfrm xmlns:a="http://schemas.openxmlformats.org/drawingml/2006/main">
          <a:off x="4529085" y="73270"/>
          <a:ext cx="2144520" cy="1333500"/>
        </a:xfrm>
        <a:prstGeom xmlns:a="http://schemas.openxmlformats.org/drawingml/2006/main" prst="rect">
          <a:avLst/>
        </a:prstGeom>
        <a:solidFill xmlns:a="http://schemas.openxmlformats.org/drawingml/2006/main">
          <a:schemeClr val="bg1">
            <a:lumMod val="50000"/>
            <a:alpha val="11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GT" sz="1100"/>
        </a:p>
      </cdr:txBody>
    </cdr:sp>
  </cdr:relSizeAnchor>
</c:userShapes>
</file>

<file path=word/drawings/drawing4.xml><?xml version="1.0" encoding="utf-8"?>
<c:userShapes xmlns:c="http://schemas.openxmlformats.org/drawingml/2006/chart">
  <cdr:relSizeAnchor xmlns:cdr="http://schemas.openxmlformats.org/drawingml/2006/chartDrawing">
    <cdr:from>
      <cdr:x>0.20861</cdr:x>
      <cdr:y>0.07832</cdr:y>
    </cdr:from>
    <cdr:to>
      <cdr:x>0.34437</cdr:x>
      <cdr:y>0.25865</cdr:y>
    </cdr:to>
    <cdr:sp macro="" textlink="">
      <cdr:nvSpPr>
        <cdr:cNvPr id="2" name="Rectángulo 1"/>
        <cdr:cNvSpPr/>
      </cdr:nvSpPr>
      <cdr:spPr>
        <a:xfrm xmlns:a="http://schemas.openxmlformats.org/drawingml/2006/main">
          <a:off x="600075" y="136525"/>
          <a:ext cx="390525" cy="31432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GT" sz="600">
              <a:solidFill>
                <a:sysClr val="windowText" lastClr="000000"/>
              </a:solidFill>
              <a:latin typeface="Times New Roman" panose="02020603050405020304" pitchFamily="18" charset="0"/>
              <a:cs typeface="Times New Roman" panose="02020603050405020304" pitchFamily="18" charset="0"/>
            </a:rPr>
            <a:t>64.9%</a:t>
          </a:r>
        </a:p>
        <a:p xmlns:a="http://schemas.openxmlformats.org/drawingml/2006/main">
          <a:r>
            <a:rPr lang="es-GT" sz="600">
              <a:solidFill>
                <a:sysClr val="windowText" lastClr="000000"/>
              </a:solidFill>
              <a:latin typeface="Times New Roman" panose="02020603050405020304" pitchFamily="18" charset="0"/>
              <a:cs typeface="Times New Roman" panose="02020603050405020304" pitchFamily="18" charset="0"/>
            </a:rPr>
            <a:t>35.1%</a:t>
          </a:r>
        </a:p>
      </cdr:txBody>
    </cdr:sp>
  </cdr:relSizeAnchor>
</c:userShapes>
</file>

<file path=word/drawings/drawing5.xml><?xml version="1.0" encoding="utf-8"?>
<c:userShapes xmlns:c="http://schemas.openxmlformats.org/drawingml/2006/chart">
  <cdr:relSizeAnchor xmlns:cdr="http://schemas.openxmlformats.org/drawingml/2006/chartDrawing">
    <cdr:from>
      <cdr:x>0.38906</cdr:x>
      <cdr:y>0.52613</cdr:y>
    </cdr:from>
    <cdr:to>
      <cdr:x>0.95201</cdr:x>
      <cdr:y>0.79668</cdr:y>
    </cdr:to>
    <cdr:sp macro="" textlink="">
      <cdr:nvSpPr>
        <cdr:cNvPr id="6" name="Rectángulo 5">
          <a:extLst xmlns:a="http://schemas.openxmlformats.org/drawingml/2006/main">
            <a:ext uri="{FF2B5EF4-FFF2-40B4-BE49-F238E27FC236}">
              <a16:creationId xmlns:a16="http://schemas.microsoft.com/office/drawing/2014/main" id="{FB25EC67-175D-59AA-EDB8-AAE3B88F7BF1}"/>
            </a:ext>
          </a:extLst>
        </cdr:cNvPr>
        <cdr:cNvSpPr/>
      </cdr:nvSpPr>
      <cdr:spPr>
        <a:xfrm xmlns:a="http://schemas.openxmlformats.org/drawingml/2006/main">
          <a:off x="1801498" y="1004948"/>
          <a:ext cx="2606729" cy="516778"/>
        </a:xfrm>
        <a:prstGeom xmlns:a="http://schemas.openxmlformats.org/drawingml/2006/main" prst="rect">
          <a:avLst/>
        </a:prstGeom>
        <a:solidFill xmlns:a="http://schemas.openxmlformats.org/drawingml/2006/main">
          <a:schemeClr val="accent6">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GT" sz="1100"/>
        </a:p>
      </cdr:txBody>
    </cdr:sp>
  </cdr:relSizeAnchor>
  <cdr:relSizeAnchor xmlns:cdr="http://schemas.openxmlformats.org/drawingml/2006/chartDrawing">
    <cdr:from>
      <cdr:x>0.38845</cdr:x>
      <cdr:y>0.27176</cdr:y>
    </cdr:from>
    <cdr:to>
      <cdr:x>0.94907</cdr:x>
      <cdr:y>0.52517</cdr:y>
    </cdr:to>
    <cdr:sp macro="" textlink="">
      <cdr:nvSpPr>
        <cdr:cNvPr id="5" name="Rectángulo 4">
          <a:extLst xmlns:a="http://schemas.openxmlformats.org/drawingml/2006/main">
            <a:ext uri="{FF2B5EF4-FFF2-40B4-BE49-F238E27FC236}">
              <a16:creationId xmlns:a16="http://schemas.microsoft.com/office/drawing/2014/main" id="{38CBF9ED-8382-FC1C-DD79-E2568771B926}"/>
            </a:ext>
          </a:extLst>
        </cdr:cNvPr>
        <cdr:cNvSpPr/>
      </cdr:nvSpPr>
      <cdr:spPr>
        <a:xfrm xmlns:a="http://schemas.openxmlformats.org/drawingml/2006/main">
          <a:off x="1798691" y="519074"/>
          <a:ext cx="2595888" cy="484036"/>
        </a:xfrm>
        <a:prstGeom xmlns:a="http://schemas.openxmlformats.org/drawingml/2006/main" prst="rect">
          <a:avLst/>
        </a:prstGeom>
        <a:solidFill xmlns:a="http://schemas.openxmlformats.org/drawingml/2006/main">
          <a:schemeClr val="accent4">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GT" sz="1100"/>
        </a:p>
      </cdr:txBody>
    </cdr:sp>
  </cdr:relSizeAnchor>
  <cdr:relSizeAnchor xmlns:cdr="http://schemas.openxmlformats.org/drawingml/2006/chartDrawing">
    <cdr:from>
      <cdr:x>0.38758</cdr:x>
      <cdr:y>0</cdr:y>
    </cdr:from>
    <cdr:to>
      <cdr:x>0.95054</cdr:x>
      <cdr:y>0.2721</cdr:y>
    </cdr:to>
    <cdr:sp macro="" textlink="">
      <cdr:nvSpPr>
        <cdr:cNvPr id="7" name="Rectángulo 6">
          <a:extLst xmlns:a="http://schemas.openxmlformats.org/drawingml/2006/main">
            <a:ext uri="{FF2B5EF4-FFF2-40B4-BE49-F238E27FC236}">
              <a16:creationId xmlns:a16="http://schemas.microsoft.com/office/drawing/2014/main" id="{AAF89C6D-B5AC-2F9F-D8BE-985F9E645D91}"/>
            </a:ext>
          </a:extLst>
        </cdr:cNvPr>
        <cdr:cNvSpPr/>
      </cdr:nvSpPr>
      <cdr:spPr>
        <a:xfrm xmlns:a="http://schemas.openxmlformats.org/drawingml/2006/main">
          <a:off x="1794674" y="0"/>
          <a:ext cx="2606729" cy="519729"/>
        </a:xfrm>
        <a:prstGeom xmlns:a="http://schemas.openxmlformats.org/drawingml/2006/main" prst="rect">
          <a:avLst/>
        </a:prstGeom>
        <a:solidFill xmlns:a="http://schemas.openxmlformats.org/drawingml/2006/main">
          <a:srgbClr val="FF0000">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GT"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Septiembre 2023</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Fon23</b:Tag>
    <b:SourceType>Book</b:SourceType>
    <b:Guid>{70D9CA50-B097-4E24-97D5-9583A8DD529C}</b:Guid>
    <b:Title>Perspectivas de la Economía Mundial; Una recuperación accidentada</b:Title>
    <b:Year>2023</b:Year>
    <b:Author>
      <b:Author>
        <b:Corporate>Fondo Monetario Internacional</b:Corporate>
      </b:Author>
    </b:Author>
    <b:City>Washington,DC</b:City>
    <b:Volume>Abril</b:Volume>
    <b:RefOrder>1</b:RefOrder>
  </b:Source>
  <b:Source>
    <b:Tag>Fon231</b:Tag>
    <b:SourceType>Book</b:SourceType>
    <b:Guid>{0FBEC74B-2E93-4674-AEE1-6D96493F9539}</b:Guid>
    <b:Author>
      <b:Author>
        <b:Corporate>Fondo Monetario Internacional</b:Corporate>
      </b:Author>
    </b:Author>
    <b:Title>Actualización de Perspectivas de la Economía Mundial; La inflación toca máximos en un contexto de bajo crecimiento</b:Title>
    <b:Year>2023</b:Year>
    <b:City>Washington, DC</b:City>
    <b:Volume>Enero</b:Volume>
    <b:RefOrder>2</b:RefOrder>
  </b:Source>
  <b:Source>
    <b:Tag>Fon232</b:Tag>
    <b:SourceType>InternetSite</b:SourceType>
    <b:Guid>{05DC9C18-C5DD-4092-977A-21B29FCD7AA8}</b:Guid>
    <b:Title>World Economic Outlook Database: April 2023 Edition</b:Title>
    <b:Year>2023</b:Year>
    <b:Author>
      <b:Author>
        <b:Corporate>Fondo Monetario Internacional</b:Corporate>
      </b:Author>
    </b:Author>
    <b:URL>https://www.imf.org/en/Publications/WEO/weo-database/2023/April</b:URL>
    <b:RefOrder>3</b:RefOrder>
  </b:Source>
  <b:Source>
    <b:Tag>Ban23</b:Tag>
    <b:SourceType>Book</b:SourceType>
    <b:Guid>{84BF8EB0-C717-4AE8-96EB-3BF08A5669F3}</b:Guid>
    <b:Author>
      <b:Author>
        <b:Corporate>Banco Mundial</b:Corporate>
      </b:Author>
    </b:Author>
    <b:Title>Global Economic Prospects</b:Title>
    <b:Year>2023</b:Year>
    <b:City>Washington, DC</b:City>
    <b:Volume>June</b:Volume>
    <b:Publisher>International Bank for Rescontruction and Development</b:Publisher>
    <b:RefOrder>4</b:RefOrder>
  </b:Source>
  <b:Source>
    <b:Tag>Ban231</b:Tag>
    <b:SourceType>Book</b:SourceType>
    <b:Guid>{CB82BF0D-8A51-452A-8DA3-948ED6086A93}</b:Guid>
    <b:Author>
      <b:Author>
        <b:Corporate>Banco Mundial</b:Corporate>
      </b:Author>
    </b:Author>
    <b:Title>Commodity Markets Outlook: Lower Prices, Little Rellief</b:Title>
    <b:Year>2023</b:Year>
    <b:City>Washington DC</b:City>
    <b:Publisher>International Bank for Reconstruction and Development</b:Publisher>
    <b:Volume>Abril</b:Volume>
    <b:RefOrder>5</b:RefOrder>
  </b:Source>
  <b:Source>
    <b:Tag>Ban</b:Tag>
    <b:SourceType>InternetSite</b:SourceType>
    <b:Guid>{C6451A78-C4C2-47EB-9D67-EDFBC8DF5DDD}</b:Guid>
    <b:Title>Commodity Markets</b:Title>
    <b:Author>
      <b:Author>
        <b:Corporate>Banco Mundial</b:Corporate>
      </b:Author>
    </b:Author>
    <b:URL>https://www.worldbank.org/en/research/commodity-markets</b:URL>
    <b:Year>2023</b:Year>
    <b:RefOrder>6</b:RefOrder>
  </b:Source>
  <b:Source>
    <b:Tag>Inv</b:Tag>
    <b:SourceType>InternetSite</b:SourceType>
    <b:Guid>{9CAA2E70-5E5F-4724-B51A-7596908F6CBA}</b:Guid>
    <b:Author>
      <b:Author>
        <b:Corporate>Investing</b:Corporate>
      </b:Author>
    </b:Author>
    <b:Title>Futuros de Índices y Materias primas</b:Title>
    <b:URL>https://es.investing.com/</b:URL>
    <b:Year>2023</b:Year>
    <b:RefOrder>7</b:RefOrder>
  </b:Source>
  <b:Source>
    <b:Tag>Fon233</b:Tag>
    <b:SourceType>InternetSite</b:SourceType>
    <b:Guid>{CD0CD96F-C50F-4F54-9DBA-6B0BB3BECC9A}</b:Guid>
    <b:Author>
      <b:Author>
        <b:Corporate>Fondo Monetario Internacional</b:Corporate>
      </b:Author>
    </b:Author>
    <b:Title>Fiscal Risk Assesment Tool (FRAT)</b:Title>
    <b:Year>2023</b:Year>
    <b:URL>https://www.imf.org/en/Topics/fiscal-policies/Fiscal-Risks/Fiscal-Risks-Toolkit/Fiscal-Risks-Toolkit-FRAT</b:URL>
    <b:RefOrder>8</b:RefOrder>
  </b:Source>
  <b:Source>
    <b:Tag>Ban232</b:Tag>
    <b:SourceType>InternetSite</b:SourceType>
    <b:Guid>{2C30782C-A3D5-4D5A-8140-0D6968891614}</b:Guid>
    <b:Author>
      <b:Author>
        <b:Corporate>Banco de Guatemala</b:Corporate>
      </b:Author>
    </b:Author>
    <b:Title>Estadíticas Macroeconómicas</b:Title>
    <b:Year>2023</b:Year>
    <b:URL>https://www.banguat.gob.gt/es/page/estadisticas-macroeconomicas</b:URL>
    <b:RefOrder>9</b:RefOrder>
  </b:Source>
  <b:Source>
    <b:Tag>Min23</b:Tag>
    <b:SourceType>ElectronicSource</b:SourceType>
    <b:Guid>{87C08D13-66CE-47D3-A38D-D8B4FB00A1F9}</b:Guid>
    <b:Title>Reporte de Operaciones de Crédito Público</b:Title>
    <b:Year>2023</b:Year>
    <b:Author>
      <b:Author>
        <b:Corporate>Minsiterio de Finanzas Públicas</b:Corporate>
      </b:Author>
    </b:Author>
    <b:City>Guatemala</b:City>
    <b:RefOrder>10</b:RefOrder>
  </b:Source>
  <b:Source>
    <b:Tag>Fed23</b:Tag>
    <b:SourceType>InternetSite</b:SourceType>
    <b:Guid>{B8A1EBED-7C4F-426F-9D3B-8A3E9059C215}</b:Guid>
    <b:Title>FRED Economic Data</b:Title>
    <b:Year>2023</b:Year>
    <b:Author>
      <b:Author>
        <b:Corporate>Federal Reserve Bank of St. Lous</b:Corporate>
      </b:Author>
    </b:Author>
    <b:URL>https://fred.stlouisfed.org/</b:URL>
    <b:RefOrder>11</b:RefOrder>
  </b:Source>
  <b:Source>
    <b:Tag>USE23</b:Tag>
    <b:SourceType>InternetSite</b:SourceType>
    <b:Guid>{0F1FCB36-01E7-4859-B4D3-B3677B380B22}</b:Guid>
    <b:Author>
      <b:Author>
        <b:Corporate>U.S. Energy Information Administration</b:Corporate>
      </b:Author>
    </b:Author>
    <b:Title>Independent Statistics and Analysis</b:Title>
    <b:Year>2023</b:Year>
    <b:URL>https://www.eia.gov/</b:URL>
    <b:RefOrder>12</b:RefOrder>
  </b:Source>
  <b:Source>
    <b:Tag>Lab17</b:Tag>
    <b:SourceType>JournalArticle</b:SourceType>
    <b:Guid>{A5F896D9-2C71-498A-A67F-A9C8AE9B88F4}</b:Guid>
    <b:Title>A Meta-Analysis on the price elasticity of energy demand</b:Title>
    <b:Year>2017</b:Year>
    <b:Pages>549-568</b:Pages>
    <b:Volume>102</b:Volume>
    <b:Author>
      <b:Author>
        <b:NameList>
          <b:Person>
            <b:Last>Labandeira</b:Last>
            <b:First>Xavier</b:First>
          </b:Person>
          <b:Person>
            <b:Last>Labeaga</b:Last>
            <b:First>José M</b:First>
          </b:Person>
          <b:Person>
            <b:Last>Otero</b:Last>
            <b:First>López</b:First>
          </b:Person>
        </b:NameList>
      </b:Author>
    </b:Author>
    <b:RefOrder>13</b:RefOrder>
  </b:Source>
  <b:Source>
    <b:Tag>Our23</b:Tag>
    <b:SourceType>InternetSite</b:SourceType>
    <b:Guid>{B88D488C-C9DA-406B-8241-8E086F99EF94}</b:Guid>
    <b:Author>
      <b:Author>
        <b:Corporate>Our World in Data</b:Corporate>
      </b:Author>
    </b:Author>
    <b:Title>Covid-19 dataset</b:Title>
    <b:Year>2023</b:Year>
    <b:URL>https://ourworldindata.org/</b:URL>
    <b:RefOrder>14</b:RefOrder>
  </b:Source>
  <b:Source>
    <b:Tag>Min231</b:Tag>
    <b:SourceType>InternetSite</b:SourceType>
    <b:Guid>{A3AA6D56-9594-4E41-B23A-BA3932A47880}</b:Guid>
    <b:Author>
      <b:Author>
        <b:Corporate>Ministerio de Saslud Pública y Asistencia Social</b:Corporate>
      </b:Author>
    </b:Author>
    <b:Title>Situación de Covid-19 en Guatemala</b:Title>
    <b:Year>2023</b:Year>
    <b:URL>https://tableros.mspas.gob.gt/covid/</b:URL>
    <b:RefOrder>15</b:RefOrder>
  </b:Source>
  <b:Source>
    <b:Tag>Ban233</b:Tag>
    <b:SourceType>Book</b:SourceType>
    <b:Guid>{6BFF1B31-8F35-4653-B1C4-1CE0ED117DC0}</b:Guid>
    <b:Author>
      <b:Author>
        <b:Corporate>Banco Mundial</b:Corporate>
      </b:Author>
    </b:Author>
    <b:Title>A tool dor the Analysis of Potential Economic and Fiscal Impact of Disaster, Model Definition Paper</b:Title>
    <b:Year>2018</b:Year>
    <b:RefOrder>16</b:RefOrder>
  </b:Source>
  <b:Source>
    <b:Tag>Uni23</b:Tag>
    <b:SourceType>InternetSite</b:SourceType>
    <b:Guid>{F7FF70E0-9D40-42CB-A09E-51C0DA3C845E}</b:Guid>
    <b:Title>Penn World Table Version 10.01</b:Title>
    <b:Year>2023</b:Year>
    <b:Author>
      <b:Author>
        <b:Corporate>University of Groningen</b:Corporate>
      </b:Author>
    </b:Author>
    <b:URL>https://www.rug.nl/ggdc/productivity/pwt/?lang=en</b:URL>
    <b:RefOrder>17</b:RefOrder>
  </b:Source>
  <b:Source>
    <b:Tag>Ins23</b:Tag>
    <b:SourceType>InternetSite</b:SourceType>
    <b:Guid>{97F493B9-10F1-4B52-A544-B2F5820E5C7F}</b:Guid>
    <b:Author>
      <b:Author>
        <b:Corporate>Instituto Nacional de Estadística Guatemala</b:Corporate>
      </b:Author>
    </b:Author>
    <b:Title>Población</b:Title>
    <b:Year>2023</b:Year>
    <b:URL>https://www.ine.gob.gt/poblacion-menu/</b:URL>
    <b:RefOrder>18</b:RefOrder>
  </b:Source>
  <b:Source>
    <b:Tag>Ins231</b:Tag>
    <b:SourceType>Book</b:SourceType>
    <b:Guid>{4E8EFE59-D981-46CC-874D-5844513E08A8}</b:Guid>
    <b:Title>Valuación Actuarial: Programa Sobre Protección Relativa a Invalidez, Vejez y Sobrevivencia 2022</b:Title>
    <b:Year>2023</b:Year>
    <b:Author>
      <b:Author>
        <b:Corporate>Instituto Guatemalteco de Seguridad Social</b:Corporate>
      </b:Author>
    </b:Author>
    <b:City>Guatemala</b:City>
    <b:RefOrder>19</b:RefOrder>
  </b:Source>
  <b:Source>
    <b:Tag>Ins232</b:Tag>
    <b:SourceType>Book</b:SourceType>
    <b:Guid>{F22205EF-1238-4D4E-A160-18B70C2B62AA}</b:Guid>
    <b:Author>
      <b:Author>
        <b:Corporate>Instituto Guatemalteco de Seguridad Social</b:Corporate>
      </b:Author>
    </b:Author>
    <b:Title>Valuación Actuarial del Programa de Enfermedad y Maternidad Año 2022</b:Title>
    <b:Year>2023</b:Year>
    <b:City>Guatemala</b:City>
    <b:RefOrder>20</b:RefOrder>
  </b:Source>
  <b:Source>
    <b:Tag>Ins233</b:Tag>
    <b:SourceType>Book</b:SourceType>
    <b:Guid>{6FD60101-B6E1-41A3-A1A5-27C1379A338E}</b:Guid>
    <b:Author>
      <b:Author>
        <b:Corporate>Instituto Guatemalteco de Seguridad Social</b:Corporate>
      </b:Author>
    </b:Author>
    <b:Title>Valuación Actuarial del Programa de Accidentes Año 2022</b:Title>
    <b:Year>2023</b:Year>
    <b:City>Guatemala</b:City>
    <b:RefOrder>21</b:RefOrder>
  </b:Source>
  <b:Source>
    <b:Tag>Eur20</b:Tag>
    <b:SourceType>Book</b:SourceType>
    <b:Guid>{F27CDA08-6361-4954-BD7F-5E34D1EE76CC}</b:Guid>
    <b:Author>
      <b:Author>
        <b:Corporate>European Commission</b:Corporate>
      </b:Author>
    </b:Author>
    <b:Title>The 2021 Ageing Report Underlying Assumptions &amp; Projection Methodologies</b:Title>
    <b:Year>2020</b:Year>
    <b:City>Luxembourg</b:City>
    <b:Publisher>European Union</b:Publisher>
    <b:JournalName>Institutional Paper 142</b:JournalName>
    <b:RefOrder>22</b:RefOrder>
  </b:Source>
  <b:Source>
    <b:Tag>Ban234</b:Tag>
    <b:SourceType>InternetSite</b:SourceType>
    <b:Guid>{9FEA7DFC-3B43-418C-A8B5-C047019E4809}</b:Guid>
    <b:Title>World Bank Group country classifications by income level for FY24</b:Title>
    <b:Year>2023</b:Year>
    <b:Author>
      <b:Author>
        <b:Corporate>Banco Mundial</b:Corporate>
      </b:Author>
    </b:Author>
    <b:URL>https://blogs.worldbank.org/opendata/new-world-bank-group-country-classifications-income-level-fy24</b:URL>
    <b:RefOrder>23</b:RefOrder>
  </b:Source>
  <b:Source>
    <b:Tag>Ban235</b:Tag>
    <b:SourceType>InternetSite</b:SourceType>
    <b:Guid>{D21328F1-D167-426F-9E46-0422FAFD2F65}</b:Guid>
    <b:Author>
      <b:Author>
        <b:Corporate>Banco Mundial</b:Corporate>
      </b:Author>
    </b:Author>
    <b:Title>The World Bank Data</b:Title>
    <b:Year>2023</b:Year>
    <b:URL>https://data.worldbank.org/indicator/NY.GNP.PCAP.CD</b:URL>
    <b:RefOrder>24</b:RefOrder>
  </b:Source>
  <b:Source>
    <b:Tag>Fon13</b:Tag>
    <b:SourceType>Book</b:SourceType>
    <b:Guid>{C0E3541E-7675-4FA4-A525-C2E326D40DD7}</b:Guid>
    <b:Author>
      <b:Author>
        <b:Corporate>Fondo Monetario Internacional</b:Corporate>
      </b:Author>
    </b:Author>
    <b:Title>Staff Guidance Note for Public Debt Sustainability Analysis in Market-Access Countries</b:Title>
    <b:Year>2013</b:Year>
    <b:RefOrder>25</b:RefOrder>
  </b:Source>
  <b:Source>
    <b:Tag>Ban13</b:Tag>
    <b:SourceType>InternetSite</b:SourceType>
    <b:Guid>{D71797BF-E2AC-45A3-8C46-D9A58645CF85}</b:Guid>
    <b:Title>Entorno Internacional</b:Title>
    <b:Year>2013</b:Year>
    <b:Author>
      <b:Author>
        <b:Corporate>Banco Central República de Dominicana</b:Corporate>
      </b:Author>
    </b:Author>
    <b:URL>https://www.bancentral.gov.do/a/d/2585-entorno-internacional</b:URL>
    <b:RefOrder>26</b:RefOrder>
  </b:Source>
  <b:Source>
    <b:Tag>Nac23</b:Tag>
    <b:SourceType>InternetSite</b:SourceType>
    <b:Guid>{8B511607-130B-4594-B21E-8CE310DE269B}</b:Guid>
    <b:Author>
      <b:Author>
        <b:Corporate>Naciones Unidas</b:Corporate>
      </b:Author>
    </b:Author>
    <b:Title>World Population Prospects 2022</b:Title>
    <b:Year>2023</b:Year>
    <b:URL>https://population.un.org/wpp/</b:URL>
    <b:RefOrder>27</b:RefOrder>
  </b:Source>
  <b:Source>
    <b:Tag>Ofi22</b:Tag>
    <b:SourceType>Book</b:SourceType>
    <b:Guid>{12E44B3B-26D9-47AD-BCC3-BA265C252EAD}</b:Guid>
    <b:Author>
      <b:Author>
        <b:Corporate>Oficina Nacional de Servicio Civil</b:Corporate>
      </b:Author>
    </b:Author>
    <b:Title>Estudio Acturial del Régimen de Clases Pasivas Civiles del Estado</b:Title>
    <b:Year>2022</b:Year>
    <b:City>Guatemala</b:City>
    <b:RefOrder>28</b:RefOrder>
  </b:Source>
  <b:Source>
    <b:Tag>Con88</b:Tag>
    <b:SourceType>Book</b:SourceType>
    <b:Guid>{C69FF711-5200-4338-A3D9-6644F1AEDE7C}</b:Guid>
    <b:Author>
      <b:Author>
        <b:Corporate>Congreso de la República de Guatemala</b:Corporate>
      </b:Author>
    </b:Author>
    <b:Title>Decreto 63-88 Ley de Clases Pasivas del EStado</b:Title>
    <b:Year>1988</b:Year>
    <b:City>Guatemala</b:City>
    <b:RefOrder>29</b:RefOrder>
  </b:Source>
  <b:Source>
    <b:Tag>Pre88</b:Tag>
    <b:SourceType>Book</b:SourceType>
    <b:Guid>{42A9BBE8-652F-4F45-8403-88D05BCBD26C}</b:Guid>
    <b:Author>
      <b:Author>
        <b:Corporate>Presidencia de la República de Guatemala</b:Corporate>
      </b:Author>
    </b:Author>
    <b:Title>Reglamento de la Ley de Clases Pasivas Civiles del eStado</b:Title>
    <b:Year>1988</b:Year>
    <b:City>Guatemala</b:City>
    <b:RefOrder>30</b:RefOrder>
  </b:Source>
  <b:Source>
    <b:Tag>Fon</b:Tag>
    <b:SourceType>InternetSite</b:SourceType>
    <b:Guid>{20DC263D-9284-4962-850A-9EAD4FEB2A5C}</b:Guid>
    <b:Title>Covid-19 Fiscal Stress Test (C-ST)</b:Title>
    <b:Author>
      <b:Author>
        <b:Corporate>Fondo Monetario Internacional</b:Corporate>
      </b:Author>
    </b:Author>
    <b:URL>https://www.imf.org/en/Topics/fiscal-policies/Fiscal-Risks/Fiscal-Risks-Toolkit/Fiscal-Risks-Toolkit-C-ST</b:URL>
    <b:Year>2023</b:Year>
    <b:RefOrder>31</b:RefOrder>
  </b:Source>
  <b:Source>
    <b:Tag>Min21</b:Tag>
    <b:SourceType>Book</b:SourceType>
    <b:Guid>{8AD47C5F-BA9E-445F-B5AA-A10CE578E6AB}</b:Guid>
    <b:Author>
      <b:Author>
        <b:Corporate>Ministerio de Finanzas Públicas</b:Corporate>
      </b:Author>
    </b:Author>
    <b:Title>Guia de usuario para la elaboración, interpretación y análisis del indice consolidado financiero municipal - ICFM-</b:Title>
    <b:Year>2021</b:Year>
    <b:City>Guatemala</b:City>
    <b:RefOrder>32</b:RefOrder>
  </b:Source>
  <b:Source>
    <b:Tag>Min18</b:Tag>
    <b:SourceType>Book</b:SourceType>
    <b:Guid>{AE9A1021-C4CD-4D85-BDD3-80FDE064BBB8}</b:Guid>
    <b:Title>Manúal de Clasificaciones Presupuestarias para el Sector Público de Guatemala</b:Title>
    <b:Year>2018</b:Year>
    <b:City>Guatemala</b:City>
    <b:Author>
      <b:Author>
        <b:Corporate>Ministerio de Finanzas Públicas</b:Corporate>
      </b:Author>
    </b:Author>
    <b:RefOrder>33</b:RefOrder>
  </b:Source>
  <b:Source>
    <b:Tag>MarcadorDePosición1</b:Tag>
    <b:SourceType>Book</b:SourceType>
    <b:Guid>{63B00F09-294E-4178-954F-F3164D904F5D}</b:Guid>
    <b:Author>
      <b:Author>
        <b:Corporate>Ministerio de Finanzas Públicas</b:Corporate>
      </b:Author>
    </b:Author>
    <b:Title>Manual de Contabilidad Integrada Gubernamental</b:Title>
    <b:Year>2023</b:Year>
    <b:City>Guatemala</b:City>
    <b:RefOrder>34</b:RefOrder>
  </b:Source>
  <b:Source>
    <b:Tag>Min</b:Tag>
    <b:SourceType>InternetSite</b:SourceType>
    <b:Guid>{AF780DD6-374A-491B-BAB0-0454341CCB90}</b:Guid>
    <b:Author>
      <b:Author>
        <b:Corporate>Ministerio de Finanzas Públicas</b:Corporate>
      </b:Author>
    </b:Author>
    <b:Title>Sistema Integrado de Administración Financiera para entidades descentralizadas</b:Title>
    <b:InternetSiteTitle>SICOINDES</b:InternetSiteTitle>
    <b:Year>2023</b:Year>
    <b:Month>julio</b:Month>
    <b:URL>https://sicoindes.minfin.gob.gt/SICOINWEB/login/frmlogin.htm</b:URL>
    <b:RefOrder>35</b:RefOrder>
  </b:Source>
  <b:Source>
    <b:Tag>Min232</b:Tag>
    <b:SourceType>InternetSite</b:SourceType>
    <b:Guid>{45C47AF1-1D7F-4CC8-86DB-9415B18B8ADF}</b:Guid>
    <b:Author>
      <b:Author>
        <b:Corporate>Ministerio de Finanzas Públicas</b:Corporate>
      </b:Author>
    </b:Author>
    <b:Title>Portal de Gobiernos Locales</b:Title>
    <b:Year>2023</b:Year>
    <b:Month>julio</b:Month>
    <b:URL>https://portalgl.minfin.gob.gt/</b:URL>
    <b:RefOrder>36</b:RefOrder>
  </b:Source>
  <b:Source>
    <b:Tag>MarcadorDePosición2</b:Tag>
    <b:SourceType>InternetSite</b:SourceType>
    <b:Guid>{1F3548F9-B363-44B2-A0B6-B628257B43CD}</b:Guid>
    <b:Author>
      <b:Author>
        <b:Corporate>Instituto Nacional de Estadísticas</b:Corporate>
      </b:Author>
    </b:Author>
    <b:Title>Instituto Nacional de Estadísticas</b:Title>
    <b:InternetSiteTitle>INE</b:InternetSiteTitle>
    <b:Year>2023</b:Year>
    <b:Month>julio</b:Month>
    <b:URL>https://www.ine.gob.gt/proyecciones/</b:URL>
    <b:RefOrder>37</b:RefOrder>
  </b:Source>
  <b:Source>
    <b:Tag>Ace23</b:Tag>
    <b:SourceType>InternetSite</b:SourceType>
    <b:Guid>{5DEC4A02-DBEF-4D0C-81B2-385FD7DBF5B4}</b:Guid>
    <b:Title>Recursos de arbitraje internacional</b:Title>
    <b:Year>2023</b:Year>
    <b:Author>
      <b:Author>
        <b:Corporate>Aceris Law LLC</b:Corporate>
      </b:Author>
    </b:Author>
    <b:URL>https://www.international-arbitration-attorney.com/es/</b:URL>
    <b:RefOrder>38</b:RefOrder>
  </b:Source>
  <b:Source>
    <b:Tag>ICS23</b:Tag>
    <b:SourceType>InternetSite</b:SourceType>
    <b:Guid>{7616D4FD-408D-457A-B991-A61E59C420D3}</b:Guid>
    <b:Author>
      <b:Author>
        <b:Corporate>ICSID</b:Corporate>
      </b:Author>
    </b:Author>
    <b:Title>International Centre for Settlement of Investment Disputes</b:Title>
    <b:Year>2023</b:Year>
    <b:Month>mayo</b:Month>
    <b:URL>https://icsid.worldbank.org/cases/case-database</b:URL>
    <b:RefOrder>39</b:RefOrder>
  </b:Source>
  <b:Source>
    <b:Tag>CIA22</b:Tag>
    <b:SourceType>InternetSite</b:SourceType>
    <b:Guid>{D603DA4E-D600-4CCC-9614-47830A61E883}</b:Guid>
    <b:Author>
      <b:Author>
        <b:Corporate>CIADI</b:Corporate>
      </b:Author>
    </b:Author>
    <b:Title>Centro Internacional de Arreglo de Diferencias Relativas a lnversiones</b:Title>
    <b:Year>2022</b:Year>
    <b:Month>junio</b:Month>
    <b:URL>https://icsid.worldbank.org/sites/default/files/publications/ICSID_AR.SP.pdf</b:URL>
    <b:RefOrder>40</b:RefOrder>
  </b:Source>
  <b:Source>
    <b:Tag>Pro23</b:Tag>
    <b:SourceType>Report</b:SourceType>
    <b:Guid>{AA4BEDD4-BC68-4218-B426-651E8DDD69A0}</b:Guid>
    <b:Title>Demandas Judiciales en Contra del Estado de Guatemala</b:Title>
    <b:Year>2023</b:Year>
    <b:Author>
      <b:Author>
        <b:NameList>
          <b:Person>
            <b:Last>Procuraduria General de la Nacion</b:Last>
            <b:First>PGN</b:First>
          </b:Person>
        </b:NameList>
      </b:Author>
    </b:Author>
    <b:City>Guatemala</b:City>
    <b:RefOrder>41</b:RefOrder>
  </b:Source>
  <b:Source>
    <b:Tag>Con02</b:Tag>
    <b:SourceType>Misc</b:SourceType>
    <b:Guid>{0CE0BEE4-A720-47E2-AABF-575065E64D33}</b:Guid>
    <b:Title>Decreto número 12-2002</b:Title>
    <b:Year>2002</b:Year>
    <b:City>Guatemala</b:City>
    <b:Author>
      <b:Author>
        <b:NameList>
          <b:Person>
            <b:Last>Congreso de la República</b:Last>
            <b:First>GT</b:First>
          </b:Person>
        </b:NameList>
      </b:Author>
    </b:Author>
    <b:PublicationTitle>Código Municipal</b:PublicationTitle>
    <b:RefOrder>42</b:RefOrder>
  </b:Source>
  <b:Source>
    <b:Tag>Con93</b:Tag>
    <b:SourceType>Misc</b:SourceType>
    <b:Guid>{AFBB0D0F-B069-4300-AD11-69A6CA59E7AB}</b:Guid>
    <b:Author>
      <b:Author>
        <b:NameList>
          <b:Person>
            <b:Last>Congreso de la República</b:Last>
            <b:First>GT</b:First>
          </b:Person>
        </b:NameList>
      </b:Author>
    </b:Author>
    <b:Title>Constitución Política de la República de Guatemala</b:Title>
    <b:PublicationTitle>Régimen Municipal</b:PublicationTitle>
    <b:Year>1993</b:Year>
    <b:Month>noviembre</b:Month>
    <b:Day>17</b:Day>
    <b:City>Guatemala</b:City>
    <b:RefOrder>43</b:RefOrder>
  </b:Source>
  <b:Source>
    <b:Tag>Con85</b:Tag>
    <b:SourceType>Book</b:SourceType>
    <b:Guid>{BD7DB708-2288-4814-8A84-8B0FC5CA86E0}</b:Guid>
    <b:Year>1985</b:Year>
    <b:City>Guatemala</b:City>
    <b:Author>
      <b:Author>
        <b:NameList>
          <b:Person>
            <b:Last>Guatemala</b:Last>
            <b:First>Constitución</b:First>
            <b:Middle>Política de República de</b:Middle>
          </b:Person>
        </b:NameList>
      </b:Author>
    </b:Author>
    <b:RefOrder>46</b:RefOrder>
  </b:Source>
  <b:Source>
    <b:Tag>Ley14</b:Tag>
    <b:SourceType>Book</b:SourceType>
    <b:Guid>{6CBFE54D-84E0-4C3A-91EA-6022D69333F1}</b:Guid>
    <b:Author>
      <b:Author>
        <b:NameList>
          <b:Person>
            <b:Last>Presupuesto</b:Last>
            <b:First>Ley</b:First>
            <b:Middle>Orgánica del</b:Middle>
          </b:Person>
        </b:NameList>
      </b:Author>
    </b:Author>
    <b:Title>Decreto 101-97</b:Title>
    <b:Year>Reforma 2014</b:Year>
    <b:City>Guatemala</b:City>
    <b:RefOrder>47</b:RefOrder>
  </b:Source>
  <b:Source>
    <b:Tag>Ley</b:Tag>
    <b:SourceType>Book</b:SourceType>
    <b:Guid>{C634E26E-B18D-45C7-BF2D-2C1F4FD1239A}</b:Guid>
    <b:Author>
      <b:Author>
        <b:NameList>
          <b:Person>
            <b:Last>Nacional</b:Last>
            <b:First>Ley</b:First>
            <b:Middle>Orgánica del Crédito Hipotecario</b:Middle>
          </b:Person>
        </b:NameList>
      </b:Author>
    </b:Author>
    <b:Title>Decreto 25-79</b:Title>
    <b:Year>1979</b:Year>
    <b:City>Guatemala</b:City>
    <b:RefOrder>48</b:RefOrder>
  </b:Source>
  <b:Source>
    <b:Tag>Ley94</b:Tag>
    <b:SourceType>Book</b:SourceType>
    <b:Guid>{C7F7EA35-6D79-496A-A108-73BC80F7D074}</b:Guid>
    <b:Author>
      <b:Author>
        <b:NameList>
          <b:Person>
            <b:Last>Electrificación</b:Last>
            <b:First>Ley</b:First>
            <b:Middle>Orgánica del Instituto Nacional de</b:Middle>
          </b:Person>
        </b:NameList>
      </b:Author>
    </b:Author>
    <b:Title>Decreto 64-94</b:Title>
    <b:Year>1994</b:Year>
    <b:City>Guatemala</b:City>
    <b:RefOrder>49</b:RefOrder>
  </b:Source>
  <b:Source>
    <b:Tag>Ley10</b:Tag>
    <b:SourceType>Book</b:SourceType>
    <b:Guid>{81BEB7A5-B0F4-48B4-80FA-D0BCE892BFE7}</b:Guid>
    <b:Author>
      <b:Author>
        <b:NameList>
          <b:Person>
            <b:Last>Económica</b:Last>
            <b:First>Ley</b:First>
            <b:Middle>de Alianzas para el Desarrollo de Infraestructura</b:Middle>
          </b:Person>
        </b:NameList>
      </b:Author>
    </b:Author>
    <b:Title>Decreto 16-2010</b:Title>
    <b:Year>2010</b:Year>
    <b:City>Guatemala</b:City>
    <b:RefOrder>50</b:RefOrder>
  </b:Source>
  <b:Source>
    <b:Tag>MarcadorDePosición3</b:Tag>
    <b:SourceType>DocumentFromInternetSite</b:SourceType>
    <b:Guid>{EFB1C556-596A-4272-9385-ED8EC86966A1}</b:Guid>
    <b:Title>Banguat.gob.gt</b:Title>
    <b:Year>2023</b:Year>
    <b:Author>
      <b:Author>
        <b:Corporate>Banco de Guatemala</b:Corporate>
      </b:Author>
    </b:Author>
    <b:Month>junio</b:Month>
    <b:URL>https://www.banguat.gob.gt/sites/default/files/banguat/Publica/fopa/El_seguro_de_depositos_como_parte_seguridad_del_sistema_financiero.pdf</b:URL>
    <b:RefOrder>51</b:RefOrder>
  </b:Source>
  <b:Source>
    <b:Tag>Ban22</b:Tag>
    <b:SourceType>DocumentFromInternetSite</b:SourceType>
    <b:Guid>{0BF97745-8438-401D-B5E3-E8FECBDE2F10}</b:Guid>
    <b:Author>
      <b:Author>
        <b:Corporate>Banco de Guatemala</b:Corporate>
      </b:Author>
    </b:Author>
    <b:Title>Banguat.gob.gt</b:Title>
    <b:Year>2022</b:Year>
    <b:Month>12</b:Month>
    <b:Day>31</b:Day>
    <b:URL>https://www.banguat.gob.gt/page/ano-2022-3</b:URL>
    <b:RefOrder>52</b:RefOrder>
  </b:Source>
  <b:Source>
    <b:Tag>Min22</b:Tag>
    <b:SourceType>DocumentFromInternetSite</b:SourceType>
    <b:Guid>{7328C3B8-1032-4ABE-9431-45C78E4553C0}</b:Guid>
    <b:Author>
      <b:Author>
        <b:Corporate>Ministerio de Finanzas</b:Corporate>
      </b:Author>
    </b:Author>
    <b:Title>minfin.gob.gt</b:Title>
    <b:Year>2022</b:Year>
    <b:Month>12</b:Month>
    <b:Day>31</b:Day>
    <b:URL>https://portalfideicomisos.minfin.gob.gt/detalle-fideicomiso/36</b:URL>
    <b:RefOrder>53</b:RefOrder>
  </b:Source>
  <b:Source>
    <b:Tag>Min221</b:Tag>
    <b:SourceType>DocumentFromInternetSite</b:SourceType>
    <b:Guid>{CDE14EA7-000F-4E30-850D-EA545D52F51E}</b:Guid>
    <b:Author>
      <b:Author>
        <b:Corporate>Ministerio de Finanzas</b:Corporate>
      </b:Author>
    </b:Author>
    <b:Title>minfin.gob.gt</b:Title>
    <b:Year>2022</b:Year>
    <b:Month>12</b:Month>
    <b:Day>31</b:Day>
    <b:URL>https://portalfideicomisos.minfin.gob.gt/detalle-fideicomiso/3</b:URL>
    <b:RefOrder>54</b:RefOrder>
  </b:Source>
  <b:Source>
    <b:Tag>Sup22</b:Tag>
    <b:SourceType>Report</b:SourceType>
    <b:Guid>{7E9B514C-DDE9-45EF-B1CB-82460FE19067}</b:Guid>
    <b:Title>Informe del Superintendente de Banco a la Junta Monetaria</b:Title>
    <b:Year>2022</b:Year>
    <b:Author>
      <b:Author>
        <b:Corporate>Superintendencia de Bancos</b:Corporate>
      </b:Author>
    </b:Author>
    <b:City>Guatemala</b:City>
    <b:RefOrder>55</b:RefOrder>
  </b:Source>
  <b:Source>
    <b:Tag>Con1</b:Tag>
    <b:SourceType>Misc</b:SourceType>
    <b:Guid>{F3EDEF58-3047-42B1-AE2C-9CA1520532F9}</b:Guid>
    <b:Author>
      <b:Author>
        <b:NameList>
          <b:Person>
            <b:Last>Congreso de la República</b:Last>
            <b:First>GT</b:First>
          </b:Person>
        </b:NameList>
      </b:Author>
    </b:Author>
    <b:Title>Decreto 1132</b:Title>
    <b:PublicationTitle>Ley Orgánica del Instituto de Fomento Municipal.</b:PublicationTitle>
    <b:City>Guatemala</b:City>
    <b:Year>1965</b:Year>
    <b:RefOrder>45</b:RefOrder>
  </b:Source>
  <b:Source>
    <b:Tag>Con</b:Tag>
    <b:SourceType>Misc</b:SourceType>
    <b:Guid>{C76CEC52-E8B9-45FA-AD23-0ECFC34CA9A0}</b:Guid>
    <b:Author>
      <b:Author>
        <b:NameList>
          <b:Person>
            <b:Last>Congreso de la RepúblIca</b:Last>
            <b:First>GT</b:First>
          </b:Person>
        </b:NameList>
      </b:Author>
    </b:Author>
    <b:Title>Decreto 14-2022 Ley General de Descentralización</b:Title>
    <b:CountryRegion>Guatemala</b:CountryRegion>
    <b:Year>2002</b:Year>
    <b:RefOrder>44</b:RefOrder>
  </b:Source>
  <b:Source>
    <b:Tag>MarcadorDePosición4</b:Tag>
    <b:SourceType>Book</b:SourceType>
    <b:Guid>{7AB1DCC6-F087-47CE-832B-91D2AD64EDAA}</b:Guid>
    <b:Year>1985</b:Year>
    <b:City>Guatemala</b:City>
    <b:Author>
      <b:Author>
        <b:Corporate>Asamblea Nacional Constituyente </b:Corporate>
      </b:Author>
    </b:Author>
    <b:Title>Constitución Política de República de Guatemala</b:Title>
    <b:RefOrder>46</b:RefOrder>
  </b:Source>
  <b:Source>
    <b:Tag>MarcadorDePosición5</b:Tag>
    <b:SourceType>Book</b:SourceType>
    <b:Guid>{539DA812-472F-47A3-9618-EEC417B2266D}</b:Guid>
    <b:Author>
      <b:Author>
        <b:Corporate>Congreso de la República de Guatemala</b:Corporate>
      </b:Author>
    </b:Author>
    <b:Title>Decreto 101-97 Ley Orgánica del Presupuesto</b:Title>
    <b:Year>Reforma 2014</b:Year>
    <b:City>Guatemala</b:City>
    <b:RefOrder>47</b:RefOrder>
  </b:Source>
  <b:Source>
    <b:Tag>MarcadorDePosición6</b:Tag>
    <b:SourceType>Book</b:SourceType>
    <b:Guid>{9B6A8783-DCDE-4D3D-BC6E-042BC4E33E51}</b:Guid>
    <b:Author>
      <b:Author>
        <b:Corporate>Congreso de la República de Guatemala</b:Corporate>
      </b:Author>
    </b:Author>
    <b:Title>Decreto 25-79 Ley Orgánica del Crédito Hipotecario Nacional</b:Title>
    <b:Year>1979</b:Year>
    <b:City>Guatemala</b:City>
    <b:RefOrder>48</b:RefOrder>
  </b:Source>
  <b:Source>
    <b:Tag>MarcadorDePosición7</b:Tag>
    <b:SourceType>Book</b:SourceType>
    <b:Guid>{9D8D3E1A-FA2F-4449-9C94-A9C75B7FD824}</b:Guid>
    <b:Author>
      <b:Author>
        <b:Corporate>Congreso de la República de Guatemala</b:Corporate>
      </b:Author>
    </b:Author>
    <b:Title>Decreto 64-94 Ley Orgánica del Instituto Nacional de Electrificación</b:Title>
    <b:Year>1994</b:Year>
    <b:City>Guatemala</b:City>
    <b:RefOrder>49</b:RefOrder>
  </b:Source>
  <b:Source>
    <b:Tag>MarcadorDePosición8</b:Tag>
    <b:SourceType>Book</b:SourceType>
    <b:Guid>{9D7B4A86-1545-4508-9ABC-D2FA090DE7C9}</b:Guid>
    <b:Author>
      <b:Author>
        <b:Corporate>Congreso de la República de Guatemala</b:Corporate>
      </b:Author>
    </b:Author>
    <b:Title>Decreto 16-2010 Ley de Alianzas para el Desarrollo de Infraestructura Económica</b:Title>
    <b:Year>2010</b:Year>
    <b:City>Guatemala</b:City>
    <b:RefOrder>50</b:RefOrder>
  </b:Source>
  <b:Source>
    <b:Tag>MarcadorDePosición9</b:Tag>
    <b:SourceType>DocumentFromInternetSite</b:SourceType>
    <b:Guid>{35EFC8FC-5393-4B9C-9EE6-A04F8C5DB9D3}</b:Guid>
    <b:Title>Fondo para la protección del ahorro</b:Title>
    <b:Year>2023</b:Year>
    <b:Author>
      <b:Author>
        <b:Corporate>Banco de Guatemala</b:Corporate>
      </b:Author>
    </b:Author>
    <b:Month>Junio</b:Month>
    <b:URL>https://www.banguat.gob.gt/sites/default/files/banguat/Publica/fopa/El_seguro_de_depositos_como_parte_seguridad_del_sistema_financiero.pdf</b:URL>
    <b:RefOrder>51</b:RefOrder>
  </b:Source>
  <b:Source>
    <b:Tag>MarcadorDePosición10</b:Tag>
    <b:SourceType>DocumentFromInternetSite</b:SourceType>
    <b:Guid>{94ABF7C4-FF0D-4FA1-9CA9-1F38D05B6309}</b:Guid>
    <b:Author>
      <b:Author>
        <b:Corporate>Banco de Guatemala</b:Corporate>
      </b:Author>
    </b:Author>
    <b:Title>Estados Financieros</b:Title>
    <b:Year>2022</b:Year>
    <b:URL>https://www.banguat.gob.gt/page/ano-2022-3</b:URL>
    <b:RefOrder>52</b:RefOrder>
  </b:Source>
  <b:Source>
    <b:Tag>MarcadorDePosición11</b:Tag>
    <b:SourceType>DocumentFromInternetSite</b:SourceType>
    <b:Guid>{0737A37E-3197-4C5F-A162-3463909040A9}</b:Guid>
    <b:Author>
      <b:Author>
        <b:Corporate>Ministerio de Finanzas</b:Corporate>
      </b:Author>
    </b:Author>
    <b:Title>Portal de Fideicomisos de la Administración Central (FCB)</b:Title>
    <b:Year>2022</b:Year>
    <b:URL>https://portalfideicomisos.minfin.gob.gt/detalle-fideicomiso/36</b:URL>
    <b:RefOrder>53</b:RefOrder>
  </b:Source>
  <b:Source>
    <b:Tag>MarcadorDePosición12</b:Tag>
    <b:SourceType>DocumentFromInternetSite</b:SourceType>
    <b:Guid>{32D6055F-1E6D-4126-84F0-D0941B2517A8}</b:Guid>
    <b:Author>
      <b:Author>
        <b:Corporate>Ministerio de Finanzas</b:Corporate>
      </b:Author>
    </b:Author>
    <b:Title>Portal de Fideicomisos de la Administración Central (GuateInvierte)</b:Title>
    <b:Year>2022</b:Year>
    <b:Month>12</b:Month>
    <b:Day>31</b:Day>
    <b:URL>https://portalfideicomisos.minfin.gob.gt/detalle-fideicomiso/3</b:URL>
    <b:RefOrder>54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0AC2D8-0430-46AD-B2ED-AFA7E214E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1</Pages>
  <Words>66341</Words>
  <Characters>364876</Characters>
  <Application>Microsoft Office Word</Application>
  <DocSecurity>0</DocSecurity>
  <Lines>3040</Lines>
  <Paragraphs>860</Paragraphs>
  <ScaleCrop>false</ScaleCrop>
  <HeadingPairs>
    <vt:vector size="2" baseType="variant">
      <vt:variant>
        <vt:lpstr>Título</vt:lpstr>
      </vt:variant>
      <vt:variant>
        <vt:i4>1</vt:i4>
      </vt:variant>
    </vt:vector>
  </HeadingPairs>
  <TitlesOfParts>
    <vt:vector size="1" baseType="lpstr">
      <vt:lpstr>Informe de Riesgos Fiscales 2024-2028</vt:lpstr>
    </vt:vector>
  </TitlesOfParts>
  <Company>DATAFLEX</Company>
  <LinksUpToDate>false</LinksUpToDate>
  <CharactersWithSpaces>430357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Riesgos Fiscales 2024-2028</dc:title>
  <dc:subject>Ministerio de Finanzas Públicas</dc:subject>
  <dc:creator>Dirección de Análisis y Política Fiscal</dc:creator>
  <cp:keywords/>
  <dc:description/>
  <cp:lastModifiedBy>Saul Enrique De León Meneses</cp:lastModifiedBy>
  <cp:revision>7</cp:revision>
  <dcterms:created xsi:type="dcterms:W3CDTF">2023-09-07T22:05:00Z</dcterms:created>
  <dcterms:modified xsi:type="dcterms:W3CDTF">2023-09-08T15:14:00Z</dcterms:modified>
</cp:coreProperties>
</file>